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86B1DB3" w14:textId="77777777" w:rsidTr="00E45843">
        <w:trPr>
          <w:cantSplit/>
          <w:trHeight w:hRule="exact" w:val="851"/>
        </w:trPr>
        <w:tc>
          <w:tcPr>
            <w:tcW w:w="1276" w:type="dxa"/>
            <w:tcBorders>
              <w:bottom w:val="single" w:sz="4" w:space="0" w:color="auto"/>
            </w:tcBorders>
            <w:vAlign w:val="bottom"/>
          </w:tcPr>
          <w:p w14:paraId="6E1D48CF" w14:textId="77777777" w:rsidR="00717266" w:rsidRDefault="00717266" w:rsidP="00E45843">
            <w:pPr>
              <w:spacing w:after="80"/>
            </w:pPr>
          </w:p>
        </w:tc>
        <w:tc>
          <w:tcPr>
            <w:tcW w:w="2268" w:type="dxa"/>
            <w:tcBorders>
              <w:bottom w:val="single" w:sz="4" w:space="0" w:color="auto"/>
            </w:tcBorders>
            <w:vAlign w:val="bottom"/>
          </w:tcPr>
          <w:p w14:paraId="747F1395" w14:textId="77777777" w:rsidR="00717266" w:rsidRPr="00B97172" w:rsidRDefault="00717266" w:rsidP="00E4584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A1F28C0" w14:textId="77777777" w:rsidR="00717266" w:rsidRPr="00D47EEA" w:rsidRDefault="005D009F" w:rsidP="00E45843">
            <w:pPr>
              <w:suppressAutoHyphens w:val="0"/>
              <w:spacing w:after="20"/>
              <w:jc w:val="right"/>
            </w:pPr>
            <w:r w:rsidRPr="005D009F">
              <w:rPr>
                <w:sz w:val="40"/>
              </w:rPr>
              <w:t>E</w:t>
            </w:r>
            <w:r>
              <w:t>/C.12/CHN-MAC/3</w:t>
            </w:r>
          </w:p>
        </w:tc>
      </w:tr>
      <w:tr w:rsidR="00717266" w14:paraId="025CDBF2" w14:textId="77777777" w:rsidTr="00E45843">
        <w:trPr>
          <w:cantSplit/>
          <w:trHeight w:hRule="exact" w:val="2835"/>
        </w:trPr>
        <w:tc>
          <w:tcPr>
            <w:tcW w:w="1276" w:type="dxa"/>
            <w:tcBorders>
              <w:top w:val="single" w:sz="4" w:space="0" w:color="auto"/>
              <w:bottom w:val="single" w:sz="12" w:space="0" w:color="auto"/>
            </w:tcBorders>
          </w:tcPr>
          <w:p w14:paraId="305F2E99" w14:textId="77777777" w:rsidR="00717266" w:rsidRDefault="00717266" w:rsidP="00E45843">
            <w:pPr>
              <w:spacing w:before="120"/>
            </w:pPr>
            <w:r>
              <w:rPr>
                <w:noProof/>
                <w:lang w:eastAsia="en-GB"/>
              </w:rPr>
              <w:drawing>
                <wp:inline distT="0" distB="0" distL="0" distR="0" wp14:anchorId="11B82319" wp14:editId="6027377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8B83DD" w14:textId="77777777" w:rsidR="00717266" w:rsidRPr="00D773DF" w:rsidRDefault="00717266" w:rsidP="00E4584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94E9EC8" w14:textId="77777777" w:rsidR="00717266" w:rsidRDefault="005D009F" w:rsidP="00E45843">
            <w:pPr>
              <w:spacing w:before="240"/>
            </w:pPr>
            <w:r>
              <w:t>Distr.: General</w:t>
            </w:r>
          </w:p>
          <w:p w14:paraId="382E5545" w14:textId="29AAC421" w:rsidR="005D009F" w:rsidRDefault="00935647" w:rsidP="00E45843">
            <w:pPr>
              <w:suppressAutoHyphens w:val="0"/>
            </w:pPr>
            <w:r>
              <w:t>10</w:t>
            </w:r>
            <w:r w:rsidR="005D009F">
              <w:t xml:space="preserve"> August 2020</w:t>
            </w:r>
          </w:p>
          <w:p w14:paraId="648A0025" w14:textId="77777777" w:rsidR="005D009F" w:rsidRDefault="005D009F" w:rsidP="00E45843">
            <w:pPr>
              <w:suppressAutoHyphens w:val="0"/>
            </w:pPr>
          </w:p>
          <w:p w14:paraId="39D16A9A" w14:textId="77777777" w:rsidR="005D009F" w:rsidRDefault="005D009F" w:rsidP="00E45843">
            <w:pPr>
              <w:suppressAutoHyphens w:val="0"/>
            </w:pPr>
            <w:r>
              <w:t>Original: English</w:t>
            </w:r>
          </w:p>
          <w:p w14:paraId="1D34819B" w14:textId="6D4E1EC4" w:rsidR="005D009F" w:rsidRDefault="005D009F" w:rsidP="00E45843">
            <w:pPr>
              <w:suppressAutoHyphens w:val="0"/>
            </w:pPr>
            <w:r>
              <w:t>Chinese, English, French and Spanish only</w:t>
            </w:r>
          </w:p>
        </w:tc>
      </w:tr>
    </w:tbl>
    <w:p w14:paraId="7DE9C300" w14:textId="77777777" w:rsidR="005D009F" w:rsidRPr="005D009F" w:rsidRDefault="005D009F" w:rsidP="005D009F">
      <w:pPr>
        <w:spacing w:before="120"/>
        <w:rPr>
          <w:b/>
          <w:bCs/>
          <w:sz w:val="24"/>
          <w:szCs w:val="24"/>
        </w:rPr>
      </w:pPr>
      <w:r w:rsidRPr="005D009F">
        <w:rPr>
          <w:b/>
          <w:bCs/>
          <w:sz w:val="24"/>
          <w:szCs w:val="24"/>
        </w:rPr>
        <w:t>Committee on Economic, Social and Cultural Rights</w:t>
      </w:r>
    </w:p>
    <w:p w14:paraId="0BEACAB1" w14:textId="203E8754" w:rsidR="005D009F" w:rsidRPr="00B47380" w:rsidRDefault="005D009F" w:rsidP="005D009F">
      <w:pPr>
        <w:pStyle w:val="HMG"/>
      </w:pPr>
      <w:r w:rsidRPr="00B47380">
        <w:tab/>
      </w:r>
      <w:r w:rsidRPr="00B47380">
        <w:tab/>
        <w:t xml:space="preserve">Third periodic report submitted by Macao, China, under articles 16 and 17 of the Covenant, </w:t>
      </w:r>
      <w:r>
        <w:br/>
      </w:r>
      <w:r w:rsidRPr="00B47380">
        <w:t>due in 2019</w:t>
      </w:r>
      <w:r w:rsidRPr="005D009F">
        <w:rPr>
          <w:b w:val="0"/>
          <w:sz w:val="20"/>
          <w:szCs w:val="14"/>
        </w:rPr>
        <w:footnoteReference w:customMarkFollows="1" w:id="1"/>
        <w:t>*</w:t>
      </w:r>
      <w:r w:rsidRPr="005D009F">
        <w:rPr>
          <w:b w:val="0"/>
          <w:position w:val="8"/>
          <w:sz w:val="20"/>
          <w:szCs w:val="14"/>
        </w:rPr>
        <w:t>,</w:t>
      </w:r>
      <w:r w:rsidRPr="005D009F">
        <w:rPr>
          <w:b w:val="0"/>
          <w:sz w:val="20"/>
          <w:szCs w:val="14"/>
        </w:rPr>
        <w:t xml:space="preserve"> </w:t>
      </w:r>
      <w:r w:rsidRPr="005D009F">
        <w:rPr>
          <w:b w:val="0"/>
          <w:sz w:val="20"/>
          <w:szCs w:val="14"/>
        </w:rPr>
        <w:footnoteReference w:customMarkFollows="1" w:id="2"/>
        <w:t>**</w:t>
      </w:r>
    </w:p>
    <w:p w14:paraId="496EAD29" w14:textId="77777777" w:rsidR="005D009F" w:rsidRPr="00B47380" w:rsidRDefault="005D009F" w:rsidP="005D009F">
      <w:pPr>
        <w:pStyle w:val="SingleTxtG"/>
        <w:jc w:val="right"/>
      </w:pPr>
      <w:r w:rsidRPr="00B47380">
        <w:t>[Date received: 19 December 2019]</w:t>
      </w:r>
    </w:p>
    <w:p w14:paraId="1059E2A8" w14:textId="77777777" w:rsidR="005D009F" w:rsidRDefault="005D009F" w:rsidP="005D009F">
      <w:pPr>
        <w:pStyle w:val="SingleTxtG"/>
      </w:pPr>
      <w:r>
        <w:br w:type="page"/>
      </w:r>
    </w:p>
    <w:p w14:paraId="7B156BED" w14:textId="592FEE72" w:rsidR="005D009F" w:rsidRPr="00B47380" w:rsidRDefault="005D009F" w:rsidP="00D577B1">
      <w:pPr>
        <w:pStyle w:val="HChG"/>
      </w:pPr>
      <w:r w:rsidRPr="00B47380">
        <w:lastRenderedPageBreak/>
        <w:tab/>
        <w:t>I.</w:t>
      </w:r>
      <w:r w:rsidRPr="00B47380">
        <w:tab/>
        <w:t>Introduction</w:t>
      </w:r>
    </w:p>
    <w:p w14:paraId="7FDA5728" w14:textId="34601886" w:rsidR="005D009F" w:rsidRPr="00B47380" w:rsidRDefault="005D009F" w:rsidP="00D53B5F">
      <w:pPr>
        <w:pStyle w:val="SingleTxtG"/>
      </w:pPr>
      <w:r w:rsidRPr="00B47380">
        <w:t>1.</w:t>
      </w:r>
      <w:r w:rsidRPr="00B47380">
        <w:tab/>
        <w:t>The present report is the third to be submitted under Articles 16 and 17 of the International Covenant on Economic, Social and Cultural Rights (Covenant) by the People</w:t>
      </w:r>
      <w:r w:rsidR="006266F0">
        <w:t>’</w:t>
      </w:r>
      <w:r w:rsidRPr="00B47380">
        <w:t>s Republic of China (China), relating to the application of the Covenant in its Macao Special Administrative Region (MSAR). It covers the period from 1 January 2014 to 31 December 2018.</w:t>
      </w:r>
    </w:p>
    <w:p w14:paraId="764EA7AB" w14:textId="0E150FED" w:rsidR="005D009F" w:rsidRPr="00B47380" w:rsidRDefault="005D009F" w:rsidP="00D53B5F">
      <w:pPr>
        <w:pStyle w:val="SingleTxtG"/>
      </w:pPr>
      <w:r w:rsidRPr="00B47380">
        <w:t>2.</w:t>
      </w:r>
      <w:r w:rsidRPr="00B47380">
        <w:tab/>
        <w:t>This report was drafted according to the guidelines adopted by the United Nations Human Rights Committee regarding the form and content of reports to be submitted by States parties to the international human rights (HR) treaty bodies (HRI/GEN/2/Rev.6). It should be read in conjunction with Part III of China</w:t>
      </w:r>
      <w:r w:rsidR="006266F0">
        <w:t>’</w:t>
      </w:r>
      <w:r w:rsidRPr="00B47380">
        <w:t>s Core Document (HRI/CORE/1/Add.21/Rev.2 and HRI/CORE/CHN-MAC/2010), as well as with the MSAR</w:t>
      </w:r>
      <w:r w:rsidR="006266F0">
        <w:t>’</w:t>
      </w:r>
      <w:r w:rsidRPr="00B47380">
        <w:t xml:space="preserve">s reports on HR and connected documents, in particular the International Convention on the Elimination of All Forms of Racial Discrimination (CERD), the Convention on the Rights of the Child (CRC), the Convention on the Elimination of All Forms of Discrimination against Women (CEDAW), the Convention against Torture and other Cruel, Inhuman or Degrading Treatment or Punishment (CAT), the International Covenant on Civil and Political Rights (ICCPR) and the Convention on the Rights of Persons with Disabilities (CRPD). </w:t>
      </w:r>
    </w:p>
    <w:p w14:paraId="42833AFD" w14:textId="77777777" w:rsidR="005D009F" w:rsidRPr="00B47380" w:rsidRDefault="005D009F" w:rsidP="00D53B5F">
      <w:pPr>
        <w:pStyle w:val="SingleTxtG"/>
      </w:pPr>
      <w:r w:rsidRPr="00B47380">
        <w:t>3.</w:t>
      </w:r>
      <w:r w:rsidRPr="00B47380">
        <w:tab/>
        <w:t>This report was prepared based on the information provided by the government departments responsible for the application of the Covenant, entities that have a crucial role in the promotion and protection of the rights enshrined in the Covenant and an online public consultation. Most of these departments work in close partnership with local non-governmental organisations (NGOs), which also contributed to the information contained in this report.</w:t>
      </w:r>
    </w:p>
    <w:p w14:paraId="3F7ADD18" w14:textId="77777777" w:rsidR="005D009F" w:rsidRPr="00B47380" w:rsidRDefault="005D009F" w:rsidP="00D53B5F">
      <w:pPr>
        <w:pStyle w:val="SingleTxtG"/>
      </w:pPr>
      <w:r w:rsidRPr="00B47380">
        <w:t>4.</w:t>
      </w:r>
      <w:r w:rsidRPr="00B47380">
        <w:tab/>
        <w:t xml:space="preserve">The drafting of the report was widely disseminated in the media, encouraging the population and all relevant sectors of the society including NGOs to participate pursuant to paragraph 65 of the concluding observations of the Committee on Economic, Social and Cultural Rights (CESCR). </w:t>
      </w:r>
    </w:p>
    <w:p w14:paraId="6780ABBF" w14:textId="6E58A77D" w:rsidR="005D009F" w:rsidRPr="00B47380" w:rsidRDefault="005D009F" w:rsidP="00D53B5F">
      <w:pPr>
        <w:pStyle w:val="SingleTxtG"/>
      </w:pPr>
      <w:r w:rsidRPr="00B47380">
        <w:t>5.</w:t>
      </w:r>
      <w:r w:rsidRPr="00B47380">
        <w:tab/>
        <w:t>The information and data provided focus primarily on changes in legislation and measures relating to substantial developments occurred in the MSAR during the covered period. It will be presented in a summarised and updated form. The CESCR</w:t>
      </w:r>
      <w:r w:rsidR="006266F0">
        <w:t>’</w:t>
      </w:r>
      <w:r w:rsidRPr="00B47380">
        <w:t>s concerns and recommendations expressed in its concluding observations (E/C.12/CHN/CO/2) are considered in the respective provisions of the Covenant.</w:t>
      </w:r>
    </w:p>
    <w:p w14:paraId="4E49A9E9" w14:textId="574E5514" w:rsidR="005D009F" w:rsidRPr="00B47380" w:rsidRDefault="005D009F" w:rsidP="00D53B5F">
      <w:pPr>
        <w:pStyle w:val="SingleTxtG"/>
      </w:pPr>
      <w:r w:rsidRPr="00B47380">
        <w:t>6.</w:t>
      </w:r>
      <w:r w:rsidRPr="00B47380">
        <w:tab/>
        <w:t>In respect of paragraph 64 of the concluding observations, it should be mentioned that recommendations were specifically distributed to government officials, the judiciary and lawmakers, extensively disseminated in the media, uploaded on the MSAR portal and are available on the Legal Affairs Bureau</w:t>
      </w:r>
      <w:r w:rsidR="006266F0">
        <w:t>’</w:t>
      </w:r>
      <w:r w:rsidRPr="00B47380">
        <w:t xml:space="preserve">s website. </w:t>
      </w:r>
    </w:p>
    <w:p w14:paraId="7B081C38" w14:textId="77777777" w:rsidR="005D009F" w:rsidRPr="00B47380" w:rsidRDefault="005D009F" w:rsidP="00D53B5F">
      <w:pPr>
        <w:pStyle w:val="SingleTxtG"/>
      </w:pPr>
      <w:r w:rsidRPr="00B47380">
        <w:t>7.</w:t>
      </w:r>
      <w:r w:rsidRPr="00B47380">
        <w:tab/>
        <w:t>Major progress was attained in several fields at the legislative (e.g. labour, social security, sexual harassment, domestic violence, persons with disabilities, elderly, environment, food safety), administrative (e.g. action plans and strategic policies for children/youth, women, the elderly, persons with disabilities, environment, civil protection, urban planning, cultural heritage protection) and practical levels (e.g. gender equality, breastfeeding rooms, accessibility for persons with disabilities, nurseries, day care centres, protection of victims, civil protection).</w:t>
      </w:r>
    </w:p>
    <w:p w14:paraId="012F829D" w14:textId="19E525F8" w:rsidR="005D009F" w:rsidRPr="00B47380" w:rsidRDefault="005D009F" w:rsidP="00D53B5F">
      <w:pPr>
        <w:pStyle w:val="SingleTxtG"/>
      </w:pPr>
      <w:r w:rsidRPr="00B47380">
        <w:t>8.</w:t>
      </w:r>
      <w:r w:rsidRPr="00B47380">
        <w:tab/>
        <w:t>The number of HR Commissions continued to grow like the Cultural Heritage Council (2014), Urban Planning Council (2014), Committee for Women and Children</w:t>
      </w:r>
      <w:r w:rsidR="006266F0">
        <w:t>’</w:t>
      </w:r>
      <w:r w:rsidRPr="00B47380">
        <w:t>s Affairs (CWCA) (2005/2016), Medical Malpractice Evaluation Commission (2017) and Tertiary Education Council (2018). These bodies are usually composed of government and NGO representatives as well as prominent members of the civil society. NGO participation in these bodies is particularly important, playing an active role in the formulation of local policies, assessing and monitoring HR in different sectors of society.</w:t>
      </w:r>
    </w:p>
    <w:p w14:paraId="16B274AA" w14:textId="2B6476CA" w:rsidR="005D009F" w:rsidRPr="00B47380" w:rsidRDefault="005D009F" w:rsidP="00D53B5F">
      <w:pPr>
        <w:pStyle w:val="SingleTxtG"/>
      </w:pPr>
      <w:r w:rsidRPr="00B47380">
        <w:t>9.</w:t>
      </w:r>
      <w:r w:rsidRPr="00B47380">
        <w:tab/>
        <w:t xml:space="preserve">The public consultation mechanism for major policies and legislation equally encourages the participation of the population in public affairs and promotes good governance, e.g. the revision of the legislation of Consumers Protection Rights and Interests </w:t>
      </w:r>
      <w:r w:rsidRPr="00B47380">
        <w:lastRenderedPageBreak/>
        <w:t>(2014), Law on Special Education (2015), Ten-Year Rehabilitation Programme Plan 2016</w:t>
      </w:r>
      <w:r w:rsidR="00F17CEC">
        <w:t>–</w:t>
      </w:r>
      <w:r w:rsidRPr="00B47380">
        <w:t xml:space="preserve">2025 (Rehabilitation Plan) (2016), Techniques of Medically Assisted Procreation (2017), Plan for the Safeguard and Management of the Historical Centre of Macao (2018) and Framework Law of Civil Protection (2018). </w:t>
      </w:r>
    </w:p>
    <w:p w14:paraId="57325701" w14:textId="1A0E492D" w:rsidR="005D009F" w:rsidRPr="00B47380" w:rsidRDefault="005D009F" w:rsidP="00D53B5F">
      <w:pPr>
        <w:pStyle w:val="SingleTxtG"/>
      </w:pPr>
      <w:r w:rsidRPr="00B47380">
        <w:t>10.</w:t>
      </w:r>
      <w:r w:rsidRPr="00B47380">
        <w:tab/>
        <w:t>Concerning paragraph 53 of the concluding observations, it should be mentioned that the Ombudsman</w:t>
      </w:r>
      <w:r w:rsidR="006266F0">
        <w:t>’</w:t>
      </w:r>
      <w:r w:rsidRPr="00B47380">
        <w:t>s mandate of the Commission against Corruption (CCAC), a local independent institution, focuses on promoting and protecting rights and freedoms, safeguarding persons</w:t>
      </w:r>
      <w:r w:rsidR="006266F0">
        <w:t>’</w:t>
      </w:r>
      <w:r w:rsidRPr="00B47380">
        <w:t xml:space="preserve"> interests and guaranteeing that the exercise of public powers abides by the criteria of justice, legality and efficiency.</w:t>
      </w:r>
    </w:p>
    <w:p w14:paraId="41409E03" w14:textId="4E385624" w:rsidR="005D009F" w:rsidRPr="00B47380" w:rsidRDefault="005D009F" w:rsidP="00D53B5F">
      <w:pPr>
        <w:pStyle w:val="SingleTxtG"/>
      </w:pPr>
      <w:r w:rsidRPr="00B47380">
        <w:t>11.</w:t>
      </w:r>
      <w:r w:rsidRPr="00B47380">
        <w:tab/>
        <w:t>The Commissioner exercises his Ombudsman</w:t>
      </w:r>
      <w:r w:rsidR="006266F0">
        <w:t>’</w:t>
      </w:r>
      <w:r w:rsidRPr="00B47380">
        <w:t xml:space="preserve">s functions with full independence and total autonomy, possessing adequate financial and human resources (Articles 45 and 59 of the Basic Law (BL) and Article 37(2) of Law 10/2000, as amended). The CCAC may initiate enquiries </w:t>
      </w:r>
      <w:r w:rsidRPr="0013514A">
        <w:rPr>
          <w:i/>
          <w:iCs/>
        </w:rPr>
        <w:t>ex officio</w:t>
      </w:r>
      <w:r w:rsidRPr="00B47380">
        <w:t xml:space="preserve">, analyse claims and issue recommendations to government entities. All features are in line with the Paris Principles. </w:t>
      </w:r>
    </w:p>
    <w:p w14:paraId="66FAB6C0" w14:textId="77777777" w:rsidR="005D009F" w:rsidRPr="00B47380" w:rsidRDefault="005D009F" w:rsidP="00D53B5F">
      <w:pPr>
        <w:pStyle w:val="SingleTxtG"/>
      </w:pPr>
      <w:r w:rsidRPr="00B47380">
        <w:t>12.</w:t>
      </w:r>
      <w:r w:rsidRPr="00B47380">
        <w:tab/>
        <w:t xml:space="preserve">The Government continues to endeavour considerable efforts to disseminate HR widely and comprehensively, </w:t>
      </w:r>
      <w:r w:rsidRPr="0013514A">
        <w:rPr>
          <w:i/>
          <w:iCs/>
        </w:rPr>
        <w:t>inter alia</w:t>
      </w:r>
      <w:r w:rsidRPr="00B47380">
        <w:t>, through the media, seminars, workshops, leaflets, school activities and fairs. In 2015, the Youth Law Centre was created for this purpose.</w:t>
      </w:r>
    </w:p>
    <w:p w14:paraId="3B41BF8A" w14:textId="77777777" w:rsidR="005D009F" w:rsidRPr="00B47380" w:rsidRDefault="005D009F" w:rsidP="00D53B5F">
      <w:pPr>
        <w:pStyle w:val="SingleTxtG"/>
      </w:pPr>
      <w:r w:rsidRPr="00B47380">
        <w:t>13.</w:t>
      </w:r>
      <w:r w:rsidRPr="00B47380">
        <w:tab/>
        <w:t>The MSAR legislation is available online (</w:t>
      </w:r>
      <w:r w:rsidRPr="0013514A">
        <w:rPr>
          <w:i/>
          <w:iCs/>
        </w:rPr>
        <w:t>www.gov.mo</w:t>
      </w:r>
      <w:r w:rsidRPr="00B47380">
        <w:t xml:space="preserve"> and </w:t>
      </w:r>
      <w:r w:rsidRPr="0013514A">
        <w:rPr>
          <w:i/>
          <w:iCs/>
        </w:rPr>
        <w:t>www.macaolaw.gov.mo</w:t>
      </w:r>
      <w:r w:rsidRPr="00B47380">
        <w:t>) and through mobile apps of different government departments in the two official languages (Chinese and Portuguese) and sometimes in English.</w:t>
      </w:r>
    </w:p>
    <w:p w14:paraId="645DD82A" w14:textId="77777777" w:rsidR="005D009F" w:rsidRPr="00B47380" w:rsidRDefault="005D009F" w:rsidP="00D53B5F">
      <w:pPr>
        <w:pStyle w:val="SingleTxtG"/>
      </w:pPr>
      <w:r w:rsidRPr="00B47380">
        <w:t>14.</w:t>
      </w:r>
      <w:r w:rsidRPr="00B47380">
        <w:tab/>
        <w:t xml:space="preserve">The Legal and Judicial Training Centre continues to organise courses, seminars on HR protection for the legal profession and other community sectors, often in cooperation with the Legal Affairs Bureau, the Institute of European Studies of Macau (IEEM) and other entities, including the European Union and foreign renowned universities. </w:t>
      </w:r>
    </w:p>
    <w:p w14:paraId="7F3AA496" w14:textId="2721E3DD" w:rsidR="005D009F" w:rsidRPr="00B47380" w:rsidRDefault="005D009F" w:rsidP="00D53B5F">
      <w:pPr>
        <w:pStyle w:val="SingleTxtG"/>
      </w:pPr>
      <w:r w:rsidRPr="00B47380">
        <w:t>15.</w:t>
      </w:r>
      <w:r w:rsidRPr="00B47380">
        <w:tab/>
        <w:t xml:space="preserve">Another highlight is the dissemination of the 7 core HR conventions applicable to the MSAR and their reporting mechanism, particularly through the special edition of the </w:t>
      </w:r>
      <w:r w:rsidR="006266F0">
        <w:t>“</w:t>
      </w:r>
      <w:r w:rsidRPr="00B47380">
        <w:t>Macau Law Journal</w:t>
      </w:r>
      <w:r w:rsidR="006266F0">
        <w:t>”</w:t>
      </w:r>
      <w:r w:rsidRPr="00B47380">
        <w:t>, which assembles in a systematic manner all the relevant documentation related to HR reporting. The latest edition, in 2016, was the ICCPR. All editions are available on the Legal Affairs Bureau</w:t>
      </w:r>
      <w:r w:rsidR="006266F0">
        <w:t>’</w:t>
      </w:r>
      <w:r w:rsidRPr="00B47380">
        <w:t>s website in Chinese, Portuguese and English (</w:t>
      </w:r>
      <w:r w:rsidRPr="0013514A">
        <w:rPr>
          <w:i/>
          <w:iCs/>
        </w:rPr>
        <w:t>http://www.dsaj.gov.mo/ContentFrame_en.aspx?ModuleName=Content/en/</w:t>
      </w:r>
      <w:r w:rsidR="00935647">
        <w:rPr>
          <w:i/>
          <w:iCs/>
        </w:rPr>
        <w:t xml:space="preserve"> </w:t>
      </w:r>
      <w:proofErr w:type="spellStart"/>
      <w:r w:rsidRPr="0013514A">
        <w:rPr>
          <w:i/>
          <w:iCs/>
        </w:rPr>
        <w:t>dadidir</w:t>
      </w:r>
      <w:proofErr w:type="spellEnd"/>
      <w:r w:rsidRPr="0013514A">
        <w:rPr>
          <w:i/>
          <w:iCs/>
        </w:rPr>
        <w:t>/hrreport_en.ascx</w:t>
      </w:r>
      <w:r w:rsidRPr="00B47380">
        <w:t>).</w:t>
      </w:r>
    </w:p>
    <w:p w14:paraId="07C90CD3" w14:textId="77777777" w:rsidR="005D009F" w:rsidRPr="00B47380" w:rsidRDefault="005D009F" w:rsidP="00D53B5F">
      <w:pPr>
        <w:pStyle w:val="SingleTxtG"/>
      </w:pPr>
      <w:r w:rsidRPr="00B47380">
        <w:t>16.</w:t>
      </w:r>
      <w:r w:rsidRPr="00B47380">
        <w:tab/>
        <w:t xml:space="preserve">Notwithstanding the development achieved related to HR, the Government acknowledges that there are shortcomings and challenges in some fields and is committed to address them and to take appropriate actions. </w:t>
      </w:r>
    </w:p>
    <w:p w14:paraId="46FDB7B8" w14:textId="77777777" w:rsidR="005D009F" w:rsidRPr="00B47380" w:rsidRDefault="005D009F" w:rsidP="00D53B5F">
      <w:pPr>
        <w:pStyle w:val="SingleTxtG"/>
      </w:pPr>
      <w:r w:rsidRPr="00B47380">
        <w:t>17.</w:t>
      </w:r>
      <w:r w:rsidRPr="00B47380">
        <w:tab/>
        <w:t>A CD-ROM of the 2017 Yearbook of Statistics is annexed to this report with data concerning the enjoyment of the rights enshrined in the Covenant.</w:t>
      </w:r>
    </w:p>
    <w:p w14:paraId="0E7DE91C" w14:textId="25F0F58C" w:rsidR="005D009F" w:rsidRPr="00B47380" w:rsidRDefault="005D009F" w:rsidP="0013514A">
      <w:pPr>
        <w:pStyle w:val="HChG"/>
      </w:pPr>
      <w:r w:rsidRPr="00B47380">
        <w:tab/>
        <w:t>II.</w:t>
      </w:r>
      <w:r w:rsidRPr="00B47380">
        <w:tab/>
        <w:t>Information relating to articles 1</w:t>
      </w:r>
      <w:r w:rsidR="00F17CEC">
        <w:t>–</w:t>
      </w:r>
      <w:r w:rsidRPr="00B47380">
        <w:t>15 of the Covenant</w:t>
      </w:r>
    </w:p>
    <w:p w14:paraId="0F6493CB" w14:textId="6373EBFF" w:rsidR="005D009F" w:rsidRPr="00B47380" w:rsidRDefault="005D009F" w:rsidP="0013514A">
      <w:pPr>
        <w:pStyle w:val="H1G"/>
      </w:pPr>
      <w:bookmarkStart w:id="0" w:name="_Toc523225752"/>
      <w:bookmarkStart w:id="1" w:name="_Toc194226847"/>
      <w:bookmarkStart w:id="2" w:name="_Toc286998579"/>
      <w:r w:rsidRPr="00B47380">
        <w:tab/>
      </w:r>
      <w:r w:rsidRPr="00B47380">
        <w:tab/>
        <w:t>Article 1</w:t>
      </w:r>
      <w:bookmarkStart w:id="3" w:name="_Toc194226848"/>
      <w:bookmarkStart w:id="4" w:name="_Toc194229783"/>
      <w:bookmarkStart w:id="5" w:name="_Toc286998580"/>
      <w:bookmarkEnd w:id="0"/>
      <w:bookmarkEnd w:id="1"/>
      <w:bookmarkEnd w:id="2"/>
      <w:r w:rsidR="004D6325">
        <w:br/>
      </w:r>
      <w:r w:rsidRPr="00B47380">
        <w:t>MSAR</w:t>
      </w:r>
      <w:r w:rsidR="006266F0">
        <w:t>’</w:t>
      </w:r>
      <w:r w:rsidRPr="00B47380">
        <w:t>s autonomy and the freedom of its people to pursue economic, social and cultural development</w:t>
      </w:r>
      <w:bookmarkEnd w:id="3"/>
      <w:bookmarkEnd w:id="4"/>
      <w:bookmarkEnd w:id="5"/>
    </w:p>
    <w:p w14:paraId="20868433" w14:textId="4C420450" w:rsidR="005D009F" w:rsidRPr="00B47380" w:rsidRDefault="005D009F" w:rsidP="00D53B5F">
      <w:pPr>
        <w:pStyle w:val="SingleTxtG"/>
      </w:pPr>
      <w:r w:rsidRPr="00B47380">
        <w:t>18.</w:t>
      </w:r>
      <w:r w:rsidRPr="00B47380">
        <w:tab/>
        <w:t xml:space="preserve">As stated in previous reports, under the principle of </w:t>
      </w:r>
      <w:r w:rsidR="006266F0">
        <w:t>“</w:t>
      </w:r>
      <w:r w:rsidRPr="00B47380">
        <w:t>One country, two systems</w:t>
      </w:r>
      <w:r w:rsidR="006266F0">
        <w:t>”</w:t>
      </w:r>
      <w:r w:rsidRPr="00B47380">
        <w:t xml:space="preserve"> and in accordance with the BL, the MSAR is an inalienable part of China. National cohesion, territorial integrity and social stability are guaranteed, as well as a high degree of autonomy and enjoyment of executive, legislative and independent judicial powers, including that of final adjudication (Articles 1 and 2 of the BL). </w:t>
      </w:r>
    </w:p>
    <w:p w14:paraId="638A6DDE" w14:textId="6D2FDA55" w:rsidR="005D009F" w:rsidRPr="00B47380" w:rsidRDefault="005D009F" w:rsidP="00D53B5F">
      <w:pPr>
        <w:pStyle w:val="SingleTxtG"/>
      </w:pPr>
      <w:r w:rsidRPr="00B47380">
        <w:t>19.</w:t>
      </w:r>
      <w:r w:rsidR="00D96F66">
        <w:tab/>
      </w:r>
      <w:r w:rsidRPr="00B47380">
        <w:t>Under the BL, residents are free to pursue their own economic, social and cultural development. The preservation of the previous social system and way of life and the self-governing powers of the MSAR in the areas specified in the BL (within its sphere of competence) are the key driving factors of the MSAR</w:t>
      </w:r>
      <w:r w:rsidR="006266F0">
        <w:t>’</w:t>
      </w:r>
      <w:r w:rsidRPr="00B47380">
        <w:t>s autonomy (Articles 2, 3, 5, 8 and 11).</w:t>
      </w:r>
    </w:p>
    <w:p w14:paraId="50A5D994" w14:textId="77777777" w:rsidR="005D009F" w:rsidRPr="00B47380" w:rsidRDefault="005D009F" w:rsidP="00D53B5F">
      <w:pPr>
        <w:pStyle w:val="SingleTxtG"/>
      </w:pPr>
      <w:r w:rsidRPr="00B47380">
        <w:lastRenderedPageBreak/>
        <w:t>20.</w:t>
      </w:r>
      <w:r w:rsidRPr="00B47380">
        <w:tab/>
        <w:t xml:space="preserve">The MSAR is a dynamic society and has been improving its political, economic and social systems to guarantee a sustainable and prosperous development of the quality of life of its population. </w:t>
      </w:r>
    </w:p>
    <w:p w14:paraId="0598ED3E" w14:textId="78387EC0" w:rsidR="005D009F" w:rsidRPr="00B47380" w:rsidRDefault="005D009F" w:rsidP="00D53B5F">
      <w:pPr>
        <w:pStyle w:val="SingleTxtG"/>
      </w:pPr>
      <w:r w:rsidRPr="00B47380">
        <w:t>21.</w:t>
      </w:r>
      <w:r w:rsidR="00D96F66">
        <w:tab/>
      </w:r>
      <w:r w:rsidRPr="00B47380">
        <w:t>The Chief Executive (CE) is elected in accordance with Annex I to the BL and Law 3/2004, as amended, and appointed by the Central People</w:t>
      </w:r>
      <w:r w:rsidR="006266F0">
        <w:t>’</w:t>
      </w:r>
      <w:r w:rsidRPr="00B47380">
        <w:t>s Government (CPG). The two Chief Executives of the MSAR have both served two mandates of 5 years. A new Chief Executive will be elected and appointed by the CPG to assume office on 20/12/2019. The Legislative Assembly is currently in its sixth term (2017/2021) with a gradual increase of directly elected deputies (8 to 14). The term of office of the legislature is 4 years (Annex II to the BL and Law 3/2001, as amended).</w:t>
      </w:r>
    </w:p>
    <w:p w14:paraId="56D21B45" w14:textId="1AC02AF8" w:rsidR="005D009F" w:rsidRPr="00B47380" w:rsidRDefault="005D009F" w:rsidP="00D96F66">
      <w:pPr>
        <w:pStyle w:val="H1G"/>
      </w:pPr>
      <w:bookmarkStart w:id="6" w:name="_Toc523225753"/>
      <w:bookmarkStart w:id="7" w:name="_Toc194226849"/>
      <w:bookmarkStart w:id="8" w:name="_Toc286998581"/>
      <w:r w:rsidRPr="00B47380">
        <w:tab/>
      </w:r>
      <w:r w:rsidRPr="00B47380">
        <w:tab/>
        <w:t xml:space="preserve">Article </w:t>
      </w:r>
      <w:bookmarkEnd w:id="6"/>
      <w:r w:rsidRPr="00B47380">
        <w:t>2</w:t>
      </w:r>
      <w:bookmarkStart w:id="9" w:name="_Toc194226850"/>
      <w:bookmarkStart w:id="10" w:name="_Toc194229785"/>
      <w:bookmarkStart w:id="11" w:name="_Toc286998582"/>
      <w:bookmarkEnd w:id="7"/>
      <w:bookmarkEnd w:id="8"/>
      <w:r w:rsidR="004D6325">
        <w:br/>
      </w:r>
      <w:r w:rsidRPr="00B47380">
        <w:t>Non-discrimination</w:t>
      </w:r>
      <w:bookmarkEnd w:id="9"/>
      <w:bookmarkEnd w:id="10"/>
      <w:bookmarkEnd w:id="11"/>
    </w:p>
    <w:p w14:paraId="556D054D" w14:textId="77777777" w:rsidR="005D009F" w:rsidRPr="00B47380" w:rsidRDefault="005D009F" w:rsidP="00D53B5F">
      <w:pPr>
        <w:pStyle w:val="SingleTxtG"/>
      </w:pPr>
      <w:r w:rsidRPr="00B47380">
        <w:t>22.</w:t>
      </w:r>
      <w:r w:rsidRPr="00B47380">
        <w:tab/>
        <w:t>As mentioned in previous reports, Macao is a place where various communities live together with a wide range of ethnic, religious, linguistic and cultural diversity. Every ethnic group shares the same dignity and is entitled to its own cultural life, being able to profess and practise its own religion and use its own language (Articles 25, 27 and 43 of the BL). Tolerance and respect for cultural differences are cornerstones of the MSAR.</w:t>
      </w:r>
    </w:p>
    <w:p w14:paraId="52712FA4" w14:textId="493BF31B" w:rsidR="005D009F" w:rsidRPr="00B47380" w:rsidRDefault="005D009F" w:rsidP="00D53B5F">
      <w:pPr>
        <w:pStyle w:val="SingleTxtG"/>
      </w:pPr>
      <w:r w:rsidRPr="00B47380">
        <w:t>23.</w:t>
      </w:r>
      <w:r w:rsidRPr="00B47380">
        <w:tab/>
        <w:t>It should also be noted that the MSAR</w:t>
      </w:r>
      <w:r w:rsidR="006266F0">
        <w:t>’</w:t>
      </w:r>
      <w:r w:rsidRPr="00B47380">
        <w:t>s HR framework remains valid. All persons are considered equal in, under and before the law, and may not be discriminated against on any grounds (Articles 24 to 44 of the BL).</w:t>
      </w:r>
    </w:p>
    <w:p w14:paraId="5B3D8A28" w14:textId="77777777" w:rsidR="005D009F" w:rsidRPr="00B47380" w:rsidRDefault="005D009F" w:rsidP="00D53B5F">
      <w:pPr>
        <w:pStyle w:val="SingleTxtG"/>
      </w:pPr>
      <w:r w:rsidRPr="00B47380">
        <w:t>24.</w:t>
      </w:r>
      <w:r w:rsidRPr="00B47380">
        <w:tab/>
        <w:t xml:space="preserve">Equality and legality continue to be pillar principles shaping the entire MSAR legal system, binding the legislative, administrative and judicial powers. Equality and non-discrimination are general principles and discrimination is censured at all levels. Positive discrimination is only admissible under the law to correct </w:t>
      </w:r>
      <w:r w:rsidRPr="00C61F7E">
        <w:rPr>
          <w:i/>
          <w:iCs/>
        </w:rPr>
        <w:t>de facto</w:t>
      </w:r>
      <w:r w:rsidRPr="00B47380">
        <w:t xml:space="preserve"> inequalities.</w:t>
      </w:r>
    </w:p>
    <w:p w14:paraId="62EA09BB" w14:textId="1B43FAF1" w:rsidR="005D009F" w:rsidRPr="00B47380" w:rsidRDefault="005D009F" w:rsidP="0068782C">
      <w:pPr>
        <w:pStyle w:val="H1G"/>
      </w:pPr>
      <w:bookmarkStart w:id="12" w:name="_Toc523225756"/>
      <w:bookmarkStart w:id="13" w:name="_Toc194226851"/>
      <w:bookmarkStart w:id="14" w:name="_Toc286998583"/>
      <w:r w:rsidRPr="00B47380">
        <w:tab/>
      </w:r>
      <w:r w:rsidRPr="00B47380">
        <w:tab/>
        <w:t>Article 3</w:t>
      </w:r>
      <w:bookmarkStart w:id="15" w:name="_Toc194226852"/>
      <w:bookmarkStart w:id="16" w:name="_Toc194229790"/>
      <w:bookmarkStart w:id="17" w:name="_Toc286998584"/>
      <w:bookmarkEnd w:id="12"/>
      <w:bookmarkEnd w:id="13"/>
      <w:bookmarkEnd w:id="14"/>
      <w:r w:rsidR="004D6325">
        <w:br/>
      </w:r>
      <w:r w:rsidRPr="00B47380">
        <w:t>Equality of rights between women and men</w:t>
      </w:r>
      <w:bookmarkEnd w:id="15"/>
      <w:bookmarkEnd w:id="16"/>
      <w:bookmarkEnd w:id="17"/>
    </w:p>
    <w:p w14:paraId="478425AC" w14:textId="043531A8" w:rsidR="005D009F" w:rsidRPr="00B47380" w:rsidRDefault="005D009F" w:rsidP="00D53B5F">
      <w:pPr>
        <w:pStyle w:val="SingleTxtG"/>
      </w:pPr>
      <w:r w:rsidRPr="00B47380">
        <w:t>25.</w:t>
      </w:r>
      <w:r w:rsidRPr="00B47380">
        <w:tab/>
        <w:t>As pointed out in previous reports, gender-based discrimination is strictly prohibited. Women and men enjoy the same rights and duties. Positive discrimination is adopted whenever necessary to provide special protection for women</w:t>
      </w:r>
      <w:r w:rsidR="006266F0">
        <w:t>’</w:t>
      </w:r>
      <w:r w:rsidRPr="00B47380">
        <w:t>s legitimate rights and interests (Article 38 (2) of the BL).</w:t>
      </w:r>
    </w:p>
    <w:p w14:paraId="33A6100D" w14:textId="729F8C5D" w:rsidR="005D009F" w:rsidRPr="00B47380" w:rsidRDefault="005D009F" w:rsidP="00D53B5F">
      <w:pPr>
        <w:pStyle w:val="SingleTxtG"/>
      </w:pPr>
      <w:r w:rsidRPr="00B47380">
        <w:t>26.</w:t>
      </w:r>
      <w:r w:rsidRPr="00B47380">
        <w:tab/>
        <w:t>The key legislative developments attained to protect women and girls were the adoption of the laws to counter domestic violence, sexual harassment and other crimes against sexual freedom and sexual self-determination, together with effective measures to protect women and girl victims of violence or any form of abuse. These achievements comply with paragraphs 55 and 58 of the concluding observations and will be addressed in detail in Articles 6</w:t>
      </w:r>
      <w:r w:rsidR="00F17CEC">
        <w:t>–</w:t>
      </w:r>
      <w:r w:rsidRPr="00B47380">
        <w:t xml:space="preserve">7 and 10. </w:t>
      </w:r>
    </w:p>
    <w:p w14:paraId="04C29107" w14:textId="0755FF30" w:rsidR="005D009F" w:rsidRPr="00B47380" w:rsidRDefault="005D009F" w:rsidP="00D53B5F">
      <w:pPr>
        <w:pStyle w:val="SingleTxtG"/>
      </w:pPr>
      <w:r w:rsidRPr="00B47380">
        <w:t>27.</w:t>
      </w:r>
      <w:r w:rsidRPr="00B47380">
        <w:tab/>
        <w:t>The competences of the Consultative Commission for Women</w:t>
      </w:r>
      <w:r w:rsidR="006266F0">
        <w:t>’</w:t>
      </w:r>
      <w:r w:rsidRPr="00B47380">
        <w:t>s Affairs were broadened to incorporate child affairs. The CWCA is an advisory body aimed at defending women</w:t>
      </w:r>
      <w:r w:rsidR="006266F0">
        <w:t>’</w:t>
      </w:r>
      <w:r w:rsidRPr="00B47380">
        <w:t>s and children</w:t>
      </w:r>
      <w:r w:rsidR="006266F0">
        <w:t>’</w:t>
      </w:r>
      <w:r w:rsidRPr="00B47380">
        <w:t xml:space="preserve">s rights and interests, as well as at supporting relevant policy-decision making in different areas of governance (Administrative Regulation (AR) 27/2016). </w:t>
      </w:r>
    </w:p>
    <w:p w14:paraId="374265E7" w14:textId="77777777" w:rsidR="005D009F" w:rsidRPr="00B47380" w:rsidRDefault="005D009F" w:rsidP="00D53B5F">
      <w:pPr>
        <w:pStyle w:val="SingleTxtG"/>
      </w:pPr>
      <w:r w:rsidRPr="00B47380">
        <w:t>28.</w:t>
      </w:r>
      <w:r w:rsidRPr="00B47380">
        <w:tab/>
        <w:t xml:space="preserve">It is headed by the Secretary for Social Affairs and Culture (SSAC) and the Director of the Social Welfare Bureau (SWB) and comprises representatives in areas of social affairs, justice, labour, public security, health, culture and education, as well as 15 NGO representatives and 5 persons with recognised social merits (Article 4 of AR 27/2016). NGO participation enhances the policy process on the promotion and protection of gender equality and ensures transparency on the allocation of resources and quality of services. </w:t>
      </w:r>
    </w:p>
    <w:p w14:paraId="094C16C7" w14:textId="1AFE589F" w:rsidR="005D009F" w:rsidRPr="00B47380" w:rsidRDefault="005D009F" w:rsidP="00D53B5F">
      <w:pPr>
        <w:pStyle w:val="SingleTxtG"/>
      </w:pPr>
      <w:r w:rsidRPr="00B47380">
        <w:t>29.</w:t>
      </w:r>
      <w:r w:rsidRPr="00B47380">
        <w:tab/>
        <w:t xml:space="preserve">The CWCA established 2 working groups, the </w:t>
      </w:r>
      <w:r w:rsidR="006266F0">
        <w:t>“</w:t>
      </w:r>
      <w:r w:rsidRPr="00B47380">
        <w:t>Follow-Up of Macao Women</w:t>
      </w:r>
      <w:r w:rsidR="006266F0">
        <w:t>’</w:t>
      </w:r>
      <w:r w:rsidRPr="00B47380">
        <w:t>s Developmental Objectives</w:t>
      </w:r>
      <w:r w:rsidR="006266F0">
        <w:t>”</w:t>
      </w:r>
      <w:r w:rsidRPr="00B47380">
        <w:t xml:space="preserve"> and </w:t>
      </w:r>
      <w:r w:rsidR="006266F0">
        <w:t>“</w:t>
      </w:r>
      <w:r w:rsidRPr="00B47380">
        <w:t>Monitoring of Children</w:t>
      </w:r>
      <w:r w:rsidR="006266F0">
        <w:t>’</w:t>
      </w:r>
      <w:r w:rsidRPr="00B47380">
        <w:t>s Rights and Interests</w:t>
      </w:r>
      <w:r w:rsidR="006266F0">
        <w:t>”</w:t>
      </w:r>
      <w:r w:rsidRPr="00B47380">
        <w:t>, tackling different aspects of women</w:t>
      </w:r>
      <w:r w:rsidR="006266F0">
        <w:t>’</w:t>
      </w:r>
      <w:r w:rsidRPr="00B47380">
        <w:t>s and children</w:t>
      </w:r>
      <w:r w:rsidR="006266F0">
        <w:t>’</w:t>
      </w:r>
      <w:r w:rsidRPr="00B47380">
        <w:t xml:space="preserve">s rights. It promotes awareness campaigns and </w:t>
      </w:r>
      <w:r w:rsidRPr="00B47380">
        <w:lastRenderedPageBreak/>
        <w:t xml:space="preserve">community-based activities, conducts surveys and publishes the </w:t>
      </w:r>
      <w:r w:rsidR="006266F0">
        <w:t>“</w:t>
      </w:r>
      <w:r w:rsidRPr="00B47380">
        <w:t>Status of Women in Macao</w:t>
      </w:r>
      <w:r w:rsidR="006266F0">
        <w:t>”</w:t>
      </w:r>
      <w:r w:rsidRPr="00B47380">
        <w:t xml:space="preserve"> and launched, in 2015, the </w:t>
      </w:r>
      <w:r w:rsidR="006266F0">
        <w:t>“</w:t>
      </w:r>
      <w:r w:rsidRPr="00B47380">
        <w:t>Macao Women Database</w:t>
      </w:r>
      <w:r w:rsidR="006266F0">
        <w:t>”</w:t>
      </w:r>
      <w:r w:rsidRPr="00B47380">
        <w:t xml:space="preserve">. </w:t>
      </w:r>
    </w:p>
    <w:p w14:paraId="47128B30" w14:textId="31B4939F" w:rsidR="005D009F" w:rsidRPr="00B47380" w:rsidRDefault="005D009F" w:rsidP="00D53B5F">
      <w:pPr>
        <w:pStyle w:val="SingleTxtG"/>
      </w:pPr>
      <w:r w:rsidRPr="00B47380">
        <w:t>30.</w:t>
      </w:r>
      <w:r w:rsidRPr="00B47380">
        <w:tab/>
        <w:t xml:space="preserve">In September 2018, the MSAR had an estimated resident population of 663,400 (53.1% female and 46.9% male). Women represented 51.26% of the total employed population (43.61% of the Public Administration and 56.39% of the student population in tertiary education </w:t>
      </w:r>
      <w:r w:rsidR="00F17CEC">
        <w:t>–</w:t>
      </w:r>
      <w:r w:rsidRPr="00B47380">
        <w:t xml:space="preserve"> academic year 2017/2018). The Secretary for Administration and Justice </w:t>
      </w:r>
      <w:r w:rsidR="0068782C">
        <w:t>–</w:t>
      </w:r>
      <w:r w:rsidRPr="00B47380">
        <w:t xml:space="preserve"> the second most important member of the MSAR Government </w:t>
      </w:r>
      <w:r w:rsidR="0068782C">
        <w:t>–</w:t>
      </w:r>
      <w:r w:rsidRPr="00B47380">
        <w:t xml:space="preserve"> is a woman. Women accounted 42.45% of the leading positions in the Public Administration.</w:t>
      </w:r>
    </w:p>
    <w:p w14:paraId="2D728170" w14:textId="11D392FD" w:rsidR="005D009F" w:rsidRPr="00B47380" w:rsidRDefault="005D009F" w:rsidP="00D53B5F">
      <w:pPr>
        <w:pStyle w:val="SingleTxtG"/>
      </w:pPr>
      <w:r w:rsidRPr="00B47380">
        <w:t>31.</w:t>
      </w:r>
      <w:r w:rsidRPr="00B47380">
        <w:tab/>
        <w:t>The promotion of gender equality, particularly, in the workplace and in schools, is an ongoing task of the Government: valorisation of women</w:t>
      </w:r>
      <w:r w:rsidR="006266F0">
        <w:t>’</w:t>
      </w:r>
      <w:r w:rsidRPr="00B47380">
        <w:t>s role in society and women</w:t>
      </w:r>
      <w:r w:rsidR="006266F0">
        <w:t>’</w:t>
      </w:r>
      <w:r w:rsidRPr="00B47380">
        <w:t xml:space="preserve">s empowerment. </w:t>
      </w:r>
    </w:p>
    <w:p w14:paraId="1CDC66BA" w14:textId="1F66B621" w:rsidR="005D009F" w:rsidRPr="00B47380" w:rsidRDefault="005D009F" w:rsidP="00D53B5F">
      <w:pPr>
        <w:pStyle w:val="SingleTxtG"/>
      </w:pPr>
      <w:r w:rsidRPr="00B47380">
        <w:t>32.</w:t>
      </w:r>
      <w:r w:rsidRPr="00B47380">
        <w:tab/>
        <w:t>The Labour Affairs Bureau (LAB) undertakes numerous actions to prevent discriminatory situations at the workplace, particularly, by means of awareness campaigns and talks. Between 2014 and September 2018, the LAB, in cooperation with different government departments and NGOs, held 119 talks for employers and workers on women workers</w:t>
      </w:r>
      <w:r w:rsidR="006266F0">
        <w:t>’</w:t>
      </w:r>
      <w:r w:rsidRPr="00B47380">
        <w:t xml:space="preserve"> rights in different languages, with 7,772 participants.</w:t>
      </w:r>
    </w:p>
    <w:p w14:paraId="4E5DBA85" w14:textId="77777777" w:rsidR="005D009F" w:rsidRPr="00B47380" w:rsidRDefault="005D009F" w:rsidP="00D53B5F">
      <w:pPr>
        <w:pStyle w:val="SingleTxtG"/>
      </w:pPr>
      <w:r w:rsidRPr="00B47380">
        <w:t>33.</w:t>
      </w:r>
      <w:r w:rsidRPr="00B47380">
        <w:tab/>
        <w:t xml:space="preserve">Regarding paragraph 55 of the concluding observations, sexual harassment became an autonomous crime under Article 164-A of the Macao Criminal Code (MCC) with Law 8/2017. Without prejudice to a heavier penalty, imprisonment of up to 1 year or a fine of up to 120 days may be imposed. The offender may also be subject to disciplinary and civil actions. </w:t>
      </w:r>
    </w:p>
    <w:p w14:paraId="7CC96F0F" w14:textId="77777777" w:rsidR="005D009F" w:rsidRPr="00B47380" w:rsidRDefault="005D009F" w:rsidP="00D53B5F">
      <w:pPr>
        <w:pStyle w:val="SingleTxtG"/>
      </w:pPr>
      <w:r w:rsidRPr="00B47380">
        <w:t>34.</w:t>
      </w:r>
      <w:r w:rsidRPr="00B47380">
        <w:tab/>
        <w:t>Between 2014 and September 2018, the LAB received 1 complaint of sexual harassment in the workplace. The case was found unsubstantiated after investigation.</w:t>
      </w:r>
    </w:p>
    <w:p w14:paraId="56B67E1F" w14:textId="6A42CE58" w:rsidR="005D009F" w:rsidRPr="00B47380" w:rsidRDefault="005D009F" w:rsidP="00D53B5F">
      <w:pPr>
        <w:pStyle w:val="SingleTxtG"/>
      </w:pPr>
      <w:r w:rsidRPr="00B47380">
        <w:t>35.</w:t>
      </w:r>
      <w:r w:rsidRPr="00B47380">
        <w:tab/>
        <w:t xml:space="preserve">The Policy Framework of the Macao Tertiary Education Institutions for the Promotion of Gender Equality and the Prevention of Sexual Harassment (2015) and the Procedural Framework of the Macao Tertiary Education Institutions for the Handling of Sexual Harassment Incidents (2016) were designed. Workshops (e.g. in the University of Macau </w:t>
      </w:r>
      <w:r w:rsidR="00F17CEC">
        <w:t>–</w:t>
      </w:r>
      <w:r w:rsidRPr="00B47380">
        <w:t xml:space="preserve"> </w:t>
      </w:r>
      <w:r w:rsidR="006266F0">
        <w:t>“</w:t>
      </w:r>
      <w:r w:rsidRPr="00B47380">
        <w:t xml:space="preserve">Say </w:t>
      </w:r>
      <w:r w:rsidR="006266F0">
        <w:t>“</w:t>
      </w:r>
      <w:r w:rsidRPr="00B47380">
        <w:t>No</w:t>
      </w:r>
      <w:r w:rsidR="006266F0">
        <w:t>”</w:t>
      </w:r>
      <w:r w:rsidRPr="00B47380">
        <w:t xml:space="preserve"> to Sexual Harassment</w:t>
      </w:r>
      <w:r w:rsidR="006266F0">
        <w:t>”</w:t>
      </w:r>
      <w:r w:rsidRPr="00B47380">
        <w:t xml:space="preserve"> (2015) and </w:t>
      </w:r>
      <w:r w:rsidR="006266F0">
        <w:t>“</w:t>
      </w:r>
      <w:r w:rsidRPr="00B47380">
        <w:t>Feminism</w:t>
      </w:r>
      <w:r w:rsidR="006266F0">
        <w:t>”</w:t>
      </w:r>
      <w:r w:rsidRPr="00B47380">
        <w:t xml:space="preserve"> (2016)) were also organised. </w:t>
      </w:r>
    </w:p>
    <w:p w14:paraId="321145DA" w14:textId="5D13C36C" w:rsidR="005D009F" w:rsidRPr="00B47380" w:rsidRDefault="005D009F" w:rsidP="0068782C">
      <w:pPr>
        <w:pStyle w:val="H1G"/>
      </w:pPr>
      <w:r w:rsidRPr="00B47380">
        <w:tab/>
      </w:r>
      <w:r w:rsidRPr="00B47380">
        <w:tab/>
        <w:t>Articles 4 and 5</w:t>
      </w:r>
      <w:bookmarkStart w:id="18" w:name="_Toc194226854"/>
      <w:bookmarkStart w:id="19" w:name="_Toc194229792"/>
      <w:bookmarkStart w:id="20" w:name="_Toc286998586"/>
      <w:r w:rsidRPr="00B47380">
        <w:t xml:space="preserve"> </w:t>
      </w:r>
      <w:r w:rsidR="004D6325">
        <w:br/>
      </w:r>
      <w:r w:rsidRPr="00B47380">
        <w:t>Restrictions to the derogation of rights</w:t>
      </w:r>
      <w:bookmarkEnd w:id="18"/>
      <w:bookmarkEnd w:id="19"/>
      <w:r w:rsidRPr="00B47380">
        <w:t xml:space="preserve"> and prohibition of restrictive interpretation</w:t>
      </w:r>
      <w:bookmarkEnd w:id="20"/>
    </w:p>
    <w:p w14:paraId="5BB186D3" w14:textId="77777777" w:rsidR="005D009F" w:rsidRPr="00B47380" w:rsidRDefault="005D009F" w:rsidP="00D53B5F">
      <w:pPr>
        <w:pStyle w:val="SingleTxtG"/>
      </w:pPr>
      <w:r w:rsidRPr="00B47380">
        <w:t>36.</w:t>
      </w:r>
      <w:r w:rsidRPr="00B47380">
        <w:tab/>
        <w:t xml:space="preserve">As referred in the Core Document and in previous reports, the admissible restrictions to the derogation of rights provided for in the BL must be read </w:t>
      </w:r>
      <w:r w:rsidRPr="00C61F7E">
        <w:rPr>
          <w:i/>
          <w:iCs/>
        </w:rPr>
        <w:t>in tandem</w:t>
      </w:r>
      <w:r w:rsidRPr="00B47380">
        <w:t xml:space="preserve"> with its Article 40(2). Fundamental rights and freedoms may be restricted under certain specific circumstances and as provided by law, abiding the criteria of proportionality, necessity and suitability. </w:t>
      </w:r>
    </w:p>
    <w:p w14:paraId="448E2332" w14:textId="700D80CD" w:rsidR="005D009F" w:rsidRPr="00B47380" w:rsidRDefault="005D009F" w:rsidP="0068782C">
      <w:pPr>
        <w:pStyle w:val="H1G"/>
      </w:pPr>
      <w:bookmarkStart w:id="21" w:name="_Toc194226857"/>
      <w:bookmarkStart w:id="22" w:name="_Toc523225759"/>
      <w:bookmarkStart w:id="23" w:name="_Toc286998587"/>
      <w:r w:rsidRPr="00B47380">
        <w:tab/>
      </w:r>
      <w:r w:rsidRPr="00B47380">
        <w:tab/>
        <w:t>Articles 6</w:t>
      </w:r>
      <w:bookmarkEnd w:id="21"/>
      <w:r w:rsidRPr="00B47380">
        <w:t xml:space="preserve"> </w:t>
      </w:r>
      <w:bookmarkEnd w:id="22"/>
      <w:r w:rsidRPr="00B47380">
        <w:t>and 7</w:t>
      </w:r>
      <w:bookmarkStart w:id="24" w:name="_Toc194226858"/>
      <w:bookmarkStart w:id="25" w:name="_Toc194229796"/>
      <w:bookmarkStart w:id="26" w:name="_Toc286998588"/>
      <w:bookmarkEnd w:id="23"/>
      <w:r w:rsidR="004D6325">
        <w:br/>
      </w:r>
      <w:r w:rsidRPr="00B47380">
        <w:t>Right to work</w:t>
      </w:r>
      <w:bookmarkEnd w:id="24"/>
      <w:bookmarkEnd w:id="25"/>
      <w:r w:rsidRPr="00B47380">
        <w:t xml:space="preserve"> and the right to enjoy just and favourable working conditions</w:t>
      </w:r>
      <w:bookmarkEnd w:id="26"/>
    </w:p>
    <w:p w14:paraId="1BE90723" w14:textId="77777777" w:rsidR="005D009F" w:rsidRPr="00B47380" w:rsidRDefault="005D009F" w:rsidP="0068782C">
      <w:pPr>
        <w:pStyle w:val="H23G"/>
      </w:pPr>
      <w:bookmarkStart w:id="27" w:name="_Toc286998589"/>
      <w:bookmarkStart w:id="28" w:name="_Toc33444456"/>
      <w:bookmarkStart w:id="29" w:name="_Toc41219152"/>
      <w:r w:rsidRPr="00B47380">
        <w:tab/>
      </w:r>
      <w:r w:rsidRPr="00B47380">
        <w:tab/>
        <w:t>General description</w:t>
      </w:r>
      <w:bookmarkEnd w:id="27"/>
    </w:p>
    <w:bookmarkEnd w:id="28"/>
    <w:bookmarkEnd w:id="29"/>
    <w:p w14:paraId="55C3989D" w14:textId="77777777" w:rsidR="005D009F" w:rsidRPr="00B47380" w:rsidRDefault="005D009F" w:rsidP="00D53B5F">
      <w:pPr>
        <w:pStyle w:val="SingleTxtG"/>
      </w:pPr>
      <w:r w:rsidRPr="00B47380">
        <w:t>37.</w:t>
      </w:r>
      <w:r w:rsidRPr="00B47380">
        <w:tab/>
        <w:t>The legal framework for labour relations in the public and private sectors mentioned in previous reports remains basically unchanged with the introduction of specific improvements.</w:t>
      </w:r>
    </w:p>
    <w:p w14:paraId="4BC2A324" w14:textId="77777777" w:rsidR="005D009F" w:rsidRPr="00B47380" w:rsidRDefault="005D009F" w:rsidP="00D53B5F">
      <w:pPr>
        <w:pStyle w:val="SingleTxtG"/>
      </w:pPr>
      <w:r w:rsidRPr="00B47380">
        <w:t>38.</w:t>
      </w:r>
      <w:r w:rsidRPr="00B47380">
        <w:tab/>
        <w:t xml:space="preserve">The LAB, apart from being the main body responsible for the execution and monitoring of labour policies, </w:t>
      </w:r>
      <w:proofErr w:type="spellStart"/>
      <w:r w:rsidRPr="00B47380">
        <w:t>ensurance</w:t>
      </w:r>
      <w:proofErr w:type="spellEnd"/>
      <w:r w:rsidRPr="00B47380">
        <w:t xml:space="preserve"> of occupational health and safety and organisation of training courses, also assesses labour market needs and trends and analyses employment requests for hiring non-resident workers (AR 12/2016). </w:t>
      </w:r>
    </w:p>
    <w:p w14:paraId="04F96955" w14:textId="77777777" w:rsidR="005D009F" w:rsidRPr="00B47380" w:rsidRDefault="005D009F" w:rsidP="00D53B5F">
      <w:pPr>
        <w:pStyle w:val="SingleTxtG"/>
      </w:pPr>
      <w:r w:rsidRPr="00B47380">
        <w:lastRenderedPageBreak/>
        <w:t>39.</w:t>
      </w:r>
      <w:r w:rsidRPr="00B47380">
        <w:tab/>
        <w:t xml:space="preserve">Labour in the public sector continues to be governed by the Statute of the Public Administration Workers (SPAW), Decree-law 87/89/M (as amended by Laws 12/2015 and 18/2018), Law 8/2004 and AR 31/2004, on the Appraisal of Public Workers Performance, and AR 11/2007, on the setting of rewards and incentives for public workers. </w:t>
      </w:r>
    </w:p>
    <w:p w14:paraId="6F4A9FC4" w14:textId="77777777" w:rsidR="005D009F" w:rsidRPr="00B47380" w:rsidRDefault="005D009F" w:rsidP="00D53B5F">
      <w:pPr>
        <w:pStyle w:val="SingleTxtG"/>
      </w:pPr>
      <w:r w:rsidRPr="00B47380">
        <w:t>40.</w:t>
      </w:r>
      <w:r w:rsidRPr="00B47380">
        <w:tab/>
        <w:t>Despite the above, a few amendments were introduced by Law 12/2015 to the SPAW and to Law 14/2009 (the Career Regime), aiming at harmonising rights and duties of contracted personnel and at promoting flexibility in human resources management.</w:t>
      </w:r>
    </w:p>
    <w:p w14:paraId="1CE023C2" w14:textId="5A2742EE" w:rsidR="005D009F" w:rsidRPr="00B47380" w:rsidRDefault="005D009F" w:rsidP="00D53B5F">
      <w:pPr>
        <w:pStyle w:val="SingleTxtG"/>
      </w:pPr>
      <w:r w:rsidRPr="00B47380">
        <w:t>41.</w:t>
      </w:r>
      <w:r w:rsidRPr="00B47380">
        <w:tab/>
        <w:t>As regards the private sector, Law 4/98/M on the Framework Law on Employment Policy and Worker</w:t>
      </w:r>
      <w:r w:rsidR="006266F0">
        <w:t>’</w:t>
      </w:r>
      <w:r w:rsidRPr="00B47380">
        <w:t>s Rights, Law 7/2008 on Labour Relations, Decree-law 52/95/M on Equal Opportunities and Equal Treatment, AR 26/2008 on Labour Inspection Activities, AR 17/2004 on the Prohibition of Illegal Work and Law 9/2003 on the Legal Procedural Regime for Labour Conflicts remain in force.</w:t>
      </w:r>
    </w:p>
    <w:p w14:paraId="5DC87F33" w14:textId="31E2E163" w:rsidR="005D009F" w:rsidRPr="00B47380" w:rsidRDefault="005D009F" w:rsidP="00D53B5F">
      <w:pPr>
        <w:pStyle w:val="SingleTxtG"/>
      </w:pPr>
      <w:r w:rsidRPr="00B47380">
        <w:t>42.</w:t>
      </w:r>
      <w:r w:rsidRPr="00B47380">
        <w:tab/>
        <w:t>Nonetheless, some important and positive changes should be underpinned, such as the amendment to Law 7/2008, by Law 2/2015, and the adoption of Law 10/2015 on the Labour Creditor</w:t>
      </w:r>
      <w:r w:rsidR="006266F0">
        <w:t>’</w:t>
      </w:r>
      <w:r w:rsidRPr="00B47380">
        <w:t>s Rights Protection System. Article 70 of Law 7/2008, as amended, raises the amount to calculate compensation from MOP$14,000 to MOP$20,000 whenever there is an unfair resolution of labour contracts and establishes a 2-year period for review.</w:t>
      </w:r>
    </w:p>
    <w:p w14:paraId="6FC4AA6E" w14:textId="06E3513A" w:rsidR="005D009F" w:rsidRPr="00B47380" w:rsidRDefault="005D009F" w:rsidP="00D53B5F">
      <w:pPr>
        <w:pStyle w:val="SingleTxtG"/>
      </w:pPr>
      <w:r w:rsidRPr="00B47380">
        <w:t>43.</w:t>
      </w:r>
      <w:r w:rsidRPr="00B47380">
        <w:tab/>
        <w:t>Law 10/2015 established a protection system for all workers</w:t>
      </w:r>
      <w:r w:rsidR="006266F0">
        <w:t>’</w:t>
      </w:r>
      <w:r w:rsidRPr="00B47380">
        <w:t xml:space="preserve"> credit rights ensuring payments whenever their credit rights have not been satisfied, covering: (1) basic remuneration, compensation of 6 months prior to the termination of contracts; (2) compensation for work accidents or occupational diseases in the absence of labour insurance; (3) dismissal compensation for non-resident workers due to the revocation of their employers</w:t>
      </w:r>
      <w:r w:rsidR="006266F0">
        <w:t>’</w:t>
      </w:r>
      <w:r w:rsidRPr="00B47380">
        <w:t xml:space="preserve"> employment permit; (4) non-resident workers</w:t>
      </w:r>
      <w:r w:rsidR="006266F0">
        <w:t>’</w:t>
      </w:r>
      <w:r w:rsidRPr="00B47380">
        <w:t xml:space="preserve"> accommodation allowance of 6 months prior to the termination of contracts; and (5) non-resident workers</w:t>
      </w:r>
      <w:r w:rsidR="006266F0">
        <w:t>’</w:t>
      </w:r>
      <w:r w:rsidRPr="00B47380">
        <w:t xml:space="preserve"> transportation cost to their home country.</w:t>
      </w:r>
    </w:p>
    <w:p w14:paraId="66CB352B" w14:textId="4B681E1D" w:rsidR="005D009F" w:rsidRPr="00B47380" w:rsidRDefault="005D009F" w:rsidP="00D53B5F">
      <w:pPr>
        <w:pStyle w:val="SingleTxtG"/>
      </w:pPr>
      <w:r w:rsidRPr="00B47380">
        <w:t>44.</w:t>
      </w:r>
      <w:r w:rsidRPr="00B47380">
        <w:tab/>
        <w:t>The Labour Creditor</w:t>
      </w:r>
      <w:r w:rsidR="006266F0">
        <w:t>’</w:t>
      </w:r>
      <w:r w:rsidRPr="00B47380">
        <w:t>s Rights Protection Fund (AR 24/2015) was established with MOP$188,000,000, MOP$189,455,000 and MOP$205,044,000 respectively in 2016, 2017, and 2018 (January</w:t>
      </w:r>
      <w:r w:rsidR="0068782C">
        <w:t>–</w:t>
      </w:r>
      <w:r w:rsidRPr="00B47380">
        <w:t xml:space="preserve">September) and MOP$11,318,401, MOP$10,741,819 and MOP$7,183,975 were respectively spent for the payment/advance payment of labour claims. </w:t>
      </w:r>
    </w:p>
    <w:p w14:paraId="1CC3B287" w14:textId="77777777" w:rsidR="005D009F" w:rsidRPr="00B47380" w:rsidRDefault="005D009F" w:rsidP="00D53B5F">
      <w:pPr>
        <w:pStyle w:val="SingleTxtG"/>
      </w:pPr>
      <w:r w:rsidRPr="00B47380">
        <w:t>45.</w:t>
      </w:r>
      <w:r w:rsidRPr="00B47380">
        <w:tab/>
        <w:t xml:space="preserve">As stated in previous reports, although there is no statutory minimum wage scheme in the private sector, Article 57 of Law 7/2008 establishes the general principle of a fair wage, based on specific criteria and standards of good faith. A calculation mechanism is established in Article 59 </w:t>
      </w:r>
      <w:r w:rsidRPr="0068782C">
        <w:rPr>
          <w:i/>
          <w:iCs/>
        </w:rPr>
        <w:t>et seq.</w:t>
      </w:r>
      <w:r w:rsidRPr="00B47380">
        <w:t xml:space="preserve"> of Law 7/2008 for basic remuneration (</w:t>
      </w:r>
      <w:r w:rsidRPr="0068782C">
        <w:rPr>
          <w:i/>
          <w:iCs/>
        </w:rPr>
        <w:t>inter alia</w:t>
      </w:r>
      <w:r w:rsidRPr="00B47380">
        <w:t xml:space="preserve"> salary, overtime, shifts or night shifts, and food, family and other allowances).</w:t>
      </w:r>
    </w:p>
    <w:p w14:paraId="1AA49AD8" w14:textId="77777777" w:rsidR="005D009F" w:rsidRPr="00B47380" w:rsidRDefault="005D009F" w:rsidP="00D53B5F">
      <w:pPr>
        <w:pStyle w:val="SingleTxtG"/>
      </w:pPr>
      <w:r w:rsidRPr="00B47380">
        <w:t>46.</w:t>
      </w:r>
      <w:r w:rsidRPr="00B47380">
        <w:tab/>
        <w:t xml:space="preserve">Nonetheless, it should be highlighted that a minimum wage system was set for cleaning and security workers in the property management services – a monthly income of MOP$6,240 (Article 3 of Law 7/2015). A law related to minimum wage is being drafted. </w:t>
      </w:r>
    </w:p>
    <w:p w14:paraId="37D513FB" w14:textId="77777777" w:rsidR="005D009F" w:rsidRPr="00B47380" w:rsidRDefault="005D009F" w:rsidP="00D53B5F">
      <w:pPr>
        <w:pStyle w:val="SingleTxtG"/>
      </w:pPr>
      <w:r w:rsidRPr="00B47380">
        <w:t>47.</w:t>
      </w:r>
      <w:r w:rsidRPr="00B47380">
        <w:tab/>
        <w:t xml:space="preserve">According to the Statistics and Census Bureau (SCB), the median monthly employment earnings </w:t>
      </w:r>
      <w:proofErr w:type="gramStart"/>
      <w:r w:rsidRPr="00B47380">
        <w:t>was</w:t>
      </w:r>
      <w:proofErr w:type="gramEnd"/>
      <w:r w:rsidRPr="00B47380">
        <w:t xml:space="preserve"> MOP$13,300, MOP$15,000, MOP$15,000, MOP$15,000 and MOP$16,000 in 2014, 2015, 2016, 2017 and in the 3rd quarter of 2018, respectively.</w:t>
      </w:r>
    </w:p>
    <w:p w14:paraId="046C50EA" w14:textId="77777777" w:rsidR="005D009F" w:rsidRPr="00B47380" w:rsidRDefault="005D009F" w:rsidP="00D53B5F">
      <w:pPr>
        <w:pStyle w:val="SingleTxtG"/>
      </w:pPr>
      <w:r w:rsidRPr="00B47380">
        <w:t>48.</w:t>
      </w:r>
      <w:r w:rsidRPr="00B47380">
        <w:tab/>
        <w:t>Information provided in previous reports regarding working period, weekly rest, holidays, absences and leaves in the public and private sectors remains valid, with the improvements made by Law 18/2018 to the SPAW introducing new modalities and extending the leave after a stillbirth to 90 days.</w:t>
      </w:r>
    </w:p>
    <w:p w14:paraId="4A68D47C" w14:textId="4899C5F9" w:rsidR="005D009F" w:rsidRPr="00B47380" w:rsidRDefault="005D009F" w:rsidP="00D53B5F">
      <w:pPr>
        <w:pStyle w:val="SingleTxtG"/>
      </w:pPr>
      <w:r w:rsidRPr="00B47380">
        <w:t>49.</w:t>
      </w:r>
      <w:r w:rsidRPr="00B47380">
        <w:tab/>
        <w:t>The LAB uses multiple strategies to enhance employers</w:t>
      </w:r>
      <w:r w:rsidR="006266F0">
        <w:t>’</w:t>
      </w:r>
      <w:r w:rsidRPr="00B47380">
        <w:t xml:space="preserve"> and employees</w:t>
      </w:r>
      <w:r w:rsidR="006266F0">
        <w:t>’</w:t>
      </w:r>
      <w:r w:rsidRPr="00B47380">
        <w:t xml:space="preserve"> legal knowledge and to develop harmonious labour relations like promoting workers</w:t>
      </w:r>
      <w:r w:rsidR="006266F0">
        <w:t>’</w:t>
      </w:r>
      <w:r w:rsidRPr="00B47380">
        <w:t xml:space="preserve"> rights and interests through talks (e.g. maternity and marriage leave, pregnant women</w:t>
      </w:r>
      <w:r w:rsidR="006266F0">
        <w:t>’</w:t>
      </w:r>
      <w:r w:rsidRPr="00B47380">
        <w:t>s rights, occupational safety), mobile apps, WeChat, YouTube, TV, radio and videos, infographics and leaflets in various languages (Traditional Chinese, Simplified Chinese, Portuguese, English, Indonesian and Vietnamese). Counselling on labour legislation, a 24-hour hotline (Mandarin, Cantonese, Portuguese and English) and an email enquiry system are also available.</w:t>
      </w:r>
    </w:p>
    <w:p w14:paraId="32AC6AB8" w14:textId="03B7CE3A" w:rsidR="005D009F" w:rsidRPr="00B47380" w:rsidRDefault="0068782C" w:rsidP="0068782C">
      <w:pPr>
        <w:pStyle w:val="H23G"/>
      </w:pPr>
      <w:r>
        <w:lastRenderedPageBreak/>
        <w:tab/>
      </w:r>
      <w:r>
        <w:tab/>
      </w:r>
      <w:r w:rsidR="005D009F" w:rsidRPr="00B47380">
        <w:t>Employment, unemployment and underemployment</w:t>
      </w:r>
    </w:p>
    <w:p w14:paraId="1B86EE3C" w14:textId="77777777" w:rsidR="005D009F" w:rsidRPr="00B47380" w:rsidRDefault="005D009F" w:rsidP="00D53B5F">
      <w:pPr>
        <w:pStyle w:val="SingleTxtG"/>
      </w:pPr>
      <w:r w:rsidRPr="00B47380">
        <w:t>50.</w:t>
      </w:r>
      <w:r w:rsidRPr="00B47380">
        <w:tab/>
        <w:t>Labour force participation, unemployment and underemployment rates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50"/>
        <w:gridCol w:w="834"/>
        <w:gridCol w:w="834"/>
        <w:gridCol w:w="726"/>
        <w:gridCol w:w="717"/>
        <w:gridCol w:w="696"/>
        <w:gridCol w:w="704"/>
        <w:gridCol w:w="717"/>
        <w:gridCol w:w="696"/>
        <w:gridCol w:w="696"/>
      </w:tblGrid>
      <w:tr w:rsidR="005D009F" w:rsidRPr="0036252D" w14:paraId="68219F51" w14:textId="77777777" w:rsidTr="00E45843">
        <w:trPr>
          <w:cantSplit/>
          <w:tblHeader/>
        </w:trPr>
        <w:tc>
          <w:tcPr>
            <w:tcW w:w="996" w:type="dxa"/>
            <w:vMerge w:val="restart"/>
            <w:tcBorders>
              <w:top w:val="single" w:sz="4" w:space="0" w:color="auto"/>
              <w:bottom w:val="single" w:sz="12" w:space="0" w:color="auto"/>
            </w:tcBorders>
            <w:shd w:val="clear" w:color="auto" w:fill="auto"/>
            <w:vAlign w:val="bottom"/>
          </w:tcPr>
          <w:p w14:paraId="226E4206" w14:textId="77777777" w:rsidR="005D009F" w:rsidRPr="0036252D" w:rsidRDefault="005D009F" w:rsidP="0036252D">
            <w:pPr>
              <w:pStyle w:val="SingleTxtG"/>
              <w:suppressAutoHyphens w:val="0"/>
              <w:spacing w:before="80" w:after="80" w:line="200" w:lineRule="exact"/>
              <w:ind w:left="0" w:right="113"/>
              <w:jc w:val="left"/>
              <w:rPr>
                <w:i/>
                <w:sz w:val="16"/>
              </w:rPr>
            </w:pPr>
            <w:r w:rsidRPr="0036252D">
              <w:rPr>
                <w:i/>
                <w:sz w:val="16"/>
              </w:rPr>
              <w:t>Years</w:t>
            </w:r>
          </w:p>
        </w:tc>
        <w:tc>
          <w:tcPr>
            <w:tcW w:w="3021" w:type="dxa"/>
            <w:gridSpan w:val="3"/>
            <w:tcBorders>
              <w:top w:val="single" w:sz="4" w:space="0" w:color="auto"/>
              <w:bottom w:val="single" w:sz="4" w:space="0" w:color="auto"/>
              <w:right w:val="single" w:sz="24" w:space="0" w:color="FFFFFF" w:themeColor="background1"/>
            </w:tcBorders>
            <w:shd w:val="clear" w:color="auto" w:fill="auto"/>
            <w:vAlign w:val="bottom"/>
          </w:tcPr>
          <w:p w14:paraId="7AE7ABEE" w14:textId="77777777" w:rsidR="005D009F" w:rsidRPr="0036252D" w:rsidRDefault="005D009F" w:rsidP="0068782C">
            <w:pPr>
              <w:pStyle w:val="SingleTxtG"/>
              <w:suppressAutoHyphens w:val="0"/>
              <w:spacing w:before="80" w:after="80" w:line="200" w:lineRule="exact"/>
              <w:ind w:left="0" w:right="113"/>
              <w:jc w:val="center"/>
              <w:rPr>
                <w:i/>
                <w:sz w:val="16"/>
              </w:rPr>
            </w:pPr>
            <w:r w:rsidRPr="0036252D">
              <w:rPr>
                <w:i/>
                <w:sz w:val="16"/>
              </w:rPr>
              <w:t>Labour force participation (%)</w:t>
            </w:r>
          </w:p>
        </w:tc>
        <w:tc>
          <w:tcPr>
            <w:tcW w:w="279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4BBBBCE" w14:textId="77777777" w:rsidR="005D009F" w:rsidRPr="0036252D" w:rsidRDefault="005D009F" w:rsidP="0068782C">
            <w:pPr>
              <w:pStyle w:val="SingleTxtG"/>
              <w:suppressAutoHyphens w:val="0"/>
              <w:spacing w:before="80" w:after="80" w:line="200" w:lineRule="exact"/>
              <w:ind w:left="0" w:right="113"/>
              <w:jc w:val="center"/>
              <w:rPr>
                <w:i/>
                <w:sz w:val="16"/>
              </w:rPr>
            </w:pPr>
            <w:r w:rsidRPr="0036252D">
              <w:rPr>
                <w:i/>
                <w:sz w:val="16"/>
              </w:rPr>
              <w:t>Unemployment (%)</w:t>
            </w:r>
          </w:p>
        </w:tc>
        <w:tc>
          <w:tcPr>
            <w:tcW w:w="2796" w:type="dxa"/>
            <w:gridSpan w:val="3"/>
            <w:tcBorders>
              <w:top w:val="single" w:sz="4" w:space="0" w:color="auto"/>
              <w:left w:val="single" w:sz="24" w:space="0" w:color="FFFFFF" w:themeColor="background1"/>
              <w:bottom w:val="single" w:sz="4" w:space="0" w:color="auto"/>
            </w:tcBorders>
            <w:shd w:val="clear" w:color="auto" w:fill="auto"/>
            <w:vAlign w:val="bottom"/>
          </w:tcPr>
          <w:p w14:paraId="51208881" w14:textId="77777777" w:rsidR="005D009F" w:rsidRPr="0036252D" w:rsidRDefault="005D009F" w:rsidP="0068782C">
            <w:pPr>
              <w:pStyle w:val="SingleTxtG"/>
              <w:suppressAutoHyphens w:val="0"/>
              <w:spacing w:before="80" w:after="80" w:line="200" w:lineRule="exact"/>
              <w:ind w:left="0" w:right="113"/>
              <w:jc w:val="center"/>
              <w:rPr>
                <w:i/>
                <w:sz w:val="16"/>
              </w:rPr>
            </w:pPr>
            <w:r w:rsidRPr="0036252D">
              <w:rPr>
                <w:i/>
                <w:sz w:val="16"/>
              </w:rPr>
              <w:t>Underemployment (%)</w:t>
            </w:r>
          </w:p>
        </w:tc>
      </w:tr>
      <w:tr w:rsidR="0068782C" w:rsidRPr="0036252D" w14:paraId="29C9FEDB" w14:textId="77777777" w:rsidTr="00E45843">
        <w:trPr>
          <w:cantSplit/>
          <w:tblHeader/>
        </w:trPr>
        <w:tc>
          <w:tcPr>
            <w:tcW w:w="996" w:type="dxa"/>
            <w:vMerge/>
            <w:tcBorders>
              <w:top w:val="single" w:sz="12" w:space="0" w:color="auto"/>
              <w:bottom w:val="single" w:sz="12" w:space="0" w:color="auto"/>
            </w:tcBorders>
            <w:shd w:val="clear" w:color="auto" w:fill="auto"/>
            <w:vAlign w:val="bottom"/>
          </w:tcPr>
          <w:p w14:paraId="6CE9DA30" w14:textId="77777777" w:rsidR="005D009F" w:rsidRPr="0036252D" w:rsidRDefault="005D009F" w:rsidP="0036252D">
            <w:pPr>
              <w:pStyle w:val="SingleTxtG"/>
              <w:suppressAutoHyphens w:val="0"/>
              <w:spacing w:before="40" w:after="40" w:line="220" w:lineRule="exact"/>
              <w:ind w:left="0" w:right="113"/>
              <w:jc w:val="left"/>
              <w:rPr>
                <w:sz w:val="18"/>
              </w:rPr>
            </w:pPr>
          </w:p>
        </w:tc>
        <w:tc>
          <w:tcPr>
            <w:tcW w:w="955" w:type="dxa"/>
            <w:tcBorders>
              <w:top w:val="single" w:sz="4" w:space="0" w:color="auto"/>
              <w:bottom w:val="single" w:sz="12" w:space="0" w:color="auto"/>
            </w:tcBorders>
            <w:shd w:val="clear" w:color="auto" w:fill="auto"/>
            <w:vAlign w:val="bottom"/>
          </w:tcPr>
          <w:p w14:paraId="626455A0" w14:textId="77777777" w:rsidR="005D009F" w:rsidRPr="0068782C" w:rsidRDefault="005D009F" w:rsidP="0036252D">
            <w:pPr>
              <w:pStyle w:val="SingleTxtG"/>
              <w:suppressAutoHyphens w:val="0"/>
              <w:spacing w:before="40" w:after="40" w:line="220" w:lineRule="exact"/>
              <w:ind w:left="0" w:right="113"/>
              <w:jc w:val="right"/>
              <w:rPr>
                <w:i/>
                <w:sz w:val="16"/>
              </w:rPr>
            </w:pPr>
            <w:r w:rsidRPr="0068782C">
              <w:rPr>
                <w:i/>
                <w:sz w:val="16"/>
              </w:rPr>
              <w:t>MF</w:t>
            </w:r>
          </w:p>
        </w:tc>
        <w:tc>
          <w:tcPr>
            <w:tcW w:w="1111" w:type="dxa"/>
            <w:tcBorders>
              <w:top w:val="single" w:sz="4" w:space="0" w:color="auto"/>
              <w:bottom w:val="single" w:sz="12" w:space="0" w:color="auto"/>
            </w:tcBorders>
            <w:shd w:val="clear" w:color="auto" w:fill="auto"/>
            <w:vAlign w:val="bottom"/>
          </w:tcPr>
          <w:p w14:paraId="3E35D46F" w14:textId="77777777" w:rsidR="005D009F" w:rsidRPr="0068782C" w:rsidRDefault="005D009F" w:rsidP="0036252D">
            <w:pPr>
              <w:pStyle w:val="SingleTxtG"/>
              <w:suppressAutoHyphens w:val="0"/>
              <w:spacing w:before="40" w:after="40" w:line="220" w:lineRule="exact"/>
              <w:ind w:left="0" w:right="113"/>
              <w:jc w:val="right"/>
              <w:rPr>
                <w:i/>
                <w:sz w:val="16"/>
              </w:rPr>
            </w:pPr>
            <w:r w:rsidRPr="0068782C">
              <w:rPr>
                <w:i/>
                <w:sz w:val="16"/>
              </w:rPr>
              <w:t>M</w:t>
            </w:r>
          </w:p>
        </w:tc>
        <w:tc>
          <w:tcPr>
            <w:tcW w:w="955" w:type="dxa"/>
            <w:tcBorders>
              <w:top w:val="single" w:sz="4" w:space="0" w:color="auto"/>
              <w:bottom w:val="single" w:sz="12" w:space="0" w:color="auto"/>
              <w:right w:val="single" w:sz="24" w:space="0" w:color="FFFFFF" w:themeColor="background1"/>
            </w:tcBorders>
            <w:shd w:val="clear" w:color="auto" w:fill="auto"/>
            <w:vAlign w:val="bottom"/>
          </w:tcPr>
          <w:p w14:paraId="32238316" w14:textId="77777777" w:rsidR="005D009F" w:rsidRPr="0068782C" w:rsidRDefault="005D009F" w:rsidP="0036252D">
            <w:pPr>
              <w:pStyle w:val="SingleTxtG"/>
              <w:suppressAutoHyphens w:val="0"/>
              <w:spacing w:before="40" w:after="40" w:line="220" w:lineRule="exact"/>
              <w:ind w:left="0" w:right="113"/>
              <w:jc w:val="right"/>
              <w:rPr>
                <w:i/>
                <w:sz w:val="16"/>
              </w:rPr>
            </w:pPr>
            <w:r w:rsidRPr="0068782C">
              <w:rPr>
                <w:i/>
                <w:sz w:val="16"/>
              </w:rPr>
              <w:t>F</w:t>
            </w:r>
          </w:p>
        </w:tc>
        <w:tc>
          <w:tcPr>
            <w:tcW w:w="944" w:type="dxa"/>
            <w:tcBorders>
              <w:top w:val="single" w:sz="4" w:space="0" w:color="auto"/>
              <w:left w:val="single" w:sz="24" w:space="0" w:color="FFFFFF" w:themeColor="background1"/>
              <w:bottom w:val="single" w:sz="12" w:space="0" w:color="auto"/>
            </w:tcBorders>
            <w:shd w:val="clear" w:color="auto" w:fill="auto"/>
            <w:vAlign w:val="bottom"/>
          </w:tcPr>
          <w:p w14:paraId="1768B7E4" w14:textId="77777777" w:rsidR="005D009F" w:rsidRPr="0068782C" w:rsidRDefault="005D009F" w:rsidP="0036252D">
            <w:pPr>
              <w:pStyle w:val="SingleTxtG"/>
              <w:suppressAutoHyphens w:val="0"/>
              <w:spacing w:before="40" w:after="40" w:line="220" w:lineRule="exact"/>
              <w:ind w:left="0" w:right="113"/>
              <w:jc w:val="right"/>
              <w:rPr>
                <w:i/>
                <w:sz w:val="16"/>
              </w:rPr>
            </w:pPr>
            <w:r w:rsidRPr="0068782C">
              <w:rPr>
                <w:i/>
                <w:sz w:val="16"/>
              </w:rPr>
              <w:t>MF</w:t>
            </w:r>
          </w:p>
        </w:tc>
        <w:tc>
          <w:tcPr>
            <w:tcW w:w="926" w:type="dxa"/>
            <w:tcBorders>
              <w:top w:val="single" w:sz="4" w:space="0" w:color="auto"/>
              <w:bottom w:val="single" w:sz="12" w:space="0" w:color="auto"/>
            </w:tcBorders>
            <w:shd w:val="clear" w:color="auto" w:fill="auto"/>
            <w:vAlign w:val="bottom"/>
          </w:tcPr>
          <w:p w14:paraId="27635197" w14:textId="77777777" w:rsidR="005D009F" w:rsidRPr="0068782C" w:rsidRDefault="005D009F" w:rsidP="0036252D">
            <w:pPr>
              <w:pStyle w:val="SingleTxtG"/>
              <w:suppressAutoHyphens w:val="0"/>
              <w:spacing w:before="40" w:after="40" w:line="220" w:lineRule="exact"/>
              <w:ind w:left="0" w:right="113"/>
              <w:jc w:val="right"/>
              <w:rPr>
                <w:i/>
                <w:sz w:val="16"/>
              </w:rPr>
            </w:pPr>
            <w:r w:rsidRPr="0068782C">
              <w:rPr>
                <w:i/>
                <w:sz w:val="16"/>
              </w:rPr>
              <w:t>M</w:t>
            </w:r>
          </w:p>
        </w:tc>
        <w:tc>
          <w:tcPr>
            <w:tcW w:w="926" w:type="dxa"/>
            <w:tcBorders>
              <w:top w:val="single" w:sz="4" w:space="0" w:color="auto"/>
              <w:bottom w:val="single" w:sz="12" w:space="0" w:color="auto"/>
              <w:right w:val="single" w:sz="24" w:space="0" w:color="FFFFFF" w:themeColor="background1"/>
            </w:tcBorders>
            <w:shd w:val="clear" w:color="auto" w:fill="auto"/>
            <w:vAlign w:val="bottom"/>
          </w:tcPr>
          <w:p w14:paraId="283DC455" w14:textId="77777777" w:rsidR="005D009F" w:rsidRPr="0068782C" w:rsidRDefault="005D009F" w:rsidP="0036252D">
            <w:pPr>
              <w:pStyle w:val="SingleTxtG"/>
              <w:suppressAutoHyphens w:val="0"/>
              <w:spacing w:before="40" w:after="40" w:line="220" w:lineRule="exact"/>
              <w:ind w:left="0" w:right="113"/>
              <w:jc w:val="right"/>
              <w:rPr>
                <w:i/>
                <w:sz w:val="16"/>
              </w:rPr>
            </w:pPr>
            <w:r w:rsidRPr="0068782C">
              <w:rPr>
                <w:i/>
                <w:sz w:val="16"/>
              </w:rPr>
              <w:t>F</w:t>
            </w:r>
          </w:p>
        </w:tc>
        <w:tc>
          <w:tcPr>
            <w:tcW w:w="944" w:type="dxa"/>
            <w:tcBorders>
              <w:top w:val="single" w:sz="4" w:space="0" w:color="auto"/>
              <w:left w:val="single" w:sz="24" w:space="0" w:color="FFFFFF" w:themeColor="background1"/>
              <w:bottom w:val="single" w:sz="12" w:space="0" w:color="auto"/>
            </w:tcBorders>
            <w:shd w:val="clear" w:color="auto" w:fill="auto"/>
            <w:vAlign w:val="bottom"/>
          </w:tcPr>
          <w:p w14:paraId="64A1A660" w14:textId="77777777" w:rsidR="005D009F" w:rsidRPr="0068782C" w:rsidRDefault="005D009F" w:rsidP="0036252D">
            <w:pPr>
              <w:pStyle w:val="SingleTxtG"/>
              <w:suppressAutoHyphens w:val="0"/>
              <w:spacing w:before="40" w:after="40" w:line="220" w:lineRule="exact"/>
              <w:ind w:left="0" w:right="113"/>
              <w:jc w:val="right"/>
              <w:rPr>
                <w:i/>
                <w:sz w:val="16"/>
              </w:rPr>
            </w:pPr>
            <w:r w:rsidRPr="0068782C">
              <w:rPr>
                <w:i/>
                <w:sz w:val="16"/>
              </w:rPr>
              <w:t>MF</w:t>
            </w:r>
          </w:p>
        </w:tc>
        <w:tc>
          <w:tcPr>
            <w:tcW w:w="926" w:type="dxa"/>
            <w:tcBorders>
              <w:top w:val="single" w:sz="4" w:space="0" w:color="auto"/>
              <w:bottom w:val="single" w:sz="12" w:space="0" w:color="auto"/>
            </w:tcBorders>
            <w:shd w:val="clear" w:color="auto" w:fill="auto"/>
            <w:vAlign w:val="bottom"/>
          </w:tcPr>
          <w:p w14:paraId="2878A53E" w14:textId="77777777" w:rsidR="005D009F" w:rsidRPr="0068782C" w:rsidRDefault="005D009F" w:rsidP="0036252D">
            <w:pPr>
              <w:pStyle w:val="SingleTxtG"/>
              <w:suppressAutoHyphens w:val="0"/>
              <w:spacing w:before="40" w:after="40" w:line="220" w:lineRule="exact"/>
              <w:ind w:left="0" w:right="113"/>
              <w:jc w:val="right"/>
              <w:rPr>
                <w:i/>
                <w:sz w:val="16"/>
              </w:rPr>
            </w:pPr>
            <w:r w:rsidRPr="0068782C">
              <w:rPr>
                <w:i/>
                <w:sz w:val="16"/>
              </w:rPr>
              <w:t>M</w:t>
            </w:r>
          </w:p>
        </w:tc>
        <w:tc>
          <w:tcPr>
            <w:tcW w:w="926" w:type="dxa"/>
            <w:tcBorders>
              <w:top w:val="single" w:sz="4" w:space="0" w:color="auto"/>
              <w:bottom w:val="single" w:sz="12" w:space="0" w:color="auto"/>
            </w:tcBorders>
            <w:shd w:val="clear" w:color="auto" w:fill="auto"/>
            <w:vAlign w:val="bottom"/>
          </w:tcPr>
          <w:p w14:paraId="3767F25F" w14:textId="77777777" w:rsidR="005D009F" w:rsidRPr="0068782C" w:rsidRDefault="005D009F" w:rsidP="0036252D">
            <w:pPr>
              <w:pStyle w:val="SingleTxtG"/>
              <w:suppressAutoHyphens w:val="0"/>
              <w:spacing w:before="40" w:after="40" w:line="220" w:lineRule="exact"/>
              <w:ind w:left="0" w:right="113"/>
              <w:jc w:val="right"/>
              <w:rPr>
                <w:i/>
                <w:sz w:val="16"/>
              </w:rPr>
            </w:pPr>
            <w:r w:rsidRPr="0068782C">
              <w:rPr>
                <w:i/>
                <w:sz w:val="16"/>
              </w:rPr>
              <w:t>F</w:t>
            </w:r>
          </w:p>
        </w:tc>
      </w:tr>
      <w:tr w:rsidR="005D009F" w:rsidRPr="0036252D" w14:paraId="40F29403" w14:textId="77777777" w:rsidTr="00E45843">
        <w:trPr>
          <w:cantSplit/>
        </w:trPr>
        <w:tc>
          <w:tcPr>
            <w:tcW w:w="996" w:type="dxa"/>
            <w:tcBorders>
              <w:top w:val="single" w:sz="12" w:space="0" w:color="auto"/>
            </w:tcBorders>
            <w:shd w:val="clear" w:color="auto" w:fill="auto"/>
          </w:tcPr>
          <w:p w14:paraId="4542D0F4" w14:textId="77777777" w:rsidR="005D009F" w:rsidRPr="0036252D" w:rsidRDefault="005D009F" w:rsidP="0036252D">
            <w:pPr>
              <w:pStyle w:val="SingleTxtG"/>
              <w:suppressAutoHyphens w:val="0"/>
              <w:spacing w:before="40" w:after="40" w:line="220" w:lineRule="exact"/>
              <w:ind w:left="0" w:right="113"/>
              <w:jc w:val="left"/>
              <w:rPr>
                <w:sz w:val="18"/>
              </w:rPr>
            </w:pPr>
            <w:r w:rsidRPr="0036252D">
              <w:rPr>
                <w:sz w:val="18"/>
              </w:rPr>
              <w:t>2014</w:t>
            </w:r>
          </w:p>
        </w:tc>
        <w:tc>
          <w:tcPr>
            <w:tcW w:w="1111" w:type="dxa"/>
            <w:tcBorders>
              <w:top w:val="single" w:sz="12" w:space="0" w:color="auto"/>
            </w:tcBorders>
            <w:shd w:val="clear" w:color="auto" w:fill="auto"/>
            <w:vAlign w:val="bottom"/>
          </w:tcPr>
          <w:p w14:paraId="2F56FFBA"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73.8</w:t>
            </w:r>
          </w:p>
        </w:tc>
        <w:tc>
          <w:tcPr>
            <w:tcW w:w="955" w:type="dxa"/>
            <w:tcBorders>
              <w:top w:val="single" w:sz="12" w:space="0" w:color="auto"/>
            </w:tcBorders>
            <w:shd w:val="clear" w:color="auto" w:fill="auto"/>
            <w:vAlign w:val="bottom"/>
          </w:tcPr>
          <w:p w14:paraId="379D494E"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79.9</w:t>
            </w:r>
          </w:p>
        </w:tc>
        <w:tc>
          <w:tcPr>
            <w:tcW w:w="955" w:type="dxa"/>
            <w:tcBorders>
              <w:top w:val="single" w:sz="12" w:space="0" w:color="auto"/>
            </w:tcBorders>
            <w:shd w:val="clear" w:color="auto" w:fill="auto"/>
            <w:vAlign w:val="bottom"/>
          </w:tcPr>
          <w:p w14:paraId="2811FACC"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68.1</w:t>
            </w:r>
          </w:p>
        </w:tc>
        <w:tc>
          <w:tcPr>
            <w:tcW w:w="944" w:type="dxa"/>
            <w:tcBorders>
              <w:top w:val="single" w:sz="12" w:space="0" w:color="auto"/>
            </w:tcBorders>
            <w:shd w:val="clear" w:color="auto" w:fill="auto"/>
            <w:vAlign w:val="bottom"/>
          </w:tcPr>
          <w:p w14:paraId="54CF2632"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1.7</w:t>
            </w:r>
          </w:p>
        </w:tc>
        <w:tc>
          <w:tcPr>
            <w:tcW w:w="926" w:type="dxa"/>
            <w:tcBorders>
              <w:top w:val="single" w:sz="12" w:space="0" w:color="auto"/>
            </w:tcBorders>
            <w:shd w:val="clear" w:color="auto" w:fill="auto"/>
            <w:vAlign w:val="bottom"/>
          </w:tcPr>
          <w:p w14:paraId="29F92DF2"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1.9</w:t>
            </w:r>
          </w:p>
        </w:tc>
        <w:tc>
          <w:tcPr>
            <w:tcW w:w="926" w:type="dxa"/>
            <w:tcBorders>
              <w:top w:val="single" w:sz="12" w:space="0" w:color="auto"/>
            </w:tcBorders>
            <w:shd w:val="clear" w:color="auto" w:fill="auto"/>
            <w:vAlign w:val="bottom"/>
          </w:tcPr>
          <w:p w14:paraId="57647853"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1.4</w:t>
            </w:r>
          </w:p>
        </w:tc>
        <w:tc>
          <w:tcPr>
            <w:tcW w:w="944" w:type="dxa"/>
            <w:tcBorders>
              <w:top w:val="single" w:sz="12" w:space="0" w:color="auto"/>
            </w:tcBorders>
            <w:shd w:val="clear" w:color="auto" w:fill="auto"/>
            <w:vAlign w:val="bottom"/>
          </w:tcPr>
          <w:p w14:paraId="4468F912"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0.4</w:t>
            </w:r>
          </w:p>
        </w:tc>
        <w:tc>
          <w:tcPr>
            <w:tcW w:w="926" w:type="dxa"/>
            <w:tcBorders>
              <w:top w:val="single" w:sz="12" w:space="0" w:color="auto"/>
            </w:tcBorders>
            <w:shd w:val="clear" w:color="auto" w:fill="auto"/>
            <w:vAlign w:val="bottom"/>
          </w:tcPr>
          <w:p w14:paraId="0A27F71E"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0.6</w:t>
            </w:r>
          </w:p>
        </w:tc>
        <w:tc>
          <w:tcPr>
            <w:tcW w:w="926" w:type="dxa"/>
            <w:tcBorders>
              <w:top w:val="single" w:sz="12" w:space="0" w:color="auto"/>
            </w:tcBorders>
            <w:shd w:val="clear" w:color="auto" w:fill="auto"/>
            <w:vAlign w:val="bottom"/>
          </w:tcPr>
          <w:p w14:paraId="3A3FE9A1"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0.1</w:t>
            </w:r>
          </w:p>
        </w:tc>
      </w:tr>
      <w:tr w:rsidR="005D009F" w:rsidRPr="0036252D" w14:paraId="7A458CA8" w14:textId="77777777" w:rsidTr="00E45843">
        <w:trPr>
          <w:cantSplit/>
        </w:trPr>
        <w:tc>
          <w:tcPr>
            <w:tcW w:w="996" w:type="dxa"/>
            <w:shd w:val="clear" w:color="auto" w:fill="auto"/>
          </w:tcPr>
          <w:p w14:paraId="35251EB7" w14:textId="77777777" w:rsidR="005D009F" w:rsidRPr="0036252D" w:rsidRDefault="005D009F" w:rsidP="0036252D">
            <w:pPr>
              <w:pStyle w:val="SingleTxtG"/>
              <w:suppressAutoHyphens w:val="0"/>
              <w:spacing w:before="40" w:after="40" w:line="220" w:lineRule="exact"/>
              <w:ind w:left="0" w:right="113"/>
              <w:jc w:val="left"/>
              <w:rPr>
                <w:sz w:val="18"/>
              </w:rPr>
            </w:pPr>
            <w:r w:rsidRPr="0036252D">
              <w:rPr>
                <w:sz w:val="18"/>
              </w:rPr>
              <w:t>2015</w:t>
            </w:r>
          </w:p>
        </w:tc>
        <w:tc>
          <w:tcPr>
            <w:tcW w:w="955" w:type="dxa"/>
            <w:shd w:val="clear" w:color="auto" w:fill="auto"/>
            <w:vAlign w:val="bottom"/>
          </w:tcPr>
          <w:p w14:paraId="6C183456"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73.7</w:t>
            </w:r>
          </w:p>
        </w:tc>
        <w:tc>
          <w:tcPr>
            <w:tcW w:w="1111" w:type="dxa"/>
            <w:shd w:val="clear" w:color="auto" w:fill="auto"/>
            <w:vAlign w:val="bottom"/>
          </w:tcPr>
          <w:p w14:paraId="779CA99F"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79.6</w:t>
            </w:r>
          </w:p>
        </w:tc>
        <w:tc>
          <w:tcPr>
            <w:tcW w:w="955" w:type="dxa"/>
            <w:shd w:val="clear" w:color="auto" w:fill="auto"/>
            <w:vAlign w:val="bottom"/>
          </w:tcPr>
          <w:p w14:paraId="502425A2"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68.0</w:t>
            </w:r>
          </w:p>
        </w:tc>
        <w:tc>
          <w:tcPr>
            <w:tcW w:w="944" w:type="dxa"/>
            <w:shd w:val="clear" w:color="auto" w:fill="auto"/>
            <w:vAlign w:val="bottom"/>
          </w:tcPr>
          <w:p w14:paraId="15C48ED9"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1.8</w:t>
            </w:r>
          </w:p>
        </w:tc>
        <w:tc>
          <w:tcPr>
            <w:tcW w:w="926" w:type="dxa"/>
            <w:shd w:val="clear" w:color="auto" w:fill="auto"/>
            <w:vAlign w:val="bottom"/>
          </w:tcPr>
          <w:p w14:paraId="30A8C9E3"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2.0</w:t>
            </w:r>
          </w:p>
        </w:tc>
        <w:tc>
          <w:tcPr>
            <w:tcW w:w="926" w:type="dxa"/>
            <w:shd w:val="clear" w:color="auto" w:fill="auto"/>
            <w:vAlign w:val="bottom"/>
          </w:tcPr>
          <w:p w14:paraId="5655E600"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1.6</w:t>
            </w:r>
          </w:p>
        </w:tc>
        <w:tc>
          <w:tcPr>
            <w:tcW w:w="944" w:type="dxa"/>
            <w:shd w:val="clear" w:color="auto" w:fill="auto"/>
            <w:vAlign w:val="bottom"/>
          </w:tcPr>
          <w:p w14:paraId="3865745A"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0.4</w:t>
            </w:r>
          </w:p>
        </w:tc>
        <w:tc>
          <w:tcPr>
            <w:tcW w:w="926" w:type="dxa"/>
            <w:shd w:val="clear" w:color="auto" w:fill="auto"/>
            <w:vAlign w:val="bottom"/>
          </w:tcPr>
          <w:p w14:paraId="272D7F2F"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0.6</w:t>
            </w:r>
          </w:p>
        </w:tc>
        <w:tc>
          <w:tcPr>
            <w:tcW w:w="926" w:type="dxa"/>
            <w:shd w:val="clear" w:color="auto" w:fill="auto"/>
            <w:vAlign w:val="bottom"/>
          </w:tcPr>
          <w:p w14:paraId="1774E36D"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0.1</w:t>
            </w:r>
          </w:p>
        </w:tc>
      </w:tr>
      <w:tr w:rsidR="005D009F" w:rsidRPr="0036252D" w14:paraId="01E0056B" w14:textId="77777777" w:rsidTr="00E45843">
        <w:trPr>
          <w:cantSplit/>
        </w:trPr>
        <w:tc>
          <w:tcPr>
            <w:tcW w:w="996" w:type="dxa"/>
            <w:shd w:val="clear" w:color="auto" w:fill="auto"/>
          </w:tcPr>
          <w:p w14:paraId="593214D9" w14:textId="77777777" w:rsidR="005D009F" w:rsidRPr="0036252D" w:rsidRDefault="005D009F" w:rsidP="0036252D">
            <w:pPr>
              <w:pStyle w:val="SingleTxtG"/>
              <w:suppressAutoHyphens w:val="0"/>
              <w:spacing w:before="40" w:after="40" w:line="220" w:lineRule="exact"/>
              <w:ind w:left="0" w:right="113"/>
              <w:jc w:val="left"/>
              <w:rPr>
                <w:sz w:val="18"/>
              </w:rPr>
            </w:pPr>
            <w:r w:rsidRPr="0036252D">
              <w:rPr>
                <w:sz w:val="18"/>
              </w:rPr>
              <w:t>2016</w:t>
            </w:r>
          </w:p>
        </w:tc>
        <w:tc>
          <w:tcPr>
            <w:tcW w:w="955" w:type="dxa"/>
            <w:shd w:val="clear" w:color="auto" w:fill="auto"/>
            <w:vAlign w:val="bottom"/>
          </w:tcPr>
          <w:p w14:paraId="7156A092"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72.3</w:t>
            </w:r>
          </w:p>
        </w:tc>
        <w:tc>
          <w:tcPr>
            <w:tcW w:w="1111" w:type="dxa"/>
            <w:shd w:val="clear" w:color="auto" w:fill="auto"/>
            <w:vAlign w:val="bottom"/>
          </w:tcPr>
          <w:p w14:paraId="235AF5C8"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77.8</w:t>
            </w:r>
          </w:p>
        </w:tc>
        <w:tc>
          <w:tcPr>
            <w:tcW w:w="955" w:type="dxa"/>
            <w:shd w:val="clear" w:color="auto" w:fill="auto"/>
            <w:vAlign w:val="bottom"/>
          </w:tcPr>
          <w:p w14:paraId="7393AD21"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67.2</w:t>
            </w:r>
          </w:p>
        </w:tc>
        <w:tc>
          <w:tcPr>
            <w:tcW w:w="944" w:type="dxa"/>
            <w:shd w:val="clear" w:color="auto" w:fill="auto"/>
            <w:vAlign w:val="bottom"/>
          </w:tcPr>
          <w:p w14:paraId="0365C307"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1.9</w:t>
            </w:r>
          </w:p>
        </w:tc>
        <w:tc>
          <w:tcPr>
            <w:tcW w:w="926" w:type="dxa"/>
            <w:shd w:val="clear" w:color="auto" w:fill="auto"/>
            <w:vAlign w:val="bottom"/>
          </w:tcPr>
          <w:p w14:paraId="71F796B7"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2.3</w:t>
            </w:r>
          </w:p>
        </w:tc>
        <w:tc>
          <w:tcPr>
            <w:tcW w:w="926" w:type="dxa"/>
            <w:shd w:val="clear" w:color="auto" w:fill="auto"/>
            <w:vAlign w:val="bottom"/>
          </w:tcPr>
          <w:p w14:paraId="425DED01"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1.5</w:t>
            </w:r>
          </w:p>
        </w:tc>
        <w:tc>
          <w:tcPr>
            <w:tcW w:w="944" w:type="dxa"/>
            <w:shd w:val="clear" w:color="auto" w:fill="auto"/>
            <w:vAlign w:val="bottom"/>
          </w:tcPr>
          <w:p w14:paraId="285A2963"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0.5</w:t>
            </w:r>
          </w:p>
        </w:tc>
        <w:tc>
          <w:tcPr>
            <w:tcW w:w="926" w:type="dxa"/>
            <w:shd w:val="clear" w:color="auto" w:fill="auto"/>
            <w:vAlign w:val="bottom"/>
          </w:tcPr>
          <w:p w14:paraId="25F295A1"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0.9</w:t>
            </w:r>
          </w:p>
        </w:tc>
        <w:tc>
          <w:tcPr>
            <w:tcW w:w="926" w:type="dxa"/>
            <w:shd w:val="clear" w:color="auto" w:fill="auto"/>
            <w:vAlign w:val="bottom"/>
          </w:tcPr>
          <w:p w14:paraId="66631315"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0.2</w:t>
            </w:r>
          </w:p>
        </w:tc>
      </w:tr>
      <w:tr w:rsidR="005D009F" w:rsidRPr="0036252D" w14:paraId="6DA42817" w14:textId="77777777" w:rsidTr="00E45843">
        <w:trPr>
          <w:cantSplit/>
        </w:trPr>
        <w:tc>
          <w:tcPr>
            <w:tcW w:w="996" w:type="dxa"/>
            <w:shd w:val="clear" w:color="auto" w:fill="auto"/>
          </w:tcPr>
          <w:p w14:paraId="0A3C85DC" w14:textId="77777777" w:rsidR="005D009F" w:rsidRPr="0036252D" w:rsidRDefault="005D009F" w:rsidP="0036252D">
            <w:pPr>
              <w:pStyle w:val="SingleTxtG"/>
              <w:suppressAutoHyphens w:val="0"/>
              <w:spacing w:before="40" w:after="40" w:line="220" w:lineRule="exact"/>
              <w:ind w:left="0" w:right="113"/>
              <w:jc w:val="left"/>
              <w:rPr>
                <w:sz w:val="18"/>
              </w:rPr>
            </w:pPr>
            <w:r w:rsidRPr="0036252D">
              <w:rPr>
                <w:sz w:val="18"/>
              </w:rPr>
              <w:t>2017</w:t>
            </w:r>
          </w:p>
        </w:tc>
        <w:tc>
          <w:tcPr>
            <w:tcW w:w="955" w:type="dxa"/>
            <w:shd w:val="clear" w:color="auto" w:fill="auto"/>
            <w:vAlign w:val="bottom"/>
          </w:tcPr>
          <w:p w14:paraId="4EE7EDF0"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70.8</w:t>
            </w:r>
          </w:p>
        </w:tc>
        <w:tc>
          <w:tcPr>
            <w:tcW w:w="1111" w:type="dxa"/>
            <w:shd w:val="clear" w:color="auto" w:fill="auto"/>
            <w:vAlign w:val="bottom"/>
          </w:tcPr>
          <w:p w14:paraId="329FF6AE"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76.0</w:t>
            </w:r>
          </w:p>
        </w:tc>
        <w:tc>
          <w:tcPr>
            <w:tcW w:w="955" w:type="dxa"/>
            <w:shd w:val="clear" w:color="auto" w:fill="auto"/>
            <w:vAlign w:val="bottom"/>
          </w:tcPr>
          <w:p w14:paraId="3DC74E59"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66.3</w:t>
            </w:r>
          </w:p>
        </w:tc>
        <w:tc>
          <w:tcPr>
            <w:tcW w:w="944" w:type="dxa"/>
            <w:shd w:val="clear" w:color="auto" w:fill="auto"/>
            <w:vAlign w:val="bottom"/>
          </w:tcPr>
          <w:p w14:paraId="22157DB5"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2.0</w:t>
            </w:r>
          </w:p>
        </w:tc>
        <w:tc>
          <w:tcPr>
            <w:tcW w:w="926" w:type="dxa"/>
            <w:shd w:val="clear" w:color="auto" w:fill="auto"/>
            <w:vAlign w:val="bottom"/>
          </w:tcPr>
          <w:p w14:paraId="2D844646"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2.4</w:t>
            </w:r>
          </w:p>
        </w:tc>
        <w:tc>
          <w:tcPr>
            <w:tcW w:w="926" w:type="dxa"/>
            <w:shd w:val="clear" w:color="auto" w:fill="auto"/>
            <w:vAlign w:val="bottom"/>
          </w:tcPr>
          <w:p w14:paraId="4688A3C7"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1.6</w:t>
            </w:r>
          </w:p>
        </w:tc>
        <w:tc>
          <w:tcPr>
            <w:tcW w:w="944" w:type="dxa"/>
            <w:shd w:val="clear" w:color="auto" w:fill="auto"/>
            <w:vAlign w:val="bottom"/>
          </w:tcPr>
          <w:p w14:paraId="02FFD38D"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0.4</w:t>
            </w:r>
          </w:p>
        </w:tc>
        <w:tc>
          <w:tcPr>
            <w:tcW w:w="926" w:type="dxa"/>
            <w:shd w:val="clear" w:color="auto" w:fill="auto"/>
            <w:vAlign w:val="bottom"/>
          </w:tcPr>
          <w:p w14:paraId="2B637BED"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0.8</w:t>
            </w:r>
          </w:p>
        </w:tc>
        <w:tc>
          <w:tcPr>
            <w:tcW w:w="926" w:type="dxa"/>
            <w:shd w:val="clear" w:color="auto" w:fill="auto"/>
            <w:vAlign w:val="bottom"/>
          </w:tcPr>
          <w:p w14:paraId="2295F351"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0.1</w:t>
            </w:r>
          </w:p>
        </w:tc>
      </w:tr>
    </w:tbl>
    <w:p w14:paraId="4DA2E700" w14:textId="0E4B1669" w:rsidR="005D009F" w:rsidRPr="00CA3C69" w:rsidRDefault="005D009F" w:rsidP="00CA3C69">
      <w:pPr>
        <w:spacing w:before="120" w:after="240"/>
        <w:ind w:left="1134" w:right="1134" w:firstLine="170"/>
        <w:rPr>
          <w:sz w:val="18"/>
        </w:rPr>
      </w:pPr>
      <w:r w:rsidRPr="00CA3C69">
        <w:rPr>
          <w:i/>
          <w:iCs/>
          <w:sz w:val="18"/>
        </w:rPr>
        <w:t>Source</w:t>
      </w:r>
      <w:r w:rsidRPr="00CA3C69">
        <w:rPr>
          <w:sz w:val="18"/>
        </w:rPr>
        <w:t xml:space="preserve">: </w:t>
      </w:r>
      <w:r w:rsidR="00935647">
        <w:rPr>
          <w:sz w:val="18"/>
        </w:rPr>
        <w:t xml:space="preserve"> </w:t>
      </w:r>
      <w:r w:rsidRPr="00CA3C69">
        <w:rPr>
          <w:sz w:val="18"/>
        </w:rPr>
        <w:t>SCB/LAB.</w:t>
      </w:r>
    </w:p>
    <w:p w14:paraId="7D84D386" w14:textId="77777777" w:rsidR="005D009F" w:rsidRPr="00B47380" w:rsidRDefault="005D009F" w:rsidP="00D53B5F">
      <w:pPr>
        <w:pStyle w:val="SingleTxtG"/>
      </w:pPr>
      <w:r w:rsidRPr="00B47380">
        <w:t>51.</w:t>
      </w:r>
      <w:r w:rsidRPr="00B47380">
        <w:tab/>
        <w:t>For more information, please see the tables on pages 66 to 82 of the 2017 Yearbook of Statistics.</w:t>
      </w:r>
    </w:p>
    <w:p w14:paraId="6BB3A46D" w14:textId="77777777" w:rsidR="005D009F" w:rsidRPr="00B47380" w:rsidRDefault="005D009F" w:rsidP="00CA3C69">
      <w:pPr>
        <w:pStyle w:val="H23G"/>
      </w:pPr>
      <w:r w:rsidRPr="00B47380">
        <w:tab/>
      </w:r>
      <w:r w:rsidRPr="00B47380">
        <w:tab/>
        <w:t xml:space="preserve">Non-resident workers </w:t>
      </w:r>
    </w:p>
    <w:p w14:paraId="65B7E766" w14:textId="77777777" w:rsidR="005D009F" w:rsidRPr="00B47380" w:rsidRDefault="005D009F" w:rsidP="00D53B5F">
      <w:pPr>
        <w:pStyle w:val="SingleTxtG"/>
      </w:pPr>
      <w:r w:rsidRPr="00B47380">
        <w:t>52.</w:t>
      </w:r>
      <w:r w:rsidRPr="00B47380">
        <w:tab/>
        <w:t>Regarding paragraph 56 of the concluding observations, Law 21/2009 on the Employment of Non-resident Workers (as amended by Law 4/2010 and Law 4/2013), Law 7/2008, Law 4/98/M and other relevant labour legislation should be stressed.</w:t>
      </w:r>
    </w:p>
    <w:p w14:paraId="5B35335B" w14:textId="1131DE29" w:rsidR="005D009F" w:rsidRPr="00B47380" w:rsidRDefault="005D009F" w:rsidP="00D53B5F">
      <w:pPr>
        <w:pStyle w:val="SingleTxtG"/>
      </w:pPr>
      <w:r w:rsidRPr="00B47380">
        <w:t>53.</w:t>
      </w:r>
      <w:r w:rsidRPr="00B47380">
        <w:tab/>
        <w:t>It should be underscored that non-resident workers enjoy the same working conditions, labour rights, duties and guarantees as resident workers as prescribed in Article 20 of Law 21/2009 (read together with Law 7/2008). Likewise, the principles of equality and non-discrimination are specifically established in Article 6</w:t>
      </w:r>
      <w:r w:rsidR="00AC2D8D">
        <w:t xml:space="preserve"> </w:t>
      </w:r>
      <w:r w:rsidRPr="00B47380">
        <w:t>(2) of Law 7/2008 and any employer that violates such principles shall be subject to a fine between MOP$20,000 and MOP$50,000 for each worker involved in the contravention (Article 85</w:t>
      </w:r>
      <w:r w:rsidR="00AC2D8D">
        <w:t xml:space="preserve"> </w:t>
      </w:r>
      <w:r w:rsidRPr="00B47380">
        <w:t>(1)</w:t>
      </w:r>
      <w:r w:rsidR="00AC2D8D">
        <w:t xml:space="preserve"> </w:t>
      </w:r>
      <w:r w:rsidRPr="00B47380">
        <w:t>(</w:t>
      </w:r>
      <w:proofErr w:type="spellStart"/>
      <w:r w:rsidRPr="00B47380">
        <w:t>i</w:t>
      </w:r>
      <w:proofErr w:type="spellEnd"/>
      <w:r w:rsidRPr="00B47380">
        <w:t>) of Law 7/2008).</w:t>
      </w:r>
    </w:p>
    <w:p w14:paraId="23001B34" w14:textId="0C5B8C9C" w:rsidR="005D009F" w:rsidRPr="00B47380" w:rsidRDefault="005D009F" w:rsidP="00D53B5F">
      <w:pPr>
        <w:pStyle w:val="SingleTxtG"/>
      </w:pPr>
      <w:r w:rsidRPr="00B47380">
        <w:t>54.</w:t>
      </w:r>
      <w:r w:rsidRPr="00B47380">
        <w:tab/>
        <w:t xml:space="preserve">It is also important to bear in mind that the local non-resident labour policy is based on 2 premises: </w:t>
      </w:r>
      <w:r w:rsidR="00792F8F">
        <w:t>(</w:t>
      </w:r>
      <w:proofErr w:type="spellStart"/>
      <w:r w:rsidRPr="00B47380">
        <w:t>i</w:t>
      </w:r>
      <w:proofErr w:type="spellEnd"/>
      <w:r w:rsidRPr="00B47380">
        <w:t xml:space="preserve">) to guarantee and prioritise the employment of residents (solely when local human resources lack expertise or are insufficient) and </w:t>
      </w:r>
      <w:r w:rsidR="00792F8F">
        <w:t>(</w:t>
      </w:r>
      <w:r w:rsidRPr="00B47380">
        <w:t xml:space="preserve">ii) to ensure non-discriminatory treatment. </w:t>
      </w:r>
    </w:p>
    <w:p w14:paraId="56205801" w14:textId="77777777" w:rsidR="005D009F" w:rsidRPr="00B47380" w:rsidRDefault="005D009F" w:rsidP="00792F8F">
      <w:pPr>
        <w:pStyle w:val="H23G"/>
      </w:pPr>
      <w:r w:rsidRPr="00B47380">
        <w:tab/>
      </w:r>
      <w:r w:rsidRPr="00B47380">
        <w:tab/>
        <w:t>Non-resident workers by origin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92"/>
        <w:gridCol w:w="1214"/>
        <w:gridCol w:w="1215"/>
        <w:gridCol w:w="1216"/>
        <w:gridCol w:w="1215"/>
        <w:gridCol w:w="1218"/>
      </w:tblGrid>
      <w:tr w:rsidR="005D009F" w:rsidRPr="0036252D" w14:paraId="42287346" w14:textId="77777777" w:rsidTr="00E45843">
        <w:trPr>
          <w:cantSplit/>
          <w:tblHeader/>
        </w:trPr>
        <w:tc>
          <w:tcPr>
            <w:tcW w:w="877" w:type="pct"/>
            <w:tcBorders>
              <w:top w:val="single" w:sz="4" w:space="0" w:color="auto"/>
              <w:bottom w:val="single" w:sz="12" w:space="0" w:color="auto"/>
            </w:tcBorders>
            <w:shd w:val="clear" w:color="auto" w:fill="auto"/>
            <w:vAlign w:val="bottom"/>
          </w:tcPr>
          <w:p w14:paraId="31DD0E75" w14:textId="77777777" w:rsidR="005D009F" w:rsidRPr="0036252D" w:rsidRDefault="005D009F" w:rsidP="0036252D">
            <w:pPr>
              <w:pStyle w:val="SingleTxtG"/>
              <w:suppressAutoHyphens w:val="0"/>
              <w:spacing w:before="80" w:after="80" w:line="200" w:lineRule="exact"/>
              <w:ind w:left="0" w:right="113"/>
              <w:jc w:val="left"/>
              <w:rPr>
                <w:i/>
                <w:sz w:val="16"/>
              </w:rPr>
            </w:pPr>
            <w:r w:rsidRPr="0036252D">
              <w:rPr>
                <w:i/>
                <w:sz w:val="16"/>
              </w:rPr>
              <w:t>Place of origin</w:t>
            </w:r>
          </w:p>
        </w:tc>
        <w:tc>
          <w:tcPr>
            <w:tcW w:w="824" w:type="pct"/>
            <w:tcBorders>
              <w:top w:val="single" w:sz="4" w:space="0" w:color="auto"/>
              <w:bottom w:val="single" w:sz="12" w:space="0" w:color="auto"/>
            </w:tcBorders>
            <w:shd w:val="clear" w:color="auto" w:fill="auto"/>
            <w:vAlign w:val="bottom"/>
          </w:tcPr>
          <w:p w14:paraId="08806E28" w14:textId="77777777" w:rsidR="005D009F" w:rsidRPr="0036252D" w:rsidRDefault="005D009F" w:rsidP="0036252D">
            <w:pPr>
              <w:pStyle w:val="SingleTxtG"/>
              <w:suppressAutoHyphens w:val="0"/>
              <w:spacing w:before="80" w:after="80" w:line="200" w:lineRule="exact"/>
              <w:ind w:left="0" w:right="113"/>
              <w:jc w:val="right"/>
              <w:rPr>
                <w:i/>
                <w:sz w:val="16"/>
              </w:rPr>
            </w:pPr>
            <w:r w:rsidRPr="0036252D">
              <w:rPr>
                <w:i/>
                <w:sz w:val="16"/>
              </w:rPr>
              <w:t>2014</w:t>
            </w:r>
          </w:p>
        </w:tc>
        <w:tc>
          <w:tcPr>
            <w:tcW w:w="824" w:type="pct"/>
            <w:tcBorders>
              <w:top w:val="single" w:sz="4" w:space="0" w:color="auto"/>
              <w:bottom w:val="single" w:sz="12" w:space="0" w:color="auto"/>
            </w:tcBorders>
            <w:shd w:val="clear" w:color="auto" w:fill="auto"/>
            <w:vAlign w:val="bottom"/>
          </w:tcPr>
          <w:p w14:paraId="420EAB3B" w14:textId="77777777" w:rsidR="005D009F" w:rsidRPr="0036252D" w:rsidRDefault="005D009F" w:rsidP="0036252D">
            <w:pPr>
              <w:pStyle w:val="SingleTxtG"/>
              <w:suppressAutoHyphens w:val="0"/>
              <w:spacing w:before="80" w:after="80" w:line="200" w:lineRule="exact"/>
              <w:ind w:left="0" w:right="113"/>
              <w:jc w:val="right"/>
              <w:rPr>
                <w:i/>
                <w:sz w:val="16"/>
              </w:rPr>
            </w:pPr>
            <w:r w:rsidRPr="0036252D">
              <w:rPr>
                <w:i/>
                <w:sz w:val="16"/>
              </w:rPr>
              <w:t>2015</w:t>
            </w:r>
          </w:p>
        </w:tc>
        <w:tc>
          <w:tcPr>
            <w:tcW w:w="825" w:type="pct"/>
            <w:tcBorders>
              <w:top w:val="single" w:sz="4" w:space="0" w:color="auto"/>
              <w:bottom w:val="single" w:sz="12" w:space="0" w:color="auto"/>
            </w:tcBorders>
            <w:shd w:val="clear" w:color="auto" w:fill="auto"/>
            <w:vAlign w:val="bottom"/>
          </w:tcPr>
          <w:p w14:paraId="47CBC0D6" w14:textId="77777777" w:rsidR="005D009F" w:rsidRPr="0036252D" w:rsidRDefault="005D009F" w:rsidP="0036252D">
            <w:pPr>
              <w:pStyle w:val="SingleTxtG"/>
              <w:suppressAutoHyphens w:val="0"/>
              <w:spacing w:before="80" w:after="80" w:line="200" w:lineRule="exact"/>
              <w:ind w:left="0" w:right="113"/>
              <w:jc w:val="right"/>
              <w:rPr>
                <w:i/>
                <w:sz w:val="16"/>
              </w:rPr>
            </w:pPr>
            <w:r w:rsidRPr="0036252D">
              <w:rPr>
                <w:i/>
                <w:sz w:val="16"/>
              </w:rPr>
              <w:t>2016</w:t>
            </w:r>
          </w:p>
        </w:tc>
        <w:tc>
          <w:tcPr>
            <w:tcW w:w="824" w:type="pct"/>
            <w:tcBorders>
              <w:top w:val="single" w:sz="4" w:space="0" w:color="auto"/>
              <w:bottom w:val="single" w:sz="12" w:space="0" w:color="auto"/>
            </w:tcBorders>
            <w:shd w:val="clear" w:color="auto" w:fill="auto"/>
            <w:vAlign w:val="bottom"/>
          </w:tcPr>
          <w:p w14:paraId="6EB1B9BD" w14:textId="77777777" w:rsidR="005D009F" w:rsidRPr="0036252D" w:rsidRDefault="005D009F" w:rsidP="0036252D">
            <w:pPr>
              <w:pStyle w:val="SingleTxtG"/>
              <w:suppressAutoHyphens w:val="0"/>
              <w:spacing w:before="80" w:after="80" w:line="200" w:lineRule="exact"/>
              <w:ind w:left="0" w:right="113"/>
              <w:jc w:val="right"/>
              <w:rPr>
                <w:i/>
                <w:sz w:val="16"/>
              </w:rPr>
            </w:pPr>
            <w:r w:rsidRPr="0036252D">
              <w:rPr>
                <w:i/>
                <w:sz w:val="16"/>
              </w:rPr>
              <w:t>2017</w:t>
            </w:r>
          </w:p>
        </w:tc>
        <w:tc>
          <w:tcPr>
            <w:tcW w:w="826" w:type="pct"/>
            <w:tcBorders>
              <w:top w:val="single" w:sz="4" w:space="0" w:color="auto"/>
              <w:bottom w:val="single" w:sz="12" w:space="0" w:color="auto"/>
            </w:tcBorders>
            <w:shd w:val="clear" w:color="auto" w:fill="auto"/>
            <w:vAlign w:val="bottom"/>
          </w:tcPr>
          <w:p w14:paraId="332F8C5C" w14:textId="77777777" w:rsidR="005D009F" w:rsidRPr="0036252D" w:rsidRDefault="005D009F" w:rsidP="0036252D">
            <w:pPr>
              <w:pStyle w:val="SingleTxtG"/>
              <w:suppressAutoHyphens w:val="0"/>
              <w:spacing w:before="80" w:after="80" w:line="200" w:lineRule="exact"/>
              <w:ind w:left="0" w:right="113"/>
              <w:jc w:val="right"/>
              <w:rPr>
                <w:i/>
                <w:sz w:val="16"/>
              </w:rPr>
            </w:pPr>
            <w:r w:rsidRPr="0036252D">
              <w:rPr>
                <w:i/>
                <w:sz w:val="16"/>
              </w:rPr>
              <w:t>09/2018</w:t>
            </w:r>
          </w:p>
        </w:tc>
      </w:tr>
      <w:tr w:rsidR="005D009F" w:rsidRPr="0036252D" w14:paraId="393C3735" w14:textId="77777777" w:rsidTr="00E45843">
        <w:trPr>
          <w:cantSplit/>
        </w:trPr>
        <w:tc>
          <w:tcPr>
            <w:tcW w:w="877" w:type="pct"/>
            <w:tcBorders>
              <w:top w:val="single" w:sz="12" w:space="0" w:color="auto"/>
            </w:tcBorders>
            <w:shd w:val="clear" w:color="auto" w:fill="auto"/>
          </w:tcPr>
          <w:p w14:paraId="24DB13B5" w14:textId="77777777" w:rsidR="005D009F" w:rsidRPr="0036252D" w:rsidRDefault="005D009F" w:rsidP="0036252D">
            <w:pPr>
              <w:pStyle w:val="SingleTxtG"/>
              <w:suppressAutoHyphens w:val="0"/>
              <w:spacing w:before="40" w:after="40" w:line="220" w:lineRule="exact"/>
              <w:ind w:left="0" w:right="113"/>
              <w:jc w:val="left"/>
              <w:rPr>
                <w:sz w:val="18"/>
              </w:rPr>
            </w:pPr>
            <w:r w:rsidRPr="0036252D">
              <w:rPr>
                <w:sz w:val="18"/>
              </w:rPr>
              <w:t>Africa</w:t>
            </w:r>
          </w:p>
        </w:tc>
        <w:tc>
          <w:tcPr>
            <w:tcW w:w="824" w:type="pct"/>
            <w:tcBorders>
              <w:top w:val="single" w:sz="12" w:space="0" w:color="auto"/>
            </w:tcBorders>
            <w:shd w:val="clear" w:color="auto" w:fill="auto"/>
            <w:vAlign w:val="bottom"/>
          </w:tcPr>
          <w:p w14:paraId="038FC0FA"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77</w:t>
            </w:r>
          </w:p>
        </w:tc>
        <w:tc>
          <w:tcPr>
            <w:tcW w:w="824" w:type="pct"/>
            <w:tcBorders>
              <w:top w:val="single" w:sz="12" w:space="0" w:color="auto"/>
            </w:tcBorders>
            <w:shd w:val="clear" w:color="auto" w:fill="auto"/>
            <w:vAlign w:val="bottom"/>
          </w:tcPr>
          <w:p w14:paraId="3CEAEF77"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88</w:t>
            </w:r>
          </w:p>
        </w:tc>
        <w:tc>
          <w:tcPr>
            <w:tcW w:w="825" w:type="pct"/>
            <w:tcBorders>
              <w:top w:val="single" w:sz="12" w:space="0" w:color="auto"/>
            </w:tcBorders>
            <w:shd w:val="clear" w:color="auto" w:fill="auto"/>
            <w:vAlign w:val="bottom"/>
          </w:tcPr>
          <w:p w14:paraId="1BF18E5C"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92</w:t>
            </w:r>
          </w:p>
        </w:tc>
        <w:tc>
          <w:tcPr>
            <w:tcW w:w="824" w:type="pct"/>
            <w:tcBorders>
              <w:top w:val="single" w:sz="12" w:space="0" w:color="auto"/>
            </w:tcBorders>
            <w:shd w:val="clear" w:color="auto" w:fill="auto"/>
            <w:vAlign w:val="bottom"/>
          </w:tcPr>
          <w:p w14:paraId="1CEF2901"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111</w:t>
            </w:r>
          </w:p>
        </w:tc>
        <w:tc>
          <w:tcPr>
            <w:tcW w:w="826" w:type="pct"/>
            <w:tcBorders>
              <w:top w:val="single" w:sz="12" w:space="0" w:color="auto"/>
            </w:tcBorders>
            <w:shd w:val="clear" w:color="auto" w:fill="auto"/>
            <w:vAlign w:val="bottom"/>
          </w:tcPr>
          <w:p w14:paraId="1E04CD14"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116</w:t>
            </w:r>
          </w:p>
        </w:tc>
      </w:tr>
      <w:tr w:rsidR="005D009F" w:rsidRPr="0036252D" w14:paraId="4A0A0F6E" w14:textId="77777777" w:rsidTr="00E45843">
        <w:trPr>
          <w:cantSplit/>
        </w:trPr>
        <w:tc>
          <w:tcPr>
            <w:tcW w:w="877" w:type="pct"/>
            <w:shd w:val="clear" w:color="auto" w:fill="auto"/>
          </w:tcPr>
          <w:p w14:paraId="561EB5E8" w14:textId="77777777" w:rsidR="005D009F" w:rsidRPr="0036252D" w:rsidRDefault="005D009F" w:rsidP="0036252D">
            <w:pPr>
              <w:pStyle w:val="SingleTxtG"/>
              <w:suppressAutoHyphens w:val="0"/>
              <w:spacing w:before="40" w:after="40" w:line="220" w:lineRule="exact"/>
              <w:ind w:left="0" w:right="113"/>
              <w:jc w:val="left"/>
              <w:rPr>
                <w:sz w:val="18"/>
              </w:rPr>
            </w:pPr>
            <w:r w:rsidRPr="0036252D">
              <w:rPr>
                <w:sz w:val="18"/>
              </w:rPr>
              <w:t>Americas</w:t>
            </w:r>
          </w:p>
        </w:tc>
        <w:tc>
          <w:tcPr>
            <w:tcW w:w="824" w:type="pct"/>
            <w:shd w:val="clear" w:color="auto" w:fill="auto"/>
            <w:vAlign w:val="bottom"/>
          </w:tcPr>
          <w:p w14:paraId="73357452"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606</w:t>
            </w:r>
          </w:p>
        </w:tc>
        <w:tc>
          <w:tcPr>
            <w:tcW w:w="824" w:type="pct"/>
            <w:shd w:val="clear" w:color="auto" w:fill="auto"/>
            <w:vAlign w:val="bottom"/>
          </w:tcPr>
          <w:p w14:paraId="64BC7555"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683</w:t>
            </w:r>
          </w:p>
        </w:tc>
        <w:tc>
          <w:tcPr>
            <w:tcW w:w="825" w:type="pct"/>
            <w:shd w:val="clear" w:color="auto" w:fill="auto"/>
            <w:vAlign w:val="bottom"/>
          </w:tcPr>
          <w:p w14:paraId="2CEE2E59"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570</w:t>
            </w:r>
          </w:p>
        </w:tc>
        <w:tc>
          <w:tcPr>
            <w:tcW w:w="824" w:type="pct"/>
            <w:shd w:val="clear" w:color="auto" w:fill="auto"/>
            <w:vAlign w:val="bottom"/>
          </w:tcPr>
          <w:p w14:paraId="4874D876"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599</w:t>
            </w:r>
          </w:p>
        </w:tc>
        <w:tc>
          <w:tcPr>
            <w:tcW w:w="826" w:type="pct"/>
            <w:shd w:val="clear" w:color="auto" w:fill="auto"/>
            <w:vAlign w:val="bottom"/>
          </w:tcPr>
          <w:p w14:paraId="45A0EF53"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569</w:t>
            </w:r>
          </w:p>
        </w:tc>
      </w:tr>
      <w:tr w:rsidR="005D009F" w:rsidRPr="0036252D" w14:paraId="26A1AD29" w14:textId="77777777" w:rsidTr="00E45843">
        <w:trPr>
          <w:cantSplit/>
        </w:trPr>
        <w:tc>
          <w:tcPr>
            <w:tcW w:w="877" w:type="pct"/>
            <w:shd w:val="clear" w:color="auto" w:fill="auto"/>
          </w:tcPr>
          <w:p w14:paraId="7EFEC55A" w14:textId="77777777" w:rsidR="005D009F" w:rsidRPr="0036252D" w:rsidRDefault="005D009F" w:rsidP="0036252D">
            <w:pPr>
              <w:pStyle w:val="SingleTxtG"/>
              <w:suppressAutoHyphens w:val="0"/>
              <w:spacing w:before="40" w:after="40" w:line="220" w:lineRule="exact"/>
              <w:ind w:left="0" w:right="113"/>
              <w:jc w:val="left"/>
              <w:rPr>
                <w:sz w:val="18"/>
              </w:rPr>
            </w:pPr>
            <w:r w:rsidRPr="0036252D">
              <w:rPr>
                <w:sz w:val="18"/>
              </w:rPr>
              <w:t>Asia pacific</w:t>
            </w:r>
          </w:p>
        </w:tc>
        <w:tc>
          <w:tcPr>
            <w:tcW w:w="824" w:type="pct"/>
            <w:shd w:val="clear" w:color="auto" w:fill="auto"/>
            <w:vAlign w:val="bottom"/>
          </w:tcPr>
          <w:p w14:paraId="0EE5F819" w14:textId="12487DA0"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168</w:t>
            </w:r>
            <w:r w:rsidR="00792F8F">
              <w:rPr>
                <w:sz w:val="18"/>
              </w:rPr>
              <w:t xml:space="preserve"> </w:t>
            </w:r>
            <w:r w:rsidRPr="0036252D">
              <w:rPr>
                <w:sz w:val="18"/>
              </w:rPr>
              <w:t>365</w:t>
            </w:r>
          </w:p>
        </w:tc>
        <w:tc>
          <w:tcPr>
            <w:tcW w:w="824" w:type="pct"/>
            <w:shd w:val="clear" w:color="auto" w:fill="auto"/>
            <w:vAlign w:val="bottom"/>
          </w:tcPr>
          <w:p w14:paraId="276B87DD" w14:textId="0A638E9D"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179</w:t>
            </w:r>
            <w:r w:rsidR="00792F8F">
              <w:rPr>
                <w:sz w:val="18"/>
              </w:rPr>
              <w:t xml:space="preserve"> </w:t>
            </w:r>
            <w:r w:rsidRPr="0036252D">
              <w:rPr>
                <w:sz w:val="18"/>
              </w:rPr>
              <w:t>535</w:t>
            </w:r>
          </w:p>
        </w:tc>
        <w:tc>
          <w:tcPr>
            <w:tcW w:w="825" w:type="pct"/>
            <w:shd w:val="clear" w:color="auto" w:fill="auto"/>
            <w:vAlign w:val="bottom"/>
          </w:tcPr>
          <w:p w14:paraId="6347E646" w14:textId="7295725D"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175</w:t>
            </w:r>
            <w:r w:rsidR="00792F8F">
              <w:rPr>
                <w:sz w:val="18"/>
              </w:rPr>
              <w:t xml:space="preserve"> </w:t>
            </w:r>
            <w:r w:rsidRPr="0036252D">
              <w:rPr>
                <w:sz w:val="18"/>
              </w:rPr>
              <w:t>804</w:t>
            </w:r>
          </w:p>
        </w:tc>
        <w:tc>
          <w:tcPr>
            <w:tcW w:w="824" w:type="pct"/>
            <w:shd w:val="clear" w:color="auto" w:fill="auto"/>
            <w:vAlign w:val="bottom"/>
          </w:tcPr>
          <w:p w14:paraId="585A0616" w14:textId="4CD24DBF"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177</w:t>
            </w:r>
            <w:r w:rsidR="00792F8F">
              <w:rPr>
                <w:sz w:val="18"/>
              </w:rPr>
              <w:t xml:space="preserve"> </w:t>
            </w:r>
            <w:r w:rsidRPr="0036252D">
              <w:rPr>
                <w:sz w:val="18"/>
              </w:rPr>
              <w:t>629</w:t>
            </w:r>
          </w:p>
        </w:tc>
        <w:tc>
          <w:tcPr>
            <w:tcW w:w="826" w:type="pct"/>
            <w:shd w:val="clear" w:color="auto" w:fill="auto"/>
            <w:vAlign w:val="bottom"/>
          </w:tcPr>
          <w:p w14:paraId="10A86119" w14:textId="27FA0DE8"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184</w:t>
            </w:r>
            <w:r w:rsidR="00792F8F">
              <w:rPr>
                <w:sz w:val="18"/>
              </w:rPr>
              <w:t xml:space="preserve"> </w:t>
            </w:r>
            <w:r w:rsidRPr="0036252D">
              <w:rPr>
                <w:sz w:val="18"/>
              </w:rPr>
              <w:t>586</w:t>
            </w:r>
          </w:p>
        </w:tc>
      </w:tr>
      <w:tr w:rsidR="005D009F" w:rsidRPr="0036252D" w14:paraId="36EB17AC" w14:textId="77777777" w:rsidTr="00E45843">
        <w:trPr>
          <w:cantSplit/>
        </w:trPr>
        <w:tc>
          <w:tcPr>
            <w:tcW w:w="877" w:type="pct"/>
            <w:shd w:val="clear" w:color="auto" w:fill="auto"/>
          </w:tcPr>
          <w:p w14:paraId="237CD6C3" w14:textId="77777777" w:rsidR="005D009F" w:rsidRPr="0036252D" w:rsidRDefault="005D009F" w:rsidP="0036252D">
            <w:pPr>
              <w:pStyle w:val="SingleTxtG"/>
              <w:suppressAutoHyphens w:val="0"/>
              <w:spacing w:before="40" w:after="40" w:line="220" w:lineRule="exact"/>
              <w:ind w:left="0" w:right="113"/>
              <w:jc w:val="left"/>
              <w:rPr>
                <w:sz w:val="18"/>
              </w:rPr>
            </w:pPr>
            <w:r w:rsidRPr="0036252D">
              <w:rPr>
                <w:sz w:val="18"/>
              </w:rPr>
              <w:t>Europe</w:t>
            </w:r>
          </w:p>
        </w:tc>
        <w:tc>
          <w:tcPr>
            <w:tcW w:w="824" w:type="pct"/>
            <w:shd w:val="clear" w:color="auto" w:fill="auto"/>
            <w:vAlign w:val="bottom"/>
          </w:tcPr>
          <w:p w14:paraId="0747BAA7"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971</w:t>
            </w:r>
          </w:p>
        </w:tc>
        <w:tc>
          <w:tcPr>
            <w:tcW w:w="824" w:type="pct"/>
            <w:shd w:val="clear" w:color="auto" w:fill="auto"/>
            <w:vAlign w:val="bottom"/>
          </w:tcPr>
          <w:p w14:paraId="65D05AE7"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985</w:t>
            </w:r>
          </w:p>
        </w:tc>
        <w:tc>
          <w:tcPr>
            <w:tcW w:w="825" w:type="pct"/>
            <w:shd w:val="clear" w:color="auto" w:fill="auto"/>
            <w:vAlign w:val="bottom"/>
          </w:tcPr>
          <w:p w14:paraId="053C3FA4"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874</w:t>
            </w:r>
          </w:p>
        </w:tc>
        <w:tc>
          <w:tcPr>
            <w:tcW w:w="824" w:type="pct"/>
            <w:shd w:val="clear" w:color="auto" w:fill="auto"/>
            <w:vAlign w:val="bottom"/>
          </w:tcPr>
          <w:p w14:paraId="73622362"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849</w:t>
            </w:r>
          </w:p>
        </w:tc>
        <w:tc>
          <w:tcPr>
            <w:tcW w:w="826" w:type="pct"/>
            <w:shd w:val="clear" w:color="auto" w:fill="auto"/>
            <w:vAlign w:val="bottom"/>
          </w:tcPr>
          <w:p w14:paraId="16F45845"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822</w:t>
            </w:r>
          </w:p>
        </w:tc>
      </w:tr>
      <w:tr w:rsidR="005D009F" w:rsidRPr="0036252D" w14:paraId="1F687B71" w14:textId="77777777" w:rsidTr="00E45843">
        <w:trPr>
          <w:cantSplit/>
        </w:trPr>
        <w:tc>
          <w:tcPr>
            <w:tcW w:w="877" w:type="pct"/>
            <w:tcBorders>
              <w:bottom w:val="single" w:sz="4" w:space="0" w:color="auto"/>
            </w:tcBorders>
            <w:shd w:val="clear" w:color="auto" w:fill="auto"/>
          </w:tcPr>
          <w:p w14:paraId="73F7FBB2" w14:textId="77777777" w:rsidR="005D009F" w:rsidRPr="0036252D" w:rsidRDefault="005D009F" w:rsidP="0036252D">
            <w:pPr>
              <w:pStyle w:val="SingleTxtG"/>
              <w:suppressAutoHyphens w:val="0"/>
              <w:spacing w:before="40" w:after="40" w:line="220" w:lineRule="exact"/>
              <w:ind w:left="0" w:right="113"/>
              <w:jc w:val="left"/>
              <w:rPr>
                <w:sz w:val="18"/>
              </w:rPr>
            </w:pPr>
            <w:r w:rsidRPr="0036252D">
              <w:rPr>
                <w:sz w:val="18"/>
              </w:rPr>
              <w:t>Oceania</w:t>
            </w:r>
          </w:p>
        </w:tc>
        <w:tc>
          <w:tcPr>
            <w:tcW w:w="824" w:type="pct"/>
            <w:tcBorders>
              <w:bottom w:val="single" w:sz="4" w:space="0" w:color="auto"/>
            </w:tcBorders>
            <w:shd w:val="clear" w:color="auto" w:fill="auto"/>
            <w:vAlign w:val="bottom"/>
          </w:tcPr>
          <w:p w14:paraId="0B7FD02E"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327</w:t>
            </w:r>
          </w:p>
        </w:tc>
        <w:tc>
          <w:tcPr>
            <w:tcW w:w="824" w:type="pct"/>
            <w:tcBorders>
              <w:bottom w:val="single" w:sz="4" w:space="0" w:color="auto"/>
            </w:tcBorders>
            <w:shd w:val="clear" w:color="auto" w:fill="auto"/>
            <w:vAlign w:val="bottom"/>
          </w:tcPr>
          <w:p w14:paraId="41623992"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355</w:t>
            </w:r>
          </w:p>
        </w:tc>
        <w:tc>
          <w:tcPr>
            <w:tcW w:w="825" w:type="pct"/>
            <w:tcBorders>
              <w:bottom w:val="single" w:sz="4" w:space="0" w:color="auto"/>
            </w:tcBorders>
            <w:shd w:val="clear" w:color="auto" w:fill="auto"/>
            <w:vAlign w:val="bottom"/>
          </w:tcPr>
          <w:p w14:paraId="70476D1A"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298</w:t>
            </w:r>
          </w:p>
        </w:tc>
        <w:tc>
          <w:tcPr>
            <w:tcW w:w="824" w:type="pct"/>
            <w:tcBorders>
              <w:bottom w:val="single" w:sz="4" w:space="0" w:color="auto"/>
            </w:tcBorders>
            <w:shd w:val="clear" w:color="auto" w:fill="auto"/>
            <w:vAlign w:val="bottom"/>
          </w:tcPr>
          <w:p w14:paraId="7F318131"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268</w:t>
            </w:r>
          </w:p>
        </w:tc>
        <w:tc>
          <w:tcPr>
            <w:tcW w:w="826" w:type="pct"/>
            <w:tcBorders>
              <w:bottom w:val="single" w:sz="4" w:space="0" w:color="auto"/>
            </w:tcBorders>
            <w:shd w:val="clear" w:color="auto" w:fill="auto"/>
            <w:vAlign w:val="bottom"/>
          </w:tcPr>
          <w:p w14:paraId="293633A8" w14:textId="77777777" w:rsidR="005D009F" w:rsidRPr="0036252D" w:rsidRDefault="005D009F" w:rsidP="0036252D">
            <w:pPr>
              <w:pStyle w:val="SingleTxtG"/>
              <w:suppressAutoHyphens w:val="0"/>
              <w:spacing w:before="40" w:after="40" w:line="220" w:lineRule="exact"/>
              <w:ind w:left="0" w:right="113"/>
              <w:jc w:val="right"/>
              <w:rPr>
                <w:sz w:val="18"/>
              </w:rPr>
            </w:pPr>
            <w:r w:rsidRPr="0036252D">
              <w:rPr>
                <w:sz w:val="18"/>
              </w:rPr>
              <w:t>239</w:t>
            </w:r>
          </w:p>
        </w:tc>
      </w:tr>
      <w:tr w:rsidR="005D009F" w:rsidRPr="00792F8F" w14:paraId="3D541705" w14:textId="77777777" w:rsidTr="00E45843">
        <w:trPr>
          <w:cantSplit/>
        </w:trPr>
        <w:tc>
          <w:tcPr>
            <w:tcW w:w="877" w:type="pct"/>
            <w:tcBorders>
              <w:top w:val="single" w:sz="4" w:space="0" w:color="auto"/>
              <w:bottom w:val="single" w:sz="12" w:space="0" w:color="auto"/>
            </w:tcBorders>
            <w:shd w:val="clear" w:color="auto" w:fill="auto"/>
          </w:tcPr>
          <w:p w14:paraId="06545580" w14:textId="77777777" w:rsidR="005D009F" w:rsidRPr="00792F8F" w:rsidRDefault="005D009F" w:rsidP="00792F8F">
            <w:pPr>
              <w:pStyle w:val="SingleTxtG"/>
              <w:suppressAutoHyphens w:val="0"/>
              <w:spacing w:before="80" w:after="80" w:line="220" w:lineRule="exact"/>
              <w:ind w:left="283" w:right="0"/>
              <w:jc w:val="left"/>
              <w:rPr>
                <w:b/>
                <w:sz w:val="18"/>
              </w:rPr>
            </w:pPr>
            <w:r w:rsidRPr="00792F8F">
              <w:rPr>
                <w:b/>
                <w:sz w:val="18"/>
              </w:rPr>
              <w:t>Total</w:t>
            </w:r>
          </w:p>
        </w:tc>
        <w:tc>
          <w:tcPr>
            <w:tcW w:w="824" w:type="pct"/>
            <w:tcBorders>
              <w:top w:val="single" w:sz="4" w:space="0" w:color="auto"/>
              <w:bottom w:val="single" w:sz="12" w:space="0" w:color="auto"/>
            </w:tcBorders>
            <w:shd w:val="clear" w:color="auto" w:fill="auto"/>
            <w:vAlign w:val="bottom"/>
          </w:tcPr>
          <w:p w14:paraId="6C60D2DC" w14:textId="3E7CF4E9" w:rsidR="005D009F" w:rsidRPr="00792F8F" w:rsidRDefault="005D009F" w:rsidP="00792F8F">
            <w:pPr>
              <w:pStyle w:val="SingleTxtG"/>
              <w:suppressAutoHyphens w:val="0"/>
              <w:spacing w:before="80" w:after="80" w:line="220" w:lineRule="exact"/>
              <w:ind w:left="0" w:right="113"/>
              <w:jc w:val="right"/>
              <w:rPr>
                <w:b/>
                <w:sz w:val="18"/>
              </w:rPr>
            </w:pPr>
            <w:r w:rsidRPr="00792F8F">
              <w:rPr>
                <w:b/>
                <w:sz w:val="18"/>
              </w:rPr>
              <w:t>170</w:t>
            </w:r>
            <w:r w:rsidR="00792F8F" w:rsidRPr="00792F8F">
              <w:rPr>
                <w:b/>
                <w:sz w:val="18"/>
              </w:rPr>
              <w:t xml:space="preserve"> </w:t>
            </w:r>
            <w:r w:rsidRPr="00792F8F">
              <w:rPr>
                <w:b/>
                <w:sz w:val="18"/>
              </w:rPr>
              <w:t>346</w:t>
            </w:r>
          </w:p>
        </w:tc>
        <w:tc>
          <w:tcPr>
            <w:tcW w:w="824" w:type="pct"/>
            <w:tcBorders>
              <w:top w:val="single" w:sz="4" w:space="0" w:color="auto"/>
              <w:bottom w:val="single" w:sz="12" w:space="0" w:color="auto"/>
            </w:tcBorders>
            <w:shd w:val="clear" w:color="auto" w:fill="auto"/>
            <w:vAlign w:val="bottom"/>
          </w:tcPr>
          <w:p w14:paraId="59862713" w14:textId="6BB4F28A" w:rsidR="005D009F" w:rsidRPr="00792F8F" w:rsidRDefault="005D009F" w:rsidP="00792F8F">
            <w:pPr>
              <w:pStyle w:val="SingleTxtG"/>
              <w:suppressAutoHyphens w:val="0"/>
              <w:spacing w:before="80" w:after="80" w:line="220" w:lineRule="exact"/>
              <w:ind w:left="0" w:right="113"/>
              <w:jc w:val="right"/>
              <w:rPr>
                <w:b/>
                <w:sz w:val="18"/>
              </w:rPr>
            </w:pPr>
            <w:r w:rsidRPr="00792F8F">
              <w:rPr>
                <w:b/>
                <w:sz w:val="18"/>
              </w:rPr>
              <w:t>181</w:t>
            </w:r>
            <w:r w:rsidR="00792F8F" w:rsidRPr="00792F8F">
              <w:rPr>
                <w:b/>
                <w:sz w:val="18"/>
              </w:rPr>
              <w:t xml:space="preserve"> </w:t>
            </w:r>
            <w:r w:rsidRPr="00792F8F">
              <w:rPr>
                <w:b/>
                <w:sz w:val="18"/>
              </w:rPr>
              <w:t>646</w:t>
            </w:r>
          </w:p>
        </w:tc>
        <w:tc>
          <w:tcPr>
            <w:tcW w:w="825" w:type="pct"/>
            <w:tcBorders>
              <w:top w:val="single" w:sz="4" w:space="0" w:color="auto"/>
              <w:bottom w:val="single" w:sz="12" w:space="0" w:color="auto"/>
            </w:tcBorders>
            <w:shd w:val="clear" w:color="auto" w:fill="auto"/>
            <w:vAlign w:val="bottom"/>
          </w:tcPr>
          <w:p w14:paraId="0A95E623" w14:textId="2A6D5DDB" w:rsidR="005D009F" w:rsidRPr="00792F8F" w:rsidRDefault="005D009F" w:rsidP="00792F8F">
            <w:pPr>
              <w:pStyle w:val="SingleTxtG"/>
              <w:suppressAutoHyphens w:val="0"/>
              <w:spacing w:before="80" w:after="80" w:line="220" w:lineRule="exact"/>
              <w:ind w:left="0" w:right="113"/>
              <w:jc w:val="right"/>
              <w:rPr>
                <w:b/>
                <w:sz w:val="18"/>
              </w:rPr>
            </w:pPr>
            <w:r w:rsidRPr="00792F8F">
              <w:rPr>
                <w:b/>
                <w:sz w:val="18"/>
              </w:rPr>
              <w:t>177</w:t>
            </w:r>
            <w:r w:rsidR="00792F8F" w:rsidRPr="00792F8F">
              <w:rPr>
                <w:b/>
                <w:sz w:val="18"/>
              </w:rPr>
              <w:t xml:space="preserve"> </w:t>
            </w:r>
            <w:r w:rsidRPr="00792F8F">
              <w:rPr>
                <w:b/>
                <w:sz w:val="18"/>
              </w:rPr>
              <w:t>638</w:t>
            </w:r>
          </w:p>
        </w:tc>
        <w:tc>
          <w:tcPr>
            <w:tcW w:w="824" w:type="pct"/>
            <w:tcBorders>
              <w:top w:val="single" w:sz="4" w:space="0" w:color="auto"/>
              <w:bottom w:val="single" w:sz="12" w:space="0" w:color="auto"/>
            </w:tcBorders>
            <w:shd w:val="clear" w:color="auto" w:fill="auto"/>
            <w:vAlign w:val="bottom"/>
          </w:tcPr>
          <w:p w14:paraId="33AA8536" w14:textId="32F55AB8" w:rsidR="005D009F" w:rsidRPr="00792F8F" w:rsidRDefault="005D009F" w:rsidP="00792F8F">
            <w:pPr>
              <w:pStyle w:val="SingleTxtG"/>
              <w:suppressAutoHyphens w:val="0"/>
              <w:spacing w:before="80" w:after="80" w:line="220" w:lineRule="exact"/>
              <w:ind w:left="0" w:right="113"/>
              <w:jc w:val="right"/>
              <w:rPr>
                <w:b/>
                <w:sz w:val="18"/>
              </w:rPr>
            </w:pPr>
            <w:r w:rsidRPr="00792F8F">
              <w:rPr>
                <w:b/>
                <w:sz w:val="18"/>
              </w:rPr>
              <w:t>179</w:t>
            </w:r>
            <w:r w:rsidR="00792F8F" w:rsidRPr="00792F8F">
              <w:rPr>
                <w:b/>
                <w:sz w:val="18"/>
              </w:rPr>
              <w:t xml:space="preserve"> </w:t>
            </w:r>
            <w:r w:rsidRPr="00792F8F">
              <w:rPr>
                <w:b/>
                <w:sz w:val="18"/>
              </w:rPr>
              <w:t>456</w:t>
            </w:r>
          </w:p>
        </w:tc>
        <w:tc>
          <w:tcPr>
            <w:tcW w:w="826" w:type="pct"/>
            <w:tcBorders>
              <w:top w:val="single" w:sz="4" w:space="0" w:color="auto"/>
              <w:bottom w:val="single" w:sz="12" w:space="0" w:color="auto"/>
            </w:tcBorders>
            <w:shd w:val="clear" w:color="auto" w:fill="auto"/>
            <w:vAlign w:val="bottom"/>
          </w:tcPr>
          <w:p w14:paraId="2FC540CF" w14:textId="42FCE7E1" w:rsidR="005D009F" w:rsidRPr="00792F8F" w:rsidRDefault="005D009F" w:rsidP="00792F8F">
            <w:pPr>
              <w:pStyle w:val="SingleTxtG"/>
              <w:suppressAutoHyphens w:val="0"/>
              <w:spacing w:before="80" w:after="80" w:line="220" w:lineRule="exact"/>
              <w:ind w:left="0" w:right="113"/>
              <w:jc w:val="right"/>
              <w:rPr>
                <w:b/>
                <w:sz w:val="18"/>
              </w:rPr>
            </w:pPr>
            <w:r w:rsidRPr="00792F8F">
              <w:rPr>
                <w:b/>
                <w:sz w:val="18"/>
              </w:rPr>
              <w:t>186</w:t>
            </w:r>
            <w:r w:rsidR="00792F8F" w:rsidRPr="00792F8F">
              <w:rPr>
                <w:b/>
                <w:sz w:val="18"/>
              </w:rPr>
              <w:t xml:space="preserve"> </w:t>
            </w:r>
            <w:r w:rsidRPr="00792F8F">
              <w:rPr>
                <w:b/>
                <w:sz w:val="18"/>
              </w:rPr>
              <w:t>332</w:t>
            </w:r>
          </w:p>
        </w:tc>
      </w:tr>
    </w:tbl>
    <w:p w14:paraId="5E040224" w14:textId="476ABBE9" w:rsidR="005D009F" w:rsidRPr="00792F8F" w:rsidRDefault="005D009F" w:rsidP="00792F8F">
      <w:pPr>
        <w:spacing w:before="120" w:after="240"/>
        <w:ind w:left="1134" w:right="1134" w:firstLine="170"/>
        <w:rPr>
          <w:sz w:val="18"/>
        </w:rPr>
      </w:pPr>
      <w:r w:rsidRPr="00792F8F">
        <w:rPr>
          <w:i/>
          <w:iCs/>
          <w:sz w:val="18"/>
        </w:rPr>
        <w:t>Source</w:t>
      </w:r>
      <w:r w:rsidRPr="00792F8F">
        <w:rPr>
          <w:sz w:val="18"/>
        </w:rPr>
        <w:t xml:space="preserve">: </w:t>
      </w:r>
      <w:r w:rsidR="002300CF">
        <w:rPr>
          <w:sz w:val="18"/>
        </w:rPr>
        <w:t xml:space="preserve"> </w:t>
      </w:r>
      <w:r w:rsidRPr="00792F8F">
        <w:rPr>
          <w:sz w:val="18"/>
        </w:rPr>
        <w:t>SCB/LAB.</w:t>
      </w:r>
    </w:p>
    <w:p w14:paraId="5AD30B6C" w14:textId="77777777" w:rsidR="005D009F" w:rsidRPr="00B47380" w:rsidRDefault="005D009F" w:rsidP="00D53B5F">
      <w:pPr>
        <w:pStyle w:val="SingleTxtG"/>
      </w:pPr>
      <w:r w:rsidRPr="00B47380">
        <w:t>55.</w:t>
      </w:r>
      <w:r w:rsidRPr="00B47380">
        <w:tab/>
        <w:t xml:space="preserve">The LAB has been reinforcing the protection of non-resident workers against abuses and exploitation. Talks are co-organised with consulates or social groups of non-resident workers. During the reporting period, 18 talks targeting non-resident workers were held. </w:t>
      </w:r>
    </w:p>
    <w:p w14:paraId="6D6A2119" w14:textId="708386BC" w:rsidR="005D009F" w:rsidRPr="00B47380" w:rsidRDefault="005D009F" w:rsidP="00D53B5F">
      <w:pPr>
        <w:pStyle w:val="SingleTxtG"/>
      </w:pPr>
      <w:r w:rsidRPr="00B47380">
        <w:t>56.</w:t>
      </w:r>
      <w:r w:rsidRPr="00B47380">
        <w:tab/>
        <w:t>Its Labour Inspection Division conducts on-site visits to detect irregularities, to investigate workers</w:t>
      </w:r>
      <w:r w:rsidR="006266F0">
        <w:t>’</w:t>
      </w:r>
      <w:r w:rsidRPr="00B47380">
        <w:t xml:space="preserve"> complaints and to apply sanctions. For instance, Article 23(1) of Law 21/2009 imposes a written contract with non-resident workers (fines between MOP$5,000 and MOP$10,000). Between 2014 and September 2018, the LAB opened 104 cases involving 279 workers on complaints for lack of contract. Of these, 232 made their claims successfully, 41 failed and 6 are waiting.</w:t>
      </w:r>
    </w:p>
    <w:p w14:paraId="1B84A762" w14:textId="00FA5063" w:rsidR="005D009F" w:rsidRPr="00B47380" w:rsidRDefault="005D009F" w:rsidP="00D53B5F">
      <w:pPr>
        <w:pStyle w:val="SingleTxtG"/>
      </w:pPr>
      <w:r w:rsidRPr="00B47380">
        <w:lastRenderedPageBreak/>
        <w:t>57.</w:t>
      </w:r>
      <w:r w:rsidRPr="00B47380">
        <w:tab/>
        <w:t xml:space="preserve">Article 16(a) of Decree-law 32/94/M on the Licensing Regime of Employment Agencies prohibits employment agencies from charging </w:t>
      </w:r>
      <w:proofErr w:type="gramStart"/>
      <w:r w:rsidRPr="00B47380">
        <w:t>jobseekers</w:t>
      </w:r>
      <w:proofErr w:type="gramEnd"/>
      <w:r w:rsidRPr="00B47380">
        <w:t xml:space="preserve"> fees except when they provide accommodation, where they can only charge till 1/6 of their salary (together with its Article 17(3)). Agencies are likewise forbidden to receive any workers</w:t>
      </w:r>
      <w:r w:rsidR="006266F0">
        <w:t>’</w:t>
      </w:r>
      <w:r w:rsidRPr="00B47380">
        <w:t xml:space="preserve"> salary (fines between MOP$10,000 and MOP$30,000). One prospective sanction is the cancellation of licence (Article 12). Between 2014 and September 2018, the LAB opened 29 cases regarding extra fees charged. Of these, 9 were substantiated and fined, 18 were unsubstantiated and 2 are pending.</w:t>
      </w:r>
    </w:p>
    <w:p w14:paraId="4B161246" w14:textId="77777777" w:rsidR="005D009F" w:rsidRPr="00B47380" w:rsidRDefault="005D009F" w:rsidP="00084034">
      <w:pPr>
        <w:pStyle w:val="H23G"/>
      </w:pPr>
      <w:r w:rsidRPr="00B47380">
        <w:tab/>
      </w:r>
      <w:r w:rsidRPr="00B47380">
        <w:tab/>
        <w:t xml:space="preserve">Child labour </w:t>
      </w:r>
    </w:p>
    <w:p w14:paraId="28C7DFB2" w14:textId="77777777" w:rsidR="005D009F" w:rsidRPr="00B47380" w:rsidRDefault="005D009F" w:rsidP="00D53B5F">
      <w:pPr>
        <w:pStyle w:val="SingleTxtG"/>
      </w:pPr>
      <w:r w:rsidRPr="00B47380">
        <w:t>58.</w:t>
      </w:r>
      <w:r w:rsidRPr="00B47380">
        <w:tab/>
        <w:t xml:space="preserve">In relation to child labour, the MSAR Government continues to be committed in its eradication. Work inspections were </w:t>
      </w:r>
      <w:proofErr w:type="gramStart"/>
      <w:r w:rsidRPr="00B47380">
        <w:t>increased</w:t>
      </w:r>
      <w:proofErr w:type="gramEnd"/>
      <w:r w:rsidRPr="00B47380">
        <w:t xml:space="preserve"> and penalties were applied accordingly. Between 2014 and September 2018, 301 cases involving 379 minors were opened (1 minor under 16).</w:t>
      </w:r>
    </w:p>
    <w:p w14:paraId="16DD8875" w14:textId="77777777" w:rsidR="005D009F" w:rsidRPr="00B47380" w:rsidRDefault="005D009F" w:rsidP="00D53B5F">
      <w:pPr>
        <w:pStyle w:val="SingleTxtG"/>
      </w:pPr>
      <w:r w:rsidRPr="00B47380">
        <w:t>59.</w:t>
      </w:r>
      <w:r w:rsidRPr="00B47380">
        <w:tab/>
        <w:t xml:space="preserve">The majority of the contraventions were related to the employment of minors without meeting the requirements, the absence of a medical certificate or written authorisation from the lawful representative while the majority of the administrative infringements were related to the failure to notify the LAB of the conclusion of labour contracts with minors or lack of a written contract. </w:t>
      </w:r>
    </w:p>
    <w:p w14:paraId="4BC8AD58" w14:textId="77777777" w:rsidR="005D009F" w:rsidRPr="00B47380" w:rsidRDefault="005D009F" w:rsidP="00084034">
      <w:pPr>
        <w:pStyle w:val="H23G"/>
      </w:pPr>
      <w:r w:rsidRPr="00B47380">
        <w:tab/>
      </w:r>
      <w:r w:rsidRPr="00B47380">
        <w:tab/>
        <w:t xml:space="preserve">Persons with disabilities </w:t>
      </w:r>
    </w:p>
    <w:p w14:paraId="6CAEF5B0" w14:textId="77777777" w:rsidR="005D009F" w:rsidRPr="00B47380" w:rsidRDefault="005D009F" w:rsidP="00D53B5F">
      <w:pPr>
        <w:pStyle w:val="SingleTxtG"/>
      </w:pPr>
      <w:r w:rsidRPr="00B47380">
        <w:t>60.</w:t>
      </w:r>
      <w:r w:rsidRPr="00B47380">
        <w:tab/>
        <w:t>Regarding paragraph 54 of the concluding observations, substantial changes were made in relation to persons with disabilities, especially the adoption of Law 8/2018 on Fiscal Benefits for Hiring Persons with Disabilities and the Rehabilitation Plan. The Commission for the Rehabilitation of Persons with Disabilities (Rehabilitation Commission) analyses their social integration into the labour market as well as monitors the execution of the Rehabilitation Plan.</w:t>
      </w:r>
    </w:p>
    <w:p w14:paraId="0F145049" w14:textId="77777777" w:rsidR="005D009F" w:rsidRPr="00B47380" w:rsidRDefault="005D009F" w:rsidP="00D53B5F">
      <w:pPr>
        <w:pStyle w:val="SingleTxtG"/>
      </w:pPr>
      <w:r w:rsidRPr="00B47380">
        <w:t>61.</w:t>
      </w:r>
      <w:r w:rsidRPr="00B47380">
        <w:tab/>
        <w:t>Law 8/2018 stipulates that employers who indicate the hiring of a worker with a valid disability assessment registration card that has worked for not less than 128 monthly hours (Article 2) may receive a maximum tax deduction of MOP$5,000 for that worker (Article 3).</w:t>
      </w:r>
    </w:p>
    <w:p w14:paraId="1958B100" w14:textId="196DA394" w:rsidR="005D009F" w:rsidRPr="00B47380" w:rsidRDefault="005D009F" w:rsidP="00D53B5F">
      <w:pPr>
        <w:pStyle w:val="SingleTxtG"/>
      </w:pPr>
      <w:r w:rsidRPr="00B47380">
        <w:t>62.</w:t>
      </w:r>
      <w:r w:rsidRPr="00B47380">
        <w:tab/>
        <w:t xml:space="preserve">Additionally, the </w:t>
      </w:r>
      <w:r w:rsidR="006266F0">
        <w:t>“</w:t>
      </w:r>
      <w:r w:rsidRPr="00B47380">
        <w:t>Temporary Measures for Income Subsidy</w:t>
      </w:r>
      <w:r w:rsidR="006266F0">
        <w:t>”</w:t>
      </w:r>
      <w:r w:rsidRPr="00B47380">
        <w:t xml:space="preserve"> launched in 2008 has been extended to include persons with disabilities since 2017 (AR 6/2008 as amended by AR 12/2017).</w:t>
      </w:r>
    </w:p>
    <w:p w14:paraId="7A8B147A" w14:textId="77777777" w:rsidR="005D009F" w:rsidRPr="00B47380" w:rsidRDefault="005D009F" w:rsidP="00D53B5F">
      <w:pPr>
        <w:pStyle w:val="SingleTxtG"/>
      </w:pPr>
      <w:r w:rsidRPr="00B47380">
        <w:t>63.</w:t>
      </w:r>
      <w:r w:rsidRPr="00B47380">
        <w:tab/>
        <w:t xml:space="preserve">There were respectively 80, 47, 81, 78 and 63 first-time jobseekers with disabilities registered between 2014 and 2018. During the same period, there were 35, 30, 36, 61 and 33 successful referrals, with 33, 29, 35, 57 and 33 being employed as clerks, in the service and sales industries and unskilled jobs. </w:t>
      </w:r>
    </w:p>
    <w:p w14:paraId="449D9776" w14:textId="77777777" w:rsidR="005D009F" w:rsidRPr="00B47380" w:rsidRDefault="005D009F" w:rsidP="00830DE7">
      <w:pPr>
        <w:pStyle w:val="H23G"/>
      </w:pPr>
      <w:r w:rsidRPr="00B47380">
        <w:tab/>
      </w:r>
      <w:r w:rsidRPr="00B47380">
        <w:tab/>
        <w:t>Persons with disabilities registered as jobseekers at the LAB</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66"/>
        <w:gridCol w:w="880"/>
        <w:gridCol w:w="881"/>
        <w:gridCol w:w="881"/>
        <w:gridCol w:w="881"/>
        <w:gridCol w:w="881"/>
      </w:tblGrid>
      <w:tr w:rsidR="005D009F" w:rsidRPr="00127FE8" w14:paraId="1C3F6D54" w14:textId="77777777" w:rsidTr="00E45843">
        <w:trPr>
          <w:cantSplit/>
          <w:tblHeader/>
        </w:trPr>
        <w:tc>
          <w:tcPr>
            <w:tcW w:w="2966" w:type="dxa"/>
            <w:tcBorders>
              <w:top w:val="single" w:sz="4" w:space="0" w:color="auto"/>
              <w:bottom w:val="single" w:sz="12" w:space="0" w:color="auto"/>
            </w:tcBorders>
            <w:shd w:val="clear" w:color="auto" w:fill="auto"/>
            <w:vAlign w:val="bottom"/>
          </w:tcPr>
          <w:p w14:paraId="6CC86F8B" w14:textId="4153C696" w:rsidR="005D009F" w:rsidRPr="00127FE8" w:rsidRDefault="005D009F" w:rsidP="00127FE8">
            <w:pPr>
              <w:pStyle w:val="SingleTxtG"/>
              <w:suppressAutoHyphens w:val="0"/>
              <w:spacing w:before="80" w:after="80" w:line="200" w:lineRule="exact"/>
              <w:ind w:left="0" w:right="113"/>
              <w:jc w:val="left"/>
              <w:rPr>
                <w:i/>
                <w:sz w:val="16"/>
              </w:rPr>
            </w:pPr>
            <w:r w:rsidRPr="00127FE8">
              <w:rPr>
                <w:i/>
                <w:sz w:val="16"/>
              </w:rPr>
              <w:t>Disabilities</w:t>
            </w:r>
            <w:r w:rsidR="00084034">
              <w:rPr>
                <w:i/>
                <w:sz w:val="16"/>
              </w:rPr>
              <w:t>/</w:t>
            </w:r>
            <w:r w:rsidRPr="00127FE8">
              <w:rPr>
                <w:i/>
                <w:sz w:val="16"/>
              </w:rPr>
              <w:t>Year</w:t>
            </w:r>
          </w:p>
        </w:tc>
        <w:tc>
          <w:tcPr>
            <w:tcW w:w="880" w:type="dxa"/>
            <w:tcBorders>
              <w:top w:val="single" w:sz="4" w:space="0" w:color="auto"/>
              <w:bottom w:val="single" w:sz="12" w:space="0" w:color="auto"/>
            </w:tcBorders>
            <w:shd w:val="clear" w:color="auto" w:fill="auto"/>
            <w:vAlign w:val="bottom"/>
          </w:tcPr>
          <w:p w14:paraId="606C13FE" w14:textId="77777777" w:rsidR="005D009F" w:rsidRPr="00127FE8" w:rsidRDefault="005D009F" w:rsidP="00127FE8">
            <w:pPr>
              <w:pStyle w:val="SingleTxtG"/>
              <w:suppressAutoHyphens w:val="0"/>
              <w:spacing w:before="80" w:after="80" w:line="200" w:lineRule="exact"/>
              <w:ind w:left="0" w:right="113"/>
              <w:jc w:val="right"/>
              <w:rPr>
                <w:i/>
                <w:sz w:val="16"/>
              </w:rPr>
            </w:pPr>
            <w:r w:rsidRPr="00127FE8">
              <w:rPr>
                <w:i/>
                <w:sz w:val="16"/>
              </w:rPr>
              <w:t>2014</w:t>
            </w:r>
          </w:p>
        </w:tc>
        <w:tc>
          <w:tcPr>
            <w:tcW w:w="881" w:type="dxa"/>
            <w:tcBorders>
              <w:top w:val="single" w:sz="4" w:space="0" w:color="auto"/>
              <w:bottom w:val="single" w:sz="12" w:space="0" w:color="auto"/>
            </w:tcBorders>
            <w:shd w:val="clear" w:color="auto" w:fill="auto"/>
            <w:vAlign w:val="bottom"/>
          </w:tcPr>
          <w:p w14:paraId="2D47D1B7" w14:textId="77777777" w:rsidR="005D009F" w:rsidRPr="00127FE8" w:rsidRDefault="005D009F" w:rsidP="00127FE8">
            <w:pPr>
              <w:pStyle w:val="SingleTxtG"/>
              <w:suppressAutoHyphens w:val="0"/>
              <w:spacing w:before="80" w:after="80" w:line="200" w:lineRule="exact"/>
              <w:ind w:left="0" w:right="113"/>
              <w:jc w:val="right"/>
              <w:rPr>
                <w:i/>
                <w:sz w:val="16"/>
              </w:rPr>
            </w:pPr>
            <w:r w:rsidRPr="00127FE8">
              <w:rPr>
                <w:i/>
                <w:sz w:val="16"/>
              </w:rPr>
              <w:t>2015</w:t>
            </w:r>
          </w:p>
        </w:tc>
        <w:tc>
          <w:tcPr>
            <w:tcW w:w="881" w:type="dxa"/>
            <w:tcBorders>
              <w:top w:val="single" w:sz="4" w:space="0" w:color="auto"/>
              <w:bottom w:val="single" w:sz="12" w:space="0" w:color="auto"/>
            </w:tcBorders>
            <w:shd w:val="clear" w:color="auto" w:fill="auto"/>
            <w:vAlign w:val="bottom"/>
          </w:tcPr>
          <w:p w14:paraId="3745162C" w14:textId="77777777" w:rsidR="005D009F" w:rsidRPr="00127FE8" w:rsidRDefault="005D009F" w:rsidP="00127FE8">
            <w:pPr>
              <w:pStyle w:val="SingleTxtG"/>
              <w:suppressAutoHyphens w:val="0"/>
              <w:spacing w:before="80" w:after="80" w:line="200" w:lineRule="exact"/>
              <w:ind w:left="0" w:right="113"/>
              <w:jc w:val="right"/>
              <w:rPr>
                <w:i/>
                <w:sz w:val="16"/>
              </w:rPr>
            </w:pPr>
            <w:r w:rsidRPr="00127FE8">
              <w:rPr>
                <w:i/>
                <w:sz w:val="16"/>
              </w:rPr>
              <w:t>2016</w:t>
            </w:r>
          </w:p>
        </w:tc>
        <w:tc>
          <w:tcPr>
            <w:tcW w:w="881" w:type="dxa"/>
            <w:tcBorders>
              <w:top w:val="single" w:sz="4" w:space="0" w:color="auto"/>
              <w:bottom w:val="single" w:sz="12" w:space="0" w:color="auto"/>
            </w:tcBorders>
            <w:shd w:val="clear" w:color="auto" w:fill="auto"/>
            <w:vAlign w:val="bottom"/>
          </w:tcPr>
          <w:p w14:paraId="707074C4" w14:textId="77777777" w:rsidR="005D009F" w:rsidRPr="00127FE8" w:rsidRDefault="005D009F" w:rsidP="00127FE8">
            <w:pPr>
              <w:pStyle w:val="SingleTxtG"/>
              <w:suppressAutoHyphens w:val="0"/>
              <w:spacing w:before="80" w:after="80" w:line="200" w:lineRule="exact"/>
              <w:ind w:left="0" w:right="113"/>
              <w:jc w:val="right"/>
              <w:rPr>
                <w:i/>
                <w:sz w:val="16"/>
              </w:rPr>
            </w:pPr>
            <w:r w:rsidRPr="00127FE8">
              <w:rPr>
                <w:i/>
                <w:sz w:val="16"/>
              </w:rPr>
              <w:t>2017</w:t>
            </w:r>
          </w:p>
        </w:tc>
        <w:tc>
          <w:tcPr>
            <w:tcW w:w="881" w:type="dxa"/>
            <w:tcBorders>
              <w:top w:val="single" w:sz="4" w:space="0" w:color="auto"/>
              <w:bottom w:val="single" w:sz="12" w:space="0" w:color="auto"/>
            </w:tcBorders>
            <w:shd w:val="clear" w:color="auto" w:fill="auto"/>
            <w:vAlign w:val="bottom"/>
          </w:tcPr>
          <w:p w14:paraId="253C7ACA" w14:textId="77777777" w:rsidR="005D009F" w:rsidRPr="00127FE8" w:rsidRDefault="005D009F" w:rsidP="00127FE8">
            <w:pPr>
              <w:pStyle w:val="SingleTxtG"/>
              <w:suppressAutoHyphens w:val="0"/>
              <w:spacing w:before="80" w:after="80" w:line="200" w:lineRule="exact"/>
              <w:ind w:left="0" w:right="113"/>
              <w:jc w:val="right"/>
              <w:rPr>
                <w:i/>
                <w:sz w:val="16"/>
              </w:rPr>
            </w:pPr>
            <w:r w:rsidRPr="00127FE8">
              <w:rPr>
                <w:i/>
                <w:sz w:val="16"/>
              </w:rPr>
              <w:t>09/2018</w:t>
            </w:r>
          </w:p>
        </w:tc>
      </w:tr>
      <w:tr w:rsidR="005D009F" w:rsidRPr="00127FE8" w14:paraId="3D6BADD2" w14:textId="77777777" w:rsidTr="00E45843">
        <w:trPr>
          <w:cantSplit/>
        </w:trPr>
        <w:tc>
          <w:tcPr>
            <w:tcW w:w="2966" w:type="dxa"/>
            <w:tcBorders>
              <w:top w:val="single" w:sz="12" w:space="0" w:color="auto"/>
            </w:tcBorders>
            <w:shd w:val="clear" w:color="auto" w:fill="auto"/>
          </w:tcPr>
          <w:p w14:paraId="4851F01B" w14:textId="14A8F98D" w:rsidR="005D009F" w:rsidRPr="00127FE8" w:rsidRDefault="005D009F" w:rsidP="00127FE8">
            <w:pPr>
              <w:pStyle w:val="SingleTxtG"/>
              <w:suppressAutoHyphens w:val="0"/>
              <w:spacing w:before="40" w:after="40" w:line="220" w:lineRule="exact"/>
              <w:ind w:left="0" w:right="113"/>
              <w:jc w:val="left"/>
              <w:rPr>
                <w:sz w:val="18"/>
              </w:rPr>
            </w:pPr>
            <w:r w:rsidRPr="00127FE8">
              <w:rPr>
                <w:sz w:val="18"/>
              </w:rPr>
              <w:t>Visual impairment</w:t>
            </w:r>
            <w:r w:rsidR="00084034">
              <w:rPr>
                <w:sz w:val="18"/>
              </w:rPr>
              <w:t>/</w:t>
            </w:r>
            <w:r w:rsidRPr="00127FE8">
              <w:rPr>
                <w:sz w:val="18"/>
              </w:rPr>
              <w:t>amblyopia</w:t>
            </w:r>
          </w:p>
        </w:tc>
        <w:tc>
          <w:tcPr>
            <w:tcW w:w="880" w:type="dxa"/>
            <w:tcBorders>
              <w:top w:val="single" w:sz="12" w:space="0" w:color="auto"/>
            </w:tcBorders>
            <w:shd w:val="clear" w:color="auto" w:fill="auto"/>
            <w:vAlign w:val="bottom"/>
          </w:tcPr>
          <w:p w14:paraId="0A750551"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2</w:t>
            </w:r>
          </w:p>
        </w:tc>
        <w:tc>
          <w:tcPr>
            <w:tcW w:w="881" w:type="dxa"/>
            <w:tcBorders>
              <w:top w:val="single" w:sz="12" w:space="0" w:color="auto"/>
            </w:tcBorders>
            <w:shd w:val="clear" w:color="auto" w:fill="auto"/>
            <w:vAlign w:val="bottom"/>
          </w:tcPr>
          <w:p w14:paraId="4659AF2B"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2</w:t>
            </w:r>
          </w:p>
        </w:tc>
        <w:tc>
          <w:tcPr>
            <w:tcW w:w="881" w:type="dxa"/>
            <w:tcBorders>
              <w:top w:val="single" w:sz="12" w:space="0" w:color="auto"/>
            </w:tcBorders>
            <w:shd w:val="clear" w:color="auto" w:fill="auto"/>
            <w:vAlign w:val="bottom"/>
          </w:tcPr>
          <w:p w14:paraId="79A1EE0B"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3</w:t>
            </w:r>
          </w:p>
        </w:tc>
        <w:tc>
          <w:tcPr>
            <w:tcW w:w="881" w:type="dxa"/>
            <w:tcBorders>
              <w:top w:val="single" w:sz="12" w:space="0" w:color="auto"/>
            </w:tcBorders>
            <w:shd w:val="clear" w:color="auto" w:fill="auto"/>
            <w:vAlign w:val="bottom"/>
          </w:tcPr>
          <w:p w14:paraId="54360BA3"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2</w:t>
            </w:r>
          </w:p>
        </w:tc>
        <w:tc>
          <w:tcPr>
            <w:tcW w:w="881" w:type="dxa"/>
            <w:tcBorders>
              <w:top w:val="single" w:sz="12" w:space="0" w:color="auto"/>
            </w:tcBorders>
            <w:shd w:val="clear" w:color="auto" w:fill="auto"/>
            <w:vAlign w:val="bottom"/>
          </w:tcPr>
          <w:p w14:paraId="38695EEE"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2</w:t>
            </w:r>
          </w:p>
        </w:tc>
      </w:tr>
      <w:tr w:rsidR="005D009F" w:rsidRPr="00127FE8" w14:paraId="60B687FA" w14:textId="77777777" w:rsidTr="00E45843">
        <w:trPr>
          <w:cantSplit/>
        </w:trPr>
        <w:tc>
          <w:tcPr>
            <w:tcW w:w="2966" w:type="dxa"/>
            <w:shd w:val="clear" w:color="auto" w:fill="auto"/>
          </w:tcPr>
          <w:p w14:paraId="66F83790" w14:textId="3E7246C8" w:rsidR="005D009F" w:rsidRPr="00127FE8" w:rsidRDefault="005D009F" w:rsidP="00127FE8">
            <w:pPr>
              <w:pStyle w:val="SingleTxtG"/>
              <w:suppressAutoHyphens w:val="0"/>
              <w:spacing w:before="40" w:after="40" w:line="220" w:lineRule="exact"/>
              <w:ind w:left="0" w:right="113"/>
              <w:jc w:val="left"/>
              <w:rPr>
                <w:sz w:val="18"/>
              </w:rPr>
            </w:pPr>
            <w:r w:rsidRPr="00127FE8">
              <w:rPr>
                <w:sz w:val="18"/>
              </w:rPr>
              <w:t>Deafness</w:t>
            </w:r>
            <w:r w:rsidR="00084034">
              <w:rPr>
                <w:sz w:val="18"/>
              </w:rPr>
              <w:t>/</w:t>
            </w:r>
            <w:r w:rsidRPr="00127FE8">
              <w:rPr>
                <w:sz w:val="18"/>
              </w:rPr>
              <w:t>hearing impairment</w:t>
            </w:r>
          </w:p>
        </w:tc>
        <w:tc>
          <w:tcPr>
            <w:tcW w:w="880" w:type="dxa"/>
            <w:shd w:val="clear" w:color="auto" w:fill="auto"/>
            <w:vAlign w:val="bottom"/>
          </w:tcPr>
          <w:p w14:paraId="5B788D31"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9</w:t>
            </w:r>
          </w:p>
        </w:tc>
        <w:tc>
          <w:tcPr>
            <w:tcW w:w="881" w:type="dxa"/>
            <w:shd w:val="clear" w:color="auto" w:fill="auto"/>
            <w:vAlign w:val="bottom"/>
          </w:tcPr>
          <w:p w14:paraId="3ACD70A2"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8</w:t>
            </w:r>
          </w:p>
        </w:tc>
        <w:tc>
          <w:tcPr>
            <w:tcW w:w="881" w:type="dxa"/>
            <w:shd w:val="clear" w:color="auto" w:fill="auto"/>
            <w:vAlign w:val="bottom"/>
          </w:tcPr>
          <w:p w14:paraId="7666DCE7"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9</w:t>
            </w:r>
          </w:p>
        </w:tc>
        <w:tc>
          <w:tcPr>
            <w:tcW w:w="881" w:type="dxa"/>
            <w:shd w:val="clear" w:color="auto" w:fill="auto"/>
            <w:vAlign w:val="bottom"/>
          </w:tcPr>
          <w:p w14:paraId="633572E4"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12</w:t>
            </w:r>
          </w:p>
        </w:tc>
        <w:tc>
          <w:tcPr>
            <w:tcW w:w="881" w:type="dxa"/>
            <w:shd w:val="clear" w:color="auto" w:fill="auto"/>
            <w:vAlign w:val="bottom"/>
          </w:tcPr>
          <w:p w14:paraId="1485811A"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12</w:t>
            </w:r>
          </w:p>
        </w:tc>
      </w:tr>
      <w:tr w:rsidR="005D009F" w:rsidRPr="00127FE8" w14:paraId="030D783D" w14:textId="77777777" w:rsidTr="00E45843">
        <w:trPr>
          <w:cantSplit/>
        </w:trPr>
        <w:tc>
          <w:tcPr>
            <w:tcW w:w="2966" w:type="dxa"/>
            <w:shd w:val="clear" w:color="auto" w:fill="auto"/>
          </w:tcPr>
          <w:p w14:paraId="558B713D" w14:textId="77777777" w:rsidR="005D009F" w:rsidRPr="00127FE8" w:rsidRDefault="005D009F" w:rsidP="00127FE8">
            <w:pPr>
              <w:pStyle w:val="SingleTxtG"/>
              <w:suppressAutoHyphens w:val="0"/>
              <w:spacing w:before="40" w:after="40" w:line="220" w:lineRule="exact"/>
              <w:ind w:left="0" w:right="113"/>
              <w:jc w:val="left"/>
              <w:rPr>
                <w:sz w:val="18"/>
              </w:rPr>
            </w:pPr>
            <w:r w:rsidRPr="00127FE8">
              <w:rPr>
                <w:sz w:val="18"/>
              </w:rPr>
              <w:t>Physical disability</w:t>
            </w:r>
          </w:p>
        </w:tc>
        <w:tc>
          <w:tcPr>
            <w:tcW w:w="880" w:type="dxa"/>
            <w:shd w:val="clear" w:color="auto" w:fill="auto"/>
            <w:vAlign w:val="bottom"/>
          </w:tcPr>
          <w:p w14:paraId="61840ED2"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29</w:t>
            </w:r>
          </w:p>
        </w:tc>
        <w:tc>
          <w:tcPr>
            <w:tcW w:w="881" w:type="dxa"/>
            <w:shd w:val="clear" w:color="auto" w:fill="auto"/>
            <w:vAlign w:val="bottom"/>
          </w:tcPr>
          <w:p w14:paraId="22396A14"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15</w:t>
            </w:r>
          </w:p>
        </w:tc>
        <w:tc>
          <w:tcPr>
            <w:tcW w:w="881" w:type="dxa"/>
            <w:shd w:val="clear" w:color="auto" w:fill="auto"/>
            <w:vAlign w:val="bottom"/>
          </w:tcPr>
          <w:p w14:paraId="0FA7484D"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22</w:t>
            </w:r>
          </w:p>
        </w:tc>
        <w:tc>
          <w:tcPr>
            <w:tcW w:w="881" w:type="dxa"/>
            <w:shd w:val="clear" w:color="auto" w:fill="auto"/>
            <w:vAlign w:val="bottom"/>
          </w:tcPr>
          <w:p w14:paraId="1F8D6CF2"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12</w:t>
            </w:r>
          </w:p>
        </w:tc>
        <w:tc>
          <w:tcPr>
            <w:tcW w:w="881" w:type="dxa"/>
            <w:shd w:val="clear" w:color="auto" w:fill="auto"/>
            <w:vAlign w:val="bottom"/>
          </w:tcPr>
          <w:p w14:paraId="0F993185"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12</w:t>
            </w:r>
          </w:p>
        </w:tc>
      </w:tr>
      <w:tr w:rsidR="005D009F" w:rsidRPr="00127FE8" w14:paraId="0C544BA8" w14:textId="77777777" w:rsidTr="00E45843">
        <w:trPr>
          <w:cantSplit/>
        </w:trPr>
        <w:tc>
          <w:tcPr>
            <w:tcW w:w="2966" w:type="dxa"/>
            <w:shd w:val="clear" w:color="auto" w:fill="auto"/>
          </w:tcPr>
          <w:p w14:paraId="36CA6320" w14:textId="77777777" w:rsidR="005D009F" w:rsidRPr="00127FE8" w:rsidRDefault="005D009F" w:rsidP="00127FE8">
            <w:pPr>
              <w:pStyle w:val="SingleTxtG"/>
              <w:suppressAutoHyphens w:val="0"/>
              <w:spacing w:before="40" w:after="40" w:line="220" w:lineRule="exact"/>
              <w:ind w:left="0" w:right="113"/>
              <w:jc w:val="left"/>
              <w:rPr>
                <w:sz w:val="18"/>
              </w:rPr>
            </w:pPr>
            <w:r w:rsidRPr="00127FE8">
              <w:rPr>
                <w:sz w:val="18"/>
              </w:rPr>
              <w:t>Ex-mentally ill persons</w:t>
            </w:r>
          </w:p>
        </w:tc>
        <w:tc>
          <w:tcPr>
            <w:tcW w:w="880" w:type="dxa"/>
            <w:shd w:val="clear" w:color="auto" w:fill="auto"/>
            <w:vAlign w:val="bottom"/>
          </w:tcPr>
          <w:p w14:paraId="0D49877D"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7</w:t>
            </w:r>
          </w:p>
        </w:tc>
        <w:tc>
          <w:tcPr>
            <w:tcW w:w="881" w:type="dxa"/>
            <w:shd w:val="clear" w:color="auto" w:fill="auto"/>
            <w:vAlign w:val="bottom"/>
          </w:tcPr>
          <w:p w14:paraId="58DF8E1E"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9</w:t>
            </w:r>
          </w:p>
        </w:tc>
        <w:tc>
          <w:tcPr>
            <w:tcW w:w="881" w:type="dxa"/>
            <w:shd w:val="clear" w:color="auto" w:fill="auto"/>
            <w:vAlign w:val="bottom"/>
          </w:tcPr>
          <w:p w14:paraId="135BE839"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9</w:t>
            </w:r>
          </w:p>
        </w:tc>
        <w:tc>
          <w:tcPr>
            <w:tcW w:w="881" w:type="dxa"/>
            <w:shd w:val="clear" w:color="auto" w:fill="auto"/>
            <w:vAlign w:val="bottom"/>
          </w:tcPr>
          <w:p w14:paraId="47E88595"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17</w:t>
            </w:r>
          </w:p>
        </w:tc>
        <w:tc>
          <w:tcPr>
            <w:tcW w:w="881" w:type="dxa"/>
            <w:shd w:val="clear" w:color="auto" w:fill="auto"/>
            <w:vAlign w:val="bottom"/>
          </w:tcPr>
          <w:p w14:paraId="3E598BC8"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11</w:t>
            </w:r>
          </w:p>
        </w:tc>
      </w:tr>
      <w:tr w:rsidR="005D009F" w:rsidRPr="00127FE8" w14:paraId="2058BDF9" w14:textId="77777777" w:rsidTr="00E45843">
        <w:trPr>
          <w:cantSplit/>
        </w:trPr>
        <w:tc>
          <w:tcPr>
            <w:tcW w:w="2966" w:type="dxa"/>
            <w:shd w:val="clear" w:color="auto" w:fill="auto"/>
          </w:tcPr>
          <w:p w14:paraId="18E710E6" w14:textId="77777777" w:rsidR="005D009F" w:rsidRPr="00127FE8" w:rsidRDefault="005D009F" w:rsidP="00127FE8">
            <w:pPr>
              <w:pStyle w:val="SingleTxtG"/>
              <w:suppressAutoHyphens w:val="0"/>
              <w:spacing w:before="40" w:after="40" w:line="220" w:lineRule="exact"/>
              <w:ind w:left="0" w:right="113"/>
              <w:jc w:val="left"/>
              <w:rPr>
                <w:sz w:val="18"/>
              </w:rPr>
            </w:pPr>
            <w:r w:rsidRPr="00127FE8">
              <w:rPr>
                <w:sz w:val="18"/>
              </w:rPr>
              <w:t>Intellectual disability</w:t>
            </w:r>
          </w:p>
        </w:tc>
        <w:tc>
          <w:tcPr>
            <w:tcW w:w="880" w:type="dxa"/>
            <w:shd w:val="clear" w:color="auto" w:fill="auto"/>
            <w:vAlign w:val="bottom"/>
          </w:tcPr>
          <w:p w14:paraId="7380091D"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27</w:t>
            </w:r>
          </w:p>
        </w:tc>
        <w:tc>
          <w:tcPr>
            <w:tcW w:w="881" w:type="dxa"/>
            <w:shd w:val="clear" w:color="auto" w:fill="auto"/>
            <w:vAlign w:val="bottom"/>
          </w:tcPr>
          <w:p w14:paraId="11EA9B45"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9</w:t>
            </w:r>
          </w:p>
        </w:tc>
        <w:tc>
          <w:tcPr>
            <w:tcW w:w="881" w:type="dxa"/>
            <w:shd w:val="clear" w:color="auto" w:fill="auto"/>
            <w:vAlign w:val="bottom"/>
          </w:tcPr>
          <w:p w14:paraId="705351BF"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29</w:t>
            </w:r>
          </w:p>
        </w:tc>
        <w:tc>
          <w:tcPr>
            <w:tcW w:w="881" w:type="dxa"/>
            <w:shd w:val="clear" w:color="auto" w:fill="auto"/>
            <w:vAlign w:val="bottom"/>
          </w:tcPr>
          <w:p w14:paraId="4774089E"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28</w:t>
            </w:r>
          </w:p>
        </w:tc>
        <w:tc>
          <w:tcPr>
            <w:tcW w:w="881" w:type="dxa"/>
            <w:shd w:val="clear" w:color="auto" w:fill="auto"/>
            <w:vAlign w:val="bottom"/>
          </w:tcPr>
          <w:p w14:paraId="497B7588"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14</w:t>
            </w:r>
          </w:p>
        </w:tc>
      </w:tr>
      <w:tr w:rsidR="005D009F" w:rsidRPr="00127FE8" w14:paraId="583798CE" w14:textId="77777777" w:rsidTr="00E45843">
        <w:trPr>
          <w:cantSplit/>
        </w:trPr>
        <w:tc>
          <w:tcPr>
            <w:tcW w:w="2966" w:type="dxa"/>
            <w:shd w:val="clear" w:color="auto" w:fill="auto"/>
          </w:tcPr>
          <w:p w14:paraId="077CAB96" w14:textId="77777777" w:rsidR="005D009F" w:rsidRPr="00127FE8" w:rsidRDefault="005D009F" w:rsidP="00127FE8">
            <w:pPr>
              <w:pStyle w:val="SingleTxtG"/>
              <w:suppressAutoHyphens w:val="0"/>
              <w:spacing w:before="40" w:after="40" w:line="220" w:lineRule="exact"/>
              <w:ind w:left="0" w:right="113"/>
              <w:jc w:val="left"/>
              <w:rPr>
                <w:sz w:val="18"/>
              </w:rPr>
            </w:pPr>
            <w:r w:rsidRPr="00127FE8">
              <w:rPr>
                <w:sz w:val="18"/>
              </w:rPr>
              <w:t>Speech impairment</w:t>
            </w:r>
          </w:p>
        </w:tc>
        <w:tc>
          <w:tcPr>
            <w:tcW w:w="880" w:type="dxa"/>
            <w:shd w:val="clear" w:color="auto" w:fill="auto"/>
            <w:vAlign w:val="bottom"/>
          </w:tcPr>
          <w:p w14:paraId="54CF60D3"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1</w:t>
            </w:r>
          </w:p>
        </w:tc>
        <w:tc>
          <w:tcPr>
            <w:tcW w:w="881" w:type="dxa"/>
            <w:shd w:val="clear" w:color="auto" w:fill="auto"/>
            <w:vAlign w:val="bottom"/>
          </w:tcPr>
          <w:p w14:paraId="32C2557F"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0</w:t>
            </w:r>
          </w:p>
        </w:tc>
        <w:tc>
          <w:tcPr>
            <w:tcW w:w="881" w:type="dxa"/>
            <w:shd w:val="clear" w:color="auto" w:fill="auto"/>
            <w:vAlign w:val="bottom"/>
          </w:tcPr>
          <w:p w14:paraId="6456B09E"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0</w:t>
            </w:r>
          </w:p>
        </w:tc>
        <w:tc>
          <w:tcPr>
            <w:tcW w:w="881" w:type="dxa"/>
            <w:shd w:val="clear" w:color="auto" w:fill="auto"/>
            <w:vAlign w:val="bottom"/>
          </w:tcPr>
          <w:p w14:paraId="6CC2822D"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0</w:t>
            </w:r>
          </w:p>
        </w:tc>
        <w:tc>
          <w:tcPr>
            <w:tcW w:w="881" w:type="dxa"/>
            <w:shd w:val="clear" w:color="auto" w:fill="auto"/>
            <w:vAlign w:val="bottom"/>
          </w:tcPr>
          <w:p w14:paraId="7D08DDF2"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2</w:t>
            </w:r>
          </w:p>
        </w:tc>
      </w:tr>
      <w:tr w:rsidR="005D009F" w:rsidRPr="00127FE8" w14:paraId="50AD2307" w14:textId="77777777" w:rsidTr="00E45843">
        <w:trPr>
          <w:cantSplit/>
        </w:trPr>
        <w:tc>
          <w:tcPr>
            <w:tcW w:w="2966" w:type="dxa"/>
            <w:shd w:val="clear" w:color="auto" w:fill="auto"/>
          </w:tcPr>
          <w:p w14:paraId="67EDF578" w14:textId="77777777" w:rsidR="005D009F" w:rsidRPr="00127FE8" w:rsidRDefault="005D009F" w:rsidP="00127FE8">
            <w:pPr>
              <w:pStyle w:val="SingleTxtG"/>
              <w:suppressAutoHyphens w:val="0"/>
              <w:spacing w:before="40" w:after="40" w:line="220" w:lineRule="exact"/>
              <w:ind w:left="0" w:right="113"/>
              <w:jc w:val="left"/>
              <w:rPr>
                <w:sz w:val="18"/>
              </w:rPr>
            </w:pPr>
            <w:r w:rsidRPr="00127FE8">
              <w:rPr>
                <w:sz w:val="18"/>
              </w:rPr>
              <w:t>Multiple disabilities</w:t>
            </w:r>
          </w:p>
        </w:tc>
        <w:tc>
          <w:tcPr>
            <w:tcW w:w="880" w:type="dxa"/>
            <w:shd w:val="clear" w:color="auto" w:fill="auto"/>
            <w:vAlign w:val="bottom"/>
          </w:tcPr>
          <w:p w14:paraId="2EEEE63E"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4</w:t>
            </w:r>
          </w:p>
        </w:tc>
        <w:tc>
          <w:tcPr>
            <w:tcW w:w="881" w:type="dxa"/>
            <w:shd w:val="clear" w:color="auto" w:fill="auto"/>
            <w:vAlign w:val="bottom"/>
          </w:tcPr>
          <w:p w14:paraId="1E03B6B6"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2</w:t>
            </w:r>
          </w:p>
        </w:tc>
        <w:tc>
          <w:tcPr>
            <w:tcW w:w="881" w:type="dxa"/>
            <w:shd w:val="clear" w:color="auto" w:fill="auto"/>
            <w:vAlign w:val="bottom"/>
          </w:tcPr>
          <w:p w14:paraId="0F8523F6"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4</w:t>
            </w:r>
          </w:p>
        </w:tc>
        <w:tc>
          <w:tcPr>
            <w:tcW w:w="881" w:type="dxa"/>
            <w:shd w:val="clear" w:color="auto" w:fill="auto"/>
            <w:vAlign w:val="bottom"/>
          </w:tcPr>
          <w:p w14:paraId="01C13E8E"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5</w:t>
            </w:r>
          </w:p>
        </w:tc>
        <w:tc>
          <w:tcPr>
            <w:tcW w:w="881" w:type="dxa"/>
            <w:shd w:val="clear" w:color="auto" w:fill="auto"/>
            <w:vAlign w:val="bottom"/>
          </w:tcPr>
          <w:p w14:paraId="6D898B2D"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7</w:t>
            </w:r>
          </w:p>
        </w:tc>
      </w:tr>
      <w:tr w:rsidR="005D009F" w:rsidRPr="00127FE8" w14:paraId="17DA0D9D" w14:textId="77777777" w:rsidTr="00E45843">
        <w:trPr>
          <w:cantSplit/>
        </w:trPr>
        <w:tc>
          <w:tcPr>
            <w:tcW w:w="2966" w:type="dxa"/>
            <w:shd w:val="clear" w:color="auto" w:fill="auto"/>
          </w:tcPr>
          <w:p w14:paraId="1D25A0AE" w14:textId="77777777" w:rsidR="005D009F" w:rsidRPr="00127FE8" w:rsidRDefault="005D009F" w:rsidP="00127FE8">
            <w:pPr>
              <w:pStyle w:val="SingleTxtG"/>
              <w:suppressAutoHyphens w:val="0"/>
              <w:spacing w:before="40" w:after="40" w:line="220" w:lineRule="exact"/>
              <w:ind w:left="0" w:right="113"/>
              <w:jc w:val="left"/>
              <w:rPr>
                <w:sz w:val="18"/>
              </w:rPr>
            </w:pPr>
            <w:r w:rsidRPr="00127FE8">
              <w:rPr>
                <w:sz w:val="18"/>
              </w:rPr>
              <w:t>Others</w:t>
            </w:r>
          </w:p>
        </w:tc>
        <w:tc>
          <w:tcPr>
            <w:tcW w:w="880" w:type="dxa"/>
            <w:shd w:val="clear" w:color="auto" w:fill="auto"/>
            <w:vAlign w:val="bottom"/>
          </w:tcPr>
          <w:p w14:paraId="47920495"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1</w:t>
            </w:r>
          </w:p>
        </w:tc>
        <w:tc>
          <w:tcPr>
            <w:tcW w:w="881" w:type="dxa"/>
            <w:shd w:val="clear" w:color="auto" w:fill="auto"/>
            <w:vAlign w:val="bottom"/>
          </w:tcPr>
          <w:p w14:paraId="47C6AC02"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2</w:t>
            </w:r>
          </w:p>
        </w:tc>
        <w:tc>
          <w:tcPr>
            <w:tcW w:w="881" w:type="dxa"/>
            <w:shd w:val="clear" w:color="auto" w:fill="auto"/>
            <w:vAlign w:val="bottom"/>
          </w:tcPr>
          <w:p w14:paraId="2BC1A770"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5</w:t>
            </w:r>
          </w:p>
        </w:tc>
        <w:tc>
          <w:tcPr>
            <w:tcW w:w="881" w:type="dxa"/>
            <w:shd w:val="clear" w:color="auto" w:fill="auto"/>
            <w:vAlign w:val="bottom"/>
          </w:tcPr>
          <w:p w14:paraId="3F413DF1"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2</w:t>
            </w:r>
          </w:p>
        </w:tc>
        <w:tc>
          <w:tcPr>
            <w:tcW w:w="881" w:type="dxa"/>
            <w:shd w:val="clear" w:color="auto" w:fill="auto"/>
            <w:vAlign w:val="bottom"/>
          </w:tcPr>
          <w:p w14:paraId="44F2209D" w14:textId="77777777" w:rsidR="005D009F" w:rsidRPr="00127FE8" w:rsidRDefault="005D009F" w:rsidP="00127FE8">
            <w:pPr>
              <w:pStyle w:val="SingleTxtG"/>
              <w:suppressAutoHyphens w:val="0"/>
              <w:spacing w:before="40" w:after="40" w:line="220" w:lineRule="exact"/>
              <w:ind w:left="0" w:right="113"/>
              <w:jc w:val="right"/>
              <w:rPr>
                <w:sz w:val="18"/>
              </w:rPr>
            </w:pPr>
            <w:r w:rsidRPr="00127FE8">
              <w:rPr>
                <w:sz w:val="18"/>
              </w:rPr>
              <w:t>3</w:t>
            </w:r>
          </w:p>
        </w:tc>
      </w:tr>
    </w:tbl>
    <w:p w14:paraId="23490D10" w14:textId="71A78539" w:rsidR="005D009F" w:rsidRPr="00245054" w:rsidRDefault="005D009F" w:rsidP="00245054">
      <w:pPr>
        <w:spacing w:before="120" w:after="240"/>
        <w:ind w:left="1134" w:right="1134" w:firstLine="170"/>
        <w:rPr>
          <w:sz w:val="18"/>
        </w:rPr>
      </w:pPr>
      <w:r w:rsidRPr="00245054">
        <w:rPr>
          <w:i/>
          <w:iCs/>
          <w:sz w:val="18"/>
        </w:rPr>
        <w:t>Source</w:t>
      </w:r>
      <w:r w:rsidRPr="00245054">
        <w:rPr>
          <w:sz w:val="18"/>
        </w:rPr>
        <w:t xml:space="preserve">: </w:t>
      </w:r>
      <w:r w:rsidR="00935647">
        <w:rPr>
          <w:sz w:val="18"/>
        </w:rPr>
        <w:t xml:space="preserve"> </w:t>
      </w:r>
      <w:r w:rsidRPr="00245054">
        <w:rPr>
          <w:sz w:val="18"/>
        </w:rPr>
        <w:t>LAB.</w:t>
      </w:r>
    </w:p>
    <w:p w14:paraId="4486EE29" w14:textId="22EB3F99" w:rsidR="005D009F" w:rsidRPr="00B47380" w:rsidRDefault="005D009F" w:rsidP="00D53B5F">
      <w:pPr>
        <w:pStyle w:val="SingleTxtG"/>
      </w:pPr>
      <w:r w:rsidRPr="00B47380">
        <w:lastRenderedPageBreak/>
        <w:t>64.</w:t>
      </w:r>
      <w:r w:rsidRPr="00B47380">
        <w:tab/>
        <w:t>Between 2014 and September 2018, 42 activities for supporting the employment of persons with disabilities were organised within the LAB</w:t>
      </w:r>
      <w:r w:rsidR="006266F0">
        <w:t>’</w:t>
      </w:r>
      <w:r w:rsidRPr="00B47380">
        <w:t xml:space="preserve">s </w:t>
      </w:r>
      <w:r w:rsidR="006266F0">
        <w:t>“</w:t>
      </w:r>
      <w:r w:rsidRPr="00B47380">
        <w:t>Task Force for Capacity Development</w:t>
      </w:r>
      <w:r w:rsidR="006266F0">
        <w:t>”</w:t>
      </w:r>
      <w:r w:rsidRPr="00B47380">
        <w:t xml:space="preserve"> programme (e.g. job matching or career counselling, interview assistance, post-employment follow-up visits). Among them, 23 were lectures on employment counselling, 10 were mock interview workshops, 6 were employment services presentations and 3 were forums and seminars. </w:t>
      </w:r>
    </w:p>
    <w:p w14:paraId="076B8273" w14:textId="62018E59" w:rsidR="005D009F" w:rsidRPr="00B47380" w:rsidRDefault="005D009F" w:rsidP="00D53B5F">
      <w:pPr>
        <w:pStyle w:val="SingleTxtG"/>
      </w:pPr>
      <w:r w:rsidRPr="00B47380">
        <w:t>65.</w:t>
      </w:r>
      <w:r w:rsidRPr="00B47380">
        <w:tab/>
        <w:t xml:space="preserve">The </w:t>
      </w:r>
      <w:r w:rsidR="006266F0">
        <w:t>“</w:t>
      </w:r>
      <w:r w:rsidRPr="00B47380">
        <w:t>Award Scheme for Employers Hiring the Disabled</w:t>
      </w:r>
      <w:r w:rsidR="006266F0">
        <w:t>”</w:t>
      </w:r>
      <w:r w:rsidRPr="00B47380">
        <w:t xml:space="preserve"> and </w:t>
      </w:r>
      <w:r w:rsidR="006266F0">
        <w:t>“</w:t>
      </w:r>
      <w:r w:rsidRPr="00B47380">
        <w:t>Award Scheme for Outstanding Disabled Employees</w:t>
      </w:r>
      <w:r w:rsidR="006266F0">
        <w:t>”</w:t>
      </w:r>
      <w:r w:rsidRPr="00B47380">
        <w:t>, co-organised by the LAB and SWB biennially, continue to be major initiatives. The number of nominated enterprises raised from 69 in 2015 to 78 in 2017. Between 2014 and 2018, 205 (109 males and 96 females) employees with intellectual or physical disabilities, deafness/hearing impairment and other disabilities were nominated as outstanding employees.</w:t>
      </w:r>
    </w:p>
    <w:p w14:paraId="42782A4D" w14:textId="31A6054D" w:rsidR="005D009F" w:rsidRPr="00B47380" w:rsidRDefault="005D009F" w:rsidP="00D53B5F">
      <w:pPr>
        <w:pStyle w:val="SingleTxtG"/>
      </w:pPr>
      <w:r w:rsidRPr="00B47380">
        <w:t>66.</w:t>
      </w:r>
      <w:r w:rsidRPr="00B47380">
        <w:tab/>
        <w:t xml:space="preserve">The </w:t>
      </w:r>
      <w:r w:rsidR="006266F0">
        <w:t>“</w:t>
      </w:r>
      <w:r w:rsidRPr="00B47380">
        <w:t>Summer Work Experience Activity</w:t>
      </w:r>
      <w:r w:rsidR="006266F0">
        <w:t>”</w:t>
      </w:r>
      <w:r w:rsidRPr="00B47380">
        <w:t xml:space="preserve"> encourages enterprises to hire students with disabilities, with 107 participants (61 males and 46 females) aged between 17 and 24 until 2018. Among them, 72 had intellectual disability, 7 physical disability, 2 hearing impairment, 3 autism, 17 learning disability and 6 multiple disabilities.</w:t>
      </w:r>
    </w:p>
    <w:p w14:paraId="16FBB27A" w14:textId="77777777" w:rsidR="005D009F" w:rsidRPr="00B47380" w:rsidRDefault="005D009F" w:rsidP="00245054">
      <w:pPr>
        <w:pStyle w:val="H23G"/>
      </w:pPr>
      <w:r w:rsidRPr="00B47380">
        <w:tab/>
      </w:r>
      <w:r w:rsidRPr="00B47380">
        <w:tab/>
        <w:t>Measures to guarantee the right to work</w:t>
      </w:r>
    </w:p>
    <w:p w14:paraId="50FAB861" w14:textId="77777777" w:rsidR="005D009F" w:rsidRPr="00B47380" w:rsidRDefault="005D009F" w:rsidP="00D53B5F">
      <w:pPr>
        <w:pStyle w:val="SingleTxtG"/>
      </w:pPr>
      <w:r w:rsidRPr="00B47380">
        <w:t>67.</w:t>
      </w:r>
      <w:r w:rsidRPr="00B47380">
        <w:tab/>
        <w:t>The Government continues to adopt measures and programmes on job promotion/allocation, youth employment, re-qualification and professional training. Gaming, tourism and services remain the major industries in the MSAR.</w:t>
      </w:r>
    </w:p>
    <w:p w14:paraId="3D8034B5" w14:textId="5CE5DDCC" w:rsidR="005D009F" w:rsidRPr="00B47380" w:rsidRDefault="005D009F" w:rsidP="00D53B5F">
      <w:pPr>
        <w:pStyle w:val="SingleTxtG"/>
      </w:pPr>
      <w:r w:rsidRPr="00B47380">
        <w:t>68.</w:t>
      </w:r>
      <w:r w:rsidRPr="00B47380">
        <w:tab/>
        <w:t>The LAB</w:t>
      </w:r>
      <w:r w:rsidR="006266F0">
        <w:t>’</w:t>
      </w:r>
      <w:r w:rsidRPr="00B47380">
        <w:t>s courses include apprenticeship training, certification-linked training, on-the-job training and skills enhancement training. There were 12,633 trainees aged between 15 and 34, accounting for 39.9% of all trainees while persons aged 55 or above totalled 5,090, accounting for 16.1%. Additionally, 7,365 certificates of different levels were issued to young people aged between 15 and 34, accounting for 55.9% of certificates issued.</w:t>
      </w:r>
    </w:p>
    <w:p w14:paraId="7A72EAED" w14:textId="62491CB1" w:rsidR="005D009F" w:rsidRPr="00B47380" w:rsidRDefault="005D009F" w:rsidP="00D53B5F">
      <w:pPr>
        <w:pStyle w:val="SingleTxtG"/>
      </w:pPr>
      <w:r w:rsidRPr="00B47380">
        <w:t>69.</w:t>
      </w:r>
      <w:r w:rsidRPr="00B47380">
        <w:tab/>
        <w:t xml:space="preserve">The LAB also works with youth NGOs, organising the </w:t>
      </w:r>
      <w:r w:rsidR="006266F0">
        <w:t>“</w:t>
      </w:r>
      <w:r w:rsidRPr="00B47380">
        <w:t>Youth Career Expo</w:t>
      </w:r>
      <w:r w:rsidR="006266F0">
        <w:t>”</w:t>
      </w:r>
      <w:r w:rsidRPr="00B47380">
        <w:t xml:space="preserve"> and other activities, as a platform to help young people develop their career path, understand labour market trends and improve interview and communication skills.</w:t>
      </w:r>
    </w:p>
    <w:p w14:paraId="25AB8ADF" w14:textId="77777777" w:rsidR="005D009F" w:rsidRPr="00B47380" w:rsidRDefault="005D009F" w:rsidP="00245054">
      <w:pPr>
        <w:pStyle w:val="H23G"/>
      </w:pPr>
      <w:r w:rsidRPr="00B47380">
        <w:tab/>
      </w:r>
      <w:r w:rsidRPr="00B47380">
        <w:tab/>
        <w:t>Youth Employment activities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42"/>
        <w:gridCol w:w="745"/>
        <w:gridCol w:w="746"/>
        <w:gridCol w:w="745"/>
        <w:gridCol w:w="746"/>
        <w:gridCol w:w="746"/>
      </w:tblGrid>
      <w:tr w:rsidR="005D009F" w:rsidRPr="00FE0062" w14:paraId="3DB02908" w14:textId="77777777" w:rsidTr="00E45843">
        <w:trPr>
          <w:cantSplit/>
          <w:tblHeader/>
        </w:trPr>
        <w:tc>
          <w:tcPr>
            <w:tcW w:w="3642" w:type="dxa"/>
            <w:tcBorders>
              <w:top w:val="single" w:sz="4" w:space="0" w:color="auto"/>
              <w:bottom w:val="single" w:sz="12" w:space="0" w:color="auto"/>
            </w:tcBorders>
            <w:shd w:val="clear" w:color="auto" w:fill="auto"/>
            <w:vAlign w:val="bottom"/>
          </w:tcPr>
          <w:p w14:paraId="40FB61C2" w14:textId="77777777" w:rsidR="005D009F" w:rsidRPr="00FE0062" w:rsidRDefault="005D009F" w:rsidP="00FE0062">
            <w:pPr>
              <w:pStyle w:val="SingleTxtG"/>
              <w:suppressAutoHyphens w:val="0"/>
              <w:spacing w:before="80" w:after="80" w:line="200" w:lineRule="exact"/>
              <w:ind w:left="0" w:right="113"/>
              <w:jc w:val="left"/>
              <w:rPr>
                <w:i/>
                <w:sz w:val="16"/>
              </w:rPr>
            </w:pPr>
            <w:r w:rsidRPr="00FE0062">
              <w:rPr>
                <w:i/>
                <w:sz w:val="16"/>
              </w:rPr>
              <w:t>Activities/Years</w:t>
            </w:r>
          </w:p>
        </w:tc>
        <w:tc>
          <w:tcPr>
            <w:tcW w:w="745" w:type="dxa"/>
            <w:tcBorders>
              <w:top w:val="single" w:sz="4" w:space="0" w:color="auto"/>
              <w:bottom w:val="single" w:sz="12" w:space="0" w:color="auto"/>
            </w:tcBorders>
            <w:shd w:val="clear" w:color="auto" w:fill="auto"/>
            <w:vAlign w:val="bottom"/>
          </w:tcPr>
          <w:p w14:paraId="06E213AA" w14:textId="77777777" w:rsidR="005D009F" w:rsidRPr="00FE0062" w:rsidRDefault="005D009F" w:rsidP="00FE0062">
            <w:pPr>
              <w:pStyle w:val="SingleTxtG"/>
              <w:suppressAutoHyphens w:val="0"/>
              <w:spacing w:before="80" w:after="80" w:line="200" w:lineRule="exact"/>
              <w:ind w:left="0" w:right="113"/>
              <w:jc w:val="right"/>
              <w:rPr>
                <w:i/>
                <w:sz w:val="16"/>
              </w:rPr>
            </w:pPr>
            <w:r w:rsidRPr="00FE0062">
              <w:rPr>
                <w:i/>
                <w:sz w:val="16"/>
              </w:rPr>
              <w:t>2014</w:t>
            </w:r>
          </w:p>
        </w:tc>
        <w:tc>
          <w:tcPr>
            <w:tcW w:w="746" w:type="dxa"/>
            <w:tcBorders>
              <w:top w:val="single" w:sz="4" w:space="0" w:color="auto"/>
              <w:bottom w:val="single" w:sz="12" w:space="0" w:color="auto"/>
            </w:tcBorders>
            <w:shd w:val="clear" w:color="auto" w:fill="auto"/>
            <w:vAlign w:val="bottom"/>
          </w:tcPr>
          <w:p w14:paraId="2A191F79" w14:textId="77777777" w:rsidR="005D009F" w:rsidRPr="00FE0062" w:rsidRDefault="005D009F" w:rsidP="00FE0062">
            <w:pPr>
              <w:pStyle w:val="SingleTxtG"/>
              <w:suppressAutoHyphens w:val="0"/>
              <w:spacing w:before="80" w:after="80" w:line="200" w:lineRule="exact"/>
              <w:ind w:left="0" w:right="113"/>
              <w:jc w:val="right"/>
              <w:rPr>
                <w:i/>
                <w:sz w:val="16"/>
              </w:rPr>
            </w:pPr>
            <w:r w:rsidRPr="00FE0062">
              <w:rPr>
                <w:i/>
                <w:sz w:val="16"/>
              </w:rPr>
              <w:t>2015</w:t>
            </w:r>
          </w:p>
        </w:tc>
        <w:tc>
          <w:tcPr>
            <w:tcW w:w="745" w:type="dxa"/>
            <w:tcBorders>
              <w:top w:val="single" w:sz="4" w:space="0" w:color="auto"/>
              <w:bottom w:val="single" w:sz="12" w:space="0" w:color="auto"/>
            </w:tcBorders>
            <w:shd w:val="clear" w:color="auto" w:fill="auto"/>
            <w:vAlign w:val="bottom"/>
          </w:tcPr>
          <w:p w14:paraId="20D94012" w14:textId="77777777" w:rsidR="005D009F" w:rsidRPr="00FE0062" w:rsidRDefault="005D009F" w:rsidP="00FE0062">
            <w:pPr>
              <w:pStyle w:val="SingleTxtG"/>
              <w:suppressAutoHyphens w:val="0"/>
              <w:spacing w:before="80" w:after="80" w:line="200" w:lineRule="exact"/>
              <w:ind w:left="0" w:right="113"/>
              <w:jc w:val="right"/>
              <w:rPr>
                <w:i/>
                <w:sz w:val="16"/>
              </w:rPr>
            </w:pPr>
            <w:r w:rsidRPr="00FE0062">
              <w:rPr>
                <w:i/>
                <w:sz w:val="16"/>
              </w:rPr>
              <w:t>2016</w:t>
            </w:r>
          </w:p>
        </w:tc>
        <w:tc>
          <w:tcPr>
            <w:tcW w:w="746" w:type="dxa"/>
            <w:tcBorders>
              <w:top w:val="single" w:sz="4" w:space="0" w:color="auto"/>
              <w:bottom w:val="single" w:sz="12" w:space="0" w:color="auto"/>
            </w:tcBorders>
            <w:shd w:val="clear" w:color="auto" w:fill="auto"/>
            <w:vAlign w:val="bottom"/>
          </w:tcPr>
          <w:p w14:paraId="497BC795" w14:textId="77777777" w:rsidR="005D009F" w:rsidRPr="00FE0062" w:rsidRDefault="005D009F" w:rsidP="00FE0062">
            <w:pPr>
              <w:pStyle w:val="SingleTxtG"/>
              <w:suppressAutoHyphens w:val="0"/>
              <w:spacing w:before="80" w:after="80" w:line="200" w:lineRule="exact"/>
              <w:ind w:left="0" w:right="113"/>
              <w:jc w:val="right"/>
              <w:rPr>
                <w:i/>
                <w:sz w:val="16"/>
              </w:rPr>
            </w:pPr>
            <w:r w:rsidRPr="00FE0062">
              <w:rPr>
                <w:i/>
                <w:sz w:val="16"/>
              </w:rPr>
              <w:t>2017</w:t>
            </w:r>
          </w:p>
        </w:tc>
        <w:tc>
          <w:tcPr>
            <w:tcW w:w="746" w:type="dxa"/>
            <w:tcBorders>
              <w:top w:val="single" w:sz="4" w:space="0" w:color="auto"/>
              <w:bottom w:val="single" w:sz="12" w:space="0" w:color="auto"/>
            </w:tcBorders>
            <w:shd w:val="clear" w:color="auto" w:fill="auto"/>
            <w:vAlign w:val="bottom"/>
          </w:tcPr>
          <w:p w14:paraId="2CA47F30" w14:textId="77777777" w:rsidR="005D009F" w:rsidRPr="00FE0062" w:rsidRDefault="005D009F" w:rsidP="00FE0062">
            <w:pPr>
              <w:pStyle w:val="SingleTxtG"/>
              <w:suppressAutoHyphens w:val="0"/>
              <w:spacing w:before="80" w:after="80" w:line="200" w:lineRule="exact"/>
              <w:ind w:left="0" w:right="113"/>
              <w:jc w:val="right"/>
              <w:rPr>
                <w:i/>
                <w:sz w:val="16"/>
              </w:rPr>
            </w:pPr>
            <w:r w:rsidRPr="00FE0062">
              <w:rPr>
                <w:i/>
                <w:sz w:val="16"/>
              </w:rPr>
              <w:t>09/2018</w:t>
            </w:r>
          </w:p>
        </w:tc>
      </w:tr>
      <w:tr w:rsidR="005D009F" w:rsidRPr="00FE0062" w14:paraId="43E2999D" w14:textId="77777777" w:rsidTr="00E45843">
        <w:trPr>
          <w:cantSplit/>
        </w:trPr>
        <w:tc>
          <w:tcPr>
            <w:tcW w:w="3642" w:type="dxa"/>
            <w:tcBorders>
              <w:top w:val="single" w:sz="12" w:space="0" w:color="auto"/>
            </w:tcBorders>
            <w:shd w:val="clear" w:color="auto" w:fill="auto"/>
          </w:tcPr>
          <w:p w14:paraId="2A22F485" w14:textId="742A1AD7" w:rsidR="005D009F" w:rsidRPr="00FE0062" w:rsidRDefault="005D009F" w:rsidP="00FE0062">
            <w:pPr>
              <w:pStyle w:val="SingleTxtG"/>
              <w:suppressAutoHyphens w:val="0"/>
              <w:spacing w:before="40" w:after="40" w:line="220" w:lineRule="exact"/>
              <w:ind w:left="0" w:right="113"/>
              <w:jc w:val="left"/>
              <w:rPr>
                <w:sz w:val="18"/>
              </w:rPr>
            </w:pPr>
            <w:r w:rsidRPr="00FE0062">
              <w:rPr>
                <w:sz w:val="18"/>
              </w:rPr>
              <w:t>No. career talks</w:t>
            </w:r>
            <w:r w:rsidR="00084034">
              <w:rPr>
                <w:sz w:val="18"/>
              </w:rPr>
              <w:t>/</w:t>
            </w:r>
            <w:r w:rsidRPr="00FE0062">
              <w:rPr>
                <w:sz w:val="18"/>
              </w:rPr>
              <w:t>career planning workshops</w:t>
            </w:r>
          </w:p>
        </w:tc>
        <w:tc>
          <w:tcPr>
            <w:tcW w:w="745" w:type="dxa"/>
            <w:tcBorders>
              <w:top w:val="single" w:sz="12" w:space="0" w:color="auto"/>
            </w:tcBorders>
            <w:shd w:val="clear" w:color="auto" w:fill="auto"/>
            <w:vAlign w:val="bottom"/>
          </w:tcPr>
          <w:p w14:paraId="1A0B5947" w14:textId="77777777"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15</w:t>
            </w:r>
          </w:p>
        </w:tc>
        <w:tc>
          <w:tcPr>
            <w:tcW w:w="746" w:type="dxa"/>
            <w:tcBorders>
              <w:top w:val="single" w:sz="12" w:space="0" w:color="auto"/>
            </w:tcBorders>
            <w:shd w:val="clear" w:color="auto" w:fill="auto"/>
            <w:vAlign w:val="bottom"/>
          </w:tcPr>
          <w:p w14:paraId="406CACCB" w14:textId="77777777"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13</w:t>
            </w:r>
          </w:p>
        </w:tc>
        <w:tc>
          <w:tcPr>
            <w:tcW w:w="745" w:type="dxa"/>
            <w:tcBorders>
              <w:top w:val="single" w:sz="12" w:space="0" w:color="auto"/>
            </w:tcBorders>
            <w:shd w:val="clear" w:color="auto" w:fill="auto"/>
            <w:vAlign w:val="bottom"/>
          </w:tcPr>
          <w:p w14:paraId="242DC3D6" w14:textId="77777777"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13</w:t>
            </w:r>
          </w:p>
        </w:tc>
        <w:tc>
          <w:tcPr>
            <w:tcW w:w="746" w:type="dxa"/>
            <w:tcBorders>
              <w:top w:val="single" w:sz="12" w:space="0" w:color="auto"/>
            </w:tcBorders>
            <w:shd w:val="clear" w:color="auto" w:fill="auto"/>
            <w:vAlign w:val="bottom"/>
          </w:tcPr>
          <w:p w14:paraId="0ABEA54A" w14:textId="77777777"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21</w:t>
            </w:r>
          </w:p>
        </w:tc>
        <w:tc>
          <w:tcPr>
            <w:tcW w:w="746" w:type="dxa"/>
            <w:tcBorders>
              <w:top w:val="single" w:sz="12" w:space="0" w:color="auto"/>
            </w:tcBorders>
            <w:shd w:val="clear" w:color="auto" w:fill="auto"/>
            <w:vAlign w:val="bottom"/>
          </w:tcPr>
          <w:p w14:paraId="4ED7B25E" w14:textId="77777777"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16</w:t>
            </w:r>
          </w:p>
        </w:tc>
      </w:tr>
      <w:tr w:rsidR="005D009F" w:rsidRPr="00FE0062" w14:paraId="653D818B" w14:textId="77777777" w:rsidTr="00E45843">
        <w:trPr>
          <w:cantSplit/>
        </w:trPr>
        <w:tc>
          <w:tcPr>
            <w:tcW w:w="3642" w:type="dxa"/>
            <w:shd w:val="clear" w:color="auto" w:fill="auto"/>
          </w:tcPr>
          <w:p w14:paraId="672BF13A" w14:textId="77777777" w:rsidR="005D009F" w:rsidRPr="00FE0062" w:rsidRDefault="005D009F" w:rsidP="00FE0062">
            <w:pPr>
              <w:pStyle w:val="SingleTxtG"/>
              <w:suppressAutoHyphens w:val="0"/>
              <w:spacing w:before="40" w:after="40" w:line="220" w:lineRule="exact"/>
              <w:ind w:left="0" w:right="113"/>
              <w:jc w:val="left"/>
              <w:rPr>
                <w:sz w:val="18"/>
              </w:rPr>
            </w:pPr>
            <w:r w:rsidRPr="00FE0062">
              <w:rPr>
                <w:sz w:val="18"/>
              </w:rPr>
              <w:t>(No. of participants)</w:t>
            </w:r>
          </w:p>
        </w:tc>
        <w:tc>
          <w:tcPr>
            <w:tcW w:w="745" w:type="dxa"/>
            <w:shd w:val="clear" w:color="auto" w:fill="auto"/>
            <w:vAlign w:val="bottom"/>
          </w:tcPr>
          <w:p w14:paraId="1BD22C11" w14:textId="006DF8AB"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(1</w:t>
            </w:r>
            <w:r w:rsidR="00245054">
              <w:rPr>
                <w:sz w:val="18"/>
              </w:rPr>
              <w:t xml:space="preserve"> </w:t>
            </w:r>
            <w:r w:rsidRPr="00FE0062">
              <w:rPr>
                <w:sz w:val="18"/>
              </w:rPr>
              <w:t>457)</w:t>
            </w:r>
          </w:p>
        </w:tc>
        <w:tc>
          <w:tcPr>
            <w:tcW w:w="746" w:type="dxa"/>
            <w:shd w:val="clear" w:color="auto" w:fill="auto"/>
            <w:vAlign w:val="bottom"/>
          </w:tcPr>
          <w:p w14:paraId="68F15487" w14:textId="77777777"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(391)</w:t>
            </w:r>
          </w:p>
        </w:tc>
        <w:tc>
          <w:tcPr>
            <w:tcW w:w="745" w:type="dxa"/>
            <w:shd w:val="clear" w:color="auto" w:fill="auto"/>
            <w:vAlign w:val="bottom"/>
          </w:tcPr>
          <w:p w14:paraId="0D449C68" w14:textId="77777777"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(928)</w:t>
            </w:r>
          </w:p>
        </w:tc>
        <w:tc>
          <w:tcPr>
            <w:tcW w:w="746" w:type="dxa"/>
            <w:shd w:val="clear" w:color="auto" w:fill="auto"/>
            <w:vAlign w:val="bottom"/>
          </w:tcPr>
          <w:p w14:paraId="1C3101B3" w14:textId="77777777"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(585)</w:t>
            </w:r>
          </w:p>
        </w:tc>
        <w:tc>
          <w:tcPr>
            <w:tcW w:w="746" w:type="dxa"/>
            <w:shd w:val="clear" w:color="auto" w:fill="auto"/>
            <w:vAlign w:val="bottom"/>
          </w:tcPr>
          <w:p w14:paraId="1F1AE12F" w14:textId="77777777"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(496)</w:t>
            </w:r>
          </w:p>
        </w:tc>
      </w:tr>
      <w:tr w:rsidR="005D009F" w:rsidRPr="00FE0062" w14:paraId="7181DCD1" w14:textId="77777777" w:rsidTr="00E45843">
        <w:trPr>
          <w:cantSplit/>
        </w:trPr>
        <w:tc>
          <w:tcPr>
            <w:tcW w:w="3642" w:type="dxa"/>
            <w:shd w:val="clear" w:color="auto" w:fill="auto"/>
          </w:tcPr>
          <w:p w14:paraId="039F978D" w14:textId="77777777" w:rsidR="005D009F" w:rsidRPr="00FE0062" w:rsidRDefault="005D009F" w:rsidP="00FE0062">
            <w:pPr>
              <w:pStyle w:val="SingleTxtG"/>
              <w:suppressAutoHyphens w:val="0"/>
              <w:spacing w:before="40" w:after="40" w:line="220" w:lineRule="exact"/>
              <w:ind w:left="0" w:right="113"/>
              <w:jc w:val="left"/>
              <w:rPr>
                <w:sz w:val="18"/>
              </w:rPr>
            </w:pPr>
            <w:r w:rsidRPr="00FE0062">
              <w:rPr>
                <w:sz w:val="18"/>
              </w:rPr>
              <w:t>Mock interview workshops (No. of participants)</w:t>
            </w:r>
          </w:p>
        </w:tc>
        <w:tc>
          <w:tcPr>
            <w:tcW w:w="745" w:type="dxa"/>
            <w:shd w:val="clear" w:color="auto" w:fill="auto"/>
            <w:vAlign w:val="bottom"/>
          </w:tcPr>
          <w:p w14:paraId="1C85BED6" w14:textId="77777777"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51</w:t>
            </w:r>
          </w:p>
        </w:tc>
        <w:tc>
          <w:tcPr>
            <w:tcW w:w="746" w:type="dxa"/>
            <w:shd w:val="clear" w:color="auto" w:fill="auto"/>
            <w:vAlign w:val="bottom"/>
          </w:tcPr>
          <w:p w14:paraId="51F6DD93" w14:textId="77777777"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213</w:t>
            </w:r>
          </w:p>
        </w:tc>
        <w:tc>
          <w:tcPr>
            <w:tcW w:w="745" w:type="dxa"/>
            <w:shd w:val="clear" w:color="auto" w:fill="auto"/>
            <w:vAlign w:val="bottom"/>
          </w:tcPr>
          <w:p w14:paraId="069F3556" w14:textId="77777777"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146</w:t>
            </w:r>
          </w:p>
        </w:tc>
        <w:tc>
          <w:tcPr>
            <w:tcW w:w="746" w:type="dxa"/>
            <w:shd w:val="clear" w:color="auto" w:fill="auto"/>
            <w:vAlign w:val="bottom"/>
          </w:tcPr>
          <w:p w14:paraId="24CDCB0F" w14:textId="77777777"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140</w:t>
            </w:r>
          </w:p>
        </w:tc>
        <w:tc>
          <w:tcPr>
            <w:tcW w:w="746" w:type="dxa"/>
            <w:shd w:val="clear" w:color="auto" w:fill="auto"/>
            <w:vAlign w:val="bottom"/>
          </w:tcPr>
          <w:p w14:paraId="05F3B560" w14:textId="77777777"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135</w:t>
            </w:r>
          </w:p>
        </w:tc>
      </w:tr>
      <w:tr w:rsidR="005D009F" w:rsidRPr="00FE0062" w14:paraId="01EA3016" w14:textId="77777777" w:rsidTr="00E45843">
        <w:trPr>
          <w:cantSplit/>
        </w:trPr>
        <w:tc>
          <w:tcPr>
            <w:tcW w:w="3642" w:type="dxa"/>
            <w:shd w:val="clear" w:color="auto" w:fill="auto"/>
          </w:tcPr>
          <w:p w14:paraId="1E013FEE" w14:textId="77777777" w:rsidR="005D009F" w:rsidRPr="00FE0062" w:rsidRDefault="005D009F" w:rsidP="00FE0062">
            <w:pPr>
              <w:pStyle w:val="SingleTxtG"/>
              <w:suppressAutoHyphens w:val="0"/>
              <w:spacing w:before="40" w:after="40" w:line="220" w:lineRule="exact"/>
              <w:ind w:left="0" w:right="113"/>
              <w:jc w:val="left"/>
              <w:rPr>
                <w:sz w:val="18"/>
              </w:rPr>
            </w:pPr>
            <w:r w:rsidRPr="00FE0062">
              <w:rPr>
                <w:sz w:val="18"/>
              </w:rPr>
              <w:t>Career assessment (No. of participants)</w:t>
            </w:r>
          </w:p>
        </w:tc>
        <w:tc>
          <w:tcPr>
            <w:tcW w:w="745" w:type="dxa"/>
            <w:shd w:val="clear" w:color="auto" w:fill="auto"/>
            <w:vAlign w:val="bottom"/>
          </w:tcPr>
          <w:p w14:paraId="30FE46A2" w14:textId="77777777"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29</w:t>
            </w:r>
          </w:p>
        </w:tc>
        <w:tc>
          <w:tcPr>
            <w:tcW w:w="746" w:type="dxa"/>
            <w:shd w:val="clear" w:color="auto" w:fill="auto"/>
            <w:vAlign w:val="bottom"/>
          </w:tcPr>
          <w:p w14:paraId="25E87F08" w14:textId="77777777"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63</w:t>
            </w:r>
          </w:p>
        </w:tc>
        <w:tc>
          <w:tcPr>
            <w:tcW w:w="745" w:type="dxa"/>
            <w:shd w:val="clear" w:color="auto" w:fill="auto"/>
            <w:vAlign w:val="bottom"/>
          </w:tcPr>
          <w:p w14:paraId="635E2900" w14:textId="77777777"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93</w:t>
            </w:r>
          </w:p>
        </w:tc>
        <w:tc>
          <w:tcPr>
            <w:tcW w:w="746" w:type="dxa"/>
            <w:shd w:val="clear" w:color="auto" w:fill="auto"/>
            <w:vAlign w:val="bottom"/>
          </w:tcPr>
          <w:p w14:paraId="2E57CFB3" w14:textId="77777777"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186</w:t>
            </w:r>
          </w:p>
        </w:tc>
        <w:tc>
          <w:tcPr>
            <w:tcW w:w="746" w:type="dxa"/>
            <w:shd w:val="clear" w:color="auto" w:fill="auto"/>
            <w:vAlign w:val="bottom"/>
          </w:tcPr>
          <w:p w14:paraId="79C7D2AD" w14:textId="77777777"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80</w:t>
            </w:r>
          </w:p>
        </w:tc>
      </w:tr>
      <w:tr w:rsidR="005D009F" w:rsidRPr="00FE0062" w14:paraId="0B259063" w14:textId="77777777" w:rsidTr="00E45843">
        <w:trPr>
          <w:cantSplit/>
        </w:trPr>
        <w:tc>
          <w:tcPr>
            <w:tcW w:w="3642" w:type="dxa"/>
            <w:shd w:val="clear" w:color="auto" w:fill="auto"/>
          </w:tcPr>
          <w:p w14:paraId="10436B93" w14:textId="77777777" w:rsidR="005D009F" w:rsidRPr="00FE0062" w:rsidRDefault="005D009F" w:rsidP="00FE0062">
            <w:pPr>
              <w:pStyle w:val="SingleTxtG"/>
              <w:suppressAutoHyphens w:val="0"/>
              <w:spacing w:before="40" w:after="40" w:line="220" w:lineRule="exact"/>
              <w:ind w:left="0" w:right="113"/>
              <w:jc w:val="left"/>
              <w:rPr>
                <w:sz w:val="18"/>
              </w:rPr>
            </w:pPr>
            <w:r w:rsidRPr="00FE0062">
              <w:rPr>
                <w:sz w:val="18"/>
              </w:rPr>
              <w:t>Youth Career Expo (No. of participants)</w:t>
            </w:r>
          </w:p>
        </w:tc>
        <w:tc>
          <w:tcPr>
            <w:tcW w:w="745" w:type="dxa"/>
            <w:shd w:val="clear" w:color="auto" w:fill="auto"/>
            <w:vAlign w:val="bottom"/>
          </w:tcPr>
          <w:p w14:paraId="0582A6FF" w14:textId="38E84634"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4</w:t>
            </w:r>
            <w:r w:rsidR="00245054">
              <w:rPr>
                <w:sz w:val="18"/>
              </w:rPr>
              <w:t xml:space="preserve"> </w:t>
            </w:r>
            <w:r w:rsidRPr="00FE0062">
              <w:rPr>
                <w:sz w:val="18"/>
              </w:rPr>
              <w:t>105</w:t>
            </w:r>
          </w:p>
        </w:tc>
        <w:tc>
          <w:tcPr>
            <w:tcW w:w="746" w:type="dxa"/>
            <w:shd w:val="clear" w:color="auto" w:fill="auto"/>
            <w:vAlign w:val="bottom"/>
          </w:tcPr>
          <w:p w14:paraId="004D3EC9" w14:textId="62125F7D"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4</w:t>
            </w:r>
            <w:r w:rsidR="00245054">
              <w:rPr>
                <w:sz w:val="18"/>
              </w:rPr>
              <w:t xml:space="preserve"> </w:t>
            </w:r>
            <w:r w:rsidRPr="00FE0062">
              <w:rPr>
                <w:sz w:val="18"/>
              </w:rPr>
              <w:t>014</w:t>
            </w:r>
          </w:p>
        </w:tc>
        <w:tc>
          <w:tcPr>
            <w:tcW w:w="745" w:type="dxa"/>
            <w:shd w:val="clear" w:color="auto" w:fill="auto"/>
            <w:vAlign w:val="bottom"/>
          </w:tcPr>
          <w:p w14:paraId="2E6E56B3" w14:textId="1828D652"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4</w:t>
            </w:r>
            <w:r w:rsidR="00245054">
              <w:rPr>
                <w:sz w:val="18"/>
              </w:rPr>
              <w:t xml:space="preserve"> </w:t>
            </w:r>
            <w:r w:rsidRPr="00FE0062">
              <w:rPr>
                <w:sz w:val="18"/>
              </w:rPr>
              <w:t>240</w:t>
            </w:r>
          </w:p>
        </w:tc>
        <w:tc>
          <w:tcPr>
            <w:tcW w:w="746" w:type="dxa"/>
            <w:shd w:val="clear" w:color="auto" w:fill="auto"/>
            <w:vAlign w:val="bottom"/>
          </w:tcPr>
          <w:p w14:paraId="5A00D4EA" w14:textId="71CF6579"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4</w:t>
            </w:r>
            <w:r w:rsidR="00245054">
              <w:rPr>
                <w:sz w:val="18"/>
              </w:rPr>
              <w:t xml:space="preserve"> </w:t>
            </w:r>
            <w:r w:rsidRPr="00FE0062">
              <w:rPr>
                <w:sz w:val="18"/>
              </w:rPr>
              <w:t>066</w:t>
            </w:r>
          </w:p>
        </w:tc>
        <w:tc>
          <w:tcPr>
            <w:tcW w:w="746" w:type="dxa"/>
            <w:shd w:val="clear" w:color="auto" w:fill="auto"/>
            <w:vAlign w:val="bottom"/>
          </w:tcPr>
          <w:p w14:paraId="6CF4EC99" w14:textId="69769666" w:rsidR="005D009F" w:rsidRPr="00FE0062" w:rsidRDefault="005D009F" w:rsidP="00FE0062">
            <w:pPr>
              <w:pStyle w:val="SingleTxtG"/>
              <w:suppressAutoHyphens w:val="0"/>
              <w:spacing w:before="40" w:after="40" w:line="220" w:lineRule="exact"/>
              <w:ind w:left="0" w:right="113"/>
              <w:jc w:val="right"/>
              <w:rPr>
                <w:sz w:val="18"/>
              </w:rPr>
            </w:pPr>
            <w:r w:rsidRPr="00FE0062">
              <w:rPr>
                <w:sz w:val="18"/>
              </w:rPr>
              <w:t>3</w:t>
            </w:r>
            <w:r w:rsidR="00245054">
              <w:rPr>
                <w:sz w:val="18"/>
              </w:rPr>
              <w:t xml:space="preserve"> </w:t>
            </w:r>
            <w:r w:rsidRPr="00FE0062">
              <w:rPr>
                <w:sz w:val="18"/>
              </w:rPr>
              <w:t>402</w:t>
            </w:r>
          </w:p>
        </w:tc>
      </w:tr>
    </w:tbl>
    <w:p w14:paraId="3B20E189" w14:textId="42AEC133" w:rsidR="005D009F" w:rsidRPr="00245054" w:rsidRDefault="005D009F" w:rsidP="00245054">
      <w:pPr>
        <w:spacing w:before="120" w:after="240"/>
        <w:ind w:left="1134" w:right="1134" w:firstLine="170"/>
        <w:rPr>
          <w:sz w:val="18"/>
        </w:rPr>
      </w:pPr>
      <w:r w:rsidRPr="00245054">
        <w:rPr>
          <w:i/>
          <w:iCs/>
          <w:sz w:val="18"/>
        </w:rPr>
        <w:t>Source</w:t>
      </w:r>
      <w:r w:rsidRPr="00245054">
        <w:rPr>
          <w:sz w:val="18"/>
        </w:rPr>
        <w:t xml:space="preserve">: </w:t>
      </w:r>
      <w:r w:rsidR="00935647">
        <w:rPr>
          <w:sz w:val="18"/>
        </w:rPr>
        <w:t xml:space="preserve"> </w:t>
      </w:r>
      <w:r w:rsidRPr="00245054">
        <w:rPr>
          <w:sz w:val="18"/>
        </w:rPr>
        <w:t>LAB.</w:t>
      </w:r>
    </w:p>
    <w:p w14:paraId="777907C1" w14:textId="4660B8C3" w:rsidR="005D009F" w:rsidRPr="00B47380" w:rsidRDefault="005D009F" w:rsidP="00D53B5F">
      <w:pPr>
        <w:pStyle w:val="SingleTxtG"/>
      </w:pPr>
      <w:r w:rsidRPr="00B47380">
        <w:t>70.</w:t>
      </w:r>
      <w:r w:rsidRPr="00B47380">
        <w:tab/>
        <w:t xml:space="preserve">As regards the elderly, the LAB provides support services </w:t>
      </w:r>
      <w:r w:rsidR="00F17CEC">
        <w:t>–</w:t>
      </w:r>
      <w:r w:rsidRPr="00B47380">
        <w:t xml:space="preserve"> job matching, referral services and career planning. A </w:t>
      </w:r>
      <w:r w:rsidR="006266F0">
        <w:t>“</w:t>
      </w:r>
      <w:r w:rsidRPr="00B47380">
        <w:t>Mechanisms for Retirement Protection</w:t>
      </w:r>
      <w:r w:rsidR="006266F0">
        <w:t>”</w:t>
      </w:r>
      <w:r w:rsidRPr="00B47380">
        <w:t xml:space="preserve"> was adopted and efforts to disseminate the elderly</w:t>
      </w:r>
      <w:r w:rsidR="006266F0">
        <w:t>’</w:t>
      </w:r>
      <w:r w:rsidRPr="00B47380">
        <w:t xml:space="preserve">s employability were made. In 2017, 115 persons aged 65 or above were nominated for the </w:t>
      </w:r>
      <w:r w:rsidR="006266F0">
        <w:t>“</w:t>
      </w:r>
      <w:r w:rsidRPr="00B47380">
        <w:t>Award Scheme for Outstanding Elderly Employees</w:t>
      </w:r>
      <w:r w:rsidR="006266F0">
        <w:t>”</w:t>
      </w:r>
      <w:r w:rsidRPr="00B47380">
        <w:t xml:space="preserve"> while the </w:t>
      </w:r>
      <w:r w:rsidR="006266F0">
        <w:t>“</w:t>
      </w:r>
      <w:r w:rsidRPr="00B47380">
        <w:t>Award Scheme for Employers Hiring the Elderly</w:t>
      </w:r>
      <w:r w:rsidR="006266F0">
        <w:t>”</w:t>
      </w:r>
      <w:r w:rsidRPr="00B47380">
        <w:t xml:space="preserve">, organised in 2018, commended 63 employers. Through these activities, industries are made aware of the work abilities and value of elderly persons. </w:t>
      </w:r>
    </w:p>
    <w:p w14:paraId="792B5FC9" w14:textId="77777777" w:rsidR="005D009F" w:rsidRPr="00B47380" w:rsidRDefault="005D009F" w:rsidP="00D53B5F">
      <w:pPr>
        <w:pStyle w:val="SingleTxtG"/>
      </w:pPr>
      <w:r w:rsidRPr="00B47380">
        <w:t>71.</w:t>
      </w:r>
      <w:r w:rsidRPr="00B47380">
        <w:tab/>
        <w:t>Measures and incentives to support unemployed persons, first-time jobseekers, persons with disabilities and unemployed persons</w:t>
      </w:r>
      <w:r w:rsidRPr="00B47380">
        <w:rPr>
          <w:rFonts w:hint="eastAsia"/>
        </w:rPr>
        <w:t xml:space="preserve"> </w:t>
      </w:r>
      <w:r w:rsidRPr="00B47380">
        <w:t>receiving re-qualification and occupational training continue to be implemented (Order of the Secretary for Economy and Finance 6/2004).</w:t>
      </w:r>
    </w:p>
    <w:p w14:paraId="100698C9" w14:textId="77777777" w:rsidR="005D009F" w:rsidRPr="00B47380" w:rsidRDefault="005D009F" w:rsidP="00D53B5F">
      <w:pPr>
        <w:pStyle w:val="SingleTxtG"/>
      </w:pPr>
      <w:r w:rsidRPr="00B47380">
        <w:t>72.</w:t>
      </w:r>
      <w:r w:rsidRPr="00B47380">
        <w:tab/>
        <w:t xml:space="preserve">Permanent resident workers (aged 40 or above, working 152 monthly hours) with low incomes or serious financial difficulties (quarterly income below MOP$15,000) may </w:t>
      </w:r>
      <w:r w:rsidRPr="00B47380">
        <w:lastRenderedPageBreak/>
        <w:t>receive an allowance 4 times annually (AR 6/2008, as amended by AR 7/2014 and AR 9/2018, on Temporary Measures for Income Subsidy). In 2017 and in the 1st quarter of 2018, there were respectively 1,021 and 231 beneficiaries receiving MOP$7,129,196 and MOP$1,669,891.</w:t>
      </w:r>
    </w:p>
    <w:p w14:paraId="682006BF" w14:textId="0919BBC7" w:rsidR="005D009F" w:rsidRPr="00B47380" w:rsidRDefault="005D009F" w:rsidP="00830DE7">
      <w:pPr>
        <w:pStyle w:val="H23G"/>
      </w:pPr>
      <w:r w:rsidRPr="00B47380">
        <w:tab/>
      </w:r>
      <w:r w:rsidRPr="00B47380">
        <w:tab/>
        <w:t>Health and safety at work</w:t>
      </w:r>
    </w:p>
    <w:p w14:paraId="2FAFC247" w14:textId="77777777" w:rsidR="005D009F" w:rsidRPr="00B47380" w:rsidRDefault="005D009F" w:rsidP="00D53B5F">
      <w:pPr>
        <w:pStyle w:val="SingleTxtG"/>
      </w:pPr>
      <w:r w:rsidRPr="00B47380">
        <w:t>73.</w:t>
      </w:r>
      <w:r w:rsidRPr="00B47380">
        <w:tab/>
        <w:t>The legal framework mentioned in previous reports remains accurate. Preventive measures to avoid work-related accidents and diseases, including through education, training and dissemination of minimum standards (based on a set of incentives and sanctions) continue to be a priority.</w:t>
      </w:r>
    </w:p>
    <w:p w14:paraId="04BCDF0F" w14:textId="771193B1" w:rsidR="005D009F" w:rsidRPr="00B47380" w:rsidRDefault="005D009F" w:rsidP="00830DE7">
      <w:pPr>
        <w:pStyle w:val="SingleTxtG"/>
        <w:spacing w:after="240"/>
      </w:pPr>
      <w:r w:rsidRPr="00B47380">
        <w:t>74.</w:t>
      </w:r>
      <w:r w:rsidRPr="00B47380">
        <w:tab/>
        <w:t>Nonetheless, Decree-law 40/95/M on the Legal System for Compensation of Damages arising from Work Accidents and Occupational Diseases was improved by Law 6/2015, reinforcing the protection of workers</w:t>
      </w:r>
      <w:r w:rsidR="006266F0">
        <w:t>’</w:t>
      </w:r>
      <w:r w:rsidRPr="00B47380">
        <w:t xml:space="preserve"> rights concerning available mechanisms and procedures for compensation, including the clarification of </w:t>
      </w:r>
      <w:r w:rsidR="006266F0">
        <w:t>“</w:t>
      </w:r>
      <w:r w:rsidRPr="00B47380">
        <w:t>occupational accident</w:t>
      </w:r>
      <w:r w:rsidR="006266F0">
        <w:t>”</w:t>
      </w:r>
      <w:r w:rsidRPr="00B47380">
        <w:t xml:space="preserve"> (e.g. to include accidents between an employee</w:t>
      </w:r>
      <w:r w:rsidR="006266F0">
        <w:t>’</w:t>
      </w:r>
      <w:r w:rsidRPr="00B47380">
        <w:t xml:space="preserve">s home and his/her workplace when certain tropical storm signals are hoisted or accidents during training).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1048"/>
        <w:gridCol w:w="1049"/>
        <w:gridCol w:w="1048"/>
        <w:gridCol w:w="1049"/>
        <w:gridCol w:w="1049"/>
      </w:tblGrid>
      <w:tr w:rsidR="005D009F" w:rsidRPr="00B41A5B" w14:paraId="24CBACA9" w14:textId="77777777" w:rsidTr="00E45843">
        <w:trPr>
          <w:cantSplit/>
          <w:tblHeader/>
        </w:trPr>
        <w:tc>
          <w:tcPr>
            <w:tcW w:w="2127" w:type="dxa"/>
            <w:tcBorders>
              <w:top w:val="single" w:sz="4" w:space="0" w:color="auto"/>
              <w:bottom w:val="single" w:sz="12" w:space="0" w:color="auto"/>
            </w:tcBorders>
            <w:shd w:val="clear" w:color="auto" w:fill="auto"/>
            <w:vAlign w:val="bottom"/>
          </w:tcPr>
          <w:p w14:paraId="5CC5FDF1" w14:textId="77777777" w:rsidR="005D009F" w:rsidRPr="00B41A5B" w:rsidRDefault="005D009F" w:rsidP="00B41A5B">
            <w:pPr>
              <w:pStyle w:val="SingleTxtG"/>
              <w:suppressAutoHyphens w:val="0"/>
              <w:spacing w:before="80" w:after="80" w:line="200" w:lineRule="exact"/>
              <w:ind w:left="0" w:right="113"/>
              <w:jc w:val="left"/>
              <w:rPr>
                <w:i/>
                <w:sz w:val="16"/>
              </w:rPr>
            </w:pPr>
            <w:r w:rsidRPr="00B41A5B">
              <w:rPr>
                <w:i/>
                <w:sz w:val="16"/>
              </w:rPr>
              <w:t>Occupational accidents /Year</w:t>
            </w:r>
          </w:p>
        </w:tc>
        <w:tc>
          <w:tcPr>
            <w:tcW w:w="1048" w:type="dxa"/>
            <w:tcBorders>
              <w:top w:val="single" w:sz="4" w:space="0" w:color="auto"/>
              <w:bottom w:val="single" w:sz="12" w:space="0" w:color="auto"/>
            </w:tcBorders>
            <w:shd w:val="clear" w:color="auto" w:fill="auto"/>
            <w:vAlign w:val="bottom"/>
          </w:tcPr>
          <w:p w14:paraId="32ABE8EF" w14:textId="77777777" w:rsidR="005D009F" w:rsidRPr="00B41A5B" w:rsidRDefault="005D009F" w:rsidP="00B41A5B">
            <w:pPr>
              <w:pStyle w:val="SingleTxtG"/>
              <w:suppressAutoHyphens w:val="0"/>
              <w:spacing w:before="80" w:after="80" w:line="200" w:lineRule="exact"/>
              <w:ind w:left="0" w:right="113"/>
              <w:jc w:val="right"/>
              <w:rPr>
                <w:i/>
                <w:sz w:val="16"/>
              </w:rPr>
            </w:pPr>
            <w:r w:rsidRPr="00B41A5B">
              <w:rPr>
                <w:i/>
                <w:sz w:val="16"/>
              </w:rPr>
              <w:t>2014</w:t>
            </w:r>
          </w:p>
        </w:tc>
        <w:tc>
          <w:tcPr>
            <w:tcW w:w="1049" w:type="dxa"/>
            <w:tcBorders>
              <w:top w:val="single" w:sz="4" w:space="0" w:color="auto"/>
              <w:bottom w:val="single" w:sz="12" w:space="0" w:color="auto"/>
            </w:tcBorders>
            <w:shd w:val="clear" w:color="auto" w:fill="auto"/>
            <w:vAlign w:val="bottom"/>
          </w:tcPr>
          <w:p w14:paraId="0813DF43" w14:textId="77777777" w:rsidR="005D009F" w:rsidRPr="00B41A5B" w:rsidRDefault="005D009F" w:rsidP="00B41A5B">
            <w:pPr>
              <w:pStyle w:val="SingleTxtG"/>
              <w:suppressAutoHyphens w:val="0"/>
              <w:spacing w:before="80" w:after="80" w:line="200" w:lineRule="exact"/>
              <w:ind w:left="0" w:right="113"/>
              <w:jc w:val="right"/>
              <w:rPr>
                <w:i/>
                <w:sz w:val="16"/>
              </w:rPr>
            </w:pPr>
            <w:r w:rsidRPr="00B41A5B">
              <w:rPr>
                <w:i/>
                <w:sz w:val="16"/>
              </w:rPr>
              <w:t>2015</w:t>
            </w:r>
          </w:p>
        </w:tc>
        <w:tc>
          <w:tcPr>
            <w:tcW w:w="1048" w:type="dxa"/>
            <w:tcBorders>
              <w:top w:val="single" w:sz="4" w:space="0" w:color="auto"/>
              <w:bottom w:val="single" w:sz="12" w:space="0" w:color="auto"/>
            </w:tcBorders>
            <w:shd w:val="clear" w:color="auto" w:fill="auto"/>
            <w:vAlign w:val="bottom"/>
          </w:tcPr>
          <w:p w14:paraId="7D68B6EC" w14:textId="77777777" w:rsidR="005D009F" w:rsidRPr="00B41A5B" w:rsidRDefault="005D009F" w:rsidP="00B41A5B">
            <w:pPr>
              <w:pStyle w:val="SingleTxtG"/>
              <w:suppressAutoHyphens w:val="0"/>
              <w:spacing w:before="80" w:after="80" w:line="200" w:lineRule="exact"/>
              <w:ind w:left="0" w:right="113"/>
              <w:jc w:val="right"/>
              <w:rPr>
                <w:i/>
                <w:sz w:val="16"/>
              </w:rPr>
            </w:pPr>
            <w:r w:rsidRPr="00B41A5B">
              <w:rPr>
                <w:i/>
                <w:sz w:val="16"/>
              </w:rPr>
              <w:t>2016</w:t>
            </w:r>
          </w:p>
        </w:tc>
        <w:tc>
          <w:tcPr>
            <w:tcW w:w="1049" w:type="dxa"/>
            <w:tcBorders>
              <w:top w:val="single" w:sz="4" w:space="0" w:color="auto"/>
              <w:bottom w:val="single" w:sz="12" w:space="0" w:color="auto"/>
            </w:tcBorders>
            <w:shd w:val="clear" w:color="auto" w:fill="auto"/>
            <w:vAlign w:val="bottom"/>
          </w:tcPr>
          <w:p w14:paraId="353E74AB" w14:textId="77777777" w:rsidR="005D009F" w:rsidRPr="00B41A5B" w:rsidRDefault="005D009F" w:rsidP="00B41A5B">
            <w:pPr>
              <w:pStyle w:val="SingleTxtG"/>
              <w:suppressAutoHyphens w:val="0"/>
              <w:spacing w:before="80" w:after="80" w:line="200" w:lineRule="exact"/>
              <w:ind w:left="0" w:right="113"/>
              <w:jc w:val="right"/>
              <w:rPr>
                <w:i/>
                <w:sz w:val="16"/>
              </w:rPr>
            </w:pPr>
            <w:r w:rsidRPr="00B41A5B">
              <w:rPr>
                <w:i/>
                <w:sz w:val="16"/>
              </w:rPr>
              <w:t>2017</w:t>
            </w:r>
          </w:p>
        </w:tc>
        <w:tc>
          <w:tcPr>
            <w:tcW w:w="1049" w:type="dxa"/>
            <w:tcBorders>
              <w:top w:val="single" w:sz="4" w:space="0" w:color="auto"/>
              <w:bottom w:val="single" w:sz="12" w:space="0" w:color="auto"/>
            </w:tcBorders>
            <w:shd w:val="clear" w:color="auto" w:fill="auto"/>
            <w:vAlign w:val="bottom"/>
          </w:tcPr>
          <w:p w14:paraId="380EA48E" w14:textId="77777777" w:rsidR="005D009F" w:rsidRPr="00B41A5B" w:rsidRDefault="005D009F" w:rsidP="00B41A5B">
            <w:pPr>
              <w:pStyle w:val="SingleTxtG"/>
              <w:suppressAutoHyphens w:val="0"/>
              <w:spacing w:before="80" w:after="80" w:line="200" w:lineRule="exact"/>
              <w:ind w:left="0" w:right="113"/>
              <w:jc w:val="right"/>
              <w:rPr>
                <w:i/>
                <w:sz w:val="16"/>
              </w:rPr>
            </w:pPr>
            <w:r w:rsidRPr="00B41A5B">
              <w:rPr>
                <w:i/>
                <w:sz w:val="16"/>
              </w:rPr>
              <w:t>09/2018</w:t>
            </w:r>
          </w:p>
        </w:tc>
      </w:tr>
      <w:tr w:rsidR="005D009F" w:rsidRPr="00B41A5B" w14:paraId="18F8AA59" w14:textId="77777777" w:rsidTr="00E45843">
        <w:trPr>
          <w:cantSplit/>
        </w:trPr>
        <w:tc>
          <w:tcPr>
            <w:tcW w:w="2127" w:type="dxa"/>
            <w:tcBorders>
              <w:top w:val="single" w:sz="12" w:space="0" w:color="auto"/>
            </w:tcBorders>
            <w:shd w:val="clear" w:color="auto" w:fill="auto"/>
          </w:tcPr>
          <w:p w14:paraId="34AB9767" w14:textId="77777777" w:rsidR="005D009F" w:rsidRPr="00B41A5B" w:rsidRDefault="005D009F" w:rsidP="00B41A5B">
            <w:pPr>
              <w:pStyle w:val="SingleTxtG"/>
              <w:suppressAutoHyphens w:val="0"/>
              <w:spacing w:before="40" w:after="40" w:line="220" w:lineRule="exact"/>
              <w:ind w:left="0" w:right="113"/>
              <w:jc w:val="left"/>
              <w:rPr>
                <w:sz w:val="18"/>
              </w:rPr>
            </w:pPr>
            <w:r w:rsidRPr="00B41A5B">
              <w:rPr>
                <w:sz w:val="18"/>
              </w:rPr>
              <w:t>No. of victims</w:t>
            </w:r>
          </w:p>
        </w:tc>
        <w:tc>
          <w:tcPr>
            <w:tcW w:w="1048" w:type="dxa"/>
            <w:tcBorders>
              <w:top w:val="single" w:sz="12" w:space="0" w:color="auto"/>
            </w:tcBorders>
            <w:shd w:val="clear" w:color="auto" w:fill="auto"/>
            <w:vAlign w:val="bottom"/>
          </w:tcPr>
          <w:p w14:paraId="35DC1340" w14:textId="2CB2868E"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7</w:t>
            </w:r>
            <w:r w:rsidR="00F17CEC">
              <w:rPr>
                <w:sz w:val="18"/>
              </w:rPr>
              <w:t xml:space="preserve"> </w:t>
            </w:r>
            <w:r w:rsidRPr="00B41A5B">
              <w:rPr>
                <w:sz w:val="18"/>
              </w:rPr>
              <w:t>318</w:t>
            </w:r>
          </w:p>
        </w:tc>
        <w:tc>
          <w:tcPr>
            <w:tcW w:w="1049" w:type="dxa"/>
            <w:tcBorders>
              <w:top w:val="single" w:sz="12" w:space="0" w:color="auto"/>
            </w:tcBorders>
            <w:shd w:val="clear" w:color="auto" w:fill="auto"/>
            <w:vAlign w:val="bottom"/>
          </w:tcPr>
          <w:p w14:paraId="56DB4701" w14:textId="618613B0"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7</w:t>
            </w:r>
            <w:r w:rsidR="00F17CEC">
              <w:rPr>
                <w:sz w:val="18"/>
              </w:rPr>
              <w:t xml:space="preserve"> </w:t>
            </w:r>
            <w:r w:rsidRPr="00B41A5B">
              <w:rPr>
                <w:sz w:val="18"/>
              </w:rPr>
              <w:t>429</w:t>
            </w:r>
          </w:p>
        </w:tc>
        <w:tc>
          <w:tcPr>
            <w:tcW w:w="1048" w:type="dxa"/>
            <w:tcBorders>
              <w:top w:val="single" w:sz="12" w:space="0" w:color="auto"/>
            </w:tcBorders>
            <w:shd w:val="clear" w:color="auto" w:fill="auto"/>
            <w:vAlign w:val="bottom"/>
          </w:tcPr>
          <w:p w14:paraId="353FD984" w14:textId="0A1A56B4"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7</w:t>
            </w:r>
            <w:r w:rsidR="00F17CEC">
              <w:rPr>
                <w:sz w:val="18"/>
              </w:rPr>
              <w:t xml:space="preserve"> </w:t>
            </w:r>
            <w:r w:rsidRPr="00B41A5B">
              <w:rPr>
                <w:sz w:val="18"/>
              </w:rPr>
              <w:t>309</w:t>
            </w:r>
          </w:p>
        </w:tc>
        <w:tc>
          <w:tcPr>
            <w:tcW w:w="1049" w:type="dxa"/>
            <w:tcBorders>
              <w:top w:val="single" w:sz="12" w:space="0" w:color="auto"/>
            </w:tcBorders>
            <w:shd w:val="clear" w:color="auto" w:fill="auto"/>
            <w:vAlign w:val="bottom"/>
          </w:tcPr>
          <w:p w14:paraId="6D8862DC" w14:textId="6889FE74"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7</w:t>
            </w:r>
            <w:r w:rsidR="00F17CEC">
              <w:rPr>
                <w:sz w:val="18"/>
              </w:rPr>
              <w:t xml:space="preserve"> </w:t>
            </w:r>
            <w:r w:rsidRPr="00B41A5B">
              <w:rPr>
                <w:sz w:val="18"/>
              </w:rPr>
              <w:t>390</w:t>
            </w:r>
          </w:p>
        </w:tc>
        <w:tc>
          <w:tcPr>
            <w:tcW w:w="1049" w:type="dxa"/>
            <w:tcBorders>
              <w:top w:val="single" w:sz="12" w:space="0" w:color="auto"/>
            </w:tcBorders>
            <w:shd w:val="clear" w:color="auto" w:fill="auto"/>
            <w:vAlign w:val="bottom"/>
          </w:tcPr>
          <w:p w14:paraId="24457DD2" w14:textId="6BB3EA7D"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5</w:t>
            </w:r>
            <w:r w:rsidR="00F17CEC">
              <w:rPr>
                <w:sz w:val="18"/>
              </w:rPr>
              <w:t xml:space="preserve"> </w:t>
            </w:r>
            <w:r w:rsidRPr="00B41A5B">
              <w:rPr>
                <w:sz w:val="18"/>
              </w:rPr>
              <w:t>474</w:t>
            </w:r>
          </w:p>
        </w:tc>
      </w:tr>
      <w:tr w:rsidR="005D009F" w:rsidRPr="00B41A5B" w14:paraId="79C4A872" w14:textId="77777777" w:rsidTr="00E45843">
        <w:trPr>
          <w:cantSplit/>
        </w:trPr>
        <w:tc>
          <w:tcPr>
            <w:tcW w:w="2127" w:type="dxa"/>
            <w:shd w:val="clear" w:color="auto" w:fill="auto"/>
          </w:tcPr>
          <w:p w14:paraId="16ABCFA2" w14:textId="77777777" w:rsidR="005D009F" w:rsidRPr="00B41A5B" w:rsidRDefault="005D009F" w:rsidP="00B41A5B">
            <w:pPr>
              <w:pStyle w:val="SingleTxtG"/>
              <w:suppressAutoHyphens w:val="0"/>
              <w:spacing w:before="40" w:after="40" w:line="220" w:lineRule="exact"/>
              <w:ind w:left="0" w:right="113"/>
              <w:jc w:val="left"/>
              <w:rPr>
                <w:sz w:val="18"/>
              </w:rPr>
            </w:pPr>
            <w:r w:rsidRPr="00B41A5B">
              <w:rPr>
                <w:sz w:val="18"/>
              </w:rPr>
              <w:t>Gender</w:t>
            </w:r>
          </w:p>
        </w:tc>
        <w:tc>
          <w:tcPr>
            <w:tcW w:w="1048" w:type="dxa"/>
            <w:shd w:val="clear" w:color="auto" w:fill="auto"/>
            <w:vAlign w:val="bottom"/>
          </w:tcPr>
          <w:p w14:paraId="58492F46" w14:textId="2144B1E5"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3</w:t>
            </w:r>
            <w:r w:rsidR="00F17CEC">
              <w:rPr>
                <w:sz w:val="18"/>
              </w:rPr>
              <w:t xml:space="preserve"> </w:t>
            </w:r>
            <w:r w:rsidRPr="00B41A5B">
              <w:rPr>
                <w:sz w:val="18"/>
              </w:rPr>
              <w:t>892 (M)</w:t>
            </w:r>
          </w:p>
          <w:p w14:paraId="0AA77DD4" w14:textId="5B3255FF"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3</w:t>
            </w:r>
            <w:r w:rsidR="00F17CEC">
              <w:rPr>
                <w:sz w:val="18"/>
              </w:rPr>
              <w:t xml:space="preserve"> </w:t>
            </w:r>
            <w:r w:rsidRPr="00B41A5B">
              <w:rPr>
                <w:sz w:val="18"/>
              </w:rPr>
              <w:t>426 (F)</w:t>
            </w:r>
          </w:p>
        </w:tc>
        <w:tc>
          <w:tcPr>
            <w:tcW w:w="1049" w:type="dxa"/>
            <w:shd w:val="clear" w:color="auto" w:fill="auto"/>
            <w:vAlign w:val="bottom"/>
          </w:tcPr>
          <w:p w14:paraId="5692E8FC" w14:textId="433FB9BA"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3</w:t>
            </w:r>
            <w:r w:rsidR="00F17CEC">
              <w:rPr>
                <w:sz w:val="18"/>
              </w:rPr>
              <w:t xml:space="preserve"> </w:t>
            </w:r>
            <w:r w:rsidRPr="00B41A5B">
              <w:rPr>
                <w:sz w:val="18"/>
              </w:rPr>
              <w:t>999 (M)</w:t>
            </w:r>
          </w:p>
          <w:p w14:paraId="5D00E383" w14:textId="6639E9F3"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3</w:t>
            </w:r>
            <w:r w:rsidR="00F17CEC">
              <w:rPr>
                <w:sz w:val="18"/>
              </w:rPr>
              <w:t xml:space="preserve"> </w:t>
            </w:r>
            <w:r w:rsidRPr="00B41A5B">
              <w:rPr>
                <w:sz w:val="18"/>
              </w:rPr>
              <w:t>430 (F)</w:t>
            </w:r>
          </w:p>
        </w:tc>
        <w:tc>
          <w:tcPr>
            <w:tcW w:w="1048" w:type="dxa"/>
            <w:shd w:val="clear" w:color="auto" w:fill="auto"/>
            <w:vAlign w:val="bottom"/>
          </w:tcPr>
          <w:p w14:paraId="0624FBE0" w14:textId="2A7753F2"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3</w:t>
            </w:r>
            <w:r w:rsidR="00F17CEC">
              <w:rPr>
                <w:sz w:val="18"/>
              </w:rPr>
              <w:t xml:space="preserve"> </w:t>
            </w:r>
            <w:r w:rsidRPr="00B41A5B">
              <w:rPr>
                <w:sz w:val="18"/>
              </w:rPr>
              <w:t>787 (M)</w:t>
            </w:r>
          </w:p>
          <w:p w14:paraId="53DF6756" w14:textId="239CADE8"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3</w:t>
            </w:r>
            <w:r w:rsidR="00F17CEC">
              <w:rPr>
                <w:sz w:val="18"/>
              </w:rPr>
              <w:t xml:space="preserve"> </w:t>
            </w:r>
            <w:r w:rsidRPr="00B41A5B">
              <w:rPr>
                <w:sz w:val="18"/>
              </w:rPr>
              <w:t>522 (F)</w:t>
            </w:r>
          </w:p>
        </w:tc>
        <w:tc>
          <w:tcPr>
            <w:tcW w:w="1049" w:type="dxa"/>
            <w:shd w:val="clear" w:color="auto" w:fill="auto"/>
            <w:vAlign w:val="bottom"/>
          </w:tcPr>
          <w:p w14:paraId="3C8C3977" w14:textId="4035C174"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3</w:t>
            </w:r>
            <w:r w:rsidR="00F17CEC">
              <w:rPr>
                <w:sz w:val="18"/>
              </w:rPr>
              <w:t xml:space="preserve"> </w:t>
            </w:r>
            <w:r w:rsidRPr="00B41A5B">
              <w:rPr>
                <w:sz w:val="18"/>
              </w:rPr>
              <w:t>690 (M)</w:t>
            </w:r>
          </w:p>
          <w:p w14:paraId="6A85614B" w14:textId="09EF2EE1"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3</w:t>
            </w:r>
            <w:r w:rsidR="00F17CEC">
              <w:rPr>
                <w:sz w:val="18"/>
              </w:rPr>
              <w:t xml:space="preserve"> </w:t>
            </w:r>
            <w:r w:rsidRPr="00B41A5B">
              <w:rPr>
                <w:sz w:val="18"/>
              </w:rPr>
              <w:t>700 (F)</w:t>
            </w:r>
          </w:p>
        </w:tc>
        <w:tc>
          <w:tcPr>
            <w:tcW w:w="1049" w:type="dxa"/>
            <w:shd w:val="clear" w:color="auto" w:fill="auto"/>
            <w:vAlign w:val="bottom"/>
          </w:tcPr>
          <w:p w14:paraId="19F27D00" w14:textId="108FA3EF"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2</w:t>
            </w:r>
            <w:r w:rsidR="00F17CEC">
              <w:rPr>
                <w:sz w:val="18"/>
              </w:rPr>
              <w:t xml:space="preserve"> </w:t>
            </w:r>
            <w:r w:rsidRPr="00B41A5B">
              <w:rPr>
                <w:sz w:val="18"/>
              </w:rPr>
              <w:t>698 (M)</w:t>
            </w:r>
          </w:p>
          <w:p w14:paraId="06B21B0E" w14:textId="5A4B752D"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2</w:t>
            </w:r>
            <w:r w:rsidR="00F17CEC">
              <w:rPr>
                <w:sz w:val="18"/>
              </w:rPr>
              <w:t xml:space="preserve"> </w:t>
            </w:r>
            <w:r w:rsidRPr="00B41A5B">
              <w:rPr>
                <w:sz w:val="18"/>
              </w:rPr>
              <w:t>776 (F)</w:t>
            </w:r>
          </w:p>
        </w:tc>
      </w:tr>
      <w:tr w:rsidR="005D009F" w:rsidRPr="00B41A5B" w14:paraId="48AD7EB2" w14:textId="77777777" w:rsidTr="00E45843">
        <w:trPr>
          <w:cantSplit/>
        </w:trPr>
        <w:tc>
          <w:tcPr>
            <w:tcW w:w="2127" w:type="dxa"/>
            <w:shd w:val="clear" w:color="auto" w:fill="auto"/>
          </w:tcPr>
          <w:p w14:paraId="087F1EBE" w14:textId="77777777" w:rsidR="005D009F" w:rsidRPr="00B41A5B" w:rsidRDefault="005D009F" w:rsidP="00B41A5B">
            <w:pPr>
              <w:pStyle w:val="SingleTxtG"/>
              <w:suppressAutoHyphens w:val="0"/>
              <w:spacing w:before="40" w:after="40" w:line="220" w:lineRule="exact"/>
              <w:ind w:left="0" w:right="113"/>
              <w:jc w:val="left"/>
              <w:rPr>
                <w:sz w:val="18"/>
              </w:rPr>
            </w:pPr>
            <w:r w:rsidRPr="00B41A5B">
              <w:rPr>
                <w:sz w:val="18"/>
              </w:rPr>
              <w:t>No. of persons suffering temporary incapacity</w:t>
            </w:r>
          </w:p>
        </w:tc>
        <w:tc>
          <w:tcPr>
            <w:tcW w:w="1048" w:type="dxa"/>
            <w:shd w:val="clear" w:color="auto" w:fill="auto"/>
            <w:vAlign w:val="bottom"/>
          </w:tcPr>
          <w:p w14:paraId="0FCB2649" w14:textId="40480DC3"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7</w:t>
            </w:r>
            <w:r w:rsidR="00F17CEC">
              <w:rPr>
                <w:sz w:val="18"/>
              </w:rPr>
              <w:t xml:space="preserve"> </w:t>
            </w:r>
            <w:r w:rsidRPr="00B41A5B">
              <w:rPr>
                <w:sz w:val="18"/>
              </w:rPr>
              <w:t>232</w:t>
            </w:r>
          </w:p>
        </w:tc>
        <w:tc>
          <w:tcPr>
            <w:tcW w:w="1049" w:type="dxa"/>
            <w:shd w:val="clear" w:color="auto" w:fill="auto"/>
            <w:vAlign w:val="bottom"/>
          </w:tcPr>
          <w:p w14:paraId="7F886807" w14:textId="178B49C3"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7</w:t>
            </w:r>
            <w:r w:rsidR="00F17CEC">
              <w:rPr>
                <w:sz w:val="18"/>
              </w:rPr>
              <w:t xml:space="preserve"> </w:t>
            </w:r>
            <w:r w:rsidRPr="00B41A5B">
              <w:rPr>
                <w:sz w:val="18"/>
              </w:rPr>
              <w:t>337</w:t>
            </w:r>
          </w:p>
        </w:tc>
        <w:tc>
          <w:tcPr>
            <w:tcW w:w="1048" w:type="dxa"/>
            <w:shd w:val="clear" w:color="auto" w:fill="auto"/>
            <w:vAlign w:val="bottom"/>
          </w:tcPr>
          <w:p w14:paraId="2F0BC683" w14:textId="7C466EF4"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7</w:t>
            </w:r>
            <w:r w:rsidR="00F17CEC">
              <w:rPr>
                <w:sz w:val="18"/>
              </w:rPr>
              <w:t xml:space="preserve"> </w:t>
            </w:r>
            <w:r w:rsidRPr="00B41A5B">
              <w:rPr>
                <w:sz w:val="18"/>
              </w:rPr>
              <w:t>210</w:t>
            </w:r>
          </w:p>
        </w:tc>
        <w:tc>
          <w:tcPr>
            <w:tcW w:w="1049" w:type="dxa"/>
            <w:shd w:val="clear" w:color="auto" w:fill="auto"/>
            <w:vAlign w:val="bottom"/>
          </w:tcPr>
          <w:p w14:paraId="71CB4DB4" w14:textId="7C951843"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7</w:t>
            </w:r>
            <w:r w:rsidR="00F17CEC">
              <w:rPr>
                <w:sz w:val="18"/>
              </w:rPr>
              <w:t xml:space="preserve"> </w:t>
            </w:r>
            <w:r w:rsidRPr="00B41A5B">
              <w:rPr>
                <w:sz w:val="18"/>
              </w:rPr>
              <w:t>308</w:t>
            </w:r>
          </w:p>
        </w:tc>
        <w:tc>
          <w:tcPr>
            <w:tcW w:w="1049" w:type="dxa"/>
            <w:shd w:val="clear" w:color="auto" w:fill="auto"/>
            <w:vAlign w:val="bottom"/>
          </w:tcPr>
          <w:p w14:paraId="1F70E27C" w14:textId="2B14710A"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5</w:t>
            </w:r>
            <w:r w:rsidR="00F17CEC">
              <w:rPr>
                <w:sz w:val="18"/>
              </w:rPr>
              <w:t xml:space="preserve"> </w:t>
            </w:r>
            <w:r w:rsidRPr="00B41A5B">
              <w:rPr>
                <w:sz w:val="18"/>
              </w:rPr>
              <w:t>457</w:t>
            </w:r>
          </w:p>
        </w:tc>
      </w:tr>
      <w:tr w:rsidR="005D009F" w:rsidRPr="00B41A5B" w14:paraId="4996977C" w14:textId="77777777" w:rsidTr="00E45843">
        <w:trPr>
          <w:cantSplit/>
        </w:trPr>
        <w:tc>
          <w:tcPr>
            <w:tcW w:w="2127" w:type="dxa"/>
            <w:shd w:val="clear" w:color="auto" w:fill="auto"/>
          </w:tcPr>
          <w:p w14:paraId="42E24FBA" w14:textId="77777777" w:rsidR="005D009F" w:rsidRPr="00B41A5B" w:rsidRDefault="005D009F" w:rsidP="00B41A5B">
            <w:pPr>
              <w:pStyle w:val="SingleTxtG"/>
              <w:suppressAutoHyphens w:val="0"/>
              <w:spacing w:before="40" w:after="40" w:line="220" w:lineRule="exact"/>
              <w:ind w:left="0" w:right="113"/>
              <w:jc w:val="left"/>
              <w:rPr>
                <w:sz w:val="18"/>
              </w:rPr>
            </w:pPr>
            <w:r w:rsidRPr="00B41A5B">
              <w:rPr>
                <w:sz w:val="18"/>
              </w:rPr>
              <w:t>No. of persons suffering permanent incapacity</w:t>
            </w:r>
          </w:p>
        </w:tc>
        <w:tc>
          <w:tcPr>
            <w:tcW w:w="1048" w:type="dxa"/>
            <w:shd w:val="clear" w:color="auto" w:fill="auto"/>
            <w:vAlign w:val="bottom"/>
          </w:tcPr>
          <w:p w14:paraId="7F195CF8"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74</w:t>
            </w:r>
          </w:p>
        </w:tc>
        <w:tc>
          <w:tcPr>
            <w:tcW w:w="1049" w:type="dxa"/>
            <w:shd w:val="clear" w:color="auto" w:fill="auto"/>
            <w:vAlign w:val="bottom"/>
          </w:tcPr>
          <w:p w14:paraId="0B10A476"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66</w:t>
            </w:r>
          </w:p>
        </w:tc>
        <w:tc>
          <w:tcPr>
            <w:tcW w:w="1048" w:type="dxa"/>
            <w:shd w:val="clear" w:color="auto" w:fill="auto"/>
            <w:vAlign w:val="bottom"/>
          </w:tcPr>
          <w:p w14:paraId="1881FAD7"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78</w:t>
            </w:r>
          </w:p>
        </w:tc>
        <w:tc>
          <w:tcPr>
            <w:tcW w:w="1049" w:type="dxa"/>
            <w:shd w:val="clear" w:color="auto" w:fill="auto"/>
            <w:vAlign w:val="bottom"/>
          </w:tcPr>
          <w:p w14:paraId="4D80D7E1"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65</w:t>
            </w:r>
          </w:p>
        </w:tc>
        <w:tc>
          <w:tcPr>
            <w:tcW w:w="1049" w:type="dxa"/>
            <w:shd w:val="clear" w:color="auto" w:fill="auto"/>
            <w:vAlign w:val="bottom"/>
          </w:tcPr>
          <w:p w14:paraId="62E6C168"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7</w:t>
            </w:r>
          </w:p>
        </w:tc>
      </w:tr>
      <w:tr w:rsidR="005D009F" w:rsidRPr="00B41A5B" w14:paraId="230FB94E" w14:textId="77777777" w:rsidTr="00E45843">
        <w:trPr>
          <w:cantSplit/>
        </w:trPr>
        <w:tc>
          <w:tcPr>
            <w:tcW w:w="2127" w:type="dxa"/>
            <w:shd w:val="clear" w:color="auto" w:fill="auto"/>
          </w:tcPr>
          <w:p w14:paraId="313E4EAF" w14:textId="77777777" w:rsidR="005D009F" w:rsidRPr="00B41A5B" w:rsidRDefault="005D009F" w:rsidP="00B41A5B">
            <w:pPr>
              <w:pStyle w:val="SingleTxtG"/>
              <w:suppressAutoHyphens w:val="0"/>
              <w:spacing w:before="40" w:after="40" w:line="220" w:lineRule="exact"/>
              <w:ind w:left="0" w:right="113"/>
              <w:jc w:val="left"/>
              <w:rPr>
                <w:sz w:val="18"/>
              </w:rPr>
            </w:pPr>
            <w:r w:rsidRPr="00B41A5B">
              <w:rPr>
                <w:sz w:val="18"/>
              </w:rPr>
              <w:t>No. of deaths</w:t>
            </w:r>
          </w:p>
        </w:tc>
        <w:tc>
          <w:tcPr>
            <w:tcW w:w="1048" w:type="dxa"/>
            <w:shd w:val="clear" w:color="auto" w:fill="auto"/>
            <w:vAlign w:val="bottom"/>
          </w:tcPr>
          <w:p w14:paraId="3E5D52DC"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11</w:t>
            </w:r>
          </w:p>
        </w:tc>
        <w:tc>
          <w:tcPr>
            <w:tcW w:w="1049" w:type="dxa"/>
            <w:shd w:val="clear" w:color="auto" w:fill="auto"/>
            <w:vAlign w:val="bottom"/>
          </w:tcPr>
          <w:p w14:paraId="1D40A01C"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19</w:t>
            </w:r>
          </w:p>
        </w:tc>
        <w:tc>
          <w:tcPr>
            <w:tcW w:w="1048" w:type="dxa"/>
            <w:shd w:val="clear" w:color="auto" w:fill="auto"/>
            <w:vAlign w:val="bottom"/>
          </w:tcPr>
          <w:p w14:paraId="534B1203"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21</w:t>
            </w:r>
          </w:p>
        </w:tc>
        <w:tc>
          <w:tcPr>
            <w:tcW w:w="1049" w:type="dxa"/>
            <w:shd w:val="clear" w:color="auto" w:fill="auto"/>
            <w:vAlign w:val="bottom"/>
          </w:tcPr>
          <w:p w14:paraId="01FECDA4"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17</w:t>
            </w:r>
          </w:p>
        </w:tc>
        <w:tc>
          <w:tcPr>
            <w:tcW w:w="1049" w:type="dxa"/>
            <w:shd w:val="clear" w:color="auto" w:fill="auto"/>
            <w:vAlign w:val="bottom"/>
          </w:tcPr>
          <w:p w14:paraId="2723CA2C"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10</w:t>
            </w:r>
          </w:p>
        </w:tc>
      </w:tr>
      <w:tr w:rsidR="005D009F" w:rsidRPr="00B41A5B" w14:paraId="1F4FFB5B" w14:textId="77777777" w:rsidTr="00E45843">
        <w:trPr>
          <w:cantSplit/>
        </w:trPr>
        <w:tc>
          <w:tcPr>
            <w:tcW w:w="2127" w:type="dxa"/>
            <w:shd w:val="clear" w:color="auto" w:fill="auto"/>
          </w:tcPr>
          <w:p w14:paraId="2D449C1C" w14:textId="77777777" w:rsidR="005D009F" w:rsidRPr="00B41A5B" w:rsidRDefault="005D009F" w:rsidP="00B41A5B">
            <w:pPr>
              <w:pStyle w:val="SingleTxtG"/>
              <w:suppressAutoHyphens w:val="0"/>
              <w:spacing w:before="40" w:after="40" w:line="220" w:lineRule="exact"/>
              <w:ind w:left="0" w:right="113"/>
              <w:jc w:val="left"/>
              <w:rPr>
                <w:sz w:val="18"/>
              </w:rPr>
            </w:pPr>
            <w:r w:rsidRPr="00B41A5B">
              <w:rPr>
                <w:sz w:val="18"/>
              </w:rPr>
              <w:t>No. of employers punished for the violation of the OSH regulations</w:t>
            </w:r>
          </w:p>
        </w:tc>
        <w:tc>
          <w:tcPr>
            <w:tcW w:w="1048" w:type="dxa"/>
            <w:shd w:val="clear" w:color="auto" w:fill="auto"/>
            <w:vAlign w:val="bottom"/>
          </w:tcPr>
          <w:p w14:paraId="3C25AF8B"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35</w:t>
            </w:r>
          </w:p>
        </w:tc>
        <w:tc>
          <w:tcPr>
            <w:tcW w:w="1049" w:type="dxa"/>
            <w:shd w:val="clear" w:color="auto" w:fill="auto"/>
            <w:vAlign w:val="bottom"/>
          </w:tcPr>
          <w:p w14:paraId="0CCC4B61"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34</w:t>
            </w:r>
          </w:p>
        </w:tc>
        <w:tc>
          <w:tcPr>
            <w:tcW w:w="1048" w:type="dxa"/>
            <w:shd w:val="clear" w:color="auto" w:fill="auto"/>
            <w:vAlign w:val="bottom"/>
          </w:tcPr>
          <w:p w14:paraId="14748096"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32</w:t>
            </w:r>
          </w:p>
        </w:tc>
        <w:tc>
          <w:tcPr>
            <w:tcW w:w="1049" w:type="dxa"/>
            <w:shd w:val="clear" w:color="auto" w:fill="auto"/>
            <w:vAlign w:val="bottom"/>
          </w:tcPr>
          <w:p w14:paraId="5475C4BF"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26</w:t>
            </w:r>
          </w:p>
        </w:tc>
        <w:tc>
          <w:tcPr>
            <w:tcW w:w="1049" w:type="dxa"/>
            <w:shd w:val="clear" w:color="auto" w:fill="auto"/>
            <w:vAlign w:val="bottom"/>
          </w:tcPr>
          <w:p w14:paraId="4509AD73"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5</w:t>
            </w:r>
          </w:p>
        </w:tc>
      </w:tr>
      <w:tr w:rsidR="005D009F" w:rsidRPr="00B41A5B" w14:paraId="0B8A575F" w14:textId="77777777" w:rsidTr="00E45843">
        <w:trPr>
          <w:cantSplit/>
        </w:trPr>
        <w:tc>
          <w:tcPr>
            <w:tcW w:w="2127" w:type="dxa"/>
            <w:shd w:val="clear" w:color="auto" w:fill="auto"/>
          </w:tcPr>
          <w:p w14:paraId="5A6A9F15" w14:textId="77777777" w:rsidR="005D009F" w:rsidRPr="00B41A5B" w:rsidRDefault="005D009F" w:rsidP="00B41A5B">
            <w:pPr>
              <w:pStyle w:val="SingleTxtG"/>
              <w:suppressAutoHyphens w:val="0"/>
              <w:spacing w:before="40" w:after="40" w:line="220" w:lineRule="exact"/>
              <w:ind w:left="0" w:right="113"/>
              <w:jc w:val="left"/>
              <w:rPr>
                <w:sz w:val="18"/>
              </w:rPr>
            </w:pPr>
            <w:r w:rsidRPr="00B41A5B">
              <w:rPr>
                <w:sz w:val="18"/>
              </w:rPr>
              <w:t>Penalty amount (MOP$)</w:t>
            </w:r>
          </w:p>
        </w:tc>
        <w:tc>
          <w:tcPr>
            <w:tcW w:w="1048" w:type="dxa"/>
            <w:shd w:val="clear" w:color="auto" w:fill="auto"/>
            <w:vAlign w:val="bottom"/>
          </w:tcPr>
          <w:p w14:paraId="4765DE57" w14:textId="46B227E9"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$148</w:t>
            </w:r>
            <w:r w:rsidR="00F17CEC">
              <w:rPr>
                <w:sz w:val="18"/>
              </w:rPr>
              <w:t xml:space="preserve"> </w:t>
            </w:r>
            <w:r w:rsidRPr="00B41A5B">
              <w:rPr>
                <w:sz w:val="18"/>
              </w:rPr>
              <w:t>400</w:t>
            </w:r>
          </w:p>
        </w:tc>
        <w:tc>
          <w:tcPr>
            <w:tcW w:w="1049" w:type="dxa"/>
            <w:shd w:val="clear" w:color="auto" w:fill="auto"/>
            <w:vAlign w:val="bottom"/>
          </w:tcPr>
          <w:p w14:paraId="2A0F9728" w14:textId="330107F2"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$196</w:t>
            </w:r>
            <w:r w:rsidR="00F17CEC">
              <w:rPr>
                <w:sz w:val="18"/>
              </w:rPr>
              <w:t xml:space="preserve"> </w:t>
            </w:r>
            <w:r w:rsidRPr="00B41A5B">
              <w:rPr>
                <w:sz w:val="18"/>
              </w:rPr>
              <w:t>000</w:t>
            </w:r>
          </w:p>
        </w:tc>
        <w:tc>
          <w:tcPr>
            <w:tcW w:w="1048" w:type="dxa"/>
            <w:shd w:val="clear" w:color="auto" w:fill="auto"/>
            <w:vAlign w:val="bottom"/>
          </w:tcPr>
          <w:p w14:paraId="3326B46C" w14:textId="4C2952B8"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$185</w:t>
            </w:r>
            <w:r w:rsidR="00F17CEC">
              <w:rPr>
                <w:sz w:val="18"/>
              </w:rPr>
              <w:t xml:space="preserve"> </w:t>
            </w:r>
            <w:r w:rsidRPr="00B41A5B">
              <w:rPr>
                <w:sz w:val="18"/>
              </w:rPr>
              <w:t>500</w:t>
            </w:r>
          </w:p>
        </w:tc>
        <w:tc>
          <w:tcPr>
            <w:tcW w:w="1049" w:type="dxa"/>
            <w:shd w:val="clear" w:color="auto" w:fill="auto"/>
            <w:vAlign w:val="bottom"/>
          </w:tcPr>
          <w:p w14:paraId="6EE4535F" w14:textId="734CFB1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$167</w:t>
            </w:r>
            <w:r w:rsidR="00F17CEC">
              <w:rPr>
                <w:sz w:val="18"/>
              </w:rPr>
              <w:t xml:space="preserve"> </w:t>
            </w:r>
            <w:r w:rsidRPr="00B41A5B">
              <w:rPr>
                <w:sz w:val="18"/>
              </w:rPr>
              <w:t>000</w:t>
            </w:r>
          </w:p>
        </w:tc>
        <w:tc>
          <w:tcPr>
            <w:tcW w:w="1049" w:type="dxa"/>
            <w:shd w:val="clear" w:color="auto" w:fill="auto"/>
            <w:vAlign w:val="bottom"/>
          </w:tcPr>
          <w:p w14:paraId="485F4FEF" w14:textId="01B3C91E"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$26</w:t>
            </w:r>
            <w:r w:rsidR="00F17CEC">
              <w:rPr>
                <w:sz w:val="18"/>
              </w:rPr>
              <w:t xml:space="preserve"> </w:t>
            </w:r>
            <w:r w:rsidRPr="00B41A5B">
              <w:rPr>
                <w:sz w:val="18"/>
              </w:rPr>
              <w:t>500</w:t>
            </w:r>
          </w:p>
        </w:tc>
      </w:tr>
    </w:tbl>
    <w:p w14:paraId="55469F4B" w14:textId="45368989" w:rsidR="005D009F" w:rsidRPr="00F17CEC" w:rsidRDefault="005D009F" w:rsidP="00F17CEC">
      <w:pPr>
        <w:spacing w:before="120" w:after="240"/>
        <w:ind w:left="1134" w:right="1134" w:firstLine="170"/>
        <w:rPr>
          <w:sz w:val="18"/>
        </w:rPr>
      </w:pPr>
      <w:r w:rsidRPr="00F17CEC">
        <w:rPr>
          <w:i/>
          <w:iCs/>
          <w:sz w:val="18"/>
        </w:rPr>
        <w:t>Source</w:t>
      </w:r>
      <w:r w:rsidRPr="00F17CEC">
        <w:rPr>
          <w:sz w:val="18"/>
        </w:rPr>
        <w:t xml:space="preserve">: </w:t>
      </w:r>
      <w:r w:rsidR="00935647">
        <w:rPr>
          <w:sz w:val="18"/>
        </w:rPr>
        <w:t xml:space="preserve"> </w:t>
      </w:r>
      <w:r w:rsidRPr="00F17CEC">
        <w:rPr>
          <w:sz w:val="18"/>
        </w:rPr>
        <w:t>LAB.</w:t>
      </w:r>
    </w:p>
    <w:p w14:paraId="1159DA8A" w14:textId="77777777" w:rsidR="005D009F" w:rsidRPr="00B47380" w:rsidRDefault="005D009F" w:rsidP="00D53B5F">
      <w:pPr>
        <w:pStyle w:val="SingleTxtG"/>
      </w:pPr>
      <w:r w:rsidRPr="00B47380">
        <w:t>75.</w:t>
      </w:r>
      <w:r w:rsidRPr="00B47380">
        <w:tab/>
        <w:t>The main causes of occupational accidents were fall of persons, stepping on or striking against objects, pinching, punctured or incised wounds and excessive force or sprains. The LAB referred 4 cases of occupational diseases (involving 4 victims) to the court in 2017 and 4 cases (involving 4 victims) between January and September 2018.</w:t>
      </w:r>
    </w:p>
    <w:p w14:paraId="3F218EE3" w14:textId="77777777" w:rsidR="005D009F" w:rsidRPr="00B47380" w:rsidRDefault="005D009F" w:rsidP="00D53B5F">
      <w:pPr>
        <w:pStyle w:val="SingleTxtG"/>
      </w:pPr>
      <w:r w:rsidRPr="00B47380">
        <w:t>76.</w:t>
      </w:r>
      <w:r w:rsidRPr="00B47380">
        <w:tab/>
        <w:t xml:space="preserve">There was 1 case of occupational disease with 1 victim confirmed by a court decision with a mild sensorineural hearing loss (2014), 1 case with 1 victim confirmed with bilateral sensorineural hearing loss (2015) and 1 case with 1 victim confirmed Pneumoconiosis (2016). </w:t>
      </w:r>
    </w:p>
    <w:p w14:paraId="0573817F" w14:textId="77777777" w:rsidR="005D009F" w:rsidRPr="00B47380" w:rsidRDefault="005D009F" w:rsidP="00D53B5F">
      <w:pPr>
        <w:pStyle w:val="SingleTxtG"/>
      </w:pPr>
      <w:r w:rsidRPr="00B47380">
        <w:t>77.</w:t>
      </w:r>
      <w:r w:rsidRPr="00B47380">
        <w:tab/>
        <w:t xml:space="preserve">From 2014 to September 2018, the LAB conducted 20,422 occupational safety and health inspections at workplaces. Consequently, 10,168 recommendations were </w:t>
      </w:r>
      <w:proofErr w:type="gramStart"/>
      <w:r w:rsidRPr="00B47380">
        <w:t>issued</w:t>
      </w:r>
      <w:proofErr w:type="gramEnd"/>
      <w:r w:rsidRPr="00B47380">
        <w:t xml:space="preserve"> and 182 work suspension orders made. One hundred and </w:t>
      </w:r>
      <w:proofErr w:type="gramStart"/>
      <w:r w:rsidRPr="00B47380">
        <w:t>forty three</w:t>
      </w:r>
      <w:proofErr w:type="gramEnd"/>
      <w:r w:rsidRPr="00B47380">
        <w:t>, 300, 312, 493 and 190 sanctions/disciplinary actions were imposed, with fines of MOP$324,000, MOP$630,000, MOP$700,000, MOP$1,148,500 and MOP$457,500 respectively.</w:t>
      </w:r>
    </w:p>
    <w:p w14:paraId="3B3B8F3F" w14:textId="77777777" w:rsidR="005D009F" w:rsidRPr="00B47380" w:rsidRDefault="005D009F" w:rsidP="00D53B5F">
      <w:pPr>
        <w:pStyle w:val="SingleTxtG"/>
      </w:pPr>
      <w:r w:rsidRPr="00B47380">
        <w:t>78.</w:t>
      </w:r>
      <w:r w:rsidRPr="00B47380">
        <w:tab/>
        <w:t>The LAB has undertaken various occupational safety and health courses for workers in different industries (e.g. hotels, education, construction, public administration, wholesale and retail trade). Between 2014 and September 2018, there were 1,648, 3,055, 2,461, 3,227 and 2,906 participants.</w:t>
      </w:r>
    </w:p>
    <w:p w14:paraId="76F340DF" w14:textId="4413A6E8" w:rsidR="005D009F" w:rsidRPr="00B47380" w:rsidRDefault="005D009F" w:rsidP="00D53B5F">
      <w:pPr>
        <w:pStyle w:val="SingleTxtG"/>
      </w:pPr>
      <w:r w:rsidRPr="00B47380">
        <w:t>79.</w:t>
      </w:r>
      <w:r w:rsidRPr="00B47380">
        <w:tab/>
        <w:t>The LAB also issued the Construction Safety Card, valid for 5 years, attesting construction workers</w:t>
      </w:r>
      <w:r w:rsidR="006266F0">
        <w:t>’</w:t>
      </w:r>
      <w:r w:rsidRPr="00B47380">
        <w:t xml:space="preserve"> basic knowledge. Between 2014 and September 2018, 49,316, 47,478, 36,540, 25,520 and 18,968 workers participated in the programme.</w:t>
      </w:r>
    </w:p>
    <w:p w14:paraId="6D0C94CF" w14:textId="26A82A76" w:rsidR="005D009F" w:rsidRPr="00B47380" w:rsidRDefault="005D009F" w:rsidP="00D53B5F">
      <w:pPr>
        <w:pStyle w:val="SingleTxtG"/>
      </w:pPr>
      <w:r w:rsidRPr="00B47380">
        <w:lastRenderedPageBreak/>
        <w:t>80.</w:t>
      </w:r>
      <w:r w:rsidRPr="00B47380">
        <w:tab/>
        <w:t xml:space="preserve">In June 2018, the LAB launched a </w:t>
      </w:r>
      <w:r w:rsidR="006266F0">
        <w:t>“</w:t>
      </w:r>
      <w:r w:rsidRPr="00B47380">
        <w:t>Special Training Programme on Construction Safety</w:t>
      </w:r>
      <w:r w:rsidR="006266F0">
        <w:t>”</w:t>
      </w:r>
      <w:r w:rsidRPr="00B47380">
        <w:t xml:space="preserve"> to provide Construction Safety Card holders with advanced safety training. A </w:t>
      </w:r>
      <w:r w:rsidR="006266F0">
        <w:t>“</w:t>
      </w:r>
      <w:r w:rsidRPr="00B47380">
        <w:t>Special Training Card on Construction Safety</w:t>
      </w:r>
      <w:r w:rsidR="006266F0">
        <w:t>”</w:t>
      </w:r>
      <w:r w:rsidRPr="00B47380">
        <w:t xml:space="preserve"> was issued, with a 5-year validity. Till September 2018, 451 workers participated in the programme.</w:t>
      </w:r>
    </w:p>
    <w:p w14:paraId="16B5B553" w14:textId="4CC15853" w:rsidR="005D009F" w:rsidRPr="00B47380" w:rsidRDefault="005D009F" w:rsidP="00D53B5F">
      <w:pPr>
        <w:pStyle w:val="SingleTxtG"/>
      </w:pPr>
      <w:r w:rsidRPr="00B47380">
        <w:t>81.</w:t>
      </w:r>
      <w:r w:rsidRPr="00B47380">
        <w:tab/>
        <w:t xml:space="preserve">In July 2018, it launched, for the hotel, catering and gaming industries workers, the course on </w:t>
      </w:r>
      <w:r w:rsidR="006266F0">
        <w:t>“</w:t>
      </w:r>
      <w:r w:rsidRPr="00B47380">
        <w:t>Occupational Safety Card for the Hotel and Catering Industries</w:t>
      </w:r>
      <w:r w:rsidR="006266F0">
        <w:t>”</w:t>
      </w:r>
      <w:r w:rsidRPr="00B47380">
        <w:t>, covering common work hazards, basic safety knowledge, preventive measures and use of personal protective equipment, with a 5-year validity card. Till September 2018, there were 1,628 participants.</w:t>
      </w:r>
    </w:p>
    <w:p w14:paraId="53F9E8D3" w14:textId="655EA576" w:rsidR="005D009F" w:rsidRPr="00B47380" w:rsidRDefault="005D009F" w:rsidP="008F6F60">
      <w:pPr>
        <w:pStyle w:val="H1G"/>
      </w:pPr>
      <w:r w:rsidRPr="00B47380">
        <w:tab/>
      </w:r>
      <w:r w:rsidRPr="00B47380">
        <w:tab/>
        <w:t>Article 8</w:t>
      </w:r>
      <w:r w:rsidR="004D6325">
        <w:br/>
      </w:r>
      <w:r w:rsidRPr="00B47380">
        <w:t>Right to trade union membership</w:t>
      </w:r>
    </w:p>
    <w:p w14:paraId="3565BEEB" w14:textId="7CBBD522" w:rsidR="005D009F" w:rsidRPr="00B47380" w:rsidRDefault="005D009F" w:rsidP="00D53B5F">
      <w:pPr>
        <w:pStyle w:val="SingleTxtG"/>
      </w:pPr>
      <w:r w:rsidRPr="00B47380">
        <w:t>82.</w:t>
      </w:r>
      <w:r w:rsidRPr="00B47380">
        <w:tab/>
        <w:t>The information provided in this Article remains accurate. The Standing Committee for the Coordination of Social Affairs, comprising representatives of employers</w:t>
      </w:r>
      <w:r w:rsidR="006266F0">
        <w:t>’</w:t>
      </w:r>
      <w:r w:rsidRPr="00B47380">
        <w:t xml:space="preserve"> and workers</w:t>
      </w:r>
      <w:r w:rsidR="006266F0">
        <w:t>’</w:t>
      </w:r>
      <w:r w:rsidRPr="00B47380">
        <w:t xml:space="preserve"> associations, continues to perform its role in the Government</w:t>
      </w:r>
      <w:r w:rsidR="006266F0">
        <w:t>’</w:t>
      </w:r>
      <w:r w:rsidRPr="00B47380">
        <w:t>s labour policies and strategic plans.</w:t>
      </w:r>
    </w:p>
    <w:p w14:paraId="1B5A162A" w14:textId="0E52AE29" w:rsidR="005D009F" w:rsidRPr="00B47380" w:rsidRDefault="005D009F" w:rsidP="00D53B5F">
      <w:pPr>
        <w:pStyle w:val="SingleTxtG"/>
      </w:pPr>
      <w:r w:rsidRPr="00B47380">
        <w:t>83.</w:t>
      </w:r>
      <w:r w:rsidRPr="00B47380">
        <w:tab/>
        <w:t>As explained in previous reports, labour organisations are an active group in the society, acting politically and defending workers</w:t>
      </w:r>
      <w:r w:rsidR="006266F0">
        <w:t>’</w:t>
      </w:r>
      <w:r w:rsidRPr="00B47380">
        <w:t xml:space="preserve"> interests. Members of labour organisations cannot be discriminated against or subject to any restrictions by the fact that they are members. In September 2018, there were about 435 labour-related organisations (56 workers</w:t>
      </w:r>
      <w:r w:rsidR="006266F0">
        <w:t>’</w:t>
      </w:r>
      <w:r w:rsidRPr="00B47380">
        <w:t xml:space="preserve"> associations and 379 professional work-based associations) registered at the Identification Bureau (IB).</w:t>
      </w:r>
    </w:p>
    <w:p w14:paraId="6A110619" w14:textId="77777777" w:rsidR="005D009F" w:rsidRPr="00B47380" w:rsidRDefault="005D009F" w:rsidP="00D53B5F">
      <w:pPr>
        <w:pStyle w:val="SingleTxtG"/>
      </w:pPr>
      <w:r w:rsidRPr="00B47380">
        <w:t>84.</w:t>
      </w:r>
      <w:r w:rsidRPr="00B47380">
        <w:tab/>
        <w:t xml:space="preserve">Regarding paragraph 57 of the concluding observations, the right to strike and be a member of a labour organisation is a fundamental right guaranteed under Article 27 of the BL and no one should be discriminated against for those reasons. </w:t>
      </w:r>
    </w:p>
    <w:p w14:paraId="2A23D9CE" w14:textId="58FC7D54" w:rsidR="005D009F" w:rsidRPr="00B47380" w:rsidRDefault="005D009F" w:rsidP="00D53B5F">
      <w:pPr>
        <w:pStyle w:val="SingleTxtG"/>
      </w:pPr>
      <w:r w:rsidRPr="00B47380">
        <w:t>85.</w:t>
      </w:r>
      <w:r w:rsidRPr="00B47380">
        <w:tab/>
        <w:t>As an illustration, in 2018, lifeguards went on a 7-day strike for their employer</w:t>
      </w:r>
      <w:r w:rsidR="006266F0">
        <w:t>’</w:t>
      </w:r>
      <w:r w:rsidRPr="00B47380">
        <w:t xml:space="preserve">s violation of working hours. One of the consequences was a fine of MOP$230,000 on the employer. The case is still under investigation. </w:t>
      </w:r>
    </w:p>
    <w:p w14:paraId="3C677CD1" w14:textId="1535C561" w:rsidR="005D009F" w:rsidRPr="00B47380" w:rsidRDefault="005D009F" w:rsidP="008F6F60">
      <w:pPr>
        <w:pStyle w:val="H1G"/>
      </w:pPr>
      <w:r w:rsidRPr="00B47380">
        <w:tab/>
      </w:r>
      <w:r w:rsidRPr="00B47380">
        <w:tab/>
        <w:t>Article 9</w:t>
      </w:r>
      <w:r w:rsidR="004D6325">
        <w:br/>
      </w:r>
      <w:r w:rsidRPr="00B47380">
        <w:t>Right to social security</w:t>
      </w:r>
    </w:p>
    <w:p w14:paraId="692C349E" w14:textId="45315634" w:rsidR="005D009F" w:rsidRPr="00B47380" w:rsidRDefault="005D009F" w:rsidP="00D53B5F">
      <w:pPr>
        <w:pStyle w:val="SingleTxtG"/>
      </w:pPr>
      <w:r w:rsidRPr="00B47380">
        <w:t>86.</w:t>
      </w:r>
      <w:r w:rsidRPr="00B47380">
        <w:tab/>
        <w:t>The right to social security is a constitutional right and it is the Government</w:t>
      </w:r>
      <w:r w:rsidR="006266F0">
        <w:t>’</w:t>
      </w:r>
      <w:r w:rsidRPr="00B47380">
        <w:t>s responsibility to develop the concerned policies and measures as mentioned in previous reports (Articles 39 and 130 of the BL). There are two main social security systems - public and private sectors. While the social security system for the public sector remains basically unchanged, the one for the private sector has been subject to substantial improvements.</w:t>
      </w:r>
    </w:p>
    <w:p w14:paraId="5FEB714E" w14:textId="6AE4E0FE" w:rsidR="005D009F" w:rsidRPr="00B47380" w:rsidRDefault="005D009F" w:rsidP="00D53B5F">
      <w:pPr>
        <w:pStyle w:val="SingleTxtG"/>
      </w:pPr>
      <w:r w:rsidRPr="00B47380">
        <w:t>87.</w:t>
      </w:r>
      <w:r w:rsidRPr="00B47380">
        <w:tab/>
        <w:t>In the public sector, the Pension Fund (PF) continues to be the entity responsible for the retirement benefits of public workers. There are two schemes under the management of the PF, the Retirement and Survivor</w:t>
      </w:r>
      <w:r w:rsidR="006266F0">
        <w:t>’</w:t>
      </w:r>
      <w:r w:rsidRPr="00B47380">
        <w:t>s Pensions Scheme (defined benefit) and the Provident Fund Scheme (defined contribution).</w:t>
      </w:r>
    </w:p>
    <w:p w14:paraId="6666AA5B" w14:textId="7D2685DE" w:rsidR="005D009F" w:rsidRPr="00B47380" w:rsidRDefault="005D009F" w:rsidP="00D53B5F">
      <w:pPr>
        <w:pStyle w:val="SingleTxtG"/>
      </w:pPr>
      <w:r w:rsidRPr="00B47380">
        <w:t>88.</w:t>
      </w:r>
      <w:r w:rsidRPr="00B47380">
        <w:tab/>
        <w:t>Under the Retirement and Survivor</w:t>
      </w:r>
      <w:r w:rsidR="006266F0">
        <w:t>’</w:t>
      </w:r>
      <w:r w:rsidRPr="00B47380">
        <w:t>s Pensions Scheme, a member is entitled to a lifetime monthly pension upon retirement, while eligible heirs of a deceased member are entitled to a monthly survivor</w:t>
      </w:r>
      <w:r w:rsidR="006266F0">
        <w:t>’</w:t>
      </w:r>
      <w:r w:rsidRPr="00B47380">
        <w:t>s pension, in accordance with the relevant law. As of September 2018, there were 9,154 (5,903 males and 3,251 females) active members under the Retirement and Survivor</w:t>
      </w:r>
      <w:r w:rsidR="006266F0">
        <w:t>’</w:t>
      </w:r>
      <w:r w:rsidRPr="00B47380">
        <w:t>s Pensions Scheme, of which 84 (40 males and 44 females) were magistrates. As of the same date, there were 3,769 old-age pension recipients (2,974 males and 795 females) and 385 beneficiaries of the survivor</w:t>
      </w:r>
      <w:r w:rsidR="006266F0">
        <w:t>’</w:t>
      </w:r>
      <w:r w:rsidRPr="00B47380">
        <w:t xml:space="preserve">s pension (76 males and 309 females). </w:t>
      </w:r>
    </w:p>
    <w:p w14:paraId="0BA249EA" w14:textId="44E5DC26" w:rsidR="005D009F" w:rsidRPr="00B47380" w:rsidRDefault="005D009F" w:rsidP="00D53B5F">
      <w:pPr>
        <w:pStyle w:val="SingleTxtG"/>
      </w:pPr>
      <w:r w:rsidRPr="00B47380">
        <w:t>89.</w:t>
      </w:r>
      <w:r w:rsidRPr="00B47380">
        <w:tab/>
        <w:t>Since the introduction of the Provident Fund Scheme Regime (Law 8/2006, as amended, and AR 15/2006, as amended) – a retirement benefits plan provided by the Government to public workers based on monthly contributions of the workers and Government – the Retirement and Survivor</w:t>
      </w:r>
      <w:r w:rsidR="006266F0">
        <w:t>’</w:t>
      </w:r>
      <w:r w:rsidRPr="00B47380">
        <w:t xml:space="preserve">s Pensions Scheme no longer admits enrolment, </w:t>
      </w:r>
      <w:r w:rsidRPr="00B47380">
        <w:lastRenderedPageBreak/>
        <w:t xml:space="preserve">except for Judicial and Procuratorate magistrates that are in the career regime. All other workers having an employment relationship with the Public Administration, </w:t>
      </w:r>
      <w:proofErr w:type="gramStart"/>
      <w:r w:rsidRPr="00B47380">
        <w:t>with the exception of</w:t>
      </w:r>
      <w:proofErr w:type="gramEnd"/>
      <w:r w:rsidRPr="00B47380">
        <w:t xml:space="preserve"> part-time workers and those working in entities with their own retirement benefits schemes, are entitled to enrol in the Provident Fund Scheme. As of September 2018, 22,360 (11,895 males and 10,465 females) workers were members of the Scheme.</w:t>
      </w:r>
    </w:p>
    <w:p w14:paraId="6BFA5C37" w14:textId="239A4D66" w:rsidR="005D009F" w:rsidRPr="00B47380" w:rsidRDefault="005D009F" w:rsidP="00D53B5F">
      <w:pPr>
        <w:pStyle w:val="SingleTxtG"/>
      </w:pPr>
      <w:r w:rsidRPr="00B47380">
        <w:t>90.</w:t>
      </w:r>
      <w:r w:rsidRPr="00B47380">
        <w:tab/>
        <w:t xml:space="preserve">Under the Provident Fund Scheme, the monthly joint contributions by member and the Government are directed into investment options and accumulated together with the returns of the investments. After the termination of employment with the Public Administration, the member will receive the vested amount in a lump sum or up to a maximum of 3 </w:t>
      </w:r>
      <w:proofErr w:type="spellStart"/>
      <w:r w:rsidRPr="00B47380">
        <w:t>installments</w:t>
      </w:r>
      <w:proofErr w:type="spellEnd"/>
      <w:r w:rsidRPr="00B47380">
        <w:t>, upon the member</w:t>
      </w:r>
      <w:r w:rsidR="006266F0">
        <w:t>’</w:t>
      </w:r>
      <w:r w:rsidRPr="00B47380">
        <w:t xml:space="preserve">s request. </w:t>
      </w:r>
    </w:p>
    <w:p w14:paraId="7EB08B62" w14:textId="77777777" w:rsidR="005D009F" w:rsidRPr="00B47380" w:rsidRDefault="005D009F" w:rsidP="00D53B5F">
      <w:pPr>
        <w:pStyle w:val="SingleTxtG"/>
      </w:pPr>
      <w:r w:rsidRPr="00B47380">
        <w:t>91.</w:t>
      </w:r>
      <w:r w:rsidRPr="00B47380">
        <w:tab/>
        <w:t>To protect the interests of members, the PF has engaged an investment consulting company to assist in the monitoring of the investment funds. In addition, a passive global equity fund was introduced in 2014.</w:t>
      </w:r>
    </w:p>
    <w:p w14:paraId="55E033E6" w14:textId="6DEF915C" w:rsidR="005D009F" w:rsidRPr="00B47380" w:rsidRDefault="005D009F" w:rsidP="008F6F60">
      <w:pPr>
        <w:pStyle w:val="H23G"/>
      </w:pPr>
      <w:r w:rsidRPr="00B47380">
        <w:tab/>
      </w:r>
      <w:r w:rsidRPr="00B47380">
        <w:tab/>
        <w:t>Members</w:t>
      </w:r>
      <w:r w:rsidR="006266F0">
        <w:t>’</w:t>
      </w:r>
      <w:r w:rsidRPr="00B47380">
        <w:t xml:space="preserve"> investment allocation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5D009F" w:rsidRPr="00B41A5B" w14:paraId="0764E968" w14:textId="77777777" w:rsidTr="00E45843">
        <w:trPr>
          <w:cantSplit/>
          <w:tblHeader/>
        </w:trPr>
        <w:tc>
          <w:tcPr>
            <w:tcW w:w="1474" w:type="dxa"/>
            <w:tcBorders>
              <w:top w:val="single" w:sz="4" w:space="0" w:color="auto"/>
              <w:bottom w:val="single" w:sz="12" w:space="0" w:color="auto"/>
            </w:tcBorders>
            <w:shd w:val="clear" w:color="auto" w:fill="auto"/>
            <w:noWrap/>
            <w:vAlign w:val="bottom"/>
          </w:tcPr>
          <w:p w14:paraId="1533DDCB" w14:textId="77777777" w:rsidR="005D009F" w:rsidRPr="00B41A5B" w:rsidRDefault="005D009F" w:rsidP="00B41A5B">
            <w:pPr>
              <w:pStyle w:val="SingleTxtG"/>
              <w:suppressAutoHyphens w:val="0"/>
              <w:spacing w:before="80" w:after="80" w:line="200" w:lineRule="exact"/>
              <w:ind w:left="0" w:right="113"/>
              <w:jc w:val="left"/>
              <w:rPr>
                <w:i/>
                <w:sz w:val="16"/>
              </w:rPr>
            </w:pPr>
            <w:r w:rsidRPr="00B41A5B">
              <w:rPr>
                <w:i/>
                <w:sz w:val="16"/>
              </w:rPr>
              <w:t>Year/investment applications</w:t>
            </w:r>
          </w:p>
        </w:tc>
        <w:tc>
          <w:tcPr>
            <w:tcW w:w="1474" w:type="dxa"/>
            <w:tcBorders>
              <w:top w:val="single" w:sz="4" w:space="0" w:color="auto"/>
              <w:bottom w:val="single" w:sz="12" w:space="0" w:color="auto"/>
            </w:tcBorders>
            <w:shd w:val="clear" w:color="auto" w:fill="auto"/>
            <w:noWrap/>
            <w:vAlign w:val="bottom"/>
          </w:tcPr>
          <w:p w14:paraId="01D0630E" w14:textId="77777777" w:rsidR="005D009F" w:rsidRPr="00B41A5B" w:rsidRDefault="005D009F" w:rsidP="00B41A5B">
            <w:pPr>
              <w:pStyle w:val="SingleTxtG"/>
              <w:suppressAutoHyphens w:val="0"/>
              <w:spacing w:before="80" w:after="80" w:line="200" w:lineRule="exact"/>
              <w:ind w:left="0" w:right="113"/>
              <w:jc w:val="right"/>
              <w:rPr>
                <w:i/>
                <w:sz w:val="16"/>
              </w:rPr>
            </w:pPr>
            <w:r w:rsidRPr="00B41A5B">
              <w:rPr>
                <w:i/>
                <w:sz w:val="16"/>
              </w:rPr>
              <w:t xml:space="preserve">Global Equity </w:t>
            </w:r>
          </w:p>
          <w:p w14:paraId="3274CD4E" w14:textId="77777777" w:rsidR="005D009F" w:rsidRPr="00B41A5B" w:rsidRDefault="005D009F" w:rsidP="00B41A5B">
            <w:pPr>
              <w:pStyle w:val="SingleTxtG"/>
              <w:suppressAutoHyphens w:val="0"/>
              <w:spacing w:before="80" w:after="80" w:line="200" w:lineRule="exact"/>
              <w:ind w:left="0" w:right="113"/>
              <w:jc w:val="right"/>
              <w:rPr>
                <w:i/>
                <w:sz w:val="16"/>
              </w:rPr>
            </w:pPr>
            <w:r w:rsidRPr="00B41A5B">
              <w:rPr>
                <w:i/>
                <w:sz w:val="16"/>
              </w:rPr>
              <w:t>Fund (Active)</w:t>
            </w:r>
          </w:p>
        </w:tc>
        <w:tc>
          <w:tcPr>
            <w:tcW w:w="1474" w:type="dxa"/>
            <w:tcBorders>
              <w:top w:val="single" w:sz="4" w:space="0" w:color="auto"/>
              <w:bottom w:val="single" w:sz="12" w:space="0" w:color="auto"/>
            </w:tcBorders>
            <w:shd w:val="clear" w:color="auto" w:fill="auto"/>
            <w:noWrap/>
            <w:vAlign w:val="bottom"/>
          </w:tcPr>
          <w:p w14:paraId="45F4EC2D" w14:textId="77777777" w:rsidR="005D009F" w:rsidRPr="00B41A5B" w:rsidRDefault="005D009F" w:rsidP="00B41A5B">
            <w:pPr>
              <w:pStyle w:val="SingleTxtG"/>
              <w:suppressAutoHyphens w:val="0"/>
              <w:spacing w:before="80" w:after="80" w:line="200" w:lineRule="exact"/>
              <w:ind w:left="0" w:right="113"/>
              <w:jc w:val="right"/>
              <w:rPr>
                <w:i/>
                <w:sz w:val="16"/>
              </w:rPr>
            </w:pPr>
            <w:r w:rsidRPr="00B41A5B">
              <w:rPr>
                <w:i/>
                <w:sz w:val="16"/>
              </w:rPr>
              <w:t xml:space="preserve">Global Equity </w:t>
            </w:r>
          </w:p>
          <w:p w14:paraId="601545B9" w14:textId="77777777" w:rsidR="005D009F" w:rsidRPr="00B41A5B" w:rsidRDefault="005D009F" w:rsidP="00B41A5B">
            <w:pPr>
              <w:pStyle w:val="SingleTxtG"/>
              <w:suppressAutoHyphens w:val="0"/>
              <w:spacing w:before="80" w:after="80" w:line="200" w:lineRule="exact"/>
              <w:ind w:left="0" w:right="113"/>
              <w:jc w:val="right"/>
              <w:rPr>
                <w:i/>
                <w:sz w:val="16"/>
              </w:rPr>
            </w:pPr>
            <w:r w:rsidRPr="00B41A5B">
              <w:rPr>
                <w:i/>
                <w:sz w:val="16"/>
              </w:rPr>
              <w:t>Fund (Passive)</w:t>
            </w:r>
          </w:p>
        </w:tc>
        <w:tc>
          <w:tcPr>
            <w:tcW w:w="1474" w:type="dxa"/>
            <w:tcBorders>
              <w:top w:val="single" w:sz="4" w:space="0" w:color="auto"/>
              <w:bottom w:val="single" w:sz="12" w:space="0" w:color="auto"/>
            </w:tcBorders>
            <w:shd w:val="clear" w:color="auto" w:fill="auto"/>
            <w:noWrap/>
            <w:vAlign w:val="bottom"/>
          </w:tcPr>
          <w:p w14:paraId="2B20C012" w14:textId="77777777" w:rsidR="005D009F" w:rsidRPr="00B41A5B" w:rsidRDefault="005D009F" w:rsidP="00B41A5B">
            <w:pPr>
              <w:pStyle w:val="SingleTxtG"/>
              <w:suppressAutoHyphens w:val="0"/>
              <w:spacing w:before="80" w:after="80" w:line="200" w:lineRule="exact"/>
              <w:ind w:left="0" w:right="113"/>
              <w:jc w:val="right"/>
              <w:rPr>
                <w:i/>
                <w:sz w:val="16"/>
              </w:rPr>
            </w:pPr>
            <w:r w:rsidRPr="00B41A5B">
              <w:rPr>
                <w:i/>
                <w:sz w:val="16"/>
              </w:rPr>
              <w:t>Global Bond Fund</w:t>
            </w:r>
          </w:p>
        </w:tc>
        <w:tc>
          <w:tcPr>
            <w:tcW w:w="1474" w:type="dxa"/>
            <w:tcBorders>
              <w:top w:val="single" w:sz="4" w:space="0" w:color="auto"/>
              <w:bottom w:val="single" w:sz="12" w:space="0" w:color="auto"/>
            </w:tcBorders>
            <w:shd w:val="clear" w:color="auto" w:fill="auto"/>
            <w:noWrap/>
            <w:vAlign w:val="bottom"/>
          </w:tcPr>
          <w:p w14:paraId="227541AA" w14:textId="77777777" w:rsidR="005D009F" w:rsidRPr="00B41A5B" w:rsidRDefault="005D009F" w:rsidP="00B41A5B">
            <w:pPr>
              <w:pStyle w:val="SingleTxtG"/>
              <w:suppressAutoHyphens w:val="0"/>
              <w:spacing w:before="80" w:after="80" w:line="200" w:lineRule="exact"/>
              <w:ind w:left="0" w:right="113"/>
              <w:jc w:val="right"/>
              <w:rPr>
                <w:i/>
                <w:sz w:val="16"/>
              </w:rPr>
            </w:pPr>
            <w:r w:rsidRPr="00B41A5B">
              <w:rPr>
                <w:i/>
                <w:sz w:val="16"/>
              </w:rPr>
              <w:t>Bank Deposits</w:t>
            </w:r>
          </w:p>
        </w:tc>
      </w:tr>
      <w:tr w:rsidR="005D009F" w:rsidRPr="00B41A5B" w14:paraId="2BDFC85D" w14:textId="77777777" w:rsidTr="00E45843">
        <w:trPr>
          <w:cantSplit/>
          <w:tblHeader/>
        </w:trPr>
        <w:tc>
          <w:tcPr>
            <w:tcW w:w="1474" w:type="dxa"/>
            <w:tcBorders>
              <w:top w:val="single" w:sz="12" w:space="0" w:color="auto"/>
            </w:tcBorders>
            <w:shd w:val="clear" w:color="auto" w:fill="auto"/>
            <w:hideMark/>
          </w:tcPr>
          <w:p w14:paraId="455AFBAB" w14:textId="77777777" w:rsidR="005D009F" w:rsidRPr="00B41A5B" w:rsidRDefault="005D009F" w:rsidP="00B41A5B">
            <w:pPr>
              <w:pStyle w:val="SingleTxtG"/>
              <w:suppressAutoHyphens w:val="0"/>
              <w:spacing w:before="40" w:after="40" w:line="220" w:lineRule="exact"/>
              <w:ind w:left="0" w:right="113"/>
              <w:jc w:val="left"/>
              <w:rPr>
                <w:sz w:val="18"/>
              </w:rPr>
            </w:pPr>
            <w:r w:rsidRPr="00B41A5B">
              <w:rPr>
                <w:sz w:val="18"/>
              </w:rPr>
              <w:t>2014</w:t>
            </w:r>
          </w:p>
        </w:tc>
        <w:tc>
          <w:tcPr>
            <w:tcW w:w="1474" w:type="dxa"/>
            <w:tcBorders>
              <w:top w:val="single" w:sz="12" w:space="0" w:color="auto"/>
            </w:tcBorders>
            <w:shd w:val="clear" w:color="auto" w:fill="auto"/>
            <w:vAlign w:val="bottom"/>
            <w:hideMark/>
          </w:tcPr>
          <w:p w14:paraId="4E75B480"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49%</w:t>
            </w:r>
          </w:p>
        </w:tc>
        <w:tc>
          <w:tcPr>
            <w:tcW w:w="1474" w:type="dxa"/>
            <w:tcBorders>
              <w:top w:val="single" w:sz="12" w:space="0" w:color="auto"/>
            </w:tcBorders>
            <w:shd w:val="clear" w:color="auto" w:fill="auto"/>
            <w:vAlign w:val="bottom"/>
            <w:hideMark/>
          </w:tcPr>
          <w:p w14:paraId="149A6320"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4%</w:t>
            </w:r>
          </w:p>
        </w:tc>
        <w:tc>
          <w:tcPr>
            <w:tcW w:w="1474" w:type="dxa"/>
            <w:tcBorders>
              <w:top w:val="single" w:sz="12" w:space="0" w:color="auto"/>
            </w:tcBorders>
            <w:shd w:val="clear" w:color="auto" w:fill="auto"/>
            <w:vAlign w:val="bottom"/>
            <w:hideMark/>
          </w:tcPr>
          <w:p w14:paraId="01D98730"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23%</w:t>
            </w:r>
          </w:p>
        </w:tc>
        <w:tc>
          <w:tcPr>
            <w:tcW w:w="1474" w:type="dxa"/>
            <w:tcBorders>
              <w:top w:val="single" w:sz="12" w:space="0" w:color="auto"/>
            </w:tcBorders>
            <w:shd w:val="clear" w:color="auto" w:fill="auto"/>
            <w:noWrap/>
            <w:vAlign w:val="bottom"/>
            <w:hideMark/>
          </w:tcPr>
          <w:p w14:paraId="1123F7A2"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24%</w:t>
            </w:r>
          </w:p>
        </w:tc>
      </w:tr>
      <w:tr w:rsidR="005D009F" w:rsidRPr="00B41A5B" w14:paraId="4DDCE0F5" w14:textId="77777777" w:rsidTr="00E45843">
        <w:trPr>
          <w:cantSplit/>
          <w:tblHeader/>
        </w:trPr>
        <w:tc>
          <w:tcPr>
            <w:tcW w:w="1474" w:type="dxa"/>
            <w:shd w:val="clear" w:color="auto" w:fill="auto"/>
            <w:hideMark/>
          </w:tcPr>
          <w:p w14:paraId="43165F58" w14:textId="77777777" w:rsidR="005D009F" w:rsidRPr="00B41A5B" w:rsidRDefault="005D009F" w:rsidP="00B41A5B">
            <w:pPr>
              <w:pStyle w:val="SingleTxtG"/>
              <w:suppressAutoHyphens w:val="0"/>
              <w:spacing w:before="40" w:after="40" w:line="220" w:lineRule="exact"/>
              <w:ind w:left="0" w:right="113"/>
              <w:jc w:val="left"/>
              <w:rPr>
                <w:sz w:val="18"/>
              </w:rPr>
            </w:pPr>
            <w:r w:rsidRPr="00B41A5B">
              <w:rPr>
                <w:sz w:val="18"/>
              </w:rPr>
              <w:t>2015</w:t>
            </w:r>
          </w:p>
        </w:tc>
        <w:tc>
          <w:tcPr>
            <w:tcW w:w="1474" w:type="dxa"/>
            <w:shd w:val="clear" w:color="auto" w:fill="auto"/>
            <w:vAlign w:val="bottom"/>
            <w:hideMark/>
          </w:tcPr>
          <w:p w14:paraId="4C54785A"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44%</w:t>
            </w:r>
          </w:p>
        </w:tc>
        <w:tc>
          <w:tcPr>
            <w:tcW w:w="1474" w:type="dxa"/>
            <w:shd w:val="clear" w:color="auto" w:fill="auto"/>
            <w:vAlign w:val="bottom"/>
            <w:hideMark/>
          </w:tcPr>
          <w:p w14:paraId="5F99F62D"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8%</w:t>
            </w:r>
          </w:p>
        </w:tc>
        <w:tc>
          <w:tcPr>
            <w:tcW w:w="1474" w:type="dxa"/>
            <w:shd w:val="clear" w:color="auto" w:fill="auto"/>
            <w:vAlign w:val="bottom"/>
            <w:hideMark/>
          </w:tcPr>
          <w:p w14:paraId="30860240"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24%</w:t>
            </w:r>
          </w:p>
        </w:tc>
        <w:tc>
          <w:tcPr>
            <w:tcW w:w="1474" w:type="dxa"/>
            <w:shd w:val="clear" w:color="auto" w:fill="auto"/>
            <w:noWrap/>
            <w:vAlign w:val="bottom"/>
            <w:hideMark/>
          </w:tcPr>
          <w:p w14:paraId="20112C4A"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24%</w:t>
            </w:r>
          </w:p>
        </w:tc>
      </w:tr>
      <w:tr w:rsidR="005D009F" w:rsidRPr="00B41A5B" w14:paraId="331F9E10" w14:textId="77777777" w:rsidTr="00E45843">
        <w:trPr>
          <w:cantSplit/>
          <w:tblHeader/>
        </w:trPr>
        <w:tc>
          <w:tcPr>
            <w:tcW w:w="1474" w:type="dxa"/>
            <w:shd w:val="clear" w:color="auto" w:fill="auto"/>
            <w:hideMark/>
          </w:tcPr>
          <w:p w14:paraId="2DAEFB2F" w14:textId="77777777" w:rsidR="005D009F" w:rsidRPr="00B41A5B" w:rsidRDefault="005D009F" w:rsidP="00B41A5B">
            <w:pPr>
              <w:pStyle w:val="SingleTxtG"/>
              <w:suppressAutoHyphens w:val="0"/>
              <w:spacing w:before="40" w:after="40" w:line="220" w:lineRule="exact"/>
              <w:ind w:left="0" w:right="113"/>
              <w:jc w:val="left"/>
              <w:rPr>
                <w:sz w:val="18"/>
              </w:rPr>
            </w:pPr>
            <w:r w:rsidRPr="00B41A5B">
              <w:rPr>
                <w:sz w:val="18"/>
              </w:rPr>
              <w:t>2016</w:t>
            </w:r>
          </w:p>
        </w:tc>
        <w:tc>
          <w:tcPr>
            <w:tcW w:w="1474" w:type="dxa"/>
            <w:shd w:val="clear" w:color="auto" w:fill="auto"/>
            <w:vAlign w:val="bottom"/>
            <w:hideMark/>
          </w:tcPr>
          <w:p w14:paraId="2CE70E4C"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42%</w:t>
            </w:r>
          </w:p>
        </w:tc>
        <w:tc>
          <w:tcPr>
            <w:tcW w:w="1474" w:type="dxa"/>
            <w:shd w:val="clear" w:color="auto" w:fill="auto"/>
            <w:vAlign w:val="bottom"/>
            <w:hideMark/>
          </w:tcPr>
          <w:p w14:paraId="371C3361"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9%</w:t>
            </w:r>
          </w:p>
        </w:tc>
        <w:tc>
          <w:tcPr>
            <w:tcW w:w="1474" w:type="dxa"/>
            <w:shd w:val="clear" w:color="auto" w:fill="auto"/>
            <w:vAlign w:val="bottom"/>
            <w:hideMark/>
          </w:tcPr>
          <w:p w14:paraId="4FEBEBCD"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24%</w:t>
            </w:r>
          </w:p>
        </w:tc>
        <w:tc>
          <w:tcPr>
            <w:tcW w:w="1474" w:type="dxa"/>
            <w:shd w:val="clear" w:color="auto" w:fill="auto"/>
            <w:noWrap/>
            <w:vAlign w:val="bottom"/>
            <w:hideMark/>
          </w:tcPr>
          <w:p w14:paraId="28C1EFF7"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25%</w:t>
            </w:r>
          </w:p>
        </w:tc>
      </w:tr>
      <w:tr w:rsidR="005D009F" w:rsidRPr="00B41A5B" w14:paraId="3C36805A" w14:textId="77777777" w:rsidTr="00E45843">
        <w:trPr>
          <w:cantSplit/>
          <w:tblHeader/>
        </w:trPr>
        <w:tc>
          <w:tcPr>
            <w:tcW w:w="1474" w:type="dxa"/>
            <w:shd w:val="clear" w:color="auto" w:fill="auto"/>
            <w:hideMark/>
          </w:tcPr>
          <w:p w14:paraId="5EFFA2A7" w14:textId="77777777" w:rsidR="005D009F" w:rsidRPr="00B41A5B" w:rsidRDefault="005D009F" w:rsidP="00B41A5B">
            <w:pPr>
              <w:pStyle w:val="SingleTxtG"/>
              <w:suppressAutoHyphens w:val="0"/>
              <w:spacing w:before="40" w:after="40" w:line="220" w:lineRule="exact"/>
              <w:ind w:left="0" w:right="113"/>
              <w:jc w:val="left"/>
              <w:rPr>
                <w:sz w:val="18"/>
              </w:rPr>
            </w:pPr>
            <w:r w:rsidRPr="00B41A5B">
              <w:rPr>
                <w:sz w:val="18"/>
              </w:rPr>
              <w:t>2017</w:t>
            </w:r>
          </w:p>
        </w:tc>
        <w:tc>
          <w:tcPr>
            <w:tcW w:w="1474" w:type="dxa"/>
            <w:shd w:val="clear" w:color="auto" w:fill="auto"/>
            <w:vAlign w:val="bottom"/>
            <w:hideMark/>
          </w:tcPr>
          <w:p w14:paraId="100FCE84"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37%</w:t>
            </w:r>
          </w:p>
        </w:tc>
        <w:tc>
          <w:tcPr>
            <w:tcW w:w="1474" w:type="dxa"/>
            <w:shd w:val="clear" w:color="auto" w:fill="auto"/>
            <w:vAlign w:val="bottom"/>
            <w:hideMark/>
          </w:tcPr>
          <w:p w14:paraId="49725C5E"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14%</w:t>
            </w:r>
          </w:p>
        </w:tc>
        <w:tc>
          <w:tcPr>
            <w:tcW w:w="1474" w:type="dxa"/>
            <w:shd w:val="clear" w:color="auto" w:fill="auto"/>
            <w:vAlign w:val="bottom"/>
            <w:hideMark/>
          </w:tcPr>
          <w:p w14:paraId="434E67C0"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24%</w:t>
            </w:r>
          </w:p>
        </w:tc>
        <w:tc>
          <w:tcPr>
            <w:tcW w:w="1474" w:type="dxa"/>
            <w:shd w:val="clear" w:color="auto" w:fill="auto"/>
            <w:noWrap/>
            <w:vAlign w:val="bottom"/>
            <w:hideMark/>
          </w:tcPr>
          <w:p w14:paraId="31EF1647"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25%</w:t>
            </w:r>
          </w:p>
        </w:tc>
      </w:tr>
      <w:tr w:rsidR="005D009F" w:rsidRPr="00B41A5B" w14:paraId="6EDE04CB" w14:textId="77777777" w:rsidTr="00E45843">
        <w:trPr>
          <w:cantSplit/>
          <w:tblHeader/>
        </w:trPr>
        <w:tc>
          <w:tcPr>
            <w:tcW w:w="1474" w:type="dxa"/>
            <w:shd w:val="clear" w:color="auto" w:fill="auto"/>
            <w:hideMark/>
          </w:tcPr>
          <w:p w14:paraId="11E6DF61" w14:textId="77777777" w:rsidR="005D009F" w:rsidRPr="00B41A5B" w:rsidRDefault="005D009F" w:rsidP="00B41A5B">
            <w:pPr>
              <w:pStyle w:val="SingleTxtG"/>
              <w:suppressAutoHyphens w:val="0"/>
              <w:spacing w:before="40" w:after="40" w:line="220" w:lineRule="exact"/>
              <w:ind w:left="0" w:right="113"/>
              <w:jc w:val="left"/>
              <w:rPr>
                <w:sz w:val="18"/>
              </w:rPr>
            </w:pPr>
            <w:r w:rsidRPr="00B41A5B">
              <w:rPr>
                <w:sz w:val="18"/>
              </w:rPr>
              <w:t>09/2018</w:t>
            </w:r>
          </w:p>
        </w:tc>
        <w:tc>
          <w:tcPr>
            <w:tcW w:w="1474" w:type="dxa"/>
            <w:shd w:val="clear" w:color="auto" w:fill="auto"/>
            <w:vAlign w:val="bottom"/>
            <w:hideMark/>
          </w:tcPr>
          <w:p w14:paraId="6114482E"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34%</w:t>
            </w:r>
          </w:p>
        </w:tc>
        <w:tc>
          <w:tcPr>
            <w:tcW w:w="1474" w:type="dxa"/>
            <w:shd w:val="clear" w:color="auto" w:fill="auto"/>
            <w:vAlign w:val="bottom"/>
            <w:hideMark/>
          </w:tcPr>
          <w:p w14:paraId="6221F289"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15%</w:t>
            </w:r>
          </w:p>
        </w:tc>
        <w:tc>
          <w:tcPr>
            <w:tcW w:w="1474" w:type="dxa"/>
            <w:shd w:val="clear" w:color="auto" w:fill="auto"/>
            <w:vAlign w:val="bottom"/>
            <w:hideMark/>
          </w:tcPr>
          <w:p w14:paraId="4B626C34"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23%</w:t>
            </w:r>
          </w:p>
        </w:tc>
        <w:tc>
          <w:tcPr>
            <w:tcW w:w="1474" w:type="dxa"/>
            <w:shd w:val="clear" w:color="auto" w:fill="auto"/>
            <w:noWrap/>
            <w:vAlign w:val="bottom"/>
            <w:hideMark/>
          </w:tcPr>
          <w:p w14:paraId="19DDD917" w14:textId="77777777" w:rsidR="005D009F" w:rsidRPr="00B41A5B" w:rsidRDefault="005D009F" w:rsidP="00B41A5B">
            <w:pPr>
              <w:pStyle w:val="SingleTxtG"/>
              <w:suppressAutoHyphens w:val="0"/>
              <w:spacing w:before="40" w:after="40" w:line="220" w:lineRule="exact"/>
              <w:ind w:left="0" w:right="113"/>
              <w:jc w:val="right"/>
              <w:rPr>
                <w:sz w:val="18"/>
              </w:rPr>
            </w:pPr>
            <w:r w:rsidRPr="00B41A5B">
              <w:rPr>
                <w:sz w:val="18"/>
              </w:rPr>
              <w:t>28%</w:t>
            </w:r>
          </w:p>
        </w:tc>
      </w:tr>
    </w:tbl>
    <w:p w14:paraId="566ADDD9" w14:textId="4FFAAEDB" w:rsidR="005D009F" w:rsidRPr="008F6F60" w:rsidRDefault="005D009F" w:rsidP="008F6F60">
      <w:pPr>
        <w:spacing w:before="120" w:after="240"/>
        <w:ind w:left="1134" w:right="1134" w:firstLine="170"/>
        <w:rPr>
          <w:sz w:val="18"/>
        </w:rPr>
      </w:pPr>
      <w:r w:rsidRPr="008F6F60">
        <w:rPr>
          <w:i/>
          <w:iCs/>
          <w:sz w:val="18"/>
        </w:rPr>
        <w:t>Source</w:t>
      </w:r>
      <w:r w:rsidRPr="008F6F60">
        <w:rPr>
          <w:sz w:val="18"/>
        </w:rPr>
        <w:t>:</w:t>
      </w:r>
      <w:r w:rsidR="00284C78">
        <w:rPr>
          <w:sz w:val="18"/>
        </w:rPr>
        <w:t xml:space="preserve"> </w:t>
      </w:r>
      <w:r w:rsidRPr="008F6F60">
        <w:rPr>
          <w:sz w:val="18"/>
        </w:rPr>
        <w:t xml:space="preserve"> PF.</w:t>
      </w:r>
    </w:p>
    <w:p w14:paraId="5CCDC2A5" w14:textId="77777777" w:rsidR="005D009F" w:rsidRPr="00B47380" w:rsidRDefault="005D009F" w:rsidP="00D53B5F">
      <w:pPr>
        <w:pStyle w:val="SingleTxtG"/>
      </w:pPr>
      <w:r w:rsidRPr="00B47380">
        <w:t>92.</w:t>
      </w:r>
      <w:r w:rsidRPr="00B47380">
        <w:tab/>
        <w:t>In the private sector, the Social Security Fund (SSF) is the entity responsible for the social security schemes. Law 4/2010, as amended by Law 6/2018, established the Social Security System with the purpose of providing all residents with a minimum social security protection, particularly retirement pension.</w:t>
      </w:r>
    </w:p>
    <w:p w14:paraId="5CB11499" w14:textId="77777777" w:rsidR="005D009F" w:rsidRPr="00B47380" w:rsidRDefault="005D009F" w:rsidP="00D53B5F">
      <w:pPr>
        <w:pStyle w:val="SingleTxtG"/>
      </w:pPr>
      <w:r w:rsidRPr="00B47380">
        <w:t>93.</w:t>
      </w:r>
      <w:r w:rsidRPr="00B47380">
        <w:tab/>
        <w:t>The new amendment enhances the protection coverage by extending its scope and aims at better protecting those elderly that were unable to participate in the original social security system through the introduction of a retroactive payment mechanism (Article 68).</w:t>
      </w:r>
    </w:p>
    <w:p w14:paraId="10701790" w14:textId="4A54BB76" w:rsidR="005D009F" w:rsidRPr="00B47380" w:rsidRDefault="005D009F" w:rsidP="00D53B5F">
      <w:pPr>
        <w:pStyle w:val="SingleTxtG"/>
      </w:pPr>
      <w:r w:rsidRPr="00B47380">
        <w:t>94.</w:t>
      </w:r>
      <w:r w:rsidRPr="00B47380">
        <w:tab/>
        <w:t xml:space="preserve">The social security system comprises a: </w:t>
      </w:r>
      <w:proofErr w:type="spellStart"/>
      <w:r w:rsidRPr="00B47380">
        <w:t>i</w:t>
      </w:r>
      <w:proofErr w:type="spellEnd"/>
      <w:r w:rsidRPr="00B47380">
        <w:t>) mandatory system, which is applicable to any resident who works in the private sector on a contract basis as well as to public administration workers employed in any form of contract (Article 10); and ii) voluntary system available for workers that have a work relationship with their spouses or equivalent or with family members to the second degree and living together, public administration workers in active employment who have enrolled in the Retirement and Survivor</w:t>
      </w:r>
      <w:r w:rsidR="006266F0">
        <w:t>’</w:t>
      </w:r>
      <w:r w:rsidRPr="00B47380">
        <w:t>s Pensions Scheme, and other residents who are 18 or above regardless of being employed (Article 11).</w:t>
      </w:r>
    </w:p>
    <w:p w14:paraId="3744AAF5" w14:textId="77777777" w:rsidR="005D009F" w:rsidRPr="00B47380" w:rsidRDefault="005D009F" w:rsidP="00D53B5F">
      <w:pPr>
        <w:pStyle w:val="SingleTxtG"/>
      </w:pPr>
      <w:r w:rsidRPr="00B47380">
        <w:t>95.</w:t>
      </w:r>
      <w:r w:rsidRPr="00B47380">
        <w:tab/>
        <w:t xml:space="preserve">Its income sources remain the same, </w:t>
      </w:r>
      <w:r w:rsidRPr="00C61F7E">
        <w:rPr>
          <w:i/>
          <w:iCs/>
        </w:rPr>
        <w:t>i.e.</w:t>
      </w:r>
      <w:r w:rsidRPr="00B47380">
        <w:t xml:space="preserve">, beneficiaries, employers and the MSAR (Article 4). Under the mandatory system, resident workers </w:t>
      </w:r>
      <w:proofErr w:type="gramStart"/>
      <w:r w:rsidRPr="00B47380">
        <w:t>have to</w:t>
      </w:r>
      <w:proofErr w:type="gramEnd"/>
      <w:r w:rsidRPr="00B47380">
        <w:t xml:space="preserve"> be registered by their employers (Article 12), who must also be registered as contributors (Article 15). Other residents who meet the legal requirements may register themselves at any time as contributors in the voluntary system (Article 12). All registered residents, irrespective of the system, are beneficiaries of the social security benefits.</w:t>
      </w:r>
    </w:p>
    <w:p w14:paraId="605F42F5" w14:textId="77777777" w:rsidR="005D009F" w:rsidRPr="00B47380" w:rsidRDefault="005D009F" w:rsidP="00D53B5F">
      <w:pPr>
        <w:pStyle w:val="SingleTxtG"/>
      </w:pPr>
      <w:r w:rsidRPr="00B47380">
        <w:t>96.</w:t>
      </w:r>
      <w:r w:rsidRPr="00B47380">
        <w:tab/>
        <w:t>According to Law 4/2010, the amount of contributions for both workers and employers are established by an Order of the CE. From 1 January 2017, each worker contributes MOP$30 monthly; each employer contributes MOP$60 monthly per worker (Order of the CE 357/2016). Other residents, registered in the voluntary system, contribute MOP$90 monthly. According to the SSF, by September 2018, there were 351,686 beneficiaries, of which 185,230 were female.</w:t>
      </w:r>
    </w:p>
    <w:p w14:paraId="4198958F" w14:textId="77777777" w:rsidR="005D009F" w:rsidRPr="00B47380" w:rsidRDefault="005D009F" w:rsidP="00922B51">
      <w:pPr>
        <w:pStyle w:val="SingleTxtG"/>
        <w:spacing w:after="240"/>
      </w:pPr>
      <w:r w:rsidRPr="00B47380">
        <w:lastRenderedPageBreak/>
        <w:t>97.</w:t>
      </w:r>
      <w:r w:rsidRPr="00B47380">
        <w:tab/>
        <w:t>In 2018, the old-age pension, disability pension, unemployment, sickness, marriage and funeral allowances are in the amount of MOP$3,450 per month, MOP$3,450 per month, MOP$138 per day, MOP$104 (without hospitalisation) and MOP$138 (with hospitalisation) per day, MOP$1,957 and MOP$2,534, respectively (Order of the CE 142/2016). As regards the birth allowance, MOP$5,000 was established (Order of the CE 26/2018).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75"/>
        <w:gridCol w:w="1027"/>
        <w:gridCol w:w="914"/>
        <w:gridCol w:w="1055"/>
        <w:gridCol w:w="942"/>
        <w:gridCol w:w="857"/>
      </w:tblGrid>
      <w:tr w:rsidR="005D009F" w:rsidRPr="00F063B7" w14:paraId="32497ED1" w14:textId="77777777" w:rsidTr="00E45843">
        <w:trPr>
          <w:cantSplit/>
          <w:tblHeader/>
        </w:trPr>
        <w:tc>
          <w:tcPr>
            <w:tcW w:w="3205" w:type="dxa"/>
            <w:vMerge w:val="restart"/>
            <w:tcBorders>
              <w:top w:val="single" w:sz="4" w:space="0" w:color="auto"/>
              <w:bottom w:val="single" w:sz="12" w:space="0" w:color="auto"/>
            </w:tcBorders>
            <w:shd w:val="clear" w:color="auto" w:fill="auto"/>
            <w:vAlign w:val="bottom"/>
          </w:tcPr>
          <w:p w14:paraId="15AE5FA6" w14:textId="77777777" w:rsidR="005D009F" w:rsidRPr="00F063B7" w:rsidRDefault="005D009F" w:rsidP="00F063B7">
            <w:pPr>
              <w:pStyle w:val="SingleTxtG"/>
              <w:suppressAutoHyphens w:val="0"/>
              <w:spacing w:before="80" w:after="80" w:line="200" w:lineRule="exact"/>
              <w:ind w:left="0" w:right="113"/>
              <w:jc w:val="left"/>
              <w:rPr>
                <w:i/>
                <w:sz w:val="16"/>
              </w:rPr>
            </w:pPr>
            <w:r w:rsidRPr="00F063B7">
              <w:rPr>
                <w:i/>
                <w:sz w:val="16"/>
              </w:rPr>
              <w:t>Benefits/Years</w:t>
            </w:r>
          </w:p>
        </w:tc>
        <w:tc>
          <w:tcPr>
            <w:tcW w:w="5954" w:type="dxa"/>
            <w:gridSpan w:val="5"/>
            <w:tcBorders>
              <w:top w:val="single" w:sz="4" w:space="0" w:color="auto"/>
              <w:bottom w:val="single" w:sz="4" w:space="0" w:color="auto"/>
            </w:tcBorders>
            <w:shd w:val="clear" w:color="auto" w:fill="auto"/>
            <w:vAlign w:val="bottom"/>
          </w:tcPr>
          <w:p w14:paraId="5D982ED5" w14:textId="77777777" w:rsidR="005D009F" w:rsidRPr="00F063B7" w:rsidRDefault="005D009F" w:rsidP="00922B51">
            <w:pPr>
              <w:pStyle w:val="SingleTxtG"/>
              <w:suppressAutoHyphens w:val="0"/>
              <w:spacing w:before="80" w:after="80" w:line="200" w:lineRule="exact"/>
              <w:ind w:left="0" w:right="113"/>
              <w:jc w:val="center"/>
              <w:rPr>
                <w:i/>
                <w:sz w:val="16"/>
              </w:rPr>
            </w:pPr>
            <w:r w:rsidRPr="00F063B7">
              <w:rPr>
                <w:i/>
                <w:sz w:val="16"/>
              </w:rPr>
              <w:t>No. of beneficiaries</w:t>
            </w:r>
          </w:p>
        </w:tc>
      </w:tr>
      <w:tr w:rsidR="005D009F" w:rsidRPr="00F063B7" w14:paraId="4DEDFD62" w14:textId="77777777" w:rsidTr="00E45843">
        <w:trPr>
          <w:cantSplit/>
          <w:tblHeader/>
        </w:trPr>
        <w:tc>
          <w:tcPr>
            <w:tcW w:w="3205" w:type="dxa"/>
            <w:vMerge/>
            <w:tcBorders>
              <w:top w:val="single" w:sz="12" w:space="0" w:color="auto"/>
              <w:bottom w:val="single" w:sz="12" w:space="0" w:color="auto"/>
            </w:tcBorders>
            <w:shd w:val="clear" w:color="auto" w:fill="auto"/>
            <w:vAlign w:val="bottom"/>
          </w:tcPr>
          <w:p w14:paraId="4892DECF" w14:textId="77777777" w:rsidR="005D009F" w:rsidRPr="00F063B7" w:rsidRDefault="005D009F" w:rsidP="00F063B7">
            <w:pPr>
              <w:pStyle w:val="SingleTxtG"/>
              <w:suppressAutoHyphens w:val="0"/>
              <w:spacing w:before="40" w:after="40" w:line="220" w:lineRule="exact"/>
              <w:ind w:left="0" w:right="113"/>
              <w:jc w:val="left"/>
              <w:rPr>
                <w:sz w:val="18"/>
              </w:rPr>
            </w:pPr>
          </w:p>
        </w:tc>
        <w:tc>
          <w:tcPr>
            <w:tcW w:w="1276" w:type="dxa"/>
            <w:tcBorders>
              <w:top w:val="single" w:sz="4" w:space="0" w:color="auto"/>
              <w:bottom w:val="single" w:sz="12" w:space="0" w:color="auto"/>
            </w:tcBorders>
            <w:shd w:val="clear" w:color="auto" w:fill="auto"/>
            <w:vAlign w:val="bottom"/>
          </w:tcPr>
          <w:p w14:paraId="457A7E98" w14:textId="77777777" w:rsidR="005D009F" w:rsidRPr="00922B51" w:rsidRDefault="005D009F" w:rsidP="00F063B7">
            <w:pPr>
              <w:pStyle w:val="SingleTxtG"/>
              <w:suppressAutoHyphens w:val="0"/>
              <w:spacing w:before="40" w:after="40" w:line="220" w:lineRule="exact"/>
              <w:ind w:left="0" w:right="113"/>
              <w:jc w:val="right"/>
              <w:rPr>
                <w:i/>
                <w:sz w:val="16"/>
              </w:rPr>
            </w:pPr>
            <w:r w:rsidRPr="00922B51">
              <w:rPr>
                <w:i/>
                <w:sz w:val="16"/>
              </w:rPr>
              <w:t>2014</w:t>
            </w:r>
          </w:p>
        </w:tc>
        <w:tc>
          <w:tcPr>
            <w:tcW w:w="1134" w:type="dxa"/>
            <w:tcBorders>
              <w:top w:val="single" w:sz="4" w:space="0" w:color="auto"/>
              <w:bottom w:val="single" w:sz="12" w:space="0" w:color="auto"/>
            </w:tcBorders>
            <w:shd w:val="clear" w:color="auto" w:fill="auto"/>
            <w:vAlign w:val="bottom"/>
          </w:tcPr>
          <w:p w14:paraId="07576D6E" w14:textId="77777777" w:rsidR="005D009F" w:rsidRPr="00922B51" w:rsidRDefault="005D009F" w:rsidP="00F063B7">
            <w:pPr>
              <w:pStyle w:val="SingleTxtG"/>
              <w:suppressAutoHyphens w:val="0"/>
              <w:spacing w:before="40" w:after="40" w:line="220" w:lineRule="exact"/>
              <w:ind w:left="0" w:right="113"/>
              <w:jc w:val="right"/>
              <w:rPr>
                <w:i/>
                <w:sz w:val="16"/>
              </w:rPr>
            </w:pPr>
            <w:r w:rsidRPr="00922B51">
              <w:rPr>
                <w:i/>
                <w:sz w:val="16"/>
              </w:rPr>
              <w:t>2015</w:t>
            </w:r>
          </w:p>
        </w:tc>
        <w:tc>
          <w:tcPr>
            <w:tcW w:w="1310" w:type="dxa"/>
            <w:tcBorders>
              <w:top w:val="single" w:sz="4" w:space="0" w:color="auto"/>
              <w:bottom w:val="single" w:sz="12" w:space="0" w:color="auto"/>
            </w:tcBorders>
            <w:shd w:val="clear" w:color="auto" w:fill="auto"/>
            <w:vAlign w:val="bottom"/>
          </w:tcPr>
          <w:p w14:paraId="400DD121" w14:textId="77777777" w:rsidR="005D009F" w:rsidRPr="00922B51" w:rsidRDefault="005D009F" w:rsidP="00F063B7">
            <w:pPr>
              <w:pStyle w:val="SingleTxtG"/>
              <w:suppressAutoHyphens w:val="0"/>
              <w:spacing w:before="40" w:after="40" w:line="220" w:lineRule="exact"/>
              <w:ind w:left="0" w:right="113"/>
              <w:jc w:val="right"/>
              <w:rPr>
                <w:i/>
                <w:sz w:val="16"/>
              </w:rPr>
            </w:pPr>
            <w:r w:rsidRPr="00922B51">
              <w:rPr>
                <w:i/>
                <w:sz w:val="16"/>
              </w:rPr>
              <w:t>2016</w:t>
            </w:r>
          </w:p>
        </w:tc>
        <w:tc>
          <w:tcPr>
            <w:tcW w:w="1170" w:type="dxa"/>
            <w:tcBorders>
              <w:top w:val="single" w:sz="4" w:space="0" w:color="auto"/>
              <w:bottom w:val="single" w:sz="12" w:space="0" w:color="auto"/>
            </w:tcBorders>
            <w:shd w:val="clear" w:color="auto" w:fill="auto"/>
            <w:vAlign w:val="bottom"/>
          </w:tcPr>
          <w:p w14:paraId="6D1CB35B" w14:textId="77777777" w:rsidR="005D009F" w:rsidRPr="00922B51" w:rsidRDefault="005D009F" w:rsidP="00F063B7">
            <w:pPr>
              <w:pStyle w:val="SingleTxtG"/>
              <w:suppressAutoHyphens w:val="0"/>
              <w:spacing w:before="40" w:after="40" w:line="220" w:lineRule="exact"/>
              <w:ind w:left="0" w:right="113"/>
              <w:jc w:val="right"/>
              <w:rPr>
                <w:i/>
                <w:sz w:val="16"/>
              </w:rPr>
            </w:pPr>
            <w:r w:rsidRPr="00922B51">
              <w:rPr>
                <w:i/>
                <w:sz w:val="16"/>
              </w:rPr>
              <w:t>2017</w:t>
            </w:r>
          </w:p>
        </w:tc>
        <w:tc>
          <w:tcPr>
            <w:tcW w:w="1064" w:type="dxa"/>
            <w:tcBorders>
              <w:top w:val="single" w:sz="4" w:space="0" w:color="auto"/>
              <w:bottom w:val="single" w:sz="12" w:space="0" w:color="auto"/>
            </w:tcBorders>
            <w:shd w:val="clear" w:color="auto" w:fill="auto"/>
            <w:vAlign w:val="bottom"/>
          </w:tcPr>
          <w:p w14:paraId="01199822" w14:textId="77777777" w:rsidR="005D009F" w:rsidRPr="00922B51" w:rsidRDefault="005D009F" w:rsidP="00F063B7">
            <w:pPr>
              <w:pStyle w:val="SingleTxtG"/>
              <w:suppressAutoHyphens w:val="0"/>
              <w:spacing w:before="40" w:after="40" w:line="220" w:lineRule="exact"/>
              <w:ind w:left="0" w:right="113"/>
              <w:jc w:val="right"/>
              <w:rPr>
                <w:i/>
                <w:sz w:val="16"/>
              </w:rPr>
            </w:pPr>
            <w:r w:rsidRPr="00922B51">
              <w:rPr>
                <w:i/>
                <w:sz w:val="16"/>
              </w:rPr>
              <w:t xml:space="preserve"> 09/2018</w:t>
            </w:r>
          </w:p>
        </w:tc>
      </w:tr>
      <w:tr w:rsidR="005D009F" w:rsidRPr="00F063B7" w14:paraId="1D81AEF8" w14:textId="77777777" w:rsidTr="00E45843">
        <w:trPr>
          <w:cantSplit/>
        </w:trPr>
        <w:tc>
          <w:tcPr>
            <w:tcW w:w="3205" w:type="dxa"/>
            <w:tcBorders>
              <w:top w:val="single" w:sz="12" w:space="0" w:color="auto"/>
              <w:bottom w:val="nil"/>
            </w:tcBorders>
            <w:shd w:val="clear" w:color="auto" w:fill="auto"/>
          </w:tcPr>
          <w:p w14:paraId="3E1E78D0" w14:textId="77777777" w:rsidR="005D009F" w:rsidRPr="00F063B7" w:rsidRDefault="005D009F" w:rsidP="00F063B7">
            <w:pPr>
              <w:pStyle w:val="SingleTxtG"/>
              <w:suppressAutoHyphens w:val="0"/>
              <w:spacing w:before="40" w:after="40" w:line="220" w:lineRule="exact"/>
              <w:ind w:left="0" w:right="113"/>
              <w:jc w:val="left"/>
              <w:rPr>
                <w:sz w:val="18"/>
              </w:rPr>
            </w:pPr>
            <w:r w:rsidRPr="00F063B7">
              <w:rPr>
                <w:sz w:val="18"/>
              </w:rPr>
              <w:t>Old-age pension (over 65)</w:t>
            </w:r>
          </w:p>
        </w:tc>
        <w:tc>
          <w:tcPr>
            <w:tcW w:w="1276" w:type="dxa"/>
            <w:tcBorders>
              <w:top w:val="single" w:sz="12" w:space="0" w:color="auto"/>
              <w:bottom w:val="nil"/>
            </w:tcBorders>
            <w:shd w:val="clear" w:color="auto" w:fill="auto"/>
            <w:vAlign w:val="bottom"/>
          </w:tcPr>
          <w:p w14:paraId="320D8B32" w14:textId="6F809D4C"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33</w:t>
            </w:r>
            <w:r w:rsidR="00922B51">
              <w:rPr>
                <w:sz w:val="18"/>
              </w:rPr>
              <w:t xml:space="preserve"> </w:t>
            </w:r>
            <w:r w:rsidRPr="00F063B7">
              <w:rPr>
                <w:sz w:val="18"/>
              </w:rPr>
              <w:t>026</w:t>
            </w:r>
          </w:p>
        </w:tc>
        <w:tc>
          <w:tcPr>
            <w:tcW w:w="1134" w:type="dxa"/>
            <w:tcBorders>
              <w:top w:val="single" w:sz="12" w:space="0" w:color="auto"/>
              <w:bottom w:val="nil"/>
            </w:tcBorders>
            <w:shd w:val="clear" w:color="auto" w:fill="auto"/>
            <w:vAlign w:val="bottom"/>
          </w:tcPr>
          <w:p w14:paraId="4CA1C984" w14:textId="34115FB9"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33</w:t>
            </w:r>
            <w:r w:rsidR="00922B51">
              <w:rPr>
                <w:sz w:val="18"/>
              </w:rPr>
              <w:t xml:space="preserve"> </w:t>
            </w:r>
            <w:r w:rsidRPr="00F063B7">
              <w:rPr>
                <w:sz w:val="18"/>
              </w:rPr>
              <w:t>025</w:t>
            </w:r>
          </w:p>
        </w:tc>
        <w:tc>
          <w:tcPr>
            <w:tcW w:w="1310" w:type="dxa"/>
            <w:tcBorders>
              <w:top w:val="single" w:sz="12" w:space="0" w:color="auto"/>
              <w:bottom w:val="nil"/>
            </w:tcBorders>
            <w:shd w:val="clear" w:color="auto" w:fill="auto"/>
            <w:vAlign w:val="bottom"/>
          </w:tcPr>
          <w:p w14:paraId="75BCAA50" w14:textId="122E5583"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32</w:t>
            </w:r>
            <w:r w:rsidR="00922B51">
              <w:rPr>
                <w:sz w:val="18"/>
              </w:rPr>
              <w:t xml:space="preserve"> </w:t>
            </w:r>
            <w:r w:rsidRPr="00F063B7">
              <w:rPr>
                <w:sz w:val="18"/>
              </w:rPr>
              <w:t>849</w:t>
            </w:r>
          </w:p>
        </w:tc>
        <w:tc>
          <w:tcPr>
            <w:tcW w:w="1170" w:type="dxa"/>
            <w:tcBorders>
              <w:top w:val="single" w:sz="12" w:space="0" w:color="auto"/>
              <w:bottom w:val="nil"/>
            </w:tcBorders>
            <w:shd w:val="clear" w:color="auto" w:fill="auto"/>
            <w:vAlign w:val="bottom"/>
          </w:tcPr>
          <w:p w14:paraId="61DEA556" w14:textId="296B51E4"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32</w:t>
            </w:r>
            <w:r w:rsidR="00922B51">
              <w:rPr>
                <w:sz w:val="18"/>
              </w:rPr>
              <w:t xml:space="preserve"> </w:t>
            </w:r>
            <w:r w:rsidRPr="00F063B7">
              <w:rPr>
                <w:sz w:val="18"/>
              </w:rPr>
              <w:t>620</w:t>
            </w:r>
          </w:p>
        </w:tc>
        <w:tc>
          <w:tcPr>
            <w:tcW w:w="1064" w:type="dxa"/>
            <w:tcBorders>
              <w:top w:val="single" w:sz="12" w:space="0" w:color="auto"/>
              <w:bottom w:val="nil"/>
            </w:tcBorders>
            <w:shd w:val="clear" w:color="auto" w:fill="auto"/>
            <w:vAlign w:val="bottom"/>
          </w:tcPr>
          <w:p w14:paraId="3579D233" w14:textId="2341B18C"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32</w:t>
            </w:r>
            <w:r w:rsidR="00922B51">
              <w:rPr>
                <w:sz w:val="18"/>
              </w:rPr>
              <w:t xml:space="preserve"> </w:t>
            </w:r>
            <w:r w:rsidRPr="00F063B7">
              <w:rPr>
                <w:sz w:val="18"/>
              </w:rPr>
              <w:t>080</w:t>
            </w:r>
          </w:p>
        </w:tc>
      </w:tr>
      <w:tr w:rsidR="005D009F" w:rsidRPr="00F063B7" w14:paraId="29A8A230" w14:textId="77777777" w:rsidTr="00E45843">
        <w:trPr>
          <w:cantSplit/>
        </w:trPr>
        <w:tc>
          <w:tcPr>
            <w:tcW w:w="3205" w:type="dxa"/>
            <w:tcBorders>
              <w:top w:val="nil"/>
            </w:tcBorders>
            <w:shd w:val="clear" w:color="auto" w:fill="auto"/>
          </w:tcPr>
          <w:p w14:paraId="13221BAA" w14:textId="77777777" w:rsidR="005D009F" w:rsidRPr="00F063B7" w:rsidRDefault="005D009F" w:rsidP="00F063B7">
            <w:pPr>
              <w:pStyle w:val="SingleTxtG"/>
              <w:suppressAutoHyphens w:val="0"/>
              <w:spacing w:before="40" w:after="40" w:line="220" w:lineRule="exact"/>
              <w:ind w:left="0" w:right="113"/>
              <w:jc w:val="left"/>
              <w:rPr>
                <w:sz w:val="18"/>
              </w:rPr>
            </w:pPr>
            <w:r w:rsidRPr="00F063B7">
              <w:rPr>
                <w:sz w:val="18"/>
              </w:rPr>
              <w:t>Early old-age pension (60 to 65)</w:t>
            </w:r>
          </w:p>
        </w:tc>
        <w:tc>
          <w:tcPr>
            <w:tcW w:w="1276" w:type="dxa"/>
            <w:tcBorders>
              <w:top w:val="nil"/>
            </w:tcBorders>
            <w:shd w:val="clear" w:color="auto" w:fill="auto"/>
            <w:vAlign w:val="bottom"/>
          </w:tcPr>
          <w:p w14:paraId="1E8C0BBF" w14:textId="36A99E8A"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44</w:t>
            </w:r>
            <w:r w:rsidR="00922B51">
              <w:rPr>
                <w:sz w:val="18"/>
              </w:rPr>
              <w:t xml:space="preserve"> </w:t>
            </w:r>
            <w:r w:rsidRPr="00F063B7">
              <w:rPr>
                <w:sz w:val="18"/>
              </w:rPr>
              <w:t>358</w:t>
            </w:r>
          </w:p>
        </w:tc>
        <w:tc>
          <w:tcPr>
            <w:tcW w:w="1134" w:type="dxa"/>
            <w:tcBorders>
              <w:top w:val="nil"/>
            </w:tcBorders>
            <w:shd w:val="clear" w:color="auto" w:fill="auto"/>
            <w:vAlign w:val="bottom"/>
          </w:tcPr>
          <w:p w14:paraId="7DAB60B2" w14:textId="76E9DEE0"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51</w:t>
            </w:r>
            <w:r w:rsidR="00922B51">
              <w:rPr>
                <w:sz w:val="18"/>
              </w:rPr>
              <w:t xml:space="preserve"> </w:t>
            </w:r>
            <w:r w:rsidRPr="00F063B7">
              <w:rPr>
                <w:sz w:val="18"/>
              </w:rPr>
              <w:t>988</w:t>
            </w:r>
          </w:p>
        </w:tc>
        <w:tc>
          <w:tcPr>
            <w:tcW w:w="1310" w:type="dxa"/>
            <w:tcBorders>
              <w:top w:val="nil"/>
            </w:tcBorders>
            <w:shd w:val="clear" w:color="auto" w:fill="auto"/>
            <w:vAlign w:val="bottom"/>
          </w:tcPr>
          <w:p w14:paraId="32A9835A" w14:textId="0DB15396"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60</w:t>
            </w:r>
            <w:r w:rsidR="00922B51">
              <w:rPr>
                <w:sz w:val="18"/>
              </w:rPr>
              <w:t xml:space="preserve"> </w:t>
            </w:r>
            <w:r w:rsidRPr="00F063B7">
              <w:rPr>
                <w:sz w:val="18"/>
              </w:rPr>
              <w:t>845</w:t>
            </w:r>
          </w:p>
        </w:tc>
        <w:tc>
          <w:tcPr>
            <w:tcW w:w="1170" w:type="dxa"/>
            <w:tcBorders>
              <w:top w:val="nil"/>
            </w:tcBorders>
            <w:shd w:val="clear" w:color="auto" w:fill="auto"/>
            <w:vAlign w:val="bottom"/>
          </w:tcPr>
          <w:p w14:paraId="2C20E2BF" w14:textId="48DA8C3D"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69</w:t>
            </w:r>
            <w:r w:rsidR="00922B51">
              <w:rPr>
                <w:sz w:val="18"/>
              </w:rPr>
              <w:t xml:space="preserve"> </w:t>
            </w:r>
            <w:r w:rsidRPr="00F063B7">
              <w:rPr>
                <w:sz w:val="18"/>
              </w:rPr>
              <w:t>392</w:t>
            </w:r>
          </w:p>
        </w:tc>
        <w:tc>
          <w:tcPr>
            <w:tcW w:w="1064" w:type="dxa"/>
            <w:tcBorders>
              <w:top w:val="nil"/>
            </w:tcBorders>
            <w:shd w:val="clear" w:color="auto" w:fill="auto"/>
            <w:vAlign w:val="bottom"/>
          </w:tcPr>
          <w:p w14:paraId="04A78511" w14:textId="355BF310"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75</w:t>
            </w:r>
            <w:r w:rsidR="00922B51">
              <w:rPr>
                <w:sz w:val="18"/>
              </w:rPr>
              <w:t xml:space="preserve"> </w:t>
            </w:r>
            <w:r w:rsidRPr="00F063B7">
              <w:rPr>
                <w:sz w:val="18"/>
              </w:rPr>
              <w:t>427</w:t>
            </w:r>
          </w:p>
        </w:tc>
      </w:tr>
      <w:tr w:rsidR="005D009F" w:rsidRPr="00F063B7" w14:paraId="7ED44483" w14:textId="77777777" w:rsidTr="00E45843">
        <w:trPr>
          <w:cantSplit/>
        </w:trPr>
        <w:tc>
          <w:tcPr>
            <w:tcW w:w="3205" w:type="dxa"/>
            <w:shd w:val="clear" w:color="auto" w:fill="auto"/>
          </w:tcPr>
          <w:p w14:paraId="4562CA14" w14:textId="77777777" w:rsidR="005D009F" w:rsidRPr="00F063B7" w:rsidRDefault="005D009F" w:rsidP="00F063B7">
            <w:pPr>
              <w:pStyle w:val="SingleTxtG"/>
              <w:suppressAutoHyphens w:val="0"/>
              <w:spacing w:before="40" w:after="40" w:line="220" w:lineRule="exact"/>
              <w:ind w:left="0" w:right="113"/>
              <w:jc w:val="left"/>
              <w:rPr>
                <w:sz w:val="18"/>
              </w:rPr>
            </w:pPr>
            <w:r w:rsidRPr="00F063B7">
              <w:rPr>
                <w:sz w:val="18"/>
              </w:rPr>
              <w:t>Disability pension</w:t>
            </w:r>
          </w:p>
        </w:tc>
        <w:tc>
          <w:tcPr>
            <w:tcW w:w="1276" w:type="dxa"/>
            <w:shd w:val="clear" w:color="auto" w:fill="auto"/>
            <w:vAlign w:val="bottom"/>
          </w:tcPr>
          <w:p w14:paraId="79EF3568" w14:textId="46524C79"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3</w:t>
            </w:r>
            <w:r w:rsidR="00922B51">
              <w:rPr>
                <w:sz w:val="18"/>
              </w:rPr>
              <w:t xml:space="preserve"> </w:t>
            </w:r>
            <w:r w:rsidRPr="00F063B7">
              <w:rPr>
                <w:sz w:val="18"/>
              </w:rPr>
              <w:t>181</w:t>
            </w:r>
          </w:p>
        </w:tc>
        <w:tc>
          <w:tcPr>
            <w:tcW w:w="1134" w:type="dxa"/>
            <w:shd w:val="clear" w:color="auto" w:fill="auto"/>
            <w:vAlign w:val="bottom"/>
          </w:tcPr>
          <w:p w14:paraId="68E0D64F" w14:textId="3D3FA993"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3</w:t>
            </w:r>
            <w:r w:rsidR="00922B51">
              <w:rPr>
                <w:sz w:val="18"/>
              </w:rPr>
              <w:t xml:space="preserve"> </w:t>
            </w:r>
            <w:r w:rsidRPr="00F063B7">
              <w:rPr>
                <w:sz w:val="18"/>
              </w:rPr>
              <w:t>842</w:t>
            </w:r>
          </w:p>
        </w:tc>
        <w:tc>
          <w:tcPr>
            <w:tcW w:w="1310" w:type="dxa"/>
            <w:shd w:val="clear" w:color="auto" w:fill="auto"/>
            <w:vAlign w:val="bottom"/>
          </w:tcPr>
          <w:p w14:paraId="148A7489" w14:textId="4E4AF3D6"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4</w:t>
            </w:r>
            <w:r w:rsidR="00922B51">
              <w:rPr>
                <w:sz w:val="18"/>
              </w:rPr>
              <w:t xml:space="preserve"> </w:t>
            </w:r>
            <w:r w:rsidRPr="00F063B7">
              <w:rPr>
                <w:sz w:val="18"/>
              </w:rPr>
              <w:t>529</w:t>
            </w:r>
          </w:p>
        </w:tc>
        <w:tc>
          <w:tcPr>
            <w:tcW w:w="1170" w:type="dxa"/>
            <w:shd w:val="clear" w:color="auto" w:fill="auto"/>
            <w:vAlign w:val="bottom"/>
          </w:tcPr>
          <w:p w14:paraId="1EA56B76" w14:textId="43E92985"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5</w:t>
            </w:r>
            <w:r w:rsidR="00922B51">
              <w:rPr>
                <w:sz w:val="18"/>
              </w:rPr>
              <w:t xml:space="preserve"> </w:t>
            </w:r>
            <w:r w:rsidRPr="00F063B7">
              <w:rPr>
                <w:sz w:val="18"/>
              </w:rPr>
              <w:t>162</w:t>
            </w:r>
          </w:p>
        </w:tc>
        <w:tc>
          <w:tcPr>
            <w:tcW w:w="1064" w:type="dxa"/>
            <w:shd w:val="clear" w:color="auto" w:fill="auto"/>
            <w:vAlign w:val="bottom"/>
          </w:tcPr>
          <w:p w14:paraId="4B18507A" w14:textId="611B5C8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5</w:t>
            </w:r>
            <w:r w:rsidR="00922B51">
              <w:rPr>
                <w:sz w:val="18"/>
              </w:rPr>
              <w:t xml:space="preserve"> </w:t>
            </w:r>
            <w:r w:rsidRPr="00F063B7">
              <w:rPr>
                <w:sz w:val="18"/>
              </w:rPr>
              <w:t>683</w:t>
            </w:r>
          </w:p>
        </w:tc>
      </w:tr>
      <w:tr w:rsidR="005D009F" w:rsidRPr="00F063B7" w14:paraId="00B9B2D7" w14:textId="77777777" w:rsidTr="00E45843">
        <w:trPr>
          <w:cantSplit/>
        </w:trPr>
        <w:tc>
          <w:tcPr>
            <w:tcW w:w="3205" w:type="dxa"/>
            <w:shd w:val="clear" w:color="auto" w:fill="auto"/>
          </w:tcPr>
          <w:p w14:paraId="305560E2" w14:textId="77777777" w:rsidR="005D009F" w:rsidRPr="00F063B7" w:rsidRDefault="005D009F" w:rsidP="00F063B7">
            <w:pPr>
              <w:pStyle w:val="SingleTxtG"/>
              <w:suppressAutoHyphens w:val="0"/>
              <w:spacing w:before="40" w:after="40" w:line="220" w:lineRule="exact"/>
              <w:ind w:left="0" w:right="113"/>
              <w:jc w:val="left"/>
              <w:rPr>
                <w:sz w:val="18"/>
              </w:rPr>
            </w:pPr>
            <w:r w:rsidRPr="00F063B7">
              <w:rPr>
                <w:sz w:val="18"/>
              </w:rPr>
              <w:t>Unemployed allowance</w:t>
            </w:r>
          </w:p>
        </w:tc>
        <w:tc>
          <w:tcPr>
            <w:tcW w:w="1276" w:type="dxa"/>
            <w:shd w:val="clear" w:color="auto" w:fill="auto"/>
            <w:vAlign w:val="bottom"/>
          </w:tcPr>
          <w:p w14:paraId="56728B5A" w14:textId="77389140"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2</w:t>
            </w:r>
            <w:r w:rsidR="00922B51">
              <w:rPr>
                <w:sz w:val="18"/>
              </w:rPr>
              <w:t xml:space="preserve"> </w:t>
            </w:r>
            <w:r w:rsidRPr="00F063B7">
              <w:rPr>
                <w:sz w:val="18"/>
              </w:rPr>
              <w:t>696</w:t>
            </w:r>
          </w:p>
        </w:tc>
        <w:tc>
          <w:tcPr>
            <w:tcW w:w="1134" w:type="dxa"/>
            <w:shd w:val="clear" w:color="auto" w:fill="auto"/>
            <w:vAlign w:val="bottom"/>
          </w:tcPr>
          <w:p w14:paraId="0358DFF4" w14:textId="5822FFAF"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4</w:t>
            </w:r>
            <w:r w:rsidR="00922B51">
              <w:rPr>
                <w:sz w:val="18"/>
              </w:rPr>
              <w:t xml:space="preserve"> </w:t>
            </w:r>
            <w:r w:rsidRPr="00F063B7">
              <w:rPr>
                <w:sz w:val="18"/>
              </w:rPr>
              <w:t>162</w:t>
            </w:r>
          </w:p>
        </w:tc>
        <w:tc>
          <w:tcPr>
            <w:tcW w:w="1310" w:type="dxa"/>
            <w:shd w:val="clear" w:color="auto" w:fill="auto"/>
            <w:vAlign w:val="bottom"/>
          </w:tcPr>
          <w:p w14:paraId="03944878" w14:textId="0F7EF673"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6</w:t>
            </w:r>
            <w:r w:rsidR="00922B51">
              <w:rPr>
                <w:sz w:val="18"/>
              </w:rPr>
              <w:t xml:space="preserve"> </w:t>
            </w:r>
            <w:r w:rsidRPr="00F063B7">
              <w:rPr>
                <w:sz w:val="18"/>
              </w:rPr>
              <w:t>543</w:t>
            </w:r>
          </w:p>
        </w:tc>
        <w:tc>
          <w:tcPr>
            <w:tcW w:w="1170" w:type="dxa"/>
            <w:shd w:val="clear" w:color="auto" w:fill="auto"/>
            <w:vAlign w:val="bottom"/>
          </w:tcPr>
          <w:p w14:paraId="6AACD93D" w14:textId="59CE44FA"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4</w:t>
            </w:r>
            <w:r w:rsidR="00922B51">
              <w:rPr>
                <w:sz w:val="18"/>
              </w:rPr>
              <w:t xml:space="preserve"> </w:t>
            </w:r>
            <w:r w:rsidRPr="00F063B7">
              <w:rPr>
                <w:sz w:val="18"/>
              </w:rPr>
              <w:t>683</w:t>
            </w:r>
          </w:p>
        </w:tc>
        <w:tc>
          <w:tcPr>
            <w:tcW w:w="1064" w:type="dxa"/>
            <w:shd w:val="clear" w:color="auto" w:fill="auto"/>
            <w:vAlign w:val="bottom"/>
          </w:tcPr>
          <w:p w14:paraId="0416FB77" w14:textId="7F430D39"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2</w:t>
            </w:r>
            <w:r w:rsidR="00922B51">
              <w:rPr>
                <w:sz w:val="18"/>
              </w:rPr>
              <w:t xml:space="preserve"> </w:t>
            </w:r>
            <w:r w:rsidRPr="00F063B7">
              <w:rPr>
                <w:sz w:val="18"/>
              </w:rPr>
              <w:t>767</w:t>
            </w:r>
          </w:p>
        </w:tc>
      </w:tr>
      <w:tr w:rsidR="005D009F" w:rsidRPr="00F063B7" w14:paraId="7FDCFD39" w14:textId="77777777" w:rsidTr="00E45843">
        <w:trPr>
          <w:cantSplit/>
        </w:trPr>
        <w:tc>
          <w:tcPr>
            <w:tcW w:w="3205" w:type="dxa"/>
            <w:shd w:val="clear" w:color="auto" w:fill="auto"/>
          </w:tcPr>
          <w:p w14:paraId="6F0E94D4" w14:textId="77777777" w:rsidR="005D009F" w:rsidRPr="00F063B7" w:rsidRDefault="005D009F" w:rsidP="00F063B7">
            <w:pPr>
              <w:pStyle w:val="SingleTxtG"/>
              <w:suppressAutoHyphens w:val="0"/>
              <w:spacing w:before="40" w:after="40" w:line="220" w:lineRule="exact"/>
              <w:ind w:left="0" w:right="113"/>
              <w:jc w:val="left"/>
              <w:rPr>
                <w:sz w:val="18"/>
              </w:rPr>
            </w:pPr>
            <w:r w:rsidRPr="00F063B7">
              <w:rPr>
                <w:sz w:val="18"/>
              </w:rPr>
              <w:t>Sickness allowance</w:t>
            </w:r>
          </w:p>
        </w:tc>
        <w:tc>
          <w:tcPr>
            <w:tcW w:w="1276" w:type="dxa"/>
            <w:shd w:val="clear" w:color="auto" w:fill="auto"/>
            <w:vAlign w:val="bottom"/>
          </w:tcPr>
          <w:p w14:paraId="1D708819" w14:textId="41478FA4"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2</w:t>
            </w:r>
            <w:r w:rsidR="00922B51">
              <w:rPr>
                <w:sz w:val="18"/>
              </w:rPr>
              <w:t xml:space="preserve"> </w:t>
            </w:r>
            <w:r w:rsidRPr="00F063B7">
              <w:rPr>
                <w:sz w:val="18"/>
              </w:rPr>
              <w:t>374</w:t>
            </w:r>
          </w:p>
        </w:tc>
        <w:tc>
          <w:tcPr>
            <w:tcW w:w="1134" w:type="dxa"/>
            <w:shd w:val="clear" w:color="auto" w:fill="auto"/>
            <w:vAlign w:val="bottom"/>
          </w:tcPr>
          <w:p w14:paraId="0121E880" w14:textId="49D9FABF"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2</w:t>
            </w:r>
            <w:r w:rsidR="00922B51">
              <w:rPr>
                <w:sz w:val="18"/>
              </w:rPr>
              <w:t xml:space="preserve"> </w:t>
            </w:r>
            <w:r w:rsidRPr="00F063B7">
              <w:rPr>
                <w:sz w:val="18"/>
              </w:rPr>
              <w:t>149</w:t>
            </w:r>
          </w:p>
        </w:tc>
        <w:tc>
          <w:tcPr>
            <w:tcW w:w="1310" w:type="dxa"/>
            <w:shd w:val="clear" w:color="auto" w:fill="auto"/>
            <w:vAlign w:val="bottom"/>
          </w:tcPr>
          <w:p w14:paraId="0CE11992" w14:textId="0F529313"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1</w:t>
            </w:r>
            <w:r w:rsidR="00922B51">
              <w:rPr>
                <w:sz w:val="18"/>
              </w:rPr>
              <w:t xml:space="preserve"> </w:t>
            </w:r>
            <w:r w:rsidRPr="00F063B7">
              <w:rPr>
                <w:sz w:val="18"/>
              </w:rPr>
              <w:t>977</w:t>
            </w:r>
          </w:p>
        </w:tc>
        <w:tc>
          <w:tcPr>
            <w:tcW w:w="1170" w:type="dxa"/>
            <w:shd w:val="clear" w:color="auto" w:fill="auto"/>
            <w:vAlign w:val="bottom"/>
          </w:tcPr>
          <w:p w14:paraId="329EA9D1" w14:textId="6C19088F"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1</w:t>
            </w:r>
            <w:r w:rsidR="00922B51">
              <w:rPr>
                <w:sz w:val="18"/>
              </w:rPr>
              <w:t xml:space="preserve"> </w:t>
            </w:r>
            <w:r w:rsidRPr="00F063B7">
              <w:rPr>
                <w:sz w:val="18"/>
              </w:rPr>
              <w:t>841</w:t>
            </w:r>
          </w:p>
        </w:tc>
        <w:tc>
          <w:tcPr>
            <w:tcW w:w="1064" w:type="dxa"/>
            <w:shd w:val="clear" w:color="auto" w:fill="auto"/>
            <w:vAlign w:val="bottom"/>
          </w:tcPr>
          <w:p w14:paraId="0BE5899D" w14:textId="651BEC0D"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1</w:t>
            </w:r>
            <w:r w:rsidR="00922B51">
              <w:rPr>
                <w:sz w:val="18"/>
              </w:rPr>
              <w:t xml:space="preserve"> </w:t>
            </w:r>
            <w:r w:rsidRPr="00F063B7">
              <w:rPr>
                <w:sz w:val="18"/>
              </w:rPr>
              <w:t>274</w:t>
            </w:r>
          </w:p>
        </w:tc>
      </w:tr>
      <w:tr w:rsidR="005D009F" w:rsidRPr="00F063B7" w14:paraId="3FD837DB" w14:textId="77777777" w:rsidTr="00E45843">
        <w:trPr>
          <w:cantSplit/>
        </w:trPr>
        <w:tc>
          <w:tcPr>
            <w:tcW w:w="3205" w:type="dxa"/>
            <w:shd w:val="clear" w:color="auto" w:fill="auto"/>
          </w:tcPr>
          <w:p w14:paraId="5BEB6A34" w14:textId="77777777" w:rsidR="005D009F" w:rsidRPr="00F063B7" w:rsidRDefault="005D009F" w:rsidP="00F063B7">
            <w:pPr>
              <w:pStyle w:val="SingleTxtG"/>
              <w:suppressAutoHyphens w:val="0"/>
              <w:spacing w:before="40" w:after="40" w:line="220" w:lineRule="exact"/>
              <w:ind w:left="0" w:right="113"/>
              <w:jc w:val="left"/>
              <w:rPr>
                <w:sz w:val="18"/>
              </w:rPr>
            </w:pPr>
            <w:r w:rsidRPr="00F063B7">
              <w:rPr>
                <w:sz w:val="18"/>
              </w:rPr>
              <w:t>Birth allowance</w:t>
            </w:r>
          </w:p>
        </w:tc>
        <w:tc>
          <w:tcPr>
            <w:tcW w:w="1276" w:type="dxa"/>
            <w:shd w:val="clear" w:color="auto" w:fill="auto"/>
            <w:vAlign w:val="bottom"/>
          </w:tcPr>
          <w:p w14:paraId="71564419" w14:textId="3970C5C4"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6</w:t>
            </w:r>
            <w:r w:rsidR="00922B51">
              <w:rPr>
                <w:sz w:val="18"/>
              </w:rPr>
              <w:t xml:space="preserve"> </w:t>
            </w:r>
            <w:r w:rsidRPr="00F063B7">
              <w:rPr>
                <w:sz w:val="18"/>
              </w:rPr>
              <w:t>192</w:t>
            </w:r>
          </w:p>
        </w:tc>
        <w:tc>
          <w:tcPr>
            <w:tcW w:w="1134" w:type="dxa"/>
            <w:shd w:val="clear" w:color="auto" w:fill="auto"/>
            <w:vAlign w:val="bottom"/>
          </w:tcPr>
          <w:p w14:paraId="157F72EA" w14:textId="116FB559"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6</w:t>
            </w:r>
            <w:r w:rsidR="00922B51">
              <w:rPr>
                <w:sz w:val="18"/>
              </w:rPr>
              <w:t xml:space="preserve"> </w:t>
            </w:r>
            <w:r w:rsidRPr="00F063B7">
              <w:rPr>
                <w:sz w:val="18"/>
              </w:rPr>
              <w:t>588</w:t>
            </w:r>
          </w:p>
        </w:tc>
        <w:tc>
          <w:tcPr>
            <w:tcW w:w="1310" w:type="dxa"/>
            <w:shd w:val="clear" w:color="auto" w:fill="auto"/>
            <w:vAlign w:val="bottom"/>
          </w:tcPr>
          <w:p w14:paraId="556829FD" w14:textId="052ABA6D"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6</w:t>
            </w:r>
            <w:r w:rsidR="00922B51">
              <w:rPr>
                <w:sz w:val="18"/>
              </w:rPr>
              <w:t xml:space="preserve"> </w:t>
            </w:r>
            <w:r w:rsidRPr="00F063B7">
              <w:rPr>
                <w:sz w:val="18"/>
              </w:rPr>
              <w:t>746</w:t>
            </w:r>
          </w:p>
        </w:tc>
        <w:tc>
          <w:tcPr>
            <w:tcW w:w="1170" w:type="dxa"/>
            <w:shd w:val="clear" w:color="auto" w:fill="auto"/>
            <w:vAlign w:val="bottom"/>
          </w:tcPr>
          <w:p w14:paraId="181FA47B" w14:textId="25682736"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6</w:t>
            </w:r>
            <w:r w:rsidR="00922B51">
              <w:rPr>
                <w:sz w:val="18"/>
              </w:rPr>
              <w:t xml:space="preserve"> </w:t>
            </w:r>
            <w:r w:rsidRPr="00F063B7">
              <w:rPr>
                <w:sz w:val="18"/>
              </w:rPr>
              <w:t>520</w:t>
            </w:r>
          </w:p>
        </w:tc>
        <w:tc>
          <w:tcPr>
            <w:tcW w:w="1064" w:type="dxa"/>
            <w:shd w:val="clear" w:color="auto" w:fill="auto"/>
            <w:vAlign w:val="bottom"/>
          </w:tcPr>
          <w:p w14:paraId="10F5C6CC" w14:textId="688A97C3"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5</w:t>
            </w:r>
            <w:r w:rsidR="00922B51">
              <w:rPr>
                <w:sz w:val="18"/>
              </w:rPr>
              <w:t xml:space="preserve"> </w:t>
            </w:r>
            <w:r w:rsidRPr="00F063B7">
              <w:rPr>
                <w:sz w:val="18"/>
              </w:rPr>
              <w:t>222</w:t>
            </w:r>
          </w:p>
        </w:tc>
      </w:tr>
      <w:tr w:rsidR="005D009F" w:rsidRPr="00F063B7" w14:paraId="56153354" w14:textId="77777777" w:rsidTr="00E45843">
        <w:trPr>
          <w:cantSplit/>
        </w:trPr>
        <w:tc>
          <w:tcPr>
            <w:tcW w:w="3205" w:type="dxa"/>
            <w:shd w:val="clear" w:color="auto" w:fill="auto"/>
          </w:tcPr>
          <w:p w14:paraId="64E3ABCA" w14:textId="77777777" w:rsidR="005D009F" w:rsidRPr="00F063B7" w:rsidRDefault="005D009F" w:rsidP="00F063B7">
            <w:pPr>
              <w:pStyle w:val="SingleTxtG"/>
              <w:suppressAutoHyphens w:val="0"/>
              <w:spacing w:before="40" w:after="40" w:line="220" w:lineRule="exact"/>
              <w:ind w:left="0" w:right="113"/>
              <w:jc w:val="left"/>
              <w:rPr>
                <w:sz w:val="18"/>
              </w:rPr>
            </w:pPr>
            <w:r w:rsidRPr="00F063B7">
              <w:rPr>
                <w:sz w:val="18"/>
              </w:rPr>
              <w:t>Marriage allowance</w:t>
            </w:r>
          </w:p>
        </w:tc>
        <w:tc>
          <w:tcPr>
            <w:tcW w:w="1276" w:type="dxa"/>
            <w:shd w:val="clear" w:color="auto" w:fill="auto"/>
            <w:vAlign w:val="bottom"/>
          </w:tcPr>
          <w:p w14:paraId="0D425F6B" w14:textId="4AD6964F"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3</w:t>
            </w:r>
            <w:r w:rsidR="00922B51">
              <w:rPr>
                <w:sz w:val="18"/>
              </w:rPr>
              <w:t xml:space="preserve"> </w:t>
            </w:r>
            <w:r w:rsidRPr="00F063B7">
              <w:rPr>
                <w:sz w:val="18"/>
              </w:rPr>
              <w:t>087</w:t>
            </w:r>
          </w:p>
        </w:tc>
        <w:tc>
          <w:tcPr>
            <w:tcW w:w="1134" w:type="dxa"/>
            <w:shd w:val="clear" w:color="auto" w:fill="auto"/>
            <w:vAlign w:val="bottom"/>
          </w:tcPr>
          <w:p w14:paraId="46534916" w14:textId="371FAE0C"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2</w:t>
            </w:r>
            <w:r w:rsidR="00922B51">
              <w:rPr>
                <w:sz w:val="18"/>
              </w:rPr>
              <w:t xml:space="preserve"> </w:t>
            </w:r>
            <w:r w:rsidRPr="00F063B7">
              <w:rPr>
                <w:sz w:val="18"/>
              </w:rPr>
              <w:t>785</w:t>
            </w:r>
          </w:p>
        </w:tc>
        <w:tc>
          <w:tcPr>
            <w:tcW w:w="1310" w:type="dxa"/>
            <w:shd w:val="clear" w:color="auto" w:fill="auto"/>
            <w:vAlign w:val="bottom"/>
          </w:tcPr>
          <w:p w14:paraId="0427BA32" w14:textId="16BFC0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3</w:t>
            </w:r>
            <w:r w:rsidR="00922B51">
              <w:rPr>
                <w:sz w:val="18"/>
              </w:rPr>
              <w:t xml:space="preserve"> </w:t>
            </w:r>
            <w:r w:rsidRPr="00F063B7">
              <w:rPr>
                <w:sz w:val="18"/>
              </w:rPr>
              <w:t>036</w:t>
            </w:r>
          </w:p>
        </w:tc>
        <w:tc>
          <w:tcPr>
            <w:tcW w:w="1170" w:type="dxa"/>
            <w:shd w:val="clear" w:color="auto" w:fill="auto"/>
            <w:vAlign w:val="bottom"/>
          </w:tcPr>
          <w:p w14:paraId="031EC48B" w14:textId="2B75112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2</w:t>
            </w:r>
            <w:r w:rsidR="00922B51">
              <w:rPr>
                <w:sz w:val="18"/>
              </w:rPr>
              <w:t xml:space="preserve"> </w:t>
            </w:r>
            <w:r w:rsidRPr="00F063B7">
              <w:rPr>
                <w:sz w:val="18"/>
              </w:rPr>
              <w:t>988</w:t>
            </w:r>
          </w:p>
        </w:tc>
        <w:tc>
          <w:tcPr>
            <w:tcW w:w="1064" w:type="dxa"/>
            <w:shd w:val="clear" w:color="auto" w:fill="auto"/>
            <w:vAlign w:val="bottom"/>
          </w:tcPr>
          <w:p w14:paraId="4E66BAB3" w14:textId="6DA21C1C"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2</w:t>
            </w:r>
            <w:r w:rsidR="00922B51">
              <w:rPr>
                <w:sz w:val="18"/>
              </w:rPr>
              <w:t xml:space="preserve"> </w:t>
            </w:r>
            <w:r w:rsidRPr="00F063B7">
              <w:rPr>
                <w:sz w:val="18"/>
              </w:rPr>
              <w:t>458</w:t>
            </w:r>
          </w:p>
        </w:tc>
      </w:tr>
      <w:tr w:rsidR="005D009F" w:rsidRPr="00F063B7" w14:paraId="678940E0" w14:textId="77777777" w:rsidTr="00E45843">
        <w:trPr>
          <w:cantSplit/>
        </w:trPr>
        <w:tc>
          <w:tcPr>
            <w:tcW w:w="3205" w:type="dxa"/>
            <w:shd w:val="clear" w:color="auto" w:fill="auto"/>
          </w:tcPr>
          <w:p w14:paraId="065F073E" w14:textId="77777777" w:rsidR="005D009F" w:rsidRPr="00F063B7" w:rsidRDefault="005D009F" w:rsidP="00F063B7">
            <w:pPr>
              <w:pStyle w:val="SingleTxtG"/>
              <w:suppressAutoHyphens w:val="0"/>
              <w:spacing w:before="40" w:after="40" w:line="220" w:lineRule="exact"/>
              <w:ind w:left="0" w:right="113"/>
              <w:jc w:val="left"/>
              <w:rPr>
                <w:sz w:val="18"/>
              </w:rPr>
            </w:pPr>
            <w:r w:rsidRPr="00F063B7">
              <w:rPr>
                <w:sz w:val="18"/>
              </w:rPr>
              <w:t>Funeral allowance</w:t>
            </w:r>
          </w:p>
        </w:tc>
        <w:tc>
          <w:tcPr>
            <w:tcW w:w="1276" w:type="dxa"/>
            <w:shd w:val="clear" w:color="auto" w:fill="auto"/>
            <w:vAlign w:val="bottom"/>
          </w:tcPr>
          <w:p w14:paraId="06A59451" w14:textId="2355EAA9"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1</w:t>
            </w:r>
            <w:r w:rsidR="00922B51">
              <w:rPr>
                <w:sz w:val="18"/>
              </w:rPr>
              <w:t xml:space="preserve"> </w:t>
            </w:r>
            <w:r w:rsidRPr="00F063B7">
              <w:rPr>
                <w:sz w:val="18"/>
              </w:rPr>
              <w:t>723</w:t>
            </w:r>
          </w:p>
        </w:tc>
        <w:tc>
          <w:tcPr>
            <w:tcW w:w="1134" w:type="dxa"/>
            <w:shd w:val="clear" w:color="auto" w:fill="auto"/>
            <w:vAlign w:val="bottom"/>
          </w:tcPr>
          <w:p w14:paraId="1937A325" w14:textId="61ED841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1</w:t>
            </w:r>
            <w:r w:rsidR="00922B51">
              <w:rPr>
                <w:sz w:val="18"/>
              </w:rPr>
              <w:t xml:space="preserve"> </w:t>
            </w:r>
            <w:r w:rsidRPr="00F063B7">
              <w:rPr>
                <w:sz w:val="18"/>
              </w:rPr>
              <w:t>764</w:t>
            </w:r>
          </w:p>
        </w:tc>
        <w:tc>
          <w:tcPr>
            <w:tcW w:w="1310" w:type="dxa"/>
            <w:shd w:val="clear" w:color="auto" w:fill="auto"/>
            <w:vAlign w:val="bottom"/>
          </w:tcPr>
          <w:p w14:paraId="067A935E" w14:textId="1A7F930E"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2</w:t>
            </w:r>
            <w:r w:rsidR="00922B51">
              <w:rPr>
                <w:sz w:val="18"/>
              </w:rPr>
              <w:t xml:space="preserve"> </w:t>
            </w:r>
            <w:r w:rsidRPr="00F063B7">
              <w:rPr>
                <w:sz w:val="18"/>
              </w:rPr>
              <w:t>143</w:t>
            </w:r>
          </w:p>
        </w:tc>
        <w:tc>
          <w:tcPr>
            <w:tcW w:w="1170" w:type="dxa"/>
            <w:shd w:val="clear" w:color="auto" w:fill="auto"/>
            <w:vAlign w:val="bottom"/>
          </w:tcPr>
          <w:p w14:paraId="27743738" w14:textId="4F5BCBE0"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1</w:t>
            </w:r>
            <w:r w:rsidR="00922B51">
              <w:rPr>
                <w:sz w:val="18"/>
              </w:rPr>
              <w:t xml:space="preserve"> </w:t>
            </w:r>
            <w:r w:rsidRPr="00F063B7">
              <w:rPr>
                <w:sz w:val="18"/>
              </w:rPr>
              <w:t>943</w:t>
            </w:r>
          </w:p>
        </w:tc>
        <w:tc>
          <w:tcPr>
            <w:tcW w:w="1064" w:type="dxa"/>
            <w:shd w:val="clear" w:color="auto" w:fill="auto"/>
            <w:vAlign w:val="bottom"/>
          </w:tcPr>
          <w:p w14:paraId="3077306B" w14:textId="6A93F152"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1</w:t>
            </w:r>
            <w:r w:rsidR="00922B51">
              <w:rPr>
                <w:sz w:val="18"/>
              </w:rPr>
              <w:t xml:space="preserve"> </w:t>
            </w:r>
            <w:r w:rsidRPr="00F063B7">
              <w:rPr>
                <w:sz w:val="18"/>
              </w:rPr>
              <w:t>478</w:t>
            </w:r>
          </w:p>
        </w:tc>
      </w:tr>
      <w:tr w:rsidR="005D009F" w:rsidRPr="00F063B7" w14:paraId="71275CA2" w14:textId="77777777" w:rsidTr="00E45843">
        <w:trPr>
          <w:cantSplit/>
        </w:trPr>
        <w:tc>
          <w:tcPr>
            <w:tcW w:w="3205" w:type="dxa"/>
            <w:shd w:val="clear" w:color="auto" w:fill="auto"/>
          </w:tcPr>
          <w:p w14:paraId="178AC092" w14:textId="77777777" w:rsidR="005D009F" w:rsidRPr="00F063B7" w:rsidRDefault="005D009F" w:rsidP="00F063B7">
            <w:pPr>
              <w:pStyle w:val="SingleTxtG"/>
              <w:suppressAutoHyphens w:val="0"/>
              <w:spacing w:before="40" w:after="40" w:line="220" w:lineRule="exact"/>
              <w:ind w:left="0" w:right="113"/>
              <w:jc w:val="left"/>
              <w:rPr>
                <w:sz w:val="18"/>
              </w:rPr>
            </w:pPr>
            <w:r w:rsidRPr="00F063B7">
              <w:rPr>
                <w:sz w:val="18"/>
              </w:rPr>
              <w:t>Compensation for occupational respiratory disease</w:t>
            </w:r>
          </w:p>
        </w:tc>
        <w:tc>
          <w:tcPr>
            <w:tcW w:w="1276" w:type="dxa"/>
            <w:shd w:val="clear" w:color="auto" w:fill="auto"/>
            <w:vAlign w:val="bottom"/>
          </w:tcPr>
          <w:p w14:paraId="410A69CB"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1</w:t>
            </w:r>
          </w:p>
        </w:tc>
        <w:tc>
          <w:tcPr>
            <w:tcW w:w="1134" w:type="dxa"/>
            <w:shd w:val="clear" w:color="auto" w:fill="auto"/>
            <w:vAlign w:val="bottom"/>
          </w:tcPr>
          <w:p w14:paraId="478978E5"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0</w:t>
            </w:r>
          </w:p>
        </w:tc>
        <w:tc>
          <w:tcPr>
            <w:tcW w:w="1310" w:type="dxa"/>
            <w:shd w:val="clear" w:color="auto" w:fill="auto"/>
            <w:vAlign w:val="bottom"/>
          </w:tcPr>
          <w:p w14:paraId="7FEFD576"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0</w:t>
            </w:r>
          </w:p>
        </w:tc>
        <w:tc>
          <w:tcPr>
            <w:tcW w:w="1170" w:type="dxa"/>
            <w:shd w:val="clear" w:color="auto" w:fill="auto"/>
            <w:vAlign w:val="bottom"/>
          </w:tcPr>
          <w:p w14:paraId="2EDCFBC4"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1</w:t>
            </w:r>
          </w:p>
        </w:tc>
        <w:tc>
          <w:tcPr>
            <w:tcW w:w="1064" w:type="dxa"/>
            <w:shd w:val="clear" w:color="auto" w:fill="auto"/>
            <w:vAlign w:val="bottom"/>
          </w:tcPr>
          <w:p w14:paraId="6EB35741"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2</w:t>
            </w:r>
          </w:p>
        </w:tc>
      </w:tr>
    </w:tbl>
    <w:p w14:paraId="0E19B528" w14:textId="538D3DC7" w:rsidR="005D009F" w:rsidRPr="00922B51" w:rsidRDefault="005D009F" w:rsidP="00922B51">
      <w:pPr>
        <w:spacing w:before="120" w:after="240"/>
        <w:ind w:left="1134" w:right="1134" w:firstLine="170"/>
        <w:rPr>
          <w:sz w:val="18"/>
        </w:rPr>
      </w:pPr>
      <w:r w:rsidRPr="00922B51">
        <w:rPr>
          <w:i/>
          <w:iCs/>
          <w:sz w:val="18"/>
        </w:rPr>
        <w:t>Source</w:t>
      </w:r>
      <w:r w:rsidRPr="00922B51">
        <w:rPr>
          <w:sz w:val="18"/>
        </w:rPr>
        <w:t xml:space="preserve">: </w:t>
      </w:r>
      <w:r w:rsidR="00552569">
        <w:rPr>
          <w:sz w:val="18"/>
        </w:rPr>
        <w:t xml:space="preserve"> </w:t>
      </w:r>
      <w:r w:rsidRPr="00922B51">
        <w:rPr>
          <w:sz w:val="18"/>
        </w:rPr>
        <w:t>SSF.</w:t>
      </w:r>
    </w:p>
    <w:p w14:paraId="0B476E37" w14:textId="77777777" w:rsidR="005D009F" w:rsidRPr="00B47380" w:rsidRDefault="005D009F" w:rsidP="00D53B5F">
      <w:pPr>
        <w:pStyle w:val="SingleTxtG"/>
      </w:pPr>
      <w:r w:rsidRPr="00B47380">
        <w:t>98.</w:t>
      </w:r>
      <w:r w:rsidRPr="00B47380">
        <w:tab/>
        <w:t>To allow earlier access to the old-age pension, persons with 60 years of age or above may apply for its partial anticipation, being entitled to the full amount when they reach 80 (Article 33 of Law 4/2010).</w:t>
      </w:r>
    </w:p>
    <w:p w14:paraId="4E5BEDAD" w14:textId="6BC05B0A" w:rsidR="005D009F" w:rsidRPr="00B47380" w:rsidRDefault="005D009F" w:rsidP="00D53B5F">
      <w:pPr>
        <w:pStyle w:val="SingleTxtG"/>
      </w:pPr>
      <w:r w:rsidRPr="00B47380">
        <w:t>99.</w:t>
      </w:r>
      <w:r w:rsidRPr="00B47380">
        <w:tab/>
        <w:t>The adjustment of the social security benefits requires a comprehensive consideration of various social factors, including the MSAR</w:t>
      </w:r>
      <w:r w:rsidR="006266F0">
        <w:t>’</w:t>
      </w:r>
      <w:r w:rsidRPr="00B47380">
        <w:t>s economic development, relevant policies, financial resources and pension expenditures related to the ageing population.</w:t>
      </w:r>
    </w:p>
    <w:p w14:paraId="37B9DA71" w14:textId="77777777" w:rsidR="005D009F" w:rsidRPr="00B47380" w:rsidRDefault="005D009F" w:rsidP="00D53B5F">
      <w:pPr>
        <w:pStyle w:val="SingleTxtG"/>
      </w:pPr>
      <w:r w:rsidRPr="00B47380">
        <w:t>100.</w:t>
      </w:r>
      <w:r w:rsidRPr="00B47380">
        <w:tab/>
        <w:t>Law 7/2017 established the Non-mandatory Central Provident Fund System, a complementary sub-system of the social security system aiming at strengthening the social protection for residents in their old age, wherein a voluntary contribution to a Fund, administered by the Government, is made. The balance can only be withdrawn after the account owner completes 65 years of age.</w:t>
      </w:r>
    </w:p>
    <w:p w14:paraId="6FFDFDA9" w14:textId="137C933A" w:rsidR="005D009F" w:rsidRPr="00B47380" w:rsidRDefault="005D009F" w:rsidP="00D53B5F">
      <w:pPr>
        <w:pStyle w:val="SingleTxtG"/>
      </w:pPr>
      <w:r w:rsidRPr="00B47380">
        <w:t>101.</w:t>
      </w:r>
      <w:r w:rsidRPr="00B47380">
        <w:tab/>
        <w:t xml:space="preserve">Article 20 establishes that this System comprises 2 contribution plans: </w:t>
      </w:r>
      <w:proofErr w:type="spellStart"/>
      <w:r w:rsidRPr="00B47380">
        <w:t>i</w:t>
      </w:r>
      <w:proofErr w:type="spellEnd"/>
      <w:r w:rsidRPr="00B47380">
        <w:t>) joint provident fund scheme, in which the minimum monthly contributions of the worker and the employer is 5% of the worker</w:t>
      </w:r>
      <w:r w:rsidR="006266F0">
        <w:t>’</w:t>
      </w:r>
      <w:r w:rsidRPr="00B47380">
        <w:t>s base salary for the month concerned (Article 26(2)); and ii) individual provident fund scheme, in which the minimum amount of monthly contributions is MOP$500 (the account holder may pay a higher amount) (Article 26 (8)).</w:t>
      </w:r>
    </w:p>
    <w:p w14:paraId="7DF929B6" w14:textId="111E2B25" w:rsidR="005D009F" w:rsidRPr="00B47380" w:rsidRDefault="005D009F" w:rsidP="00D53B5F">
      <w:pPr>
        <w:pStyle w:val="SingleTxtG"/>
      </w:pPr>
      <w:r w:rsidRPr="00B47380">
        <w:t>102.</w:t>
      </w:r>
      <w:r w:rsidRPr="00B47380">
        <w:tab/>
        <w:t>In the event of the termination of the labour relationship, the worker who has completed 3 years of contributions has the right to obtain 30% of the employer</w:t>
      </w:r>
      <w:r w:rsidR="006266F0">
        <w:t>’</w:t>
      </w:r>
      <w:r w:rsidRPr="00B47380">
        <w:t>s contributions in the joint provident fund scheme, adding 10% in each full year of contribution (Articles 34 (1) and 26(9)).</w:t>
      </w:r>
    </w:p>
    <w:p w14:paraId="5AC22BEB" w14:textId="754785F1" w:rsidR="005D009F" w:rsidRPr="00B47380" w:rsidRDefault="005D009F" w:rsidP="00D53B5F">
      <w:pPr>
        <w:pStyle w:val="SingleTxtG"/>
      </w:pPr>
      <w:r w:rsidRPr="00B47380">
        <w:t>103.</w:t>
      </w:r>
      <w:r w:rsidRPr="00B47380">
        <w:tab/>
        <w:t>Tax benefits are granted to employers, encouraging adherence and payment of contributions by employers, workers and residents to jointly prepare for post-retirement. Workers</w:t>
      </w:r>
      <w:r w:rsidR="006266F0">
        <w:t>’</w:t>
      </w:r>
      <w:r w:rsidRPr="00B47380">
        <w:t xml:space="preserve"> contributions to the Fund are considered as non-taxable income (Article 53).</w:t>
      </w:r>
    </w:p>
    <w:p w14:paraId="661BB980" w14:textId="77777777" w:rsidR="005D009F" w:rsidRPr="00B47380" w:rsidRDefault="005D009F" w:rsidP="00D53B5F">
      <w:pPr>
        <w:pStyle w:val="SingleTxtG"/>
      </w:pPr>
      <w:r w:rsidRPr="00B47380">
        <w:t>104.</w:t>
      </w:r>
      <w:r w:rsidRPr="00B47380">
        <w:tab/>
        <w:t xml:space="preserve">According to the SSF, as of December 2017, there were 576,515 account owners, of which 462 were under 18 who enrolled in the social security system in accordance with Article 10(1) of Law 4/2010 (Article 7(1)(2) of Law 7/2017). </w:t>
      </w:r>
    </w:p>
    <w:p w14:paraId="50A84940" w14:textId="77777777" w:rsidR="005D009F" w:rsidRPr="00B47380" w:rsidRDefault="005D009F" w:rsidP="00D53B5F">
      <w:pPr>
        <w:pStyle w:val="SingleTxtG"/>
      </w:pPr>
      <w:r w:rsidRPr="00B47380">
        <w:t>105.</w:t>
      </w:r>
      <w:r w:rsidRPr="00B47380">
        <w:tab/>
        <w:t xml:space="preserve">Concerning paragraph 56 of the concluding observations, although non-resident workers are not entitled to contribute to the Social Security System, both employers and non-resident workers may agree on setting up a private pension scheme on a consensual basis. </w:t>
      </w:r>
    </w:p>
    <w:p w14:paraId="2A3FF805" w14:textId="535E79FF" w:rsidR="00E32CCC" w:rsidRDefault="005D009F" w:rsidP="004D6325">
      <w:pPr>
        <w:pStyle w:val="SingleTxtG"/>
      </w:pPr>
      <w:r w:rsidRPr="00B47380">
        <w:lastRenderedPageBreak/>
        <w:t>106.</w:t>
      </w:r>
      <w:r w:rsidRPr="00B47380">
        <w:tab/>
        <w:t>According to the Monetary Authority of Macao, the percentage of non-resident participants in private pension funds has increased in the past 5 years.</w:t>
      </w:r>
    </w:p>
    <w:p w14:paraId="53DAB5CC" w14:textId="77777777" w:rsidR="005D009F" w:rsidRPr="00B47380" w:rsidRDefault="005D009F" w:rsidP="00922B51">
      <w:pPr>
        <w:pStyle w:val="H23G"/>
      </w:pPr>
      <w:r w:rsidRPr="00B47380">
        <w:tab/>
      </w:r>
      <w:r w:rsidRPr="00B47380">
        <w:tab/>
        <w:t>Non-resident participants in private pension funds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77"/>
        <w:gridCol w:w="878"/>
        <w:gridCol w:w="879"/>
        <w:gridCol w:w="878"/>
        <w:gridCol w:w="879"/>
        <w:gridCol w:w="879"/>
      </w:tblGrid>
      <w:tr w:rsidR="005D009F" w:rsidRPr="00F063B7" w14:paraId="3D30EFBF" w14:textId="77777777" w:rsidTr="00E45843">
        <w:trPr>
          <w:cantSplit/>
          <w:tblHeader/>
        </w:trPr>
        <w:tc>
          <w:tcPr>
            <w:tcW w:w="2977" w:type="dxa"/>
            <w:tcBorders>
              <w:top w:val="single" w:sz="4" w:space="0" w:color="auto"/>
              <w:bottom w:val="single" w:sz="12" w:space="0" w:color="auto"/>
            </w:tcBorders>
            <w:shd w:val="clear" w:color="auto" w:fill="auto"/>
            <w:vAlign w:val="bottom"/>
          </w:tcPr>
          <w:p w14:paraId="087D368B" w14:textId="77777777" w:rsidR="005D009F" w:rsidRPr="00F063B7" w:rsidRDefault="005D009F" w:rsidP="00F063B7">
            <w:pPr>
              <w:pStyle w:val="SingleTxtG"/>
              <w:suppressAutoHyphens w:val="0"/>
              <w:spacing w:before="80" w:after="80" w:line="200" w:lineRule="exact"/>
              <w:ind w:left="0" w:right="113"/>
              <w:jc w:val="left"/>
              <w:rPr>
                <w:i/>
                <w:sz w:val="16"/>
              </w:rPr>
            </w:pPr>
            <w:r w:rsidRPr="00F063B7">
              <w:rPr>
                <w:i/>
                <w:sz w:val="16"/>
              </w:rPr>
              <w:t>Item/Year</w:t>
            </w:r>
          </w:p>
        </w:tc>
        <w:tc>
          <w:tcPr>
            <w:tcW w:w="878" w:type="dxa"/>
            <w:tcBorders>
              <w:top w:val="single" w:sz="4" w:space="0" w:color="auto"/>
              <w:bottom w:val="single" w:sz="12" w:space="0" w:color="auto"/>
            </w:tcBorders>
            <w:shd w:val="clear" w:color="auto" w:fill="auto"/>
            <w:vAlign w:val="bottom"/>
          </w:tcPr>
          <w:p w14:paraId="46A22765" w14:textId="77777777" w:rsidR="005D009F" w:rsidRPr="00F063B7" w:rsidRDefault="005D009F" w:rsidP="00F063B7">
            <w:pPr>
              <w:pStyle w:val="SingleTxtG"/>
              <w:suppressAutoHyphens w:val="0"/>
              <w:spacing w:before="80" w:after="80" w:line="200" w:lineRule="exact"/>
              <w:ind w:left="0" w:right="113"/>
              <w:jc w:val="right"/>
              <w:rPr>
                <w:i/>
                <w:sz w:val="16"/>
              </w:rPr>
            </w:pPr>
            <w:r w:rsidRPr="00F063B7">
              <w:rPr>
                <w:i/>
                <w:sz w:val="16"/>
              </w:rPr>
              <w:t>2014</w:t>
            </w:r>
          </w:p>
        </w:tc>
        <w:tc>
          <w:tcPr>
            <w:tcW w:w="879" w:type="dxa"/>
            <w:tcBorders>
              <w:top w:val="single" w:sz="4" w:space="0" w:color="auto"/>
              <w:bottom w:val="single" w:sz="12" w:space="0" w:color="auto"/>
            </w:tcBorders>
            <w:shd w:val="clear" w:color="auto" w:fill="auto"/>
            <w:vAlign w:val="bottom"/>
          </w:tcPr>
          <w:p w14:paraId="55CE30AC" w14:textId="77777777" w:rsidR="005D009F" w:rsidRPr="00F063B7" w:rsidRDefault="005D009F" w:rsidP="00F063B7">
            <w:pPr>
              <w:pStyle w:val="SingleTxtG"/>
              <w:suppressAutoHyphens w:val="0"/>
              <w:spacing w:before="80" w:after="80" w:line="200" w:lineRule="exact"/>
              <w:ind w:left="0" w:right="113"/>
              <w:jc w:val="right"/>
              <w:rPr>
                <w:i/>
                <w:sz w:val="16"/>
              </w:rPr>
            </w:pPr>
            <w:r w:rsidRPr="00F063B7">
              <w:rPr>
                <w:i/>
                <w:sz w:val="16"/>
              </w:rPr>
              <w:t>2015</w:t>
            </w:r>
          </w:p>
        </w:tc>
        <w:tc>
          <w:tcPr>
            <w:tcW w:w="878" w:type="dxa"/>
            <w:tcBorders>
              <w:top w:val="single" w:sz="4" w:space="0" w:color="auto"/>
              <w:bottom w:val="single" w:sz="12" w:space="0" w:color="auto"/>
            </w:tcBorders>
            <w:shd w:val="clear" w:color="auto" w:fill="auto"/>
            <w:vAlign w:val="bottom"/>
          </w:tcPr>
          <w:p w14:paraId="622E0E4C" w14:textId="77777777" w:rsidR="005D009F" w:rsidRPr="00F063B7" w:rsidRDefault="005D009F" w:rsidP="00F063B7">
            <w:pPr>
              <w:pStyle w:val="SingleTxtG"/>
              <w:suppressAutoHyphens w:val="0"/>
              <w:spacing w:before="80" w:after="80" w:line="200" w:lineRule="exact"/>
              <w:ind w:left="0" w:right="113"/>
              <w:jc w:val="right"/>
              <w:rPr>
                <w:i/>
                <w:sz w:val="16"/>
              </w:rPr>
            </w:pPr>
            <w:r w:rsidRPr="00F063B7">
              <w:rPr>
                <w:i/>
                <w:sz w:val="16"/>
              </w:rPr>
              <w:t>2016</w:t>
            </w:r>
          </w:p>
        </w:tc>
        <w:tc>
          <w:tcPr>
            <w:tcW w:w="879" w:type="dxa"/>
            <w:tcBorders>
              <w:top w:val="single" w:sz="4" w:space="0" w:color="auto"/>
              <w:bottom w:val="single" w:sz="12" w:space="0" w:color="auto"/>
            </w:tcBorders>
            <w:shd w:val="clear" w:color="auto" w:fill="auto"/>
            <w:vAlign w:val="bottom"/>
          </w:tcPr>
          <w:p w14:paraId="1BE77552" w14:textId="77777777" w:rsidR="005D009F" w:rsidRPr="00F063B7" w:rsidRDefault="005D009F" w:rsidP="00F063B7">
            <w:pPr>
              <w:pStyle w:val="SingleTxtG"/>
              <w:suppressAutoHyphens w:val="0"/>
              <w:spacing w:before="80" w:after="80" w:line="200" w:lineRule="exact"/>
              <w:ind w:left="0" w:right="113"/>
              <w:jc w:val="right"/>
              <w:rPr>
                <w:i/>
                <w:sz w:val="16"/>
              </w:rPr>
            </w:pPr>
            <w:r w:rsidRPr="00F063B7">
              <w:rPr>
                <w:i/>
                <w:sz w:val="16"/>
              </w:rPr>
              <w:t>2017</w:t>
            </w:r>
          </w:p>
        </w:tc>
        <w:tc>
          <w:tcPr>
            <w:tcW w:w="879" w:type="dxa"/>
            <w:tcBorders>
              <w:top w:val="single" w:sz="4" w:space="0" w:color="auto"/>
              <w:bottom w:val="single" w:sz="12" w:space="0" w:color="auto"/>
            </w:tcBorders>
            <w:shd w:val="clear" w:color="auto" w:fill="auto"/>
            <w:vAlign w:val="bottom"/>
          </w:tcPr>
          <w:p w14:paraId="198C79FF" w14:textId="77777777" w:rsidR="005D009F" w:rsidRPr="00F063B7" w:rsidRDefault="005D009F" w:rsidP="00F063B7">
            <w:pPr>
              <w:pStyle w:val="SingleTxtG"/>
              <w:suppressAutoHyphens w:val="0"/>
              <w:spacing w:before="80" w:after="80" w:line="200" w:lineRule="exact"/>
              <w:ind w:left="0" w:right="113"/>
              <w:jc w:val="right"/>
              <w:rPr>
                <w:i/>
                <w:sz w:val="16"/>
              </w:rPr>
            </w:pPr>
            <w:r w:rsidRPr="00F063B7">
              <w:rPr>
                <w:i/>
                <w:sz w:val="16"/>
              </w:rPr>
              <w:t>09/2018</w:t>
            </w:r>
          </w:p>
        </w:tc>
      </w:tr>
      <w:tr w:rsidR="005D009F" w:rsidRPr="00F063B7" w14:paraId="3EE462B7" w14:textId="77777777" w:rsidTr="00E45843">
        <w:trPr>
          <w:cantSplit/>
        </w:trPr>
        <w:tc>
          <w:tcPr>
            <w:tcW w:w="2977" w:type="dxa"/>
            <w:tcBorders>
              <w:top w:val="single" w:sz="12" w:space="0" w:color="auto"/>
              <w:bottom w:val="nil"/>
            </w:tcBorders>
            <w:shd w:val="clear" w:color="auto" w:fill="auto"/>
          </w:tcPr>
          <w:p w14:paraId="196A5080" w14:textId="77777777" w:rsidR="005D009F" w:rsidRPr="00F063B7" w:rsidRDefault="005D009F" w:rsidP="00F063B7">
            <w:pPr>
              <w:pStyle w:val="SingleTxtG"/>
              <w:suppressAutoHyphens w:val="0"/>
              <w:spacing w:before="40" w:after="40" w:line="220" w:lineRule="exact"/>
              <w:ind w:left="0" w:right="113"/>
              <w:jc w:val="left"/>
              <w:rPr>
                <w:sz w:val="18"/>
              </w:rPr>
            </w:pPr>
            <w:r w:rsidRPr="00F063B7">
              <w:rPr>
                <w:sz w:val="18"/>
              </w:rPr>
              <w:t>Private pension-covered workers (%)</w:t>
            </w:r>
          </w:p>
        </w:tc>
        <w:tc>
          <w:tcPr>
            <w:tcW w:w="878" w:type="dxa"/>
            <w:tcBorders>
              <w:top w:val="single" w:sz="12" w:space="0" w:color="auto"/>
              <w:bottom w:val="nil"/>
            </w:tcBorders>
            <w:shd w:val="clear" w:color="auto" w:fill="auto"/>
            <w:vAlign w:val="bottom"/>
          </w:tcPr>
          <w:p w14:paraId="1E9EF75F"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32.5%</w:t>
            </w:r>
          </w:p>
        </w:tc>
        <w:tc>
          <w:tcPr>
            <w:tcW w:w="879" w:type="dxa"/>
            <w:tcBorders>
              <w:top w:val="single" w:sz="12" w:space="0" w:color="auto"/>
              <w:bottom w:val="nil"/>
            </w:tcBorders>
            <w:shd w:val="clear" w:color="auto" w:fill="auto"/>
            <w:vAlign w:val="bottom"/>
          </w:tcPr>
          <w:p w14:paraId="5384CC2E"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34.7%</w:t>
            </w:r>
          </w:p>
        </w:tc>
        <w:tc>
          <w:tcPr>
            <w:tcW w:w="878" w:type="dxa"/>
            <w:tcBorders>
              <w:top w:val="single" w:sz="12" w:space="0" w:color="auto"/>
              <w:bottom w:val="nil"/>
            </w:tcBorders>
            <w:shd w:val="clear" w:color="auto" w:fill="auto"/>
            <w:vAlign w:val="bottom"/>
          </w:tcPr>
          <w:p w14:paraId="2899E44B"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36.7%</w:t>
            </w:r>
          </w:p>
        </w:tc>
        <w:tc>
          <w:tcPr>
            <w:tcW w:w="879" w:type="dxa"/>
            <w:tcBorders>
              <w:top w:val="single" w:sz="12" w:space="0" w:color="auto"/>
              <w:bottom w:val="nil"/>
            </w:tcBorders>
            <w:shd w:val="clear" w:color="auto" w:fill="auto"/>
            <w:vAlign w:val="bottom"/>
          </w:tcPr>
          <w:p w14:paraId="32D7D415"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38.7%</w:t>
            </w:r>
          </w:p>
        </w:tc>
        <w:tc>
          <w:tcPr>
            <w:tcW w:w="879" w:type="dxa"/>
            <w:tcBorders>
              <w:top w:val="single" w:sz="12" w:space="0" w:color="auto"/>
              <w:bottom w:val="nil"/>
            </w:tcBorders>
            <w:shd w:val="clear" w:color="auto" w:fill="auto"/>
            <w:vAlign w:val="bottom"/>
          </w:tcPr>
          <w:p w14:paraId="1CF0045F"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37.5%</w:t>
            </w:r>
          </w:p>
        </w:tc>
      </w:tr>
      <w:tr w:rsidR="005D009F" w:rsidRPr="00F063B7" w14:paraId="04FCF879" w14:textId="77777777" w:rsidTr="00E45843">
        <w:trPr>
          <w:cantSplit/>
        </w:trPr>
        <w:tc>
          <w:tcPr>
            <w:tcW w:w="2977" w:type="dxa"/>
            <w:tcBorders>
              <w:top w:val="nil"/>
            </w:tcBorders>
            <w:shd w:val="clear" w:color="auto" w:fill="auto"/>
          </w:tcPr>
          <w:p w14:paraId="5AABD4C7" w14:textId="77777777" w:rsidR="005D009F" w:rsidRPr="00F063B7" w:rsidRDefault="005D009F" w:rsidP="00F063B7">
            <w:pPr>
              <w:pStyle w:val="SingleTxtG"/>
              <w:suppressAutoHyphens w:val="0"/>
              <w:spacing w:before="40" w:after="40" w:line="220" w:lineRule="exact"/>
              <w:ind w:left="0" w:right="113"/>
              <w:jc w:val="left"/>
              <w:rPr>
                <w:sz w:val="18"/>
              </w:rPr>
            </w:pPr>
            <w:r w:rsidRPr="00F063B7">
              <w:rPr>
                <w:sz w:val="18"/>
              </w:rPr>
              <w:t>No. of private pension-covered workers</w:t>
            </w:r>
          </w:p>
        </w:tc>
        <w:tc>
          <w:tcPr>
            <w:tcW w:w="878" w:type="dxa"/>
            <w:tcBorders>
              <w:top w:val="nil"/>
            </w:tcBorders>
            <w:shd w:val="clear" w:color="auto" w:fill="auto"/>
            <w:vAlign w:val="bottom"/>
          </w:tcPr>
          <w:p w14:paraId="0D0ECF61" w14:textId="60F07948"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129</w:t>
            </w:r>
            <w:r w:rsidR="00E32CCC">
              <w:rPr>
                <w:sz w:val="18"/>
              </w:rPr>
              <w:t xml:space="preserve"> </w:t>
            </w:r>
            <w:r w:rsidRPr="00F063B7">
              <w:rPr>
                <w:sz w:val="18"/>
              </w:rPr>
              <w:t>462</w:t>
            </w:r>
          </w:p>
        </w:tc>
        <w:tc>
          <w:tcPr>
            <w:tcW w:w="879" w:type="dxa"/>
            <w:tcBorders>
              <w:top w:val="nil"/>
            </w:tcBorders>
            <w:shd w:val="clear" w:color="auto" w:fill="auto"/>
            <w:vAlign w:val="bottom"/>
          </w:tcPr>
          <w:p w14:paraId="0C368419" w14:textId="63ABEE76"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136</w:t>
            </w:r>
            <w:r w:rsidR="00E32CCC">
              <w:rPr>
                <w:sz w:val="18"/>
              </w:rPr>
              <w:t xml:space="preserve"> </w:t>
            </w:r>
            <w:r w:rsidRPr="00F063B7">
              <w:rPr>
                <w:sz w:val="18"/>
              </w:rPr>
              <w:t>321</w:t>
            </w:r>
          </w:p>
        </w:tc>
        <w:tc>
          <w:tcPr>
            <w:tcW w:w="878" w:type="dxa"/>
            <w:tcBorders>
              <w:top w:val="nil"/>
            </w:tcBorders>
            <w:shd w:val="clear" w:color="auto" w:fill="auto"/>
            <w:vAlign w:val="bottom"/>
          </w:tcPr>
          <w:p w14:paraId="22766DFA" w14:textId="4114AC90"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141</w:t>
            </w:r>
            <w:r w:rsidR="00E32CCC">
              <w:rPr>
                <w:sz w:val="18"/>
              </w:rPr>
              <w:t xml:space="preserve"> </w:t>
            </w:r>
            <w:r w:rsidRPr="00F063B7">
              <w:rPr>
                <w:sz w:val="18"/>
              </w:rPr>
              <w:t>123</w:t>
            </w:r>
          </w:p>
        </w:tc>
        <w:tc>
          <w:tcPr>
            <w:tcW w:w="879" w:type="dxa"/>
            <w:tcBorders>
              <w:top w:val="nil"/>
            </w:tcBorders>
            <w:shd w:val="clear" w:color="auto" w:fill="auto"/>
            <w:vAlign w:val="bottom"/>
          </w:tcPr>
          <w:p w14:paraId="3465E0D2" w14:textId="42EBEE2B"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145</w:t>
            </w:r>
            <w:r w:rsidR="00E32CCC">
              <w:rPr>
                <w:sz w:val="18"/>
              </w:rPr>
              <w:t xml:space="preserve"> </w:t>
            </w:r>
            <w:r w:rsidRPr="00F063B7">
              <w:rPr>
                <w:sz w:val="18"/>
              </w:rPr>
              <w:t>543</w:t>
            </w:r>
          </w:p>
        </w:tc>
        <w:tc>
          <w:tcPr>
            <w:tcW w:w="879" w:type="dxa"/>
            <w:tcBorders>
              <w:top w:val="nil"/>
            </w:tcBorders>
            <w:shd w:val="clear" w:color="auto" w:fill="auto"/>
            <w:vAlign w:val="bottom"/>
          </w:tcPr>
          <w:p w14:paraId="436E9954" w14:textId="19C3A2B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145</w:t>
            </w:r>
            <w:r w:rsidR="00E32CCC">
              <w:rPr>
                <w:sz w:val="18"/>
              </w:rPr>
              <w:t xml:space="preserve"> </w:t>
            </w:r>
            <w:r w:rsidRPr="00F063B7">
              <w:rPr>
                <w:sz w:val="18"/>
              </w:rPr>
              <w:t>117</w:t>
            </w:r>
          </w:p>
        </w:tc>
      </w:tr>
      <w:tr w:rsidR="005D009F" w:rsidRPr="00F063B7" w14:paraId="2FF43B56" w14:textId="77777777" w:rsidTr="00E45843">
        <w:trPr>
          <w:cantSplit/>
        </w:trPr>
        <w:tc>
          <w:tcPr>
            <w:tcW w:w="2977" w:type="dxa"/>
            <w:shd w:val="clear" w:color="auto" w:fill="auto"/>
          </w:tcPr>
          <w:p w14:paraId="77D4DBF9" w14:textId="77777777" w:rsidR="005D009F" w:rsidRPr="00F063B7" w:rsidRDefault="005D009F" w:rsidP="00F063B7">
            <w:pPr>
              <w:pStyle w:val="SingleTxtG"/>
              <w:suppressAutoHyphens w:val="0"/>
              <w:spacing w:before="40" w:after="40" w:line="220" w:lineRule="exact"/>
              <w:ind w:left="0" w:right="113"/>
              <w:jc w:val="left"/>
              <w:rPr>
                <w:sz w:val="18"/>
              </w:rPr>
            </w:pPr>
            <w:r w:rsidRPr="00F063B7">
              <w:rPr>
                <w:sz w:val="18"/>
              </w:rPr>
              <w:t>Resident workers</w:t>
            </w:r>
          </w:p>
        </w:tc>
        <w:tc>
          <w:tcPr>
            <w:tcW w:w="878" w:type="dxa"/>
            <w:shd w:val="clear" w:color="auto" w:fill="auto"/>
            <w:vAlign w:val="bottom"/>
          </w:tcPr>
          <w:p w14:paraId="3C07CB21"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80.5%</w:t>
            </w:r>
          </w:p>
        </w:tc>
        <w:tc>
          <w:tcPr>
            <w:tcW w:w="879" w:type="dxa"/>
            <w:shd w:val="clear" w:color="auto" w:fill="auto"/>
            <w:vAlign w:val="bottom"/>
          </w:tcPr>
          <w:p w14:paraId="12088B94"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79.0%</w:t>
            </w:r>
          </w:p>
        </w:tc>
        <w:tc>
          <w:tcPr>
            <w:tcW w:w="878" w:type="dxa"/>
            <w:shd w:val="clear" w:color="auto" w:fill="auto"/>
            <w:vAlign w:val="bottom"/>
          </w:tcPr>
          <w:p w14:paraId="6CDF7764"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78.5%</w:t>
            </w:r>
          </w:p>
        </w:tc>
        <w:tc>
          <w:tcPr>
            <w:tcW w:w="879" w:type="dxa"/>
            <w:shd w:val="clear" w:color="auto" w:fill="auto"/>
            <w:vAlign w:val="bottom"/>
          </w:tcPr>
          <w:p w14:paraId="53F4343C"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78.0%</w:t>
            </w:r>
          </w:p>
        </w:tc>
        <w:tc>
          <w:tcPr>
            <w:tcW w:w="879" w:type="dxa"/>
            <w:shd w:val="clear" w:color="auto" w:fill="auto"/>
            <w:vAlign w:val="bottom"/>
          </w:tcPr>
          <w:p w14:paraId="5A84B3D8"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78.0%</w:t>
            </w:r>
          </w:p>
        </w:tc>
      </w:tr>
      <w:tr w:rsidR="005D009F" w:rsidRPr="00F063B7" w14:paraId="6CC3F2F6" w14:textId="77777777" w:rsidTr="00E45843">
        <w:trPr>
          <w:cantSplit/>
        </w:trPr>
        <w:tc>
          <w:tcPr>
            <w:tcW w:w="2977" w:type="dxa"/>
            <w:shd w:val="clear" w:color="auto" w:fill="auto"/>
          </w:tcPr>
          <w:p w14:paraId="4795323A" w14:textId="77777777" w:rsidR="005D009F" w:rsidRPr="00F063B7" w:rsidRDefault="005D009F" w:rsidP="00F063B7">
            <w:pPr>
              <w:pStyle w:val="SingleTxtG"/>
              <w:suppressAutoHyphens w:val="0"/>
              <w:spacing w:before="40" w:after="40" w:line="220" w:lineRule="exact"/>
              <w:ind w:left="0" w:right="113"/>
              <w:jc w:val="left"/>
              <w:rPr>
                <w:sz w:val="18"/>
              </w:rPr>
            </w:pPr>
            <w:r w:rsidRPr="00F063B7">
              <w:rPr>
                <w:sz w:val="18"/>
              </w:rPr>
              <w:t>Non-resident workers</w:t>
            </w:r>
          </w:p>
        </w:tc>
        <w:tc>
          <w:tcPr>
            <w:tcW w:w="878" w:type="dxa"/>
            <w:shd w:val="clear" w:color="auto" w:fill="auto"/>
            <w:vAlign w:val="bottom"/>
          </w:tcPr>
          <w:p w14:paraId="41B4A8B2"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19.5%</w:t>
            </w:r>
          </w:p>
        </w:tc>
        <w:tc>
          <w:tcPr>
            <w:tcW w:w="879" w:type="dxa"/>
            <w:shd w:val="clear" w:color="auto" w:fill="auto"/>
            <w:vAlign w:val="bottom"/>
          </w:tcPr>
          <w:p w14:paraId="4AB89565"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21.0%</w:t>
            </w:r>
          </w:p>
        </w:tc>
        <w:tc>
          <w:tcPr>
            <w:tcW w:w="878" w:type="dxa"/>
            <w:shd w:val="clear" w:color="auto" w:fill="auto"/>
            <w:vAlign w:val="bottom"/>
          </w:tcPr>
          <w:p w14:paraId="264830A4"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21.5%</w:t>
            </w:r>
          </w:p>
        </w:tc>
        <w:tc>
          <w:tcPr>
            <w:tcW w:w="879" w:type="dxa"/>
            <w:shd w:val="clear" w:color="auto" w:fill="auto"/>
            <w:vAlign w:val="bottom"/>
          </w:tcPr>
          <w:p w14:paraId="3A7EBB1A"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22.0%</w:t>
            </w:r>
          </w:p>
        </w:tc>
        <w:tc>
          <w:tcPr>
            <w:tcW w:w="879" w:type="dxa"/>
            <w:shd w:val="clear" w:color="auto" w:fill="auto"/>
            <w:vAlign w:val="bottom"/>
          </w:tcPr>
          <w:p w14:paraId="2ADC9EC7" w14:textId="77777777" w:rsidR="005D009F" w:rsidRPr="00F063B7" w:rsidRDefault="005D009F" w:rsidP="00F063B7">
            <w:pPr>
              <w:pStyle w:val="SingleTxtG"/>
              <w:suppressAutoHyphens w:val="0"/>
              <w:spacing w:before="40" w:after="40" w:line="220" w:lineRule="exact"/>
              <w:ind w:left="0" w:right="113"/>
              <w:jc w:val="right"/>
              <w:rPr>
                <w:sz w:val="18"/>
              </w:rPr>
            </w:pPr>
            <w:r w:rsidRPr="00F063B7">
              <w:rPr>
                <w:sz w:val="18"/>
              </w:rPr>
              <w:t>22.0%</w:t>
            </w:r>
          </w:p>
        </w:tc>
      </w:tr>
    </w:tbl>
    <w:p w14:paraId="344CA9D3" w14:textId="6BB8DB56" w:rsidR="005D009F" w:rsidRPr="00922B51" w:rsidRDefault="005D009F" w:rsidP="00922B51">
      <w:pPr>
        <w:spacing w:before="120" w:after="240"/>
        <w:ind w:left="1134" w:right="1134" w:firstLine="170"/>
        <w:rPr>
          <w:sz w:val="18"/>
        </w:rPr>
      </w:pPr>
      <w:r w:rsidRPr="00922B51">
        <w:rPr>
          <w:i/>
          <w:iCs/>
          <w:sz w:val="18"/>
        </w:rPr>
        <w:t>Source</w:t>
      </w:r>
      <w:r w:rsidRPr="00922B51">
        <w:rPr>
          <w:sz w:val="18"/>
        </w:rPr>
        <w:t xml:space="preserve">: </w:t>
      </w:r>
      <w:r w:rsidR="00E268D4">
        <w:rPr>
          <w:sz w:val="18"/>
        </w:rPr>
        <w:t xml:space="preserve"> </w:t>
      </w:r>
      <w:r w:rsidRPr="00922B51">
        <w:rPr>
          <w:sz w:val="18"/>
        </w:rPr>
        <w:t>Monetary Authority of Macao.</w:t>
      </w:r>
    </w:p>
    <w:p w14:paraId="7C1BD133" w14:textId="77777777" w:rsidR="005D009F" w:rsidRPr="00B47380" w:rsidRDefault="005D009F" w:rsidP="00D53B5F">
      <w:pPr>
        <w:pStyle w:val="SingleTxtG"/>
      </w:pPr>
      <w:r w:rsidRPr="00B47380">
        <w:t>107.</w:t>
      </w:r>
      <w:r w:rsidRPr="00B47380">
        <w:tab/>
        <w:t xml:space="preserve">Pursuant to Decree-law 6/99/M, the contributions of both employers and employees to the pension scheme and the pension funds are tax-free and the money settlement received by the beneficiaries is also non-taxable income (Law 2/78/M, as amended). </w:t>
      </w:r>
    </w:p>
    <w:p w14:paraId="523591A7" w14:textId="77777777" w:rsidR="005D009F" w:rsidRPr="00B47380" w:rsidRDefault="005D009F" w:rsidP="00D53B5F">
      <w:pPr>
        <w:pStyle w:val="SingleTxtG"/>
      </w:pPr>
      <w:r w:rsidRPr="00B47380">
        <w:t>108.</w:t>
      </w:r>
      <w:r w:rsidRPr="00B47380">
        <w:tab/>
        <w:t>The MSAR Government spent MOP$6,559,000,000 in social security in 2014, and MOP$8,139,000,000 in 2017, representing, respectively, 9.78% and 10.01% of the total public expenditure.</w:t>
      </w:r>
    </w:p>
    <w:p w14:paraId="6C21A4E2" w14:textId="63E59660" w:rsidR="005D009F" w:rsidRPr="00B47380" w:rsidRDefault="005D009F" w:rsidP="00922B51">
      <w:pPr>
        <w:pStyle w:val="H1G"/>
      </w:pPr>
      <w:bookmarkStart w:id="30" w:name="_Toc523225773"/>
      <w:bookmarkStart w:id="31" w:name="_Toc194226865"/>
      <w:bookmarkStart w:id="32" w:name="_Toc286998596"/>
      <w:r w:rsidRPr="00B47380">
        <w:tab/>
      </w:r>
      <w:r w:rsidRPr="00B47380">
        <w:tab/>
        <w:t>Article 10</w:t>
      </w:r>
      <w:bookmarkStart w:id="33" w:name="_Toc194226866"/>
      <w:bookmarkStart w:id="34" w:name="_Toc194229819"/>
      <w:bookmarkStart w:id="35" w:name="_Toc286998597"/>
      <w:bookmarkEnd w:id="30"/>
      <w:bookmarkEnd w:id="31"/>
      <w:bookmarkEnd w:id="32"/>
      <w:r w:rsidR="00022E81">
        <w:br/>
      </w:r>
      <w:r w:rsidRPr="00B47380">
        <w:t>Protection of the family</w:t>
      </w:r>
      <w:bookmarkEnd w:id="33"/>
      <w:bookmarkEnd w:id="34"/>
      <w:bookmarkEnd w:id="35"/>
    </w:p>
    <w:p w14:paraId="61BF5D8C" w14:textId="2C27D295" w:rsidR="005D009F" w:rsidRPr="00B47380" w:rsidRDefault="005D009F" w:rsidP="00922B51">
      <w:pPr>
        <w:pStyle w:val="H23G"/>
      </w:pPr>
      <w:bookmarkStart w:id="36" w:name="_Toc523225774"/>
      <w:bookmarkStart w:id="37" w:name="_Toc194229820"/>
      <w:bookmarkStart w:id="38" w:name="_Toc286998598"/>
      <w:r w:rsidRPr="00B47380">
        <w:tab/>
      </w:r>
      <w:r w:rsidRPr="00B47380">
        <w:tab/>
        <w:t>General description</w:t>
      </w:r>
      <w:bookmarkEnd w:id="36"/>
      <w:bookmarkEnd w:id="37"/>
      <w:bookmarkEnd w:id="38"/>
    </w:p>
    <w:p w14:paraId="0574AFFC" w14:textId="77777777" w:rsidR="005D009F" w:rsidRPr="00B47380" w:rsidRDefault="005D009F" w:rsidP="00D53B5F">
      <w:pPr>
        <w:pStyle w:val="SingleTxtG"/>
      </w:pPr>
      <w:r w:rsidRPr="00B47380">
        <w:t>109.</w:t>
      </w:r>
      <w:r w:rsidRPr="00B47380">
        <w:tab/>
        <w:t xml:space="preserve">As mentioned in previous reports, family is the fundamental unit of society, being protected by the constitutional law (Article 38(1) of the BL) and ordinary law (e.g. Civil Code and Law 6/94/M on the Legal Framework on Family Policy). Men and women enjoy the same legal status and are free to </w:t>
      </w:r>
      <w:proofErr w:type="gramStart"/>
      <w:r w:rsidRPr="00B47380">
        <w:t>enter into</w:t>
      </w:r>
      <w:proofErr w:type="gramEnd"/>
      <w:r w:rsidRPr="00B47380">
        <w:t xml:space="preserve"> marriage. The MSAR legal framework on protecting the rights of women, children, older persons and persons with disabilities has been improved as addressed in the relevant parts of this report.</w:t>
      </w:r>
    </w:p>
    <w:p w14:paraId="68900E24" w14:textId="70DFEF02" w:rsidR="005D009F" w:rsidRPr="00B47380" w:rsidRDefault="005D009F" w:rsidP="00D53B5F">
      <w:pPr>
        <w:pStyle w:val="SingleTxtG"/>
      </w:pPr>
      <w:r w:rsidRPr="00B47380">
        <w:t>110.</w:t>
      </w:r>
      <w:r w:rsidRPr="00B47380">
        <w:tab/>
        <w:t xml:space="preserve">The Government continues to be fully engaged in its responsibility </w:t>
      </w:r>
      <w:r w:rsidRPr="00C61F7E">
        <w:rPr>
          <w:i/>
          <w:iCs/>
        </w:rPr>
        <w:t>vis-à-vis</w:t>
      </w:r>
      <w:r w:rsidRPr="00B47380">
        <w:t xml:space="preserve"> families by creating necessary conditions and promoting their quality of life (Article 1(2) of Law 6/94/M) like action plans (e.g. the 2012</w:t>
      </w:r>
      <w:r w:rsidR="00E32CCC">
        <w:t>–</w:t>
      </w:r>
      <w:r w:rsidRPr="00B47380">
        <w:t>2020 Macao Youth Policy, the Rehabilitation Plan and the Ten-Year Action Plan for Older Persons Services 2016</w:t>
      </w:r>
      <w:r w:rsidR="00E32CCC">
        <w:t>–</w:t>
      </w:r>
      <w:r w:rsidRPr="00B47380">
        <w:t>2025 (Older Persons Plan)) and mechanisms/measures to ensure the protection and enjoyment of fundamental rights of its residents, particularly of vulnerable persons/groups.</w:t>
      </w:r>
    </w:p>
    <w:p w14:paraId="797B72BC" w14:textId="77777777" w:rsidR="005D009F" w:rsidRPr="00B47380" w:rsidRDefault="005D009F" w:rsidP="00D53B5F">
      <w:pPr>
        <w:pStyle w:val="SingleTxtG"/>
      </w:pPr>
      <w:r w:rsidRPr="00B47380">
        <w:t>111.</w:t>
      </w:r>
      <w:r w:rsidRPr="00B47380">
        <w:tab/>
        <w:t>Key HR Commissions play an important part in the above strategies, such as the CWCA, the Senior Citizens Affairs Committee (SCAC) and the Rehabilitation Commission. Local NGOs are equally involved, working closely with the Government, carrying out their work independently and autonomously while being subsidised.</w:t>
      </w:r>
    </w:p>
    <w:p w14:paraId="0FED9993" w14:textId="5FF5FE7B" w:rsidR="005D009F" w:rsidRPr="00B47380" w:rsidRDefault="005D009F" w:rsidP="00D53B5F">
      <w:pPr>
        <w:pStyle w:val="SingleTxtG"/>
      </w:pPr>
      <w:r w:rsidRPr="00B47380">
        <w:t>112.</w:t>
      </w:r>
      <w:r w:rsidRPr="00B47380">
        <w:tab/>
        <w:t>As stated in previous reports, the SWB</w:t>
      </w:r>
      <w:r w:rsidR="006266F0">
        <w:t>’</w:t>
      </w:r>
      <w:r w:rsidRPr="00B47380">
        <w:t xml:space="preserve">s priority intervention targets are poor families, single-parent families, older person families, families with older persons, families with chronically ill or disabled members (Order of the SSAC 18/2003, as amended by Order of the SSAC 158/2018). </w:t>
      </w:r>
    </w:p>
    <w:p w14:paraId="094F7C1A" w14:textId="0E9353B8" w:rsidR="00E32CCC" w:rsidRDefault="005D009F" w:rsidP="004D6325">
      <w:pPr>
        <w:pStyle w:val="SingleTxtG"/>
      </w:pPr>
      <w:r w:rsidRPr="00B47380">
        <w:t>113.</w:t>
      </w:r>
      <w:r w:rsidRPr="00B47380">
        <w:tab/>
        <w:t xml:space="preserve">Different types of services and assistance continue to be provided: </w:t>
      </w:r>
      <w:r w:rsidR="001C3B44">
        <w:t>(</w:t>
      </w:r>
      <w:proofErr w:type="spellStart"/>
      <w:r w:rsidRPr="00B47380">
        <w:t>i</w:t>
      </w:r>
      <w:proofErr w:type="spellEnd"/>
      <w:r w:rsidRPr="00B47380">
        <w:t xml:space="preserve">) financial aid; </w:t>
      </w:r>
      <w:r w:rsidR="001C3B44">
        <w:t>(</w:t>
      </w:r>
      <w:r w:rsidRPr="00B47380">
        <w:t xml:space="preserve">ii) legal advice; </w:t>
      </w:r>
      <w:r w:rsidR="001C3B44">
        <w:t>(</w:t>
      </w:r>
      <w:r w:rsidRPr="00B47380">
        <w:t xml:space="preserve">iii) referral service to other government departments; </w:t>
      </w:r>
      <w:r w:rsidR="001C3B44">
        <w:t>(</w:t>
      </w:r>
      <w:r w:rsidRPr="00B47380">
        <w:t xml:space="preserve">iv) boarding institutions for children, youth or persons with disabilities; </w:t>
      </w:r>
      <w:r w:rsidR="001C3B44">
        <w:t>(</w:t>
      </w:r>
      <w:r w:rsidRPr="00B47380">
        <w:t xml:space="preserve">v) day care centres for older persons, persons with disabilities and children; </w:t>
      </w:r>
      <w:r w:rsidR="001C3B44">
        <w:t>(</w:t>
      </w:r>
      <w:r w:rsidRPr="00B47380">
        <w:t xml:space="preserve">vi) counselling and assistance in seeking jobs; </w:t>
      </w:r>
      <w:r w:rsidR="001C3B44">
        <w:t>(</w:t>
      </w:r>
      <w:r w:rsidRPr="00B47380">
        <w:t xml:space="preserve">vii) individual and family counselling services; </w:t>
      </w:r>
      <w:r w:rsidR="001C3B44">
        <w:t>(</w:t>
      </w:r>
      <w:r w:rsidRPr="00B47380">
        <w:t xml:space="preserve">viii) hotline counselling services; </w:t>
      </w:r>
      <w:r w:rsidR="001C3B44">
        <w:t>(</w:t>
      </w:r>
      <w:r w:rsidRPr="00B47380">
        <w:t xml:space="preserve">ix) education, awareness campaigns and rehabilitation services for drug addicts or persons with gambling problems; </w:t>
      </w:r>
      <w:r w:rsidR="001C3B44">
        <w:t>(</w:t>
      </w:r>
      <w:r w:rsidRPr="00B47380">
        <w:t xml:space="preserve">x) meal service for older persons, persons and families in need; </w:t>
      </w:r>
      <w:r w:rsidR="001C3B44">
        <w:t>(</w:t>
      </w:r>
      <w:r w:rsidRPr="00B47380">
        <w:t xml:space="preserve">xi) temporary shelter for the homeless and catastrophe victims; </w:t>
      </w:r>
      <w:r w:rsidR="001C3B44">
        <w:t>(</w:t>
      </w:r>
      <w:r w:rsidRPr="00B47380">
        <w:t xml:space="preserve">xii) funeral service for the needy; </w:t>
      </w:r>
      <w:r w:rsidR="001C3B44">
        <w:t>(</w:t>
      </w:r>
      <w:r w:rsidRPr="00B47380">
        <w:t>xiii) rehabilitation bus and escort services for older persons or persons with disabilities.</w:t>
      </w:r>
    </w:p>
    <w:p w14:paraId="32432CE4" w14:textId="14D4EE72" w:rsidR="005D009F" w:rsidRPr="00B47380" w:rsidRDefault="005D009F" w:rsidP="00D53B5F">
      <w:pPr>
        <w:pStyle w:val="SingleTxtG"/>
      </w:pPr>
      <w:r w:rsidRPr="00B47380">
        <w:lastRenderedPageBreak/>
        <w:t>114.</w:t>
      </w:r>
      <w:r w:rsidRPr="00B47380">
        <w:tab/>
        <w:t>As mentioned in previous reports, measures continue to be implemented to support persons in need. AR 6/2007 and Order of the CE 264/2018 established the allowance regime for persons or families with financial difficulties. Allowances can be regular, temporary or exceptional and granted based on their concrete situation after the SWB</w:t>
      </w:r>
      <w:r w:rsidR="006266F0">
        <w:t>’</w:t>
      </w:r>
      <w:r w:rsidRPr="00B47380">
        <w:t xml:space="preserve">s assessment. </w:t>
      </w:r>
    </w:p>
    <w:p w14:paraId="3F103A1D" w14:textId="77777777" w:rsidR="00362B21" w:rsidRDefault="00362B21">
      <w:pPr>
        <w:suppressAutoHyphens w:val="0"/>
        <w:spacing w:after="200" w:line="276" w:lineRule="auto"/>
      </w:pPr>
    </w:p>
    <w:p w14:paraId="22D8F861" w14:textId="488C07B3" w:rsidR="00E45843" w:rsidRDefault="00E45843">
      <w:pPr>
        <w:suppressAutoHyphens w:val="0"/>
        <w:spacing w:after="200" w:line="276" w:lineRule="auto"/>
        <w:sectPr w:rsidR="00E45843"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2034AC81" w14:textId="5D0BDA92" w:rsidR="00362B21" w:rsidRPr="00B47380" w:rsidRDefault="00362B21" w:rsidP="00EA0331">
      <w:pPr>
        <w:pStyle w:val="H23G"/>
      </w:pPr>
      <w:r w:rsidRPr="00B47380">
        <w:lastRenderedPageBreak/>
        <w:t>Persons and Families with SWB</w:t>
      </w:r>
      <w:r w:rsidR="006266F0">
        <w:t>’</w:t>
      </w:r>
      <w:r w:rsidRPr="00B47380">
        <w:t>s financial assistance</w:t>
      </w:r>
    </w:p>
    <w:tbl>
      <w:tblPr>
        <w:tblW w:w="1417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65"/>
        <w:gridCol w:w="1171"/>
        <w:gridCol w:w="1171"/>
        <w:gridCol w:w="1171"/>
        <w:gridCol w:w="1171"/>
        <w:gridCol w:w="1171"/>
        <w:gridCol w:w="1171"/>
        <w:gridCol w:w="1171"/>
        <w:gridCol w:w="1171"/>
        <w:gridCol w:w="1171"/>
        <w:gridCol w:w="1171"/>
      </w:tblGrid>
      <w:tr w:rsidR="00EA0331" w:rsidRPr="00F063B7" w14:paraId="2C159E91" w14:textId="77777777" w:rsidTr="00E45843">
        <w:trPr>
          <w:cantSplit/>
          <w:tblHeader/>
        </w:trPr>
        <w:tc>
          <w:tcPr>
            <w:tcW w:w="869" w:type="pct"/>
            <w:vMerge w:val="restart"/>
            <w:tcBorders>
              <w:top w:val="single" w:sz="4" w:space="0" w:color="auto"/>
              <w:bottom w:val="single" w:sz="12" w:space="0" w:color="auto"/>
            </w:tcBorders>
            <w:shd w:val="clear" w:color="auto" w:fill="auto"/>
            <w:vAlign w:val="bottom"/>
          </w:tcPr>
          <w:p w14:paraId="1FCA8158" w14:textId="18AC1818" w:rsidR="00362B21" w:rsidRPr="00F063B7" w:rsidRDefault="00362B21" w:rsidP="00F063B7">
            <w:pPr>
              <w:suppressAutoHyphens w:val="0"/>
              <w:spacing w:before="80" w:after="80" w:line="200" w:lineRule="exact"/>
              <w:ind w:right="113"/>
              <w:rPr>
                <w:i/>
                <w:sz w:val="16"/>
              </w:rPr>
            </w:pPr>
            <w:r w:rsidRPr="00F063B7">
              <w:rPr>
                <w:i/>
                <w:sz w:val="16"/>
              </w:rPr>
              <w:t>No. of beneficiaries</w:t>
            </w:r>
            <w:r w:rsidR="0024161B">
              <w:rPr>
                <w:i/>
                <w:sz w:val="16"/>
              </w:rPr>
              <w:t>/</w:t>
            </w:r>
            <w:r w:rsidRPr="00F063B7">
              <w:rPr>
                <w:i/>
                <w:sz w:val="16"/>
              </w:rPr>
              <w:t>expenditure</w:t>
            </w:r>
          </w:p>
        </w:tc>
        <w:tc>
          <w:tcPr>
            <w:tcW w:w="826" w:type="pct"/>
            <w:gridSpan w:val="2"/>
            <w:tcBorders>
              <w:top w:val="single" w:sz="4" w:space="0" w:color="auto"/>
              <w:bottom w:val="single" w:sz="4" w:space="0" w:color="auto"/>
              <w:right w:val="single" w:sz="24" w:space="0" w:color="FFFFFF" w:themeColor="background1"/>
            </w:tcBorders>
            <w:shd w:val="clear" w:color="auto" w:fill="auto"/>
            <w:vAlign w:val="bottom"/>
          </w:tcPr>
          <w:p w14:paraId="36D0D474" w14:textId="77777777" w:rsidR="00362B21" w:rsidRPr="00F063B7" w:rsidRDefault="00362B21" w:rsidP="00EA0331">
            <w:pPr>
              <w:suppressAutoHyphens w:val="0"/>
              <w:spacing w:before="80" w:after="80" w:line="200" w:lineRule="exact"/>
              <w:ind w:right="113"/>
              <w:jc w:val="center"/>
              <w:rPr>
                <w:i/>
                <w:sz w:val="16"/>
              </w:rPr>
            </w:pPr>
            <w:r w:rsidRPr="00F063B7">
              <w:rPr>
                <w:i/>
                <w:sz w:val="16"/>
              </w:rPr>
              <w:t>2014</w:t>
            </w:r>
          </w:p>
        </w:tc>
        <w:tc>
          <w:tcPr>
            <w:tcW w:w="826"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473248F" w14:textId="77777777" w:rsidR="00362B21" w:rsidRPr="00F063B7" w:rsidRDefault="00362B21" w:rsidP="00EA0331">
            <w:pPr>
              <w:suppressAutoHyphens w:val="0"/>
              <w:spacing w:before="80" w:after="80" w:line="200" w:lineRule="exact"/>
              <w:ind w:right="113"/>
              <w:jc w:val="center"/>
              <w:rPr>
                <w:i/>
                <w:sz w:val="16"/>
              </w:rPr>
            </w:pPr>
            <w:r w:rsidRPr="00F063B7">
              <w:rPr>
                <w:i/>
                <w:sz w:val="16"/>
              </w:rPr>
              <w:t>2015</w:t>
            </w:r>
          </w:p>
        </w:tc>
        <w:tc>
          <w:tcPr>
            <w:tcW w:w="826"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04E4130" w14:textId="77777777" w:rsidR="00362B21" w:rsidRPr="00F063B7" w:rsidRDefault="00362B21" w:rsidP="00EA0331">
            <w:pPr>
              <w:suppressAutoHyphens w:val="0"/>
              <w:spacing w:before="80" w:after="80" w:line="200" w:lineRule="exact"/>
              <w:ind w:right="113"/>
              <w:jc w:val="center"/>
              <w:rPr>
                <w:i/>
                <w:sz w:val="16"/>
              </w:rPr>
            </w:pPr>
            <w:r w:rsidRPr="00F063B7">
              <w:rPr>
                <w:i/>
                <w:sz w:val="16"/>
              </w:rPr>
              <w:t>2016</w:t>
            </w:r>
          </w:p>
        </w:tc>
        <w:tc>
          <w:tcPr>
            <w:tcW w:w="826"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527B3F7" w14:textId="77777777" w:rsidR="00362B21" w:rsidRPr="00F063B7" w:rsidRDefault="00362B21" w:rsidP="00EA0331">
            <w:pPr>
              <w:suppressAutoHyphens w:val="0"/>
              <w:spacing w:before="80" w:after="80" w:line="200" w:lineRule="exact"/>
              <w:ind w:right="113"/>
              <w:jc w:val="center"/>
              <w:rPr>
                <w:i/>
                <w:sz w:val="16"/>
              </w:rPr>
            </w:pPr>
            <w:r w:rsidRPr="00F063B7">
              <w:rPr>
                <w:i/>
                <w:sz w:val="16"/>
              </w:rPr>
              <w:t>2017</w:t>
            </w:r>
          </w:p>
        </w:tc>
        <w:tc>
          <w:tcPr>
            <w:tcW w:w="826" w:type="pct"/>
            <w:gridSpan w:val="2"/>
            <w:tcBorders>
              <w:top w:val="single" w:sz="4" w:space="0" w:color="auto"/>
              <w:left w:val="single" w:sz="24" w:space="0" w:color="FFFFFF" w:themeColor="background1"/>
              <w:bottom w:val="single" w:sz="4" w:space="0" w:color="auto"/>
            </w:tcBorders>
            <w:shd w:val="clear" w:color="auto" w:fill="auto"/>
            <w:vAlign w:val="bottom"/>
          </w:tcPr>
          <w:p w14:paraId="3F2FE94A" w14:textId="77777777" w:rsidR="00362B21" w:rsidRPr="00F063B7" w:rsidRDefault="00362B21" w:rsidP="00EA0331">
            <w:pPr>
              <w:suppressAutoHyphens w:val="0"/>
              <w:spacing w:before="80" w:after="80" w:line="200" w:lineRule="exact"/>
              <w:ind w:right="113"/>
              <w:jc w:val="center"/>
              <w:rPr>
                <w:i/>
                <w:sz w:val="16"/>
              </w:rPr>
            </w:pPr>
            <w:r w:rsidRPr="00F063B7">
              <w:rPr>
                <w:i/>
                <w:sz w:val="16"/>
              </w:rPr>
              <w:t>2018</w:t>
            </w:r>
          </w:p>
        </w:tc>
      </w:tr>
      <w:tr w:rsidR="00362B21" w:rsidRPr="00F063B7" w14:paraId="1E75A574" w14:textId="77777777" w:rsidTr="00E45843">
        <w:trPr>
          <w:cantSplit/>
          <w:tblHeader/>
        </w:trPr>
        <w:tc>
          <w:tcPr>
            <w:tcW w:w="869" w:type="pct"/>
            <w:vMerge/>
            <w:tcBorders>
              <w:top w:val="single" w:sz="12" w:space="0" w:color="auto"/>
              <w:bottom w:val="single" w:sz="12" w:space="0" w:color="auto"/>
            </w:tcBorders>
            <w:shd w:val="clear" w:color="auto" w:fill="auto"/>
            <w:vAlign w:val="bottom"/>
            <w:hideMark/>
          </w:tcPr>
          <w:p w14:paraId="5470DC9E" w14:textId="77777777" w:rsidR="00362B21" w:rsidRPr="00F063B7" w:rsidRDefault="00362B21" w:rsidP="00F063B7">
            <w:pPr>
              <w:suppressAutoHyphens w:val="0"/>
              <w:spacing w:before="40" w:after="40" w:line="220" w:lineRule="exact"/>
              <w:ind w:right="113"/>
              <w:rPr>
                <w:sz w:val="18"/>
              </w:rPr>
            </w:pPr>
          </w:p>
        </w:tc>
        <w:tc>
          <w:tcPr>
            <w:tcW w:w="413" w:type="pct"/>
            <w:tcBorders>
              <w:top w:val="single" w:sz="4" w:space="0" w:color="auto"/>
              <w:bottom w:val="single" w:sz="12" w:space="0" w:color="auto"/>
            </w:tcBorders>
            <w:shd w:val="clear" w:color="auto" w:fill="auto"/>
            <w:vAlign w:val="bottom"/>
            <w:hideMark/>
          </w:tcPr>
          <w:p w14:paraId="08CC7F3B" w14:textId="77777777" w:rsidR="00362B21" w:rsidRPr="00EA0331" w:rsidRDefault="00362B21" w:rsidP="00F063B7">
            <w:pPr>
              <w:suppressAutoHyphens w:val="0"/>
              <w:spacing w:before="40" w:after="40" w:line="220" w:lineRule="exact"/>
              <w:ind w:right="113"/>
              <w:jc w:val="right"/>
              <w:rPr>
                <w:i/>
                <w:sz w:val="16"/>
              </w:rPr>
            </w:pPr>
            <w:r w:rsidRPr="00EA0331">
              <w:rPr>
                <w:i/>
                <w:sz w:val="16"/>
              </w:rPr>
              <w:t>Families</w:t>
            </w:r>
          </w:p>
        </w:tc>
        <w:tc>
          <w:tcPr>
            <w:tcW w:w="413" w:type="pct"/>
            <w:tcBorders>
              <w:top w:val="single" w:sz="4" w:space="0" w:color="auto"/>
              <w:bottom w:val="single" w:sz="12" w:space="0" w:color="auto"/>
              <w:right w:val="single" w:sz="24" w:space="0" w:color="FFFFFF" w:themeColor="background1"/>
            </w:tcBorders>
            <w:shd w:val="clear" w:color="auto" w:fill="auto"/>
            <w:vAlign w:val="bottom"/>
            <w:hideMark/>
          </w:tcPr>
          <w:p w14:paraId="2839A824" w14:textId="77777777" w:rsidR="00362B21" w:rsidRPr="00EA0331" w:rsidRDefault="00362B21" w:rsidP="00F063B7">
            <w:pPr>
              <w:suppressAutoHyphens w:val="0"/>
              <w:spacing w:before="40" w:after="40" w:line="220" w:lineRule="exact"/>
              <w:ind w:right="113"/>
              <w:jc w:val="right"/>
              <w:rPr>
                <w:i/>
                <w:sz w:val="16"/>
              </w:rPr>
            </w:pPr>
            <w:r w:rsidRPr="00EA0331">
              <w:rPr>
                <w:i/>
                <w:sz w:val="16"/>
              </w:rPr>
              <w:t>MOP$</w:t>
            </w:r>
          </w:p>
        </w:tc>
        <w:tc>
          <w:tcPr>
            <w:tcW w:w="413" w:type="pct"/>
            <w:tcBorders>
              <w:top w:val="single" w:sz="4" w:space="0" w:color="auto"/>
              <w:left w:val="single" w:sz="24" w:space="0" w:color="FFFFFF" w:themeColor="background1"/>
              <w:bottom w:val="single" w:sz="12" w:space="0" w:color="auto"/>
            </w:tcBorders>
            <w:shd w:val="clear" w:color="auto" w:fill="auto"/>
            <w:vAlign w:val="bottom"/>
            <w:hideMark/>
          </w:tcPr>
          <w:p w14:paraId="46F43F46" w14:textId="77777777" w:rsidR="00362B21" w:rsidRPr="00EA0331" w:rsidRDefault="00362B21" w:rsidP="00F063B7">
            <w:pPr>
              <w:suppressAutoHyphens w:val="0"/>
              <w:spacing w:before="40" w:after="40" w:line="220" w:lineRule="exact"/>
              <w:ind w:right="113"/>
              <w:jc w:val="right"/>
              <w:rPr>
                <w:i/>
                <w:sz w:val="16"/>
              </w:rPr>
            </w:pPr>
            <w:r w:rsidRPr="00EA0331">
              <w:rPr>
                <w:i/>
                <w:sz w:val="16"/>
              </w:rPr>
              <w:t>Families</w:t>
            </w:r>
          </w:p>
        </w:tc>
        <w:tc>
          <w:tcPr>
            <w:tcW w:w="413" w:type="pct"/>
            <w:tcBorders>
              <w:top w:val="single" w:sz="4" w:space="0" w:color="auto"/>
              <w:bottom w:val="single" w:sz="12" w:space="0" w:color="auto"/>
              <w:right w:val="single" w:sz="24" w:space="0" w:color="FFFFFF" w:themeColor="background1"/>
            </w:tcBorders>
            <w:shd w:val="clear" w:color="auto" w:fill="auto"/>
            <w:vAlign w:val="bottom"/>
            <w:hideMark/>
          </w:tcPr>
          <w:p w14:paraId="232C443C" w14:textId="77777777" w:rsidR="00362B21" w:rsidRPr="00EA0331" w:rsidRDefault="00362B21" w:rsidP="00F063B7">
            <w:pPr>
              <w:suppressAutoHyphens w:val="0"/>
              <w:spacing w:before="40" w:after="40" w:line="220" w:lineRule="exact"/>
              <w:ind w:right="113"/>
              <w:jc w:val="right"/>
              <w:rPr>
                <w:i/>
                <w:sz w:val="16"/>
              </w:rPr>
            </w:pPr>
            <w:r w:rsidRPr="00EA0331">
              <w:rPr>
                <w:i/>
                <w:sz w:val="16"/>
              </w:rPr>
              <w:t>MOP$</w:t>
            </w:r>
          </w:p>
        </w:tc>
        <w:tc>
          <w:tcPr>
            <w:tcW w:w="413" w:type="pct"/>
            <w:tcBorders>
              <w:top w:val="single" w:sz="4" w:space="0" w:color="auto"/>
              <w:left w:val="single" w:sz="24" w:space="0" w:color="FFFFFF" w:themeColor="background1"/>
              <w:bottom w:val="single" w:sz="12" w:space="0" w:color="auto"/>
            </w:tcBorders>
            <w:shd w:val="clear" w:color="auto" w:fill="auto"/>
            <w:vAlign w:val="bottom"/>
            <w:hideMark/>
          </w:tcPr>
          <w:p w14:paraId="74428989" w14:textId="77777777" w:rsidR="00362B21" w:rsidRPr="00EA0331" w:rsidRDefault="00362B21" w:rsidP="00F063B7">
            <w:pPr>
              <w:suppressAutoHyphens w:val="0"/>
              <w:spacing w:before="40" w:after="40" w:line="220" w:lineRule="exact"/>
              <w:ind w:right="113"/>
              <w:jc w:val="right"/>
              <w:rPr>
                <w:i/>
                <w:sz w:val="16"/>
              </w:rPr>
            </w:pPr>
            <w:r w:rsidRPr="00EA0331">
              <w:rPr>
                <w:i/>
                <w:sz w:val="16"/>
              </w:rPr>
              <w:t>Families</w:t>
            </w:r>
          </w:p>
        </w:tc>
        <w:tc>
          <w:tcPr>
            <w:tcW w:w="413" w:type="pct"/>
            <w:tcBorders>
              <w:top w:val="single" w:sz="4" w:space="0" w:color="auto"/>
              <w:bottom w:val="single" w:sz="12" w:space="0" w:color="auto"/>
              <w:right w:val="single" w:sz="24" w:space="0" w:color="FFFFFF" w:themeColor="background1"/>
            </w:tcBorders>
            <w:shd w:val="clear" w:color="auto" w:fill="auto"/>
            <w:vAlign w:val="bottom"/>
            <w:hideMark/>
          </w:tcPr>
          <w:p w14:paraId="37A34182" w14:textId="77777777" w:rsidR="00362B21" w:rsidRPr="00EA0331" w:rsidRDefault="00362B21" w:rsidP="00F063B7">
            <w:pPr>
              <w:suppressAutoHyphens w:val="0"/>
              <w:spacing w:before="40" w:after="40" w:line="220" w:lineRule="exact"/>
              <w:ind w:right="113"/>
              <w:jc w:val="right"/>
              <w:rPr>
                <w:i/>
                <w:sz w:val="16"/>
              </w:rPr>
            </w:pPr>
            <w:r w:rsidRPr="00EA0331">
              <w:rPr>
                <w:i/>
                <w:sz w:val="16"/>
              </w:rPr>
              <w:t>MOP$</w:t>
            </w:r>
          </w:p>
        </w:tc>
        <w:tc>
          <w:tcPr>
            <w:tcW w:w="413" w:type="pct"/>
            <w:tcBorders>
              <w:top w:val="single" w:sz="4" w:space="0" w:color="auto"/>
              <w:left w:val="single" w:sz="24" w:space="0" w:color="FFFFFF" w:themeColor="background1"/>
              <w:bottom w:val="single" w:sz="12" w:space="0" w:color="auto"/>
            </w:tcBorders>
            <w:shd w:val="clear" w:color="auto" w:fill="auto"/>
            <w:vAlign w:val="bottom"/>
            <w:hideMark/>
          </w:tcPr>
          <w:p w14:paraId="0D14F212" w14:textId="77777777" w:rsidR="00362B21" w:rsidRPr="00EA0331" w:rsidRDefault="00362B21" w:rsidP="00F063B7">
            <w:pPr>
              <w:suppressAutoHyphens w:val="0"/>
              <w:spacing w:before="40" w:after="40" w:line="220" w:lineRule="exact"/>
              <w:ind w:right="113"/>
              <w:jc w:val="right"/>
              <w:rPr>
                <w:i/>
                <w:sz w:val="16"/>
              </w:rPr>
            </w:pPr>
            <w:r w:rsidRPr="00EA0331">
              <w:rPr>
                <w:i/>
                <w:sz w:val="16"/>
              </w:rPr>
              <w:t>Families</w:t>
            </w:r>
          </w:p>
        </w:tc>
        <w:tc>
          <w:tcPr>
            <w:tcW w:w="413" w:type="pct"/>
            <w:tcBorders>
              <w:top w:val="single" w:sz="4" w:space="0" w:color="auto"/>
              <w:bottom w:val="single" w:sz="12" w:space="0" w:color="auto"/>
              <w:right w:val="single" w:sz="24" w:space="0" w:color="FFFFFF" w:themeColor="background1"/>
            </w:tcBorders>
            <w:shd w:val="clear" w:color="auto" w:fill="auto"/>
            <w:vAlign w:val="bottom"/>
            <w:hideMark/>
          </w:tcPr>
          <w:p w14:paraId="779747D8" w14:textId="77777777" w:rsidR="00362B21" w:rsidRPr="00EA0331" w:rsidRDefault="00362B21" w:rsidP="00F063B7">
            <w:pPr>
              <w:suppressAutoHyphens w:val="0"/>
              <w:spacing w:before="40" w:after="40" w:line="220" w:lineRule="exact"/>
              <w:ind w:right="113"/>
              <w:jc w:val="right"/>
              <w:rPr>
                <w:i/>
                <w:sz w:val="16"/>
              </w:rPr>
            </w:pPr>
            <w:r w:rsidRPr="00EA0331">
              <w:rPr>
                <w:i/>
                <w:sz w:val="16"/>
              </w:rPr>
              <w:t>MOP$</w:t>
            </w:r>
          </w:p>
        </w:tc>
        <w:tc>
          <w:tcPr>
            <w:tcW w:w="413" w:type="pct"/>
            <w:tcBorders>
              <w:top w:val="single" w:sz="4" w:space="0" w:color="auto"/>
              <w:left w:val="single" w:sz="24" w:space="0" w:color="FFFFFF" w:themeColor="background1"/>
              <w:bottom w:val="single" w:sz="12" w:space="0" w:color="auto"/>
            </w:tcBorders>
            <w:shd w:val="clear" w:color="auto" w:fill="auto"/>
            <w:vAlign w:val="bottom"/>
            <w:hideMark/>
          </w:tcPr>
          <w:p w14:paraId="01AC293A" w14:textId="77777777" w:rsidR="00362B21" w:rsidRPr="00EA0331" w:rsidRDefault="00362B21" w:rsidP="00F063B7">
            <w:pPr>
              <w:suppressAutoHyphens w:val="0"/>
              <w:spacing w:before="40" w:after="40" w:line="220" w:lineRule="exact"/>
              <w:ind w:right="113"/>
              <w:jc w:val="right"/>
              <w:rPr>
                <w:i/>
                <w:sz w:val="16"/>
              </w:rPr>
            </w:pPr>
            <w:r w:rsidRPr="00EA0331">
              <w:rPr>
                <w:i/>
                <w:sz w:val="16"/>
              </w:rPr>
              <w:t>Families</w:t>
            </w:r>
          </w:p>
        </w:tc>
        <w:tc>
          <w:tcPr>
            <w:tcW w:w="413" w:type="pct"/>
            <w:tcBorders>
              <w:top w:val="single" w:sz="4" w:space="0" w:color="auto"/>
              <w:bottom w:val="single" w:sz="12" w:space="0" w:color="auto"/>
            </w:tcBorders>
            <w:shd w:val="clear" w:color="auto" w:fill="auto"/>
            <w:vAlign w:val="bottom"/>
            <w:hideMark/>
          </w:tcPr>
          <w:p w14:paraId="44B63E02" w14:textId="77777777" w:rsidR="00362B21" w:rsidRPr="00EA0331" w:rsidRDefault="00362B21" w:rsidP="00F063B7">
            <w:pPr>
              <w:suppressAutoHyphens w:val="0"/>
              <w:spacing w:before="40" w:after="40" w:line="220" w:lineRule="exact"/>
              <w:ind w:right="113"/>
              <w:jc w:val="right"/>
              <w:rPr>
                <w:i/>
                <w:sz w:val="16"/>
              </w:rPr>
            </w:pPr>
            <w:r w:rsidRPr="00EA0331">
              <w:rPr>
                <w:i/>
                <w:sz w:val="16"/>
              </w:rPr>
              <w:t>MOP$</w:t>
            </w:r>
          </w:p>
        </w:tc>
      </w:tr>
      <w:tr w:rsidR="00362B21" w:rsidRPr="00F063B7" w14:paraId="5D488A50" w14:textId="77777777" w:rsidTr="00E45843">
        <w:trPr>
          <w:cantSplit/>
        </w:trPr>
        <w:tc>
          <w:tcPr>
            <w:tcW w:w="869" w:type="pct"/>
            <w:tcBorders>
              <w:top w:val="single" w:sz="12" w:space="0" w:color="auto"/>
            </w:tcBorders>
            <w:shd w:val="clear" w:color="auto" w:fill="auto"/>
            <w:hideMark/>
          </w:tcPr>
          <w:p w14:paraId="22590BA4" w14:textId="77777777" w:rsidR="00362B21" w:rsidRPr="00F063B7" w:rsidRDefault="00362B21" w:rsidP="00F063B7">
            <w:pPr>
              <w:suppressAutoHyphens w:val="0"/>
              <w:spacing w:before="40" w:after="40" w:line="220" w:lineRule="exact"/>
              <w:ind w:right="113"/>
              <w:rPr>
                <w:sz w:val="18"/>
              </w:rPr>
            </w:pPr>
            <w:r w:rsidRPr="00F063B7">
              <w:rPr>
                <w:sz w:val="18"/>
              </w:rPr>
              <w:t>Financial assistance*</w:t>
            </w:r>
          </w:p>
        </w:tc>
        <w:tc>
          <w:tcPr>
            <w:tcW w:w="413" w:type="pct"/>
            <w:tcBorders>
              <w:top w:val="single" w:sz="12" w:space="0" w:color="auto"/>
            </w:tcBorders>
            <w:shd w:val="clear" w:color="auto" w:fill="auto"/>
            <w:vAlign w:val="bottom"/>
            <w:hideMark/>
          </w:tcPr>
          <w:p w14:paraId="4D204468" w14:textId="2B89A115" w:rsidR="00362B21" w:rsidRPr="00F063B7" w:rsidRDefault="00362B21" w:rsidP="00F063B7">
            <w:pPr>
              <w:suppressAutoHyphens w:val="0"/>
              <w:spacing w:before="40" w:after="40" w:line="220" w:lineRule="exact"/>
              <w:ind w:right="113"/>
              <w:jc w:val="right"/>
              <w:rPr>
                <w:sz w:val="18"/>
              </w:rPr>
            </w:pPr>
            <w:r w:rsidRPr="00F063B7">
              <w:rPr>
                <w:sz w:val="18"/>
              </w:rPr>
              <w:t>5</w:t>
            </w:r>
            <w:r w:rsidR="00EA0331">
              <w:rPr>
                <w:sz w:val="18"/>
              </w:rPr>
              <w:t xml:space="preserve"> </w:t>
            </w:r>
            <w:r w:rsidRPr="00F063B7">
              <w:rPr>
                <w:sz w:val="18"/>
              </w:rPr>
              <w:t>413</w:t>
            </w:r>
          </w:p>
        </w:tc>
        <w:tc>
          <w:tcPr>
            <w:tcW w:w="413" w:type="pct"/>
            <w:tcBorders>
              <w:top w:val="single" w:sz="12" w:space="0" w:color="auto"/>
            </w:tcBorders>
            <w:shd w:val="clear" w:color="auto" w:fill="auto"/>
            <w:vAlign w:val="bottom"/>
            <w:hideMark/>
          </w:tcPr>
          <w:p w14:paraId="69ED1B9A" w14:textId="76D98155" w:rsidR="00362B21" w:rsidRPr="00F063B7" w:rsidRDefault="00362B21" w:rsidP="00F063B7">
            <w:pPr>
              <w:suppressAutoHyphens w:val="0"/>
              <w:spacing w:before="40" w:after="40" w:line="220" w:lineRule="exact"/>
              <w:ind w:right="113"/>
              <w:jc w:val="right"/>
              <w:rPr>
                <w:sz w:val="18"/>
              </w:rPr>
            </w:pPr>
            <w:r w:rsidRPr="00F063B7">
              <w:rPr>
                <w:sz w:val="18"/>
              </w:rPr>
              <w:t>$271</w:t>
            </w:r>
            <w:r w:rsidR="00EA0331">
              <w:rPr>
                <w:sz w:val="18"/>
              </w:rPr>
              <w:t xml:space="preserve"> </w:t>
            </w:r>
            <w:r w:rsidRPr="00F063B7">
              <w:rPr>
                <w:sz w:val="18"/>
              </w:rPr>
              <w:t>032</w:t>
            </w:r>
            <w:r w:rsidR="00EA0331">
              <w:rPr>
                <w:sz w:val="18"/>
              </w:rPr>
              <w:t xml:space="preserve"> </w:t>
            </w:r>
            <w:r w:rsidRPr="00F063B7">
              <w:rPr>
                <w:sz w:val="18"/>
              </w:rPr>
              <w:t>999</w:t>
            </w:r>
          </w:p>
        </w:tc>
        <w:tc>
          <w:tcPr>
            <w:tcW w:w="413" w:type="pct"/>
            <w:tcBorders>
              <w:top w:val="single" w:sz="12" w:space="0" w:color="auto"/>
            </w:tcBorders>
            <w:shd w:val="clear" w:color="auto" w:fill="auto"/>
            <w:vAlign w:val="bottom"/>
            <w:hideMark/>
          </w:tcPr>
          <w:p w14:paraId="4848CA45" w14:textId="68081A22" w:rsidR="00362B21" w:rsidRPr="00F063B7" w:rsidRDefault="00362B21" w:rsidP="00F063B7">
            <w:pPr>
              <w:suppressAutoHyphens w:val="0"/>
              <w:spacing w:before="40" w:after="40" w:line="220" w:lineRule="exact"/>
              <w:ind w:right="113"/>
              <w:jc w:val="right"/>
              <w:rPr>
                <w:sz w:val="18"/>
              </w:rPr>
            </w:pPr>
            <w:r w:rsidRPr="00F063B7">
              <w:rPr>
                <w:sz w:val="18"/>
              </w:rPr>
              <w:t>4</w:t>
            </w:r>
            <w:r w:rsidR="00EA0331">
              <w:rPr>
                <w:sz w:val="18"/>
              </w:rPr>
              <w:t xml:space="preserve"> </w:t>
            </w:r>
            <w:r w:rsidRPr="00F063B7">
              <w:rPr>
                <w:sz w:val="18"/>
              </w:rPr>
              <w:t>637</w:t>
            </w:r>
          </w:p>
        </w:tc>
        <w:tc>
          <w:tcPr>
            <w:tcW w:w="413" w:type="pct"/>
            <w:tcBorders>
              <w:top w:val="single" w:sz="12" w:space="0" w:color="auto"/>
            </w:tcBorders>
            <w:shd w:val="clear" w:color="auto" w:fill="auto"/>
            <w:vAlign w:val="bottom"/>
            <w:hideMark/>
          </w:tcPr>
          <w:p w14:paraId="2B84A56A" w14:textId="1F18FE41" w:rsidR="00362B21" w:rsidRPr="00F063B7" w:rsidRDefault="00362B21" w:rsidP="00F063B7">
            <w:pPr>
              <w:suppressAutoHyphens w:val="0"/>
              <w:spacing w:before="40" w:after="40" w:line="220" w:lineRule="exact"/>
              <w:ind w:right="113"/>
              <w:jc w:val="right"/>
              <w:rPr>
                <w:sz w:val="18"/>
              </w:rPr>
            </w:pPr>
            <w:r w:rsidRPr="00F063B7">
              <w:rPr>
                <w:sz w:val="18"/>
              </w:rPr>
              <w:t>$248</w:t>
            </w:r>
            <w:r w:rsidR="00EA0331">
              <w:rPr>
                <w:sz w:val="18"/>
              </w:rPr>
              <w:t xml:space="preserve"> </w:t>
            </w:r>
            <w:r w:rsidRPr="00F063B7">
              <w:rPr>
                <w:sz w:val="18"/>
              </w:rPr>
              <w:t>972</w:t>
            </w:r>
            <w:r w:rsidR="00EA0331">
              <w:rPr>
                <w:sz w:val="18"/>
              </w:rPr>
              <w:t xml:space="preserve"> </w:t>
            </w:r>
            <w:r w:rsidRPr="00F063B7">
              <w:rPr>
                <w:sz w:val="18"/>
              </w:rPr>
              <w:t>892</w:t>
            </w:r>
          </w:p>
        </w:tc>
        <w:tc>
          <w:tcPr>
            <w:tcW w:w="413" w:type="pct"/>
            <w:tcBorders>
              <w:top w:val="single" w:sz="12" w:space="0" w:color="auto"/>
            </w:tcBorders>
            <w:shd w:val="clear" w:color="auto" w:fill="auto"/>
            <w:vAlign w:val="bottom"/>
            <w:hideMark/>
          </w:tcPr>
          <w:p w14:paraId="1ACAA003" w14:textId="2BCBA95C" w:rsidR="00362B21" w:rsidRPr="00F063B7" w:rsidRDefault="00362B21" w:rsidP="00F063B7">
            <w:pPr>
              <w:suppressAutoHyphens w:val="0"/>
              <w:spacing w:before="40" w:after="40" w:line="220" w:lineRule="exact"/>
              <w:ind w:right="113"/>
              <w:jc w:val="right"/>
              <w:rPr>
                <w:sz w:val="18"/>
              </w:rPr>
            </w:pPr>
            <w:r w:rsidRPr="00F063B7">
              <w:rPr>
                <w:sz w:val="18"/>
              </w:rPr>
              <w:t>4</w:t>
            </w:r>
            <w:r w:rsidR="00EA0331">
              <w:rPr>
                <w:sz w:val="18"/>
              </w:rPr>
              <w:t xml:space="preserve"> </w:t>
            </w:r>
            <w:r w:rsidRPr="00F063B7">
              <w:rPr>
                <w:sz w:val="18"/>
              </w:rPr>
              <w:t>456</w:t>
            </w:r>
          </w:p>
        </w:tc>
        <w:tc>
          <w:tcPr>
            <w:tcW w:w="413" w:type="pct"/>
            <w:tcBorders>
              <w:top w:val="single" w:sz="12" w:space="0" w:color="auto"/>
            </w:tcBorders>
            <w:shd w:val="clear" w:color="auto" w:fill="auto"/>
            <w:vAlign w:val="bottom"/>
            <w:hideMark/>
          </w:tcPr>
          <w:p w14:paraId="6A695806" w14:textId="4C68CF78" w:rsidR="00362B21" w:rsidRPr="00F063B7" w:rsidRDefault="00362B21" w:rsidP="00F063B7">
            <w:pPr>
              <w:suppressAutoHyphens w:val="0"/>
              <w:spacing w:before="40" w:after="40" w:line="220" w:lineRule="exact"/>
              <w:ind w:right="113"/>
              <w:jc w:val="right"/>
              <w:rPr>
                <w:sz w:val="18"/>
              </w:rPr>
            </w:pPr>
            <w:r w:rsidRPr="00F063B7">
              <w:rPr>
                <w:sz w:val="18"/>
              </w:rPr>
              <w:t>$251</w:t>
            </w:r>
            <w:r w:rsidR="00EA0331">
              <w:rPr>
                <w:sz w:val="18"/>
              </w:rPr>
              <w:t xml:space="preserve"> </w:t>
            </w:r>
            <w:r w:rsidRPr="00F063B7">
              <w:rPr>
                <w:sz w:val="18"/>
              </w:rPr>
              <w:t>815</w:t>
            </w:r>
            <w:r w:rsidR="00EA0331">
              <w:rPr>
                <w:sz w:val="18"/>
              </w:rPr>
              <w:t xml:space="preserve"> </w:t>
            </w:r>
            <w:r w:rsidRPr="00F063B7">
              <w:rPr>
                <w:sz w:val="18"/>
              </w:rPr>
              <w:t>030</w:t>
            </w:r>
          </w:p>
        </w:tc>
        <w:tc>
          <w:tcPr>
            <w:tcW w:w="413" w:type="pct"/>
            <w:tcBorders>
              <w:top w:val="single" w:sz="12" w:space="0" w:color="auto"/>
            </w:tcBorders>
            <w:shd w:val="clear" w:color="auto" w:fill="auto"/>
            <w:vAlign w:val="bottom"/>
            <w:hideMark/>
          </w:tcPr>
          <w:p w14:paraId="6662BC36" w14:textId="5B9E9E61" w:rsidR="00362B21" w:rsidRPr="00F063B7" w:rsidRDefault="00362B21" w:rsidP="00F063B7">
            <w:pPr>
              <w:suppressAutoHyphens w:val="0"/>
              <w:spacing w:before="40" w:after="40" w:line="220" w:lineRule="exact"/>
              <w:ind w:right="113"/>
              <w:jc w:val="right"/>
              <w:rPr>
                <w:sz w:val="18"/>
              </w:rPr>
            </w:pPr>
            <w:r w:rsidRPr="00F063B7">
              <w:rPr>
                <w:sz w:val="18"/>
              </w:rPr>
              <w:t>4</w:t>
            </w:r>
            <w:r w:rsidR="00EA0331">
              <w:rPr>
                <w:sz w:val="18"/>
              </w:rPr>
              <w:t xml:space="preserve"> </w:t>
            </w:r>
            <w:r w:rsidRPr="00F063B7">
              <w:rPr>
                <w:sz w:val="18"/>
              </w:rPr>
              <w:t>118</w:t>
            </w:r>
          </w:p>
        </w:tc>
        <w:tc>
          <w:tcPr>
            <w:tcW w:w="413" w:type="pct"/>
            <w:tcBorders>
              <w:top w:val="single" w:sz="12" w:space="0" w:color="auto"/>
            </w:tcBorders>
            <w:shd w:val="clear" w:color="auto" w:fill="auto"/>
            <w:vAlign w:val="bottom"/>
            <w:hideMark/>
          </w:tcPr>
          <w:p w14:paraId="74DB623E" w14:textId="4E4F315C" w:rsidR="00362B21" w:rsidRPr="00F063B7" w:rsidRDefault="00362B21" w:rsidP="00F063B7">
            <w:pPr>
              <w:suppressAutoHyphens w:val="0"/>
              <w:spacing w:before="40" w:after="40" w:line="220" w:lineRule="exact"/>
              <w:ind w:right="113"/>
              <w:jc w:val="right"/>
              <w:rPr>
                <w:sz w:val="18"/>
              </w:rPr>
            </w:pPr>
            <w:r w:rsidRPr="00F063B7">
              <w:rPr>
                <w:sz w:val="18"/>
              </w:rPr>
              <w:t>$223</w:t>
            </w:r>
            <w:r w:rsidR="00EA0331">
              <w:rPr>
                <w:sz w:val="18"/>
              </w:rPr>
              <w:t xml:space="preserve"> </w:t>
            </w:r>
            <w:r w:rsidRPr="00F063B7">
              <w:rPr>
                <w:sz w:val="18"/>
              </w:rPr>
              <w:t>908</w:t>
            </w:r>
            <w:r w:rsidR="00EA0331">
              <w:rPr>
                <w:sz w:val="18"/>
              </w:rPr>
              <w:t xml:space="preserve"> </w:t>
            </w:r>
            <w:r w:rsidRPr="00F063B7">
              <w:rPr>
                <w:sz w:val="18"/>
              </w:rPr>
              <w:t>521</w:t>
            </w:r>
          </w:p>
        </w:tc>
        <w:tc>
          <w:tcPr>
            <w:tcW w:w="413" w:type="pct"/>
            <w:tcBorders>
              <w:top w:val="single" w:sz="12" w:space="0" w:color="auto"/>
            </w:tcBorders>
            <w:shd w:val="clear" w:color="auto" w:fill="auto"/>
            <w:vAlign w:val="bottom"/>
            <w:hideMark/>
          </w:tcPr>
          <w:p w14:paraId="1F54E3AE" w14:textId="6BB21C1A" w:rsidR="00362B21" w:rsidRPr="00F063B7" w:rsidRDefault="00362B21" w:rsidP="00F063B7">
            <w:pPr>
              <w:suppressAutoHyphens w:val="0"/>
              <w:spacing w:before="40" w:after="40" w:line="220" w:lineRule="exact"/>
              <w:ind w:right="113"/>
              <w:jc w:val="right"/>
              <w:rPr>
                <w:sz w:val="18"/>
              </w:rPr>
            </w:pPr>
            <w:r w:rsidRPr="00F063B7">
              <w:rPr>
                <w:sz w:val="18"/>
              </w:rPr>
              <w:t>3</w:t>
            </w:r>
            <w:r w:rsidR="00EA0331">
              <w:rPr>
                <w:sz w:val="18"/>
              </w:rPr>
              <w:t xml:space="preserve"> </w:t>
            </w:r>
            <w:r w:rsidRPr="00F063B7">
              <w:rPr>
                <w:sz w:val="18"/>
              </w:rPr>
              <w:t>737</w:t>
            </w:r>
          </w:p>
        </w:tc>
        <w:tc>
          <w:tcPr>
            <w:tcW w:w="413" w:type="pct"/>
            <w:tcBorders>
              <w:top w:val="single" w:sz="12" w:space="0" w:color="auto"/>
            </w:tcBorders>
            <w:shd w:val="clear" w:color="auto" w:fill="auto"/>
            <w:vAlign w:val="bottom"/>
            <w:hideMark/>
          </w:tcPr>
          <w:p w14:paraId="16AF4721" w14:textId="3B223C86" w:rsidR="00362B21" w:rsidRPr="00F063B7" w:rsidRDefault="00362B21" w:rsidP="00F063B7">
            <w:pPr>
              <w:suppressAutoHyphens w:val="0"/>
              <w:spacing w:before="40" w:after="40" w:line="220" w:lineRule="exact"/>
              <w:ind w:right="113"/>
              <w:jc w:val="right"/>
              <w:rPr>
                <w:sz w:val="18"/>
              </w:rPr>
            </w:pPr>
            <w:r w:rsidRPr="00F063B7">
              <w:rPr>
                <w:sz w:val="18"/>
              </w:rPr>
              <w:t>$159</w:t>
            </w:r>
            <w:r w:rsidR="00EA0331">
              <w:rPr>
                <w:sz w:val="18"/>
              </w:rPr>
              <w:t xml:space="preserve"> </w:t>
            </w:r>
            <w:r w:rsidRPr="00F063B7">
              <w:rPr>
                <w:sz w:val="18"/>
              </w:rPr>
              <w:t>434</w:t>
            </w:r>
            <w:r w:rsidR="00EA0331">
              <w:rPr>
                <w:sz w:val="18"/>
              </w:rPr>
              <w:t xml:space="preserve"> </w:t>
            </w:r>
            <w:r w:rsidRPr="00F063B7">
              <w:rPr>
                <w:sz w:val="18"/>
              </w:rPr>
              <w:t>128</w:t>
            </w:r>
          </w:p>
        </w:tc>
      </w:tr>
      <w:tr w:rsidR="00362B21" w:rsidRPr="00F063B7" w14:paraId="3C593358" w14:textId="77777777" w:rsidTr="00E45843">
        <w:trPr>
          <w:cantSplit/>
        </w:trPr>
        <w:tc>
          <w:tcPr>
            <w:tcW w:w="869" w:type="pct"/>
            <w:shd w:val="clear" w:color="auto" w:fill="auto"/>
            <w:hideMark/>
          </w:tcPr>
          <w:p w14:paraId="42EF0A49" w14:textId="77777777" w:rsidR="00362B21" w:rsidRPr="00F063B7" w:rsidRDefault="00362B21" w:rsidP="00F063B7">
            <w:pPr>
              <w:suppressAutoHyphens w:val="0"/>
              <w:spacing w:before="40" w:after="40" w:line="220" w:lineRule="exact"/>
              <w:ind w:right="113"/>
              <w:rPr>
                <w:sz w:val="18"/>
              </w:rPr>
            </w:pPr>
            <w:r w:rsidRPr="00F063B7">
              <w:rPr>
                <w:sz w:val="18"/>
              </w:rPr>
              <w:t>Study aid to children in single-parent family*</w:t>
            </w:r>
          </w:p>
        </w:tc>
        <w:tc>
          <w:tcPr>
            <w:tcW w:w="413" w:type="pct"/>
            <w:shd w:val="clear" w:color="auto" w:fill="auto"/>
            <w:vAlign w:val="bottom"/>
            <w:hideMark/>
          </w:tcPr>
          <w:p w14:paraId="676A6996" w14:textId="77777777" w:rsidR="00362B21" w:rsidRPr="00F063B7" w:rsidRDefault="00362B21" w:rsidP="00F063B7">
            <w:pPr>
              <w:suppressAutoHyphens w:val="0"/>
              <w:spacing w:before="40" w:after="40" w:line="220" w:lineRule="exact"/>
              <w:ind w:right="113"/>
              <w:jc w:val="right"/>
              <w:rPr>
                <w:sz w:val="18"/>
              </w:rPr>
            </w:pPr>
            <w:r w:rsidRPr="00F063B7">
              <w:rPr>
                <w:sz w:val="18"/>
              </w:rPr>
              <w:t>745</w:t>
            </w:r>
          </w:p>
        </w:tc>
        <w:tc>
          <w:tcPr>
            <w:tcW w:w="413" w:type="pct"/>
            <w:shd w:val="clear" w:color="auto" w:fill="auto"/>
            <w:vAlign w:val="bottom"/>
            <w:hideMark/>
          </w:tcPr>
          <w:p w14:paraId="78617BE0" w14:textId="3C167C12" w:rsidR="00362B21" w:rsidRPr="00F063B7" w:rsidRDefault="00362B21" w:rsidP="00F063B7">
            <w:pPr>
              <w:suppressAutoHyphens w:val="0"/>
              <w:spacing w:before="40" w:after="40" w:line="220" w:lineRule="exact"/>
              <w:ind w:right="113"/>
              <w:jc w:val="right"/>
              <w:rPr>
                <w:sz w:val="18"/>
              </w:rPr>
            </w:pPr>
            <w:r w:rsidRPr="00F063B7">
              <w:rPr>
                <w:sz w:val="18"/>
              </w:rPr>
              <w:t>$4</w:t>
            </w:r>
            <w:r w:rsidR="00EA0331">
              <w:rPr>
                <w:sz w:val="18"/>
              </w:rPr>
              <w:t xml:space="preserve"> </w:t>
            </w:r>
            <w:r w:rsidRPr="00F063B7">
              <w:rPr>
                <w:sz w:val="18"/>
              </w:rPr>
              <w:t>025</w:t>
            </w:r>
            <w:r w:rsidR="00EA0331">
              <w:rPr>
                <w:sz w:val="18"/>
              </w:rPr>
              <w:t xml:space="preserve"> </w:t>
            </w:r>
            <w:r w:rsidRPr="00F063B7">
              <w:rPr>
                <w:sz w:val="18"/>
              </w:rPr>
              <w:t>550</w:t>
            </w:r>
          </w:p>
        </w:tc>
        <w:tc>
          <w:tcPr>
            <w:tcW w:w="413" w:type="pct"/>
            <w:shd w:val="clear" w:color="auto" w:fill="auto"/>
            <w:vAlign w:val="bottom"/>
            <w:hideMark/>
          </w:tcPr>
          <w:p w14:paraId="4EDA3F27" w14:textId="77777777" w:rsidR="00362B21" w:rsidRPr="00F063B7" w:rsidRDefault="00362B21" w:rsidP="00F063B7">
            <w:pPr>
              <w:suppressAutoHyphens w:val="0"/>
              <w:spacing w:before="40" w:after="40" w:line="220" w:lineRule="exact"/>
              <w:ind w:right="113"/>
              <w:jc w:val="right"/>
              <w:rPr>
                <w:sz w:val="18"/>
              </w:rPr>
            </w:pPr>
            <w:r w:rsidRPr="00F063B7">
              <w:rPr>
                <w:sz w:val="18"/>
              </w:rPr>
              <w:t>664</w:t>
            </w:r>
          </w:p>
        </w:tc>
        <w:tc>
          <w:tcPr>
            <w:tcW w:w="413" w:type="pct"/>
            <w:shd w:val="clear" w:color="auto" w:fill="auto"/>
            <w:vAlign w:val="bottom"/>
            <w:hideMark/>
          </w:tcPr>
          <w:p w14:paraId="25B5A1E6" w14:textId="77E6B7C7" w:rsidR="00362B21" w:rsidRPr="00F063B7" w:rsidRDefault="00362B21" w:rsidP="00F063B7">
            <w:pPr>
              <w:suppressAutoHyphens w:val="0"/>
              <w:spacing w:before="40" w:after="40" w:line="220" w:lineRule="exact"/>
              <w:ind w:right="113"/>
              <w:jc w:val="right"/>
              <w:rPr>
                <w:sz w:val="18"/>
              </w:rPr>
            </w:pPr>
            <w:r w:rsidRPr="00F063B7">
              <w:rPr>
                <w:sz w:val="18"/>
              </w:rPr>
              <w:t>$3</w:t>
            </w:r>
            <w:r w:rsidR="00EA0331">
              <w:rPr>
                <w:sz w:val="18"/>
              </w:rPr>
              <w:t xml:space="preserve"> </w:t>
            </w:r>
            <w:r w:rsidRPr="00F063B7">
              <w:rPr>
                <w:sz w:val="18"/>
              </w:rPr>
              <w:t>779</w:t>
            </w:r>
            <w:r w:rsidR="00EA0331">
              <w:rPr>
                <w:sz w:val="18"/>
              </w:rPr>
              <w:t xml:space="preserve"> </w:t>
            </w:r>
            <w:r w:rsidRPr="00F063B7">
              <w:rPr>
                <w:sz w:val="18"/>
              </w:rPr>
              <w:t>500</w:t>
            </w:r>
          </w:p>
        </w:tc>
        <w:tc>
          <w:tcPr>
            <w:tcW w:w="413" w:type="pct"/>
            <w:shd w:val="clear" w:color="auto" w:fill="auto"/>
            <w:vAlign w:val="bottom"/>
            <w:hideMark/>
          </w:tcPr>
          <w:p w14:paraId="4410A928" w14:textId="77777777" w:rsidR="00362B21" w:rsidRPr="00F063B7" w:rsidRDefault="00362B21" w:rsidP="00F063B7">
            <w:pPr>
              <w:suppressAutoHyphens w:val="0"/>
              <w:spacing w:before="40" w:after="40" w:line="220" w:lineRule="exact"/>
              <w:ind w:right="113"/>
              <w:jc w:val="right"/>
              <w:rPr>
                <w:sz w:val="18"/>
              </w:rPr>
            </w:pPr>
            <w:r w:rsidRPr="00F063B7">
              <w:rPr>
                <w:sz w:val="18"/>
              </w:rPr>
              <w:t>593</w:t>
            </w:r>
          </w:p>
        </w:tc>
        <w:tc>
          <w:tcPr>
            <w:tcW w:w="413" w:type="pct"/>
            <w:shd w:val="clear" w:color="auto" w:fill="auto"/>
            <w:vAlign w:val="bottom"/>
            <w:hideMark/>
          </w:tcPr>
          <w:p w14:paraId="4E362AA3" w14:textId="2BD9F51A" w:rsidR="00362B21" w:rsidRPr="00F063B7" w:rsidRDefault="00362B21" w:rsidP="00F063B7">
            <w:pPr>
              <w:suppressAutoHyphens w:val="0"/>
              <w:spacing w:before="40" w:after="40" w:line="220" w:lineRule="exact"/>
              <w:ind w:right="113"/>
              <w:jc w:val="right"/>
              <w:rPr>
                <w:sz w:val="18"/>
              </w:rPr>
            </w:pPr>
            <w:r w:rsidRPr="00F063B7">
              <w:rPr>
                <w:sz w:val="18"/>
              </w:rPr>
              <w:t>$3</w:t>
            </w:r>
            <w:r w:rsidR="00EA0331">
              <w:rPr>
                <w:sz w:val="18"/>
              </w:rPr>
              <w:t xml:space="preserve"> </w:t>
            </w:r>
            <w:r w:rsidRPr="00F063B7">
              <w:rPr>
                <w:sz w:val="18"/>
              </w:rPr>
              <w:t>451</w:t>
            </w:r>
            <w:r w:rsidR="00EA0331">
              <w:rPr>
                <w:sz w:val="18"/>
              </w:rPr>
              <w:t xml:space="preserve"> </w:t>
            </w:r>
            <w:r w:rsidRPr="00F063B7">
              <w:rPr>
                <w:sz w:val="18"/>
              </w:rPr>
              <w:t>200</w:t>
            </w:r>
          </w:p>
        </w:tc>
        <w:tc>
          <w:tcPr>
            <w:tcW w:w="413" w:type="pct"/>
            <w:shd w:val="clear" w:color="auto" w:fill="auto"/>
            <w:vAlign w:val="bottom"/>
            <w:hideMark/>
          </w:tcPr>
          <w:p w14:paraId="0F0E9785" w14:textId="77777777" w:rsidR="00362B21" w:rsidRPr="00F063B7" w:rsidRDefault="00362B21" w:rsidP="00F063B7">
            <w:pPr>
              <w:suppressAutoHyphens w:val="0"/>
              <w:spacing w:before="40" w:after="40" w:line="220" w:lineRule="exact"/>
              <w:ind w:right="113"/>
              <w:jc w:val="right"/>
              <w:rPr>
                <w:sz w:val="18"/>
              </w:rPr>
            </w:pPr>
            <w:r w:rsidRPr="00F063B7">
              <w:rPr>
                <w:sz w:val="18"/>
              </w:rPr>
              <w:t>552</w:t>
            </w:r>
          </w:p>
        </w:tc>
        <w:tc>
          <w:tcPr>
            <w:tcW w:w="413" w:type="pct"/>
            <w:shd w:val="clear" w:color="auto" w:fill="auto"/>
            <w:vAlign w:val="bottom"/>
            <w:hideMark/>
          </w:tcPr>
          <w:p w14:paraId="3DD776CC" w14:textId="321CD6C7" w:rsidR="00362B21" w:rsidRPr="00F063B7" w:rsidRDefault="00362B21" w:rsidP="00F063B7">
            <w:pPr>
              <w:suppressAutoHyphens w:val="0"/>
              <w:spacing w:before="40" w:after="40" w:line="220" w:lineRule="exact"/>
              <w:ind w:right="113"/>
              <w:jc w:val="right"/>
              <w:rPr>
                <w:sz w:val="18"/>
              </w:rPr>
            </w:pPr>
            <w:r w:rsidRPr="00F063B7">
              <w:rPr>
                <w:sz w:val="18"/>
              </w:rPr>
              <w:t>$3</w:t>
            </w:r>
            <w:r w:rsidR="00EA0331">
              <w:rPr>
                <w:sz w:val="18"/>
              </w:rPr>
              <w:t xml:space="preserve"> </w:t>
            </w:r>
            <w:r w:rsidRPr="00F063B7">
              <w:rPr>
                <w:sz w:val="18"/>
              </w:rPr>
              <w:t>103</w:t>
            </w:r>
            <w:r w:rsidR="00EA0331">
              <w:rPr>
                <w:sz w:val="18"/>
              </w:rPr>
              <w:t xml:space="preserve"> </w:t>
            </w:r>
            <w:r w:rsidRPr="00F063B7">
              <w:rPr>
                <w:sz w:val="18"/>
              </w:rPr>
              <w:t>207</w:t>
            </w:r>
          </w:p>
        </w:tc>
        <w:tc>
          <w:tcPr>
            <w:tcW w:w="413" w:type="pct"/>
            <w:shd w:val="clear" w:color="auto" w:fill="auto"/>
            <w:vAlign w:val="bottom"/>
            <w:hideMark/>
          </w:tcPr>
          <w:p w14:paraId="0DF553C4" w14:textId="77777777" w:rsidR="00362B21" w:rsidRPr="00F063B7" w:rsidRDefault="00362B21" w:rsidP="00F063B7">
            <w:pPr>
              <w:suppressAutoHyphens w:val="0"/>
              <w:spacing w:before="40" w:after="40" w:line="220" w:lineRule="exact"/>
              <w:ind w:right="113"/>
              <w:jc w:val="right"/>
              <w:rPr>
                <w:sz w:val="18"/>
              </w:rPr>
            </w:pPr>
            <w:r w:rsidRPr="00F063B7">
              <w:rPr>
                <w:sz w:val="18"/>
              </w:rPr>
              <w:t>479</w:t>
            </w:r>
          </w:p>
        </w:tc>
        <w:tc>
          <w:tcPr>
            <w:tcW w:w="413" w:type="pct"/>
            <w:shd w:val="clear" w:color="auto" w:fill="auto"/>
            <w:vAlign w:val="bottom"/>
            <w:hideMark/>
          </w:tcPr>
          <w:p w14:paraId="179B5003" w14:textId="3A226B34" w:rsidR="00362B21" w:rsidRPr="00F063B7" w:rsidRDefault="00362B21" w:rsidP="00F063B7">
            <w:pPr>
              <w:suppressAutoHyphens w:val="0"/>
              <w:spacing w:before="40" w:after="40" w:line="220" w:lineRule="exact"/>
              <w:ind w:right="113"/>
              <w:jc w:val="right"/>
              <w:rPr>
                <w:sz w:val="18"/>
              </w:rPr>
            </w:pPr>
            <w:r w:rsidRPr="00F063B7">
              <w:rPr>
                <w:sz w:val="18"/>
              </w:rPr>
              <w:t>$2</w:t>
            </w:r>
            <w:r w:rsidR="00EA0331">
              <w:rPr>
                <w:sz w:val="18"/>
              </w:rPr>
              <w:t xml:space="preserve"> </w:t>
            </w:r>
            <w:r w:rsidRPr="00F063B7">
              <w:rPr>
                <w:sz w:val="18"/>
              </w:rPr>
              <w:t>155</w:t>
            </w:r>
            <w:r w:rsidR="00EA0331">
              <w:rPr>
                <w:sz w:val="18"/>
              </w:rPr>
              <w:t xml:space="preserve"> </w:t>
            </w:r>
            <w:r w:rsidRPr="00F063B7">
              <w:rPr>
                <w:sz w:val="18"/>
              </w:rPr>
              <w:t>000</w:t>
            </w:r>
          </w:p>
        </w:tc>
      </w:tr>
      <w:tr w:rsidR="00362B21" w:rsidRPr="00F063B7" w14:paraId="1658FB48" w14:textId="77777777" w:rsidTr="00E45843">
        <w:trPr>
          <w:cantSplit/>
        </w:trPr>
        <w:tc>
          <w:tcPr>
            <w:tcW w:w="869" w:type="pct"/>
            <w:shd w:val="clear" w:color="auto" w:fill="auto"/>
            <w:hideMark/>
          </w:tcPr>
          <w:p w14:paraId="45138FE9" w14:textId="77777777" w:rsidR="00362B21" w:rsidRPr="00F063B7" w:rsidRDefault="00362B21" w:rsidP="00F063B7">
            <w:pPr>
              <w:suppressAutoHyphens w:val="0"/>
              <w:spacing w:before="40" w:after="40" w:line="220" w:lineRule="exact"/>
              <w:ind w:right="113"/>
              <w:rPr>
                <w:sz w:val="18"/>
              </w:rPr>
            </w:pPr>
            <w:r w:rsidRPr="00F063B7">
              <w:rPr>
                <w:sz w:val="18"/>
              </w:rPr>
              <w:t>Nursing assistance*</w:t>
            </w:r>
          </w:p>
        </w:tc>
        <w:tc>
          <w:tcPr>
            <w:tcW w:w="413" w:type="pct"/>
            <w:shd w:val="clear" w:color="auto" w:fill="auto"/>
            <w:vAlign w:val="bottom"/>
            <w:hideMark/>
          </w:tcPr>
          <w:p w14:paraId="1A84A86D" w14:textId="66869D46" w:rsidR="00362B21" w:rsidRPr="00F063B7" w:rsidRDefault="00362B21" w:rsidP="00F063B7">
            <w:pPr>
              <w:suppressAutoHyphens w:val="0"/>
              <w:spacing w:before="40" w:after="40" w:line="220" w:lineRule="exact"/>
              <w:ind w:right="113"/>
              <w:jc w:val="right"/>
              <w:rPr>
                <w:sz w:val="18"/>
              </w:rPr>
            </w:pPr>
            <w:r w:rsidRPr="00F063B7">
              <w:rPr>
                <w:sz w:val="18"/>
              </w:rPr>
              <w:t>1</w:t>
            </w:r>
            <w:r w:rsidR="00EA0331">
              <w:rPr>
                <w:sz w:val="18"/>
              </w:rPr>
              <w:t xml:space="preserve"> </w:t>
            </w:r>
            <w:r w:rsidRPr="00F063B7">
              <w:rPr>
                <w:sz w:val="18"/>
              </w:rPr>
              <w:t>759</w:t>
            </w:r>
          </w:p>
        </w:tc>
        <w:tc>
          <w:tcPr>
            <w:tcW w:w="413" w:type="pct"/>
            <w:shd w:val="clear" w:color="auto" w:fill="auto"/>
            <w:vAlign w:val="bottom"/>
            <w:hideMark/>
          </w:tcPr>
          <w:p w14:paraId="6E3E1BB6" w14:textId="2B5F42AA" w:rsidR="00362B21" w:rsidRPr="00F063B7" w:rsidRDefault="00362B21" w:rsidP="00F063B7">
            <w:pPr>
              <w:suppressAutoHyphens w:val="0"/>
              <w:spacing w:before="40" w:after="40" w:line="220" w:lineRule="exact"/>
              <w:ind w:right="113"/>
              <w:jc w:val="right"/>
              <w:rPr>
                <w:sz w:val="18"/>
              </w:rPr>
            </w:pPr>
            <w:r w:rsidRPr="00F063B7">
              <w:rPr>
                <w:sz w:val="18"/>
              </w:rPr>
              <w:t>$18</w:t>
            </w:r>
            <w:r w:rsidR="00EA0331">
              <w:rPr>
                <w:sz w:val="18"/>
              </w:rPr>
              <w:t xml:space="preserve"> </w:t>
            </w:r>
            <w:r w:rsidRPr="00F063B7">
              <w:rPr>
                <w:sz w:val="18"/>
              </w:rPr>
              <w:t>047</w:t>
            </w:r>
            <w:r w:rsidR="00EA0331">
              <w:rPr>
                <w:sz w:val="18"/>
              </w:rPr>
              <w:t xml:space="preserve"> </w:t>
            </w:r>
            <w:r w:rsidRPr="00F063B7">
              <w:rPr>
                <w:sz w:val="18"/>
              </w:rPr>
              <w:t>488</w:t>
            </w:r>
          </w:p>
        </w:tc>
        <w:tc>
          <w:tcPr>
            <w:tcW w:w="413" w:type="pct"/>
            <w:shd w:val="clear" w:color="auto" w:fill="auto"/>
            <w:vAlign w:val="bottom"/>
            <w:hideMark/>
          </w:tcPr>
          <w:p w14:paraId="5FBA0535" w14:textId="475F9E55" w:rsidR="00362B21" w:rsidRPr="00F063B7" w:rsidRDefault="00362B21" w:rsidP="00F063B7">
            <w:pPr>
              <w:suppressAutoHyphens w:val="0"/>
              <w:spacing w:before="40" w:after="40" w:line="220" w:lineRule="exact"/>
              <w:ind w:right="113"/>
              <w:jc w:val="right"/>
              <w:rPr>
                <w:sz w:val="18"/>
              </w:rPr>
            </w:pPr>
            <w:r w:rsidRPr="00F063B7">
              <w:rPr>
                <w:sz w:val="18"/>
              </w:rPr>
              <w:t>1</w:t>
            </w:r>
            <w:r w:rsidR="00EA0331">
              <w:rPr>
                <w:sz w:val="18"/>
              </w:rPr>
              <w:t xml:space="preserve"> </w:t>
            </w:r>
            <w:r w:rsidRPr="00F063B7">
              <w:rPr>
                <w:sz w:val="18"/>
              </w:rPr>
              <w:t>602</w:t>
            </w:r>
          </w:p>
        </w:tc>
        <w:tc>
          <w:tcPr>
            <w:tcW w:w="413" w:type="pct"/>
            <w:shd w:val="clear" w:color="auto" w:fill="auto"/>
            <w:vAlign w:val="bottom"/>
            <w:hideMark/>
          </w:tcPr>
          <w:p w14:paraId="7E66B843" w14:textId="59762851" w:rsidR="00362B21" w:rsidRPr="00F063B7" w:rsidRDefault="00362B21" w:rsidP="00F063B7">
            <w:pPr>
              <w:suppressAutoHyphens w:val="0"/>
              <w:spacing w:before="40" w:after="40" w:line="220" w:lineRule="exact"/>
              <w:ind w:right="113"/>
              <w:jc w:val="right"/>
              <w:rPr>
                <w:sz w:val="18"/>
              </w:rPr>
            </w:pPr>
            <w:r w:rsidRPr="00F063B7">
              <w:rPr>
                <w:sz w:val="18"/>
              </w:rPr>
              <w:t>$17</w:t>
            </w:r>
            <w:r w:rsidR="00EA0331">
              <w:rPr>
                <w:sz w:val="18"/>
              </w:rPr>
              <w:t xml:space="preserve"> </w:t>
            </w:r>
            <w:r w:rsidRPr="00F063B7">
              <w:rPr>
                <w:sz w:val="18"/>
              </w:rPr>
              <w:t>657</w:t>
            </w:r>
            <w:r w:rsidR="00EA0331">
              <w:rPr>
                <w:sz w:val="18"/>
              </w:rPr>
              <w:t xml:space="preserve"> </w:t>
            </w:r>
            <w:r w:rsidRPr="00F063B7">
              <w:rPr>
                <w:sz w:val="18"/>
              </w:rPr>
              <w:t>760</w:t>
            </w:r>
          </w:p>
        </w:tc>
        <w:tc>
          <w:tcPr>
            <w:tcW w:w="413" w:type="pct"/>
            <w:shd w:val="clear" w:color="auto" w:fill="auto"/>
            <w:vAlign w:val="bottom"/>
            <w:hideMark/>
          </w:tcPr>
          <w:p w14:paraId="45B7E5C4" w14:textId="7C39BA06" w:rsidR="00362B21" w:rsidRPr="00F063B7" w:rsidRDefault="00362B21" w:rsidP="00F063B7">
            <w:pPr>
              <w:suppressAutoHyphens w:val="0"/>
              <w:spacing w:before="40" w:after="40" w:line="220" w:lineRule="exact"/>
              <w:ind w:right="113"/>
              <w:jc w:val="right"/>
              <w:rPr>
                <w:sz w:val="18"/>
              </w:rPr>
            </w:pPr>
            <w:r w:rsidRPr="00F063B7">
              <w:rPr>
                <w:sz w:val="18"/>
              </w:rPr>
              <w:t>1</w:t>
            </w:r>
            <w:r w:rsidR="00EA0331">
              <w:rPr>
                <w:sz w:val="18"/>
              </w:rPr>
              <w:t xml:space="preserve"> </w:t>
            </w:r>
            <w:r w:rsidRPr="00F063B7">
              <w:rPr>
                <w:sz w:val="18"/>
              </w:rPr>
              <w:t>565</w:t>
            </w:r>
          </w:p>
        </w:tc>
        <w:tc>
          <w:tcPr>
            <w:tcW w:w="413" w:type="pct"/>
            <w:shd w:val="clear" w:color="auto" w:fill="auto"/>
            <w:vAlign w:val="bottom"/>
            <w:hideMark/>
          </w:tcPr>
          <w:p w14:paraId="3AF65AC2" w14:textId="174FE883" w:rsidR="00362B21" w:rsidRPr="00F063B7" w:rsidRDefault="00362B21" w:rsidP="00F063B7">
            <w:pPr>
              <w:suppressAutoHyphens w:val="0"/>
              <w:spacing w:before="40" w:after="40" w:line="220" w:lineRule="exact"/>
              <w:ind w:right="113"/>
              <w:jc w:val="right"/>
              <w:rPr>
                <w:sz w:val="18"/>
              </w:rPr>
            </w:pPr>
            <w:r w:rsidRPr="00F063B7">
              <w:rPr>
                <w:sz w:val="18"/>
              </w:rPr>
              <w:t>$17</w:t>
            </w:r>
            <w:r w:rsidR="00EA0331">
              <w:rPr>
                <w:sz w:val="18"/>
              </w:rPr>
              <w:t xml:space="preserve"> </w:t>
            </w:r>
            <w:r w:rsidRPr="00F063B7">
              <w:rPr>
                <w:sz w:val="18"/>
              </w:rPr>
              <w:t>783</w:t>
            </w:r>
            <w:r w:rsidR="00EA0331">
              <w:rPr>
                <w:sz w:val="18"/>
              </w:rPr>
              <w:t xml:space="preserve"> </w:t>
            </w:r>
            <w:r w:rsidRPr="00F063B7">
              <w:rPr>
                <w:sz w:val="18"/>
              </w:rPr>
              <w:t>409</w:t>
            </w:r>
          </w:p>
        </w:tc>
        <w:tc>
          <w:tcPr>
            <w:tcW w:w="413" w:type="pct"/>
            <w:shd w:val="clear" w:color="auto" w:fill="auto"/>
            <w:vAlign w:val="bottom"/>
            <w:hideMark/>
          </w:tcPr>
          <w:p w14:paraId="1804940E" w14:textId="2AD55448" w:rsidR="00362B21" w:rsidRPr="00F063B7" w:rsidRDefault="00362B21" w:rsidP="00F063B7">
            <w:pPr>
              <w:suppressAutoHyphens w:val="0"/>
              <w:spacing w:before="40" w:after="40" w:line="220" w:lineRule="exact"/>
              <w:ind w:right="113"/>
              <w:jc w:val="right"/>
              <w:rPr>
                <w:sz w:val="18"/>
              </w:rPr>
            </w:pPr>
            <w:r w:rsidRPr="00F063B7">
              <w:rPr>
                <w:sz w:val="18"/>
              </w:rPr>
              <w:t>1</w:t>
            </w:r>
            <w:r w:rsidR="00EA0331">
              <w:rPr>
                <w:sz w:val="18"/>
              </w:rPr>
              <w:t xml:space="preserve"> </w:t>
            </w:r>
            <w:r w:rsidRPr="00F063B7">
              <w:rPr>
                <w:sz w:val="18"/>
              </w:rPr>
              <w:t>478</w:t>
            </w:r>
          </w:p>
        </w:tc>
        <w:tc>
          <w:tcPr>
            <w:tcW w:w="413" w:type="pct"/>
            <w:shd w:val="clear" w:color="auto" w:fill="auto"/>
            <w:vAlign w:val="bottom"/>
            <w:hideMark/>
          </w:tcPr>
          <w:p w14:paraId="02B08CD2" w14:textId="2E1B5A5E" w:rsidR="00362B21" w:rsidRPr="00F063B7" w:rsidRDefault="00362B21" w:rsidP="00F063B7">
            <w:pPr>
              <w:suppressAutoHyphens w:val="0"/>
              <w:spacing w:before="40" w:after="40" w:line="220" w:lineRule="exact"/>
              <w:ind w:right="113"/>
              <w:jc w:val="right"/>
              <w:rPr>
                <w:sz w:val="18"/>
              </w:rPr>
            </w:pPr>
            <w:r w:rsidRPr="00F063B7">
              <w:rPr>
                <w:sz w:val="18"/>
              </w:rPr>
              <w:t>$16</w:t>
            </w:r>
            <w:r w:rsidR="00EA0331">
              <w:rPr>
                <w:sz w:val="18"/>
              </w:rPr>
              <w:t xml:space="preserve"> </w:t>
            </w:r>
            <w:r w:rsidRPr="00F063B7">
              <w:rPr>
                <w:sz w:val="18"/>
              </w:rPr>
              <w:t>815</w:t>
            </w:r>
            <w:r w:rsidR="00EA0331">
              <w:rPr>
                <w:sz w:val="18"/>
              </w:rPr>
              <w:t xml:space="preserve"> </w:t>
            </w:r>
            <w:r w:rsidRPr="00F063B7">
              <w:rPr>
                <w:sz w:val="18"/>
              </w:rPr>
              <w:t>999</w:t>
            </w:r>
          </w:p>
        </w:tc>
        <w:tc>
          <w:tcPr>
            <w:tcW w:w="413" w:type="pct"/>
            <w:shd w:val="clear" w:color="auto" w:fill="auto"/>
            <w:vAlign w:val="bottom"/>
            <w:hideMark/>
          </w:tcPr>
          <w:p w14:paraId="4A16FC73" w14:textId="79AFAEA3" w:rsidR="00362B21" w:rsidRPr="00F063B7" w:rsidRDefault="00362B21" w:rsidP="00F063B7">
            <w:pPr>
              <w:suppressAutoHyphens w:val="0"/>
              <w:spacing w:before="40" w:after="40" w:line="220" w:lineRule="exact"/>
              <w:ind w:right="113"/>
              <w:jc w:val="right"/>
              <w:rPr>
                <w:sz w:val="18"/>
              </w:rPr>
            </w:pPr>
            <w:r w:rsidRPr="00F063B7">
              <w:rPr>
                <w:sz w:val="18"/>
              </w:rPr>
              <w:t>1</w:t>
            </w:r>
            <w:r w:rsidR="00EA0331">
              <w:rPr>
                <w:sz w:val="18"/>
              </w:rPr>
              <w:t xml:space="preserve"> </w:t>
            </w:r>
            <w:r w:rsidRPr="00F063B7">
              <w:rPr>
                <w:sz w:val="18"/>
              </w:rPr>
              <w:t>362</w:t>
            </w:r>
          </w:p>
        </w:tc>
        <w:tc>
          <w:tcPr>
            <w:tcW w:w="413" w:type="pct"/>
            <w:shd w:val="clear" w:color="auto" w:fill="auto"/>
            <w:vAlign w:val="bottom"/>
            <w:hideMark/>
          </w:tcPr>
          <w:p w14:paraId="6EDFAF67" w14:textId="4B98E33A" w:rsidR="00362B21" w:rsidRPr="00F063B7" w:rsidRDefault="00362B21" w:rsidP="00F063B7">
            <w:pPr>
              <w:suppressAutoHyphens w:val="0"/>
              <w:spacing w:before="40" w:after="40" w:line="220" w:lineRule="exact"/>
              <w:ind w:right="113"/>
              <w:jc w:val="right"/>
              <w:rPr>
                <w:sz w:val="18"/>
              </w:rPr>
            </w:pPr>
            <w:r w:rsidRPr="00F063B7">
              <w:rPr>
                <w:sz w:val="18"/>
              </w:rPr>
              <w:t>$12</w:t>
            </w:r>
            <w:r w:rsidR="00EA0331">
              <w:rPr>
                <w:sz w:val="18"/>
              </w:rPr>
              <w:t xml:space="preserve"> </w:t>
            </w:r>
            <w:r w:rsidRPr="00F063B7">
              <w:rPr>
                <w:sz w:val="18"/>
              </w:rPr>
              <w:t>581</w:t>
            </w:r>
            <w:r w:rsidR="00EA0331">
              <w:rPr>
                <w:sz w:val="18"/>
              </w:rPr>
              <w:t xml:space="preserve"> </w:t>
            </w:r>
            <w:r w:rsidRPr="00F063B7">
              <w:rPr>
                <w:sz w:val="18"/>
              </w:rPr>
              <w:t>986</w:t>
            </w:r>
          </w:p>
        </w:tc>
      </w:tr>
      <w:tr w:rsidR="00362B21" w:rsidRPr="00F063B7" w14:paraId="04452AAA" w14:textId="77777777" w:rsidTr="00E45843">
        <w:trPr>
          <w:cantSplit/>
        </w:trPr>
        <w:tc>
          <w:tcPr>
            <w:tcW w:w="869" w:type="pct"/>
            <w:shd w:val="clear" w:color="auto" w:fill="auto"/>
            <w:hideMark/>
          </w:tcPr>
          <w:p w14:paraId="6EACAC2E" w14:textId="77777777" w:rsidR="00362B21" w:rsidRPr="00F063B7" w:rsidRDefault="00362B21" w:rsidP="00F063B7">
            <w:pPr>
              <w:suppressAutoHyphens w:val="0"/>
              <w:spacing w:before="40" w:after="40" w:line="220" w:lineRule="exact"/>
              <w:ind w:right="113"/>
              <w:rPr>
                <w:sz w:val="18"/>
              </w:rPr>
            </w:pPr>
            <w:r w:rsidRPr="00F063B7">
              <w:rPr>
                <w:sz w:val="18"/>
              </w:rPr>
              <w:t>Disability assistance*</w:t>
            </w:r>
          </w:p>
        </w:tc>
        <w:tc>
          <w:tcPr>
            <w:tcW w:w="413" w:type="pct"/>
            <w:shd w:val="clear" w:color="auto" w:fill="auto"/>
            <w:vAlign w:val="bottom"/>
            <w:hideMark/>
          </w:tcPr>
          <w:p w14:paraId="7156554C" w14:textId="77777777" w:rsidR="00362B21" w:rsidRPr="00F063B7" w:rsidRDefault="00362B21" w:rsidP="00F063B7">
            <w:pPr>
              <w:suppressAutoHyphens w:val="0"/>
              <w:spacing w:before="40" w:after="40" w:line="220" w:lineRule="exact"/>
              <w:ind w:right="113"/>
              <w:jc w:val="right"/>
              <w:rPr>
                <w:sz w:val="18"/>
              </w:rPr>
            </w:pPr>
            <w:r w:rsidRPr="00F063B7">
              <w:rPr>
                <w:sz w:val="18"/>
              </w:rPr>
              <w:t>615</w:t>
            </w:r>
          </w:p>
        </w:tc>
        <w:tc>
          <w:tcPr>
            <w:tcW w:w="413" w:type="pct"/>
            <w:shd w:val="clear" w:color="auto" w:fill="auto"/>
            <w:vAlign w:val="bottom"/>
            <w:hideMark/>
          </w:tcPr>
          <w:p w14:paraId="181336BA" w14:textId="4C85D6D9" w:rsidR="00362B21" w:rsidRPr="00F063B7" w:rsidRDefault="00362B21" w:rsidP="00F063B7">
            <w:pPr>
              <w:suppressAutoHyphens w:val="0"/>
              <w:spacing w:before="40" w:after="40" w:line="220" w:lineRule="exact"/>
              <w:ind w:right="113"/>
              <w:jc w:val="right"/>
              <w:rPr>
                <w:sz w:val="18"/>
              </w:rPr>
            </w:pPr>
            <w:r w:rsidRPr="00F063B7">
              <w:rPr>
                <w:sz w:val="18"/>
              </w:rPr>
              <w:t>$3</w:t>
            </w:r>
            <w:r w:rsidR="00EA0331">
              <w:rPr>
                <w:sz w:val="18"/>
              </w:rPr>
              <w:t xml:space="preserve"> </w:t>
            </w:r>
            <w:r w:rsidRPr="00F063B7">
              <w:rPr>
                <w:sz w:val="18"/>
              </w:rPr>
              <w:t>931</w:t>
            </w:r>
            <w:r w:rsidR="00EA0331">
              <w:rPr>
                <w:sz w:val="18"/>
              </w:rPr>
              <w:t xml:space="preserve"> </w:t>
            </w:r>
            <w:r w:rsidRPr="00F063B7">
              <w:rPr>
                <w:sz w:val="18"/>
              </w:rPr>
              <w:t>800</w:t>
            </w:r>
          </w:p>
        </w:tc>
        <w:tc>
          <w:tcPr>
            <w:tcW w:w="413" w:type="pct"/>
            <w:shd w:val="clear" w:color="auto" w:fill="auto"/>
            <w:vAlign w:val="bottom"/>
            <w:hideMark/>
          </w:tcPr>
          <w:p w14:paraId="342749A0" w14:textId="77777777" w:rsidR="00362B21" w:rsidRPr="00F063B7" w:rsidRDefault="00362B21" w:rsidP="00F063B7">
            <w:pPr>
              <w:suppressAutoHyphens w:val="0"/>
              <w:spacing w:before="40" w:after="40" w:line="220" w:lineRule="exact"/>
              <w:ind w:right="113"/>
              <w:jc w:val="right"/>
              <w:rPr>
                <w:sz w:val="18"/>
              </w:rPr>
            </w:pPr>
            <w:r w:rsidRPr="00F063B7">
              <w:rPr>
                <w:sz w:val="18"/>
              </w:rPr>
              <w:t>554</w:t>
            </w:r>
          </w:p>
        </w:tc>
        <w:tc>
          <w:tcPr>
            <w:tcW w:w="413" w:type="pct"/>
            <w:shd w:val="clear" w:color="auto" w:fill="auto"/>
            <w:vAlign w:val="bottom"/>
            <w:hideMark/>
          </w:tcPr>
          <w:p w14:paraId="6240409C" w14:textId="3304EEFB" w:rsidR="00362B21" w:rsidRPr="00F063B7" w:rsidRDefault="00362B21" w:rsidP="00F063B7">
            <w:pPr>
              <w:suppressAutoHyphens w:val="0"/>
              <w:spacing w:before="40" w:after="40" w:line="220" w:lineRule="exact"/>
              <w:ind w:right="113"/>
              <w:jc w:val="right"/>
              <w:rPr>
                <w:sz w:val="18"/>
              </w:rPr>
            </w:pPr>
            <w:r w:rsidRPr="00F063B7">
              <w:rPr>
                <w:sz w:val="18"/>
              </w:rPr>
              <w:t>$3</w:t>
            </w:r>
            <w:r w:rsidR="00EA0331">
              <w:rPr>
                <w:sz w:val="18"/>
              </w:rPr>
              <w:t xml:space="preserve"> </w:t>
            </w:r>
            <w:r w:rsidRPr="00F063B7">
              <w:rPr>
                <w:sz w:val="18"/>
              </w:rPr>
              <w:t>825</w:t>
            </w:r>
            <w:r w:rsidR="00EA0331">
              <w:rPr>
                <w:sz w:val="18"/>
              </w:rPr>
              <w:t xml:space="preserve"> </w:t>
            </w:r>
            <w:r w:rsidRPr="00F063B7">
              <w:rPr>
                <w:sz w:val="18"/>
              </w:rPr>
              <w:t>570</w:t>
            </w:r>
          </w:p>
        </w:tc>
        <w:tc>
          <w:tcPr>
            <w:tcW w:w="413" w:type="pct"/>
            <w:shd w:val="clear" w:color="auto" w:fill="auto"/>
            <w:vAlign w:val="bottom"/>
            <w:hideMark/>
          </w:tcPr>
          <w:p w14:paraId="55FB976F" w14:textId="77777777" w:rsidR="00362B21" w:rsidRPr="00F063B7" w:rsidRDefault="00362B21" w:rsidP="00F063B7">
            <w:pPr>
              <w:suppressAutoHyphens w:val="0"/>
              <w:spacing w:before="40" w:after="40" w:line="220" w:lineRule="exact"/>
              <w:ind w:right="113"/>
              <w:jc w:val="right"/>
              <w:rPr>
                <w:sz w:val="18"/>
              </w:rPr>
            </w:pPr>
            <w:r w:rsidRPr="00F063B7">
              <w:rPr>
                <w:sz w:val="18"/>
              </w:rPr>
              <w:t>502</w:t>
            </w:r>
          </w:p>
        </w:tc>
        <w:tc>
          <w:tcPr>
            <w:tcW w:w="413" w:type="pct"/>
            <w:shd w:val="clear" w:color="auto" w:fill="auto"/>
            <w:vAlign w:val="bottom"/>
            <w:hideMark/>
          </w:tcPr>
          <w:p w14:paraId="2FED5358" w14:textId="73286420" w:rsidR="00362B21" w:rsidRPr="00F063B7" w:rsidRDefault="00362B21" w:rsidP="00F063B7">
            <w:pPr>
              <w:suppressAutoHyphens w:val="0"/>
              <w:spacing w:before="40" w:after="40" w:line="220" w:lineRule="exact"/>
              <w:ind w:right="113"/>
              <w:jc w:val="right"/>
              <w:rPr>
                <w:sz w:val="18"/>
              </w:rPr>
            </w:pPr>
            <w:r w:rsidRPr="00F063B7">
              <w:rPr>
                <w:sz w:val="18"/>
              </w:rPr>
              <w:t>$3</w:t>
            </w:r>
            <w:r w:rsidR="00EA0331">
              <w:rPr>
                <w:sz w:val="18"/>
              </w:rPr>
              <w:t xml:space="preserve"> </w:t>
            </w:r>
            <w:r w:rsidRPr="00F063B7">
              <w:rPr>
                <w:sz w:val="18"/>
              </w:rPr>
              <w:t>559</w:t>
            </w:r>
            <w:r w:rsidR="00EA0331">
              <w:rPr>
                <w:sz w:val="18"/>
              </w:rPr>
              <w:t xml:space="preserve"> </w:t>
            </w:r>
            <w:r w:rsidRPr="00F063B7">
              <w:rPr>
                <w:sz w:val="18"/>
              </w:rPr>
              <w:t>930</w:t>
            </w:r>
          </w:p>
        </w:tc>
        <w:tc>
          <w:tcPr>
            <w:tcW w:w="413" w:type="pct"/>
            <w:shd w:val="clear" w:color="auto" w:fill="auto"/>
            <w:vAlign w:val="bottom"/>
            <w:hideMark/>
          </w:tcPr>
          <w:p w14:paraId="3EA31E87" w14:textId="77777777" w:rsidR="00362B21" w:rsidRPr="00F063B7" w:rsidRDefault="00362B21" w:rsidP="00F063B7">
            <w:pPr>
              <w:suppressAutoHyphens w:val="0"/>
              <w:spacing w:before="40" w:after="40" w:line="220" w:lineRule="exact"/>
              <w:ind w:right="113"/>
              <w:jc w:val="right"/>
              <w:rPr>
                <w:sz w:val="18"/>
              </w:rPr>
            </w:pPr>
            <w:r w:rsidRPr="00F063B7">
              <w:rPr>
                <w:sz w:val="18"/>
              </w:rPr>
              <w:t>451</w:t>
            </w:r>
          </w:p>
        </w:tc>
        <w:tc>
          <w:tcPr>
            <w:tcW w:w="413" w:type="pct"/>
            <w:shd w:val="clear" w:color="auto" w:fill="auto"/>
            <w:vAlign w:val="bottom"/>
            <w:hideMark/>
          </w:tcPr>
          <w:p w14:paraId="12D6E66E" w14:textId="1415F031" w:rsidR="00362B21" w:rsidRPr="00F063B7" w:rsidRDefault="00362B21" w:rsidP="00F063B7">
            <w:pPr>
              <w:suppressAutoHyphens w:val="0"/>
              <w:spacing w:before="40" w:after="40" w:line="220" w:lineRule="exact"/>
              <w:ind w:right="113"/>
              <w:jc w:val="right"/>
              <w:rPr>
                <w:sz w:val="18"/>
              </w:rPr>
            </w:pPr>
            <w:r w:rsidRPr="00F063B7">
              <w:rPr>
                <w:sz w:val="18"/>
              </w:rPr>
              <w:t>$3</w:t>
            </w:r>
            <w:r w:rsidR="00EA0331">
              <w:rPr>
                <w:sz w:val="18"/>
              </w:rPr>
              <w:t xml:space="preserve"> </w:t>
            </w:r>
            <w:r w:rsidRPr="00F063B7">
              <w:rPr>
                <w:sz w:val="18"/>
              </w:rPr>
              <w:t>270</w:t>
            </w:r>
            <w:r w:rsidR="00EA0331">
              <w:rPr>
                <w:sz w:val="18"/>
              </w:rPr>
              <w:t xml:space="preserve"> </w:t>
            </w:r>
            <w:r w:rsidRPr="00F063B7">
              <w:rPr>
                <w:sz w:val="18"/>
              </w:rPr>
              <w:t>830</w:t>
            </w:r>
          </w:p>
        </w:tc>
        <w:tc>
          <w:tcPr>
            <w:tcW w:w="413" w:type="pct"/>
            <w:shd w:val="clear" w:color="auto" w:fill="auto"/>
            <w:vAlign w:val="bottom"/>
            <w:hideMark/>
          </w:tcPr>
          <w:p w14:paraId="5952C514" w14:textId="77777777" w:rsidR="00362B21" w:rsidRPr="00F063B7" w:rsidRDefault="00362B21" w:rsidP="00F063B7">
            <w:pPr>
              <w:suppressAutoHyphens w:val="0"/>
              <w:spacing w:before="40" w:after="40" w:line="220" w:lineRule="exact"/>
              <w:ind w:right="113"/>
              <w:jc w:val="right"/>
              <w:rPr>
                <w:sz w:val="18"/>
              </w:rPr>
            </w:pPr>
            <w:r w:rsidRPr="00F063B7">
              <w:rPr>
                <w:sz w:val="18"/>
              </w:rPr>
              <w:t>407</w:t>
            </w:r>
          </w:p>
        </w:tc>
        <w:tc>
          <w:tcPr>
            <w:tcW w:w="413" w:type="pct"/>
            <w:shd w:val="clear" w:color="auto" w:fill="auto"/>
            <w:vAlign w:val="bottom"/>
            <w:hideMark/>
          </w:tcPr>
          <w:p w14:paraId="575F762B" w14:textId="50C1F2C5" w:rsidR="00362B21" w:rsidRPr="00F063B7" w:rsidRDefault="00362B21" w:rsidP="00F063B7">
            <w:pPr>
              <w:suppressAutoHyphens w:val="0"/>
              <w:spacing w:before="40" w:after="40" w:line="220" w:lineRule="exact"/>
              <w:ind w:right="113"/>
              <w:jc w:val="right"/>
              <w:rPr>
                <w:sz w:val="18"/>
              </w:rPr>
            </w:pPr>
            <w:r w:rsidRPr="00F063B7">
              <w:rPr>
                <w:sz w:val="18"/>
              </w:rPr>
              <w:t>$2</w:t>
            </w:r>
            <w:r w:rsidR="00EA0331">
              <w:rPr>
                <w:sz w:val="18"/>
              </w:rPr>
              <w:t xml:space="preserve"> </w:t>
            </w:r>
            <w:r w:rsidRPr="00F063B7">
              <w:rPr>
                <w:sz w:val="18"/>
              </w:rPr>
              <w:t>321</w:t>
            </w:r>
            <w:r w:rsidR="00EA0331">
              <w:rPr>
                <w:sz w:val="18"/>
              </w:rPr>
              <w:t xml:space="preserve"> </w:t>
            </w:r>
            <w:r w:rsidRPr="00F063B7">
              <w:rPr>
                <w:sz w:val="18"/>
              </w:rPr>
              <w:t>520</w:t>
            </w:r>
          </w:p>
        </w:tc>
      </w:tr>
      <w:tr w:rsidR="00362B21" w:rsidRPr="00F063B7" w14:paraId="139AB2BB" w14:textId="77777777" w:rsidTr="00E45843">
        <w:trPr>
          <w:cantSplit/>
        </w:trPr>
        <w:tc>
          <w:tcPr>
            <w:tcW w:w="869" w:type="pct"/>
            <w:shd w:val="clear" w:color="auto" w:fill="auto"/>
            <w:hideMark/>
          </w:tcPr>
          <w:p w14:paraId="6C826378" w14:textId="77777777" w:rsidR="00362B21" w:rsidRPr="00F063B7" w:rsidRDefault="00362B21" w:rsidP="00F063B7">
            <w:pPr>
              <w:suppressAutoHyphens w:val="0"/>
              <w:spacing w:before="40" w:after="40" w:line="220" w:lineRule="exact"/>
              <w:ind w:right="113"/>
              <w:rPr>
                <w:sz w:val="18"/>
              </w:rPr>
            </w:pPr>
            <w:r w:rsidRPr="00F063B7">
              <w:rPr>
                <w:sz w:val="18"/>
              </w:rPr>
              <w:t>Rent allowance*</w:t>
            </w:r>
          </w:p>
        </w:tc>
        <w:tc>
          <w:tcPr>
            <w:tcW w:w="413" w:type="pct"/>
            <w:shd w:val="clear" w:color="auto" w:fill="auto"/>
            <w:vAlign w:val="bottom"/>
            <w:hideMark/>
          </w:tcPr>
          <w:p w14:paraId="612ED6C5" w14:textId="77777777" w:rsidR="00362B21" w:rsidRPr="00F063B7" w:rsidRDefault="00362B21" w:rsidP="00F063B7">
            <w:pPr>
              <w:suppressAutoHyphens w:val="0"/>
              <w:spacing w:before="40" w:after="40" w:line="220" w:lineRule="exact"/>
              <w:ind w:right="113"/>
              <w:jc w:val="right"/>
              <w:rPr>
                <w:sz w:val="18"/>
              </w:rPr>
            </w:pPr>
            <w:r w:rsidRPr="00F063B7">
              <w:rPr>
                <w:sz w:val="18"/>
              </w:rPr>
              <w:t>408</w:t>
            </w:r>
          </w:p>
        </w:tc>
        <w:tc>
          <w:tcPr>
            <w:tcW w:w="413" w:type="pct"/>
            <w:shd w:val="clear" w:color="auto" w:fill="auto"/>
            <w:vAlign w:val="bottom"/>
            <w:hideMark/>
          </w:tcPr>
          <w:p w14:paraId="5CF23E39" w14:textId="36587223" w:rsidR="00362B21" w:rsidRPr="00F063B7" w:rsidRDefault="00362B21" w:rsidP="00F063B7">
            <w:pPr>
              <w:suppressAutoHyphens w:val="0"/>
              <w:spacing w:before="40" w:after="40" w:line="220" w:lineRule="exact"/>
              <w:ind w:right="113"/>
              <w:jc w:val="right"/>
              <w:rPr>
                <w:sz w:val="18"/>
              </w:rPr>
            </w:pPr>
            <w:r w:rsidRPr="00F063B7">
              <w:rPr>
                <w:sz w:val="18"/>
              </w:rPr>
              <w:t>$6</w:t>
            </w:r>
            <w:r w:rsidR="00EA0331">
              <w:rPr>
                <w:sz w:val="18"/>
              </w:rPr>
              <w:t xml:space="preserve"> </w:t>
            </w:r>
            <w:r w:rsidRPr="00F063B7">
              <w:rPr>
                <w:sz w:val="18"/>
              </w:rPr>
              <w:t>296</w:t>
            </w:r>
            <w:r w:rsidR="00EA0331">
              <w:rPr>
                <w:sz w:val="18"/>
              </w:rPr>
              <w:t xml:space="preserve"> </w:t>
            </w:r>
            <w:r w:rsidRPr="00F063B7">
              <w:rPr>
                <w:sz w:val="18"/>
              </w:rPr>
              <w:t>213</w:t>
            </w:r>
          </w:p>
        </w:tc>
        <w:tc>
          <w:tcPr>
            <w:tcW w:w="413" w:type="pct"/>
            <w:shd w:val="clear" w:color="auto" w:fill="auto"/>
            <w:vAlign w:val="bottom"/>
            <w:hideMark/>
          </w:tcPr>
          <w:p w14:paraId="5449F7CF" w14:textId="77777777" w:rsidR="00362B21" w:rsidRPr="00F063B7" w:rsidRDefault="00362B21" w:rsidP="00F063B7">
            <w:pPr>
              <w:suppressAutoHyphens w:val="0"/>
              <w:spacing w:before="40" w:after="40" w:line="220" w:lineRule="exact"/>
              <w:ind w:right="113"/>
              <w:jc w:val="right"/>
              <w:rPr>
                <w:sz w:val="18"/>
              </w:rPr>
            </w:pPr>
            <w:r w:rsidRPr="00F063B7">
              <w:rPr>
                <w:sz w:val="18"/>
              </w:rPr>
              <w:t>398</w:t>
            </w:r>
          </w:p>
        </w:tc>
        <w:tc>
          <w:tcPr>
            <w:tcW w:w="413" w:type="pct"/>
            <w:shd w:val="clear" w:color="auto" w:fill="auto"/>
            <w:vAlign w:val="bottom"/>
            <w:hideMark/>
          </w:tcPr>
          <w:p w14:paraId="34B497A4" w14:textId="2D00418E" w:rsidR="00362B21" w:rsidRPr="00F063B7" w:rsidRDefault="00362B21" w:rsidP="00F063B7">
            <w:pPr>
              <w:suppressAutoHyphens w:val="0"/>
              <w:spacing w:before="40" w:after="40" w:line="220" w:lineRule="exact"/>
              <w:ind w:right="113"/>
              <w:jc w:val="right"/>
              <w:rPr>
                <w:sz w:val="18"/>
              </w:rPr>
            </w:pPr>
            <w:r w:rsidRPr="00F063B7">
              <w:rPr>
                <w:sz w:val="18"/>
              </w:rPr>
              <w:t>$6</w:t>
            </w:r>
            <w:r w:rsidR="00EA0331">
              <w:rPr>
                <w:sz w:val="18"/>
              </w:rPr>
              <w:t xml:space="preserve"> </w:t>
            </w:r>
            <w:r w:rsidRPr="00F063B7">
              <w:rPr>
                <w:sz w:val="18"/>
              </w:rPr>
              <w:t>287</w:t>
            </w:r>
            <w:r w:rsidR="00EA0331">
              <w:rPr>
                <w:sz w:val="18"/>
              </w:rPr>
              <w:t xml:space="preserve"> </w:t>
            </w:r>
            <w:r w:rsidRPr="00F063B7">
              <w:rPr>
                <w:sz w:val="18"/>
              </w:rPr>
              <w:t>409</w:t>
            </w:r>
          </w:p>
        </w:tc>
        <w:tc>
          <w:tcPr>
            <w:tcW w:w="413" w:type="pct"/>
            <w:shd w:val="clear" w:color="auto" w:fill="auto"/>
            <w:vAlign w:val="bottom"/>
            <w:hideMark/>
          </w:tcPr>
          <w:p w14:paraId="0F2A4772" w14:textId="77777777" w:rsidR="00362B21" w:rsidRPr="00F063B7" w:rsidRDefault="00362B21" w:rsidP="00F063B7">
            <w:pPr>
              <w:suppressAutoHyphens w:val="0"/>
              <w:spacing w:before="40" w:after="40" w:line="220" w:lineRule="exact"/>
              <w:ind w:right="113"/>
              <w:jc w:val="right"/>
              <w:rPr>
                <w:sz w:val="18"/>
              </w:rPr>
            </w:pPr>
            <w:r w:rsidRPr="00F063B7">
              <w:rPr>
                <w:sz w:val="18"/>
              </w:rPr>
              <w:t>336</w:t>
            </w:r>
          </w:p>
        </w:tc>
        <w:tc>
          <w:tcPr>
            <w:tcW w:w="413" w:type="pct"/>
            <w:shd w:val="clear" w:color="auto" w:fill="auto"/>
            <w:vAlign w:val="bottom"/>
            <w:hideMark/>
          </w:tcPr>
          <w:p w14:paraId="6403A439" w14:textId="38366D3E" w:rsidR="00362B21" w:rsidRPr="00F063B7" w:rsidRDefault="00362B21" w:rsidP="00F063B7">
            <w:pPr>
              <w:suppressAutoHyphens w:val="0"/>
              <w:spacing w:before="40" w:after="40" w:line="220" w:lineRule="exact"/>
              <w:ind w:right="113"/>
              <w:jc w:val="right"/>
              <w:rPr>
                <w:sz w:val="18"/>
              </w:rPr>
            </w:pPr>
            <w:r w:rsidRPr="00F063B7">
              <w:rPr>
                <w:sz w:val="18"/>
              </w:rPr>
              <w:t>$5</w:t>
            </w:r>
            <w:r w:rsidR="00EA0331">
              <w:rPr>
                <w:sz w:val="18"/>
              </w:rPr>
              <w:t xml:space="preserve"> </w:t>
            </w:r>
            <w:r w:rsidRPr="00F063B7">
              <w:rPr>
                <w:sz w:val="18"/>
              </w:rPr>
              <w:t>511</w:t>
            </w:r>
            <w:r w:rsidR="00EA0331">
              <w:rPr>
                <w:sz w:val="18"/>
              </w:rPr>
              <w:t xml:space="preserve"> </w:t>
            </w:r>
            <w:r w:rsidRPr="00F063B7">
              <w:rPr>
                <w:sz w:val="18"/>
              </w:rPr>
              <w:t>616</w:t>
            </w:r>
          </w:p>
        </w:tc>
        <w:tc>
          <w:tcPr>
            <w:tcW w:w="413" w:type="pct"/>
            <w:shd w:val="clear" w:color="auto" w:fill="auto"/>
            <w:vAlign w:val="bottom"/>
            <w:hideMark/>
          </w:tcPr>
          <w:p w14:paraId="7AC0074E" w14:textId="77777777" w:rsidR="00362B21" w:rsidRPr="00F063B7" w:rsidRDefault="00362B21" w:rsidP="00F063B7">
            <w:pPr>
              <w:suppressAutoHyphens w:val="0"/>
              <w:spacing w:before="40" w:after="40" w:line="220" w:lineRule="exact"/>
              <w:ind w:right="113"/>
              <w:jc w:val="right"/>
              <w:rPr>
                <w:sz w:val="18"/>
              </w:rPr>
            </w:pPr>
            <w:r w:rsidRPr="00F063B7">
              <w:rPr>
                <w:sz w:val="18"/>
              </w:rPr>
              <w:t>324</w:t>
            </w:r>
          </w:p>
        </w:tc>
        <w:tc>
          <w:tcPr>
            <w:tcW w:w="413" w:type="pct"/>
            <w:shd w:val="clear" w:color="auto" w:fill="auto"/>
            <w:vAlign w:val="bottom"/>
            <w:hideMark/>
          </w:tcPr>
          <w:p w14:paraId="33E52B0E" w14:textId="1B64F2B2" w:rsidR="00362B21" w:rsidRPr="00F063B7" w:rsidRDefault="00362B21" w:rsidP="00F063B7">
            <w:pPr>
              <w:suppressAutoHyphens w:val="0"/>
              <w:spacing w:before="40" w:after="40" w:line="220" w:lineRule="exact"/>
              <w:ind w:right="113"/>
              <w:jc w:val="right"/>
              <w:rPr>
                <w:sz w:val="18"/>
              </w:rPr>
            </w:pPr>
            <w:r w:rsidRPr="00F063B7">
              <w:rPr>
                <w:sz w:val="18"/>
              </w:rPr>
              <w:t>$5</w:t>
            </w:r>
            <w:r w:rsidR="00EA0331">
              <w:rPr>
                <w:sz w:val="18"/>
              </w:rPr>
              <w:t xml:space="preserve"> </w:t>
            </w:r>
            <w:r w:rsidRPr="00F063B7">
              <w:rPr>
                <w:sz w:val="18"/>
              </w:rPr>
              <w:t>606</w:t>
            </w:r>
            <w:r w:rsidR="00EA0331">
              <w:rPr>
                <w:sz w:val="18"/>
              </w:rPr>
              <w:t xml:space="preserve"> </w:t>
            </w:r>
            <w:r w:rsidRPr="00F063B7">
              <w:rPr>
                <w:sz w:val="18"/>
              </w:rPr>
              <w:t>610</w:t>
            </w:r>
          </w:p>
        </w:tc>
        <w:tc>
          <w:tcPr>
            <w:tcW w:w="413" w:type="pct"/>
            <w:shd w:val="clear" w:color="auto" w:fill="auto"/>
            <w:vAlign w:val="bottom"/>
            <w:hideMark/>
          </w:tcPr>
          <w:p w14:paraId="79B18B54" w14:textId="77777777" w:rsidR="00362B21" w:rsidRPr="00F063B7" w:rsidRDefault="00362B21" w:rsidP="00F063B7">
            <w:pPr>
              <w:suppressAutoHyphens w:val="0"/>
              <w:spacing w:before="40" w:after="40" w:line="220" w:lineRule="exact"/>
              <w:ind w:right="113"/>
              <w:jc w:val="right"/>
              <w:rPr>
                <w:sz w:val="18"/>
              </w:rPr>
            </w:pPr>
            <w:r w:rsidRPr="00F063B7">
              <w:rPr>
                <w:sz w:val="18"/>
              </w:rPr>
              <w:t>301</w:t>
            </w:r>
          </w:p>
        </w:tc>
        <w:tc>
          <w:tcPr>
            <w:tcW w:w="413" w:type="pct"/>
            <w:shd w:val="clear" w:color="auto" w:fill="auto"/>
            <w:vAlign w:val="bottom"/>
            <w:hideMark/>
          </w:tcPr>
          <w:p w14:paraId="2B3B0E27" w14:textId="3ED16D20" w:rsidR="00362B21" w:rsidRPr="00F063B7" w:rsidRDefault="00362B21" w:rsidP="00F063B7">
            <w:pPr>
              <w:suppressAutoHyphens w:val="0"/>
              <w:spacing w:before="40" w:after="40" w:line="220" w:lineRule="exact"/>
              <w:ind w:right="113"/>
              <w:jc w:val="right"/>
              <w:rPr>
                <w:sz w:val="18"/>
              </w:rPr>
            </w:pPr>
            <w:r w:rsidRPr="00F063B7">
              <w:rPr>
                <w:sz w:val="18"/>
              </w:rPr>
              <w:t>$4</w:t>
            </w:r>
            <w:r w:rsidR="00EA0331">
              <w:rPr>
                <w:sz w:val="18"/>
              </w:rPr>
              <w:t xml:space="preserve"> </w:t>
            </w:r>
            <w:r w:rsidRPr="00F063B7">
              <w:rPr>
                <w:sz w:val="18"/>
              </w:rPr>
              <w:t>374</w:t>
            </w:r>
            <w:r w:rsidR="00EA0331">
              <w:rPr>
                <w:sz w:val="18"/>
              </w:rPr>
              <w:t xml:space="preserve"> </w:t>
            </w:r>
            <w:r w:rsidRPr="00F063B7">
              <w:rPr>
                <w:sz w:val="18"/>
              </w:rPr>
              <w:t>910</w:t>
            </w:r>
          </w:p>
        </w:tc>
      </w:tr>
      <w:tr w:rsidR="00362B21" w:rsidRPr="00F063B7" w14:paraId="7FB350DE" w14:textId="77777777" w:rsidTr="00E45843">
        <w:trPr>
          <w:cantSplit/>
        </w:trPr>
        <w:tc>
          <w:tcPr>
            <w:tcW w:w="869" w:type="pct"/>
            <w:shd w:val="clear" w:color="auto" w:fill="auto"/>
            <w:hideMark/>
          </w:tcPr>
          <w:p w14:paraId="30C76B21" w14:textId="77777777" w:rsidR="00362B21" w:rsidRPr="00F063B7" w:rsidRDefault="00362B21" w:rsidP="00F063B7">
            <w:pPr>
              <w:suppressAutoHyphens w:val="0"/>
              <w:spacing w:before="40" w:after="40" w:line="220" w:lineRule="exact"/>
              <w:ind w:right="113"/>
              <w:rPr>
                <w:sz w:val="18"/>
              </w:rPr>
            </w:pPr>
            <w:r w:rsidRPr="00F063B7">
              <w:rPr>
                <w:sz w:val="18"/>
              </w:rPr>
              <w:t>Subsidy for Senior Citizens**</w:t>
            </w:r>
          </w:p>
        </w:tc>
        <w:tc>
          <w:tcPr>
            <w:tcW w:w="413" w:type="pct"/>
            <w:shd w:val="clear" w:color="auto" w:fill="auto"/>
            <w:vAlign w:val="bottom"/>
            <w:hideMark/>
          </w:tcPr>
          <w:p w14:paraId="6D65977E" w14:textId="5015C21C" w:rsidR="00362B21" w:rsidRPr="00F063B7" w:rsidRDefault="00362B21" w:rsidP="00F063B7">
            <w:pPr>
              <w:suppressAutoHyphens w:val="0"/>
              <w:spacing w:before="40" w:after="40" w:line="220" w:lineRule="exact"/>
              <w:ind w:right="113"/>
              <w:jc w:val="right"/>
              <w:rPr>
                <w:sz w:val="18"/>
              </w:rPr>
            </w:pPr>
            <w:r w:rsidRPr="00F063B7">
              <w:rPr>
                <w:sz w:val="18"/>
              </w:rPr>
              <w:t>63</w:t>
            </w:r>
            <w:r w:rsidR="00EA0331">
              <w:rPr>
                <w:sz w:val="18"/>
              </w:rPr>
              <w:t xml:space="preserve"> </w:t>
            </w:r>
            <w:r w:rsidRPr="00F063B7">
              <w:rPr>
                <w:sz w:val="18"/>
              </w:rPr>
              <w:t>735</w:t>
            </w:r>
          </w:p>
        </w:tc>
        <w:tc>
          <w:tcPr>
            <w:tcW w:w="413" w:type="pct"/>
            <w:shd w:val="clear" w:color="auto" w:fill="auto"/>
            <w:vAlign w:val="bottom"/>
            <w:hideMark/>
          </w:tcPr>
          <w:p w14:paraId="6D71BA0D" w14:textId="590C2CD2" w:rsidR="00362B21" w:rsidRPr="00F063B7" w:rsidRDefault="00362B21" w:rsidP="00F063B7">
            <w:pPr>
              <w:suppressAutoHyphens w:val="0"/>
              <w:spacing w:before="40" w:after="40" w:line="220" w:lineRule="exact"/>
              <w:ind w:right="113"/>
              <w:jc w:val="right"/>
              <w:rPr>
                <w:sz w:val="18"/>
              </w:rPr>
            </w:pPr>
            <w:r w:rsidRPr="00F063B7">
              <w:rPr>
                <w:sz w:val="18"/>
              </w:rPr>
              <w:t>$445</w:t>
            </w:r>
            <w:r w:rsidR="00EA0331">
              <w:rPr>
                <w:sz w:val="18"/>
              </w:rPr>
              <w:t xml:space="preserve"> </w:t>
            </w:r>
            <w:r w:rsidRPr="00F063B7">
              <w:rPr>
                <w:sz w:val="18"/>
              </w:rPr>
              <w:t>412</w:t>
            </w:r>
            <w:r w:rsidR="00EA0331">
              <w:rPr>
                <w:sz w:val="18"/>
              </w:rPr>
              <w:t xml:space="preserve"> </w:t>
            </w:r>
            <w:r w:rsidRPr="00F063B7">
              <w:rPr>
                <w:sz w:val="18"/>
              </w:rPr>
              <w:t>600</w:t>
            </w:r>
          </w:p>
        </w:tc>
        <w:tc>
          <w:tcPr>
            <w:tcW w:w="413" w:type="pct"/>
            <w:shd w:val="clear" w:color="auto" w:fill="auto"/>
            <w:vAlign w:val="bottom"/>
            <w:hideMark/>
          </w:tcPr>
          <w:p w14:paraId="3EFB7989" w14:textId="49C3D543" w:rsidR="00362B21" w:rsidRPr="00F063B7" w:rsidRDefault="00362B21" w:rsidP="00F063B7">
            <w:pPr>
              <w:suppressAutoHyphens w:val="0"/>
              <w:spacing w:before="40" w:after="40" w:line="220" w:lineRule="exact"/>
              <w:ind w:right="113"/>
              <w:jc w:val="right"/>
              <w:rPr>
                <w:sz w:val="18"/>
              </w:rPr>
            </w:pPr>
            <w:r w:rsidRPr="00F063B7">
              <w:rPr>
                <w:sz w:val="18"/>
              </w:rPr>
              <w:t>69</w:t>
            </w:r>
            <w:r w:rsidR="00EA0331">
              <w:rPr>
                <w:sz w:val="18"/>
              </w:rPr>
              <w:t xml:space="preserve"> </w:t>
            </w:r>
            <w:r w:rsidRPr="00F063B7">
              <w:rPr>
                <w:sz w:val="18"/>
              </w:rPr>
              <w:t>017</w:t>
            </w:r>
          </w:p>
        </w:tc>
        <w:tc>
          <w:tcPr>
            <w:tcW w:w="413" w:type="pct"/>
            <w:shd w:val="clear" w:color="auto" w:fill="auto"/>
            <w:vAlign w:val="bottom"/>
            <w:hideMark/>
          </w:tcPr>
          <w:p w14:paraId="50725D80" w14:textId="54AD281D" w:rsidR="00362B21" w:rsidRPr="00F063B7" w:rsidRDefault="00362B21" w:rsidP="00F063B7">
            <w:pPr>
              <w:suppressAutoHyphens w:val="0"/>
              <w:spacing w:before="40" w:after="40" w:line="220" w:lineRule="exact"/>
              <w:ind w:right="113"/>
              <w:jc w:val="right"/>
              <w:rPr>
                <w:sz w:val="18"/>
              </w:rPr>
            </w:pPr>
            <w:r w:rsidRPr="00F063B7">
              <w:rPr>
                <w:sz w:val="18"/>
              </w:rPr>
              <w:t>$516</w:t>
            </w:r>
            <w:r w:rsidR="00EA0331">
              <w:rPr>
                <w:sz w:val="18"/>
              </w:rPr>
              <w:t xml:space="preserve"> </w:t>
            </w:r>
            <w:r w:rsidRPr="00F063B7">
              <w:rPr>
                <w:sz w:val="18"/>
              </w:rPr>
              <w:t>731</w:t>
            </w:r>
            <w:r w:rsidR="00EA0331">
              <w:rPr>
                <w:sz w:val="18"/>
              </w:rPr>
              <w:t xml:space="preserve"> </w:t>
            </w:r>
            <w:r w:rsidRPr="00F063B7">
              <w:rPr>
                <w:sz w:val="18"/>
              </w:rPr>
              <w:t>700</w:t>
            </w:r>
          </w:p>
        </w:tc>
        <w:tc>
          <w:tcPr>
            <w:tcW w:w="413" w:type="pct"/>
            <w:shd w:val="clear" w:color="auto" w:fill="auto"/>
            <w:vAlign w:val="bottom"/>
            <w:hideMark/>
          </w:tcPr>
          <w:p w14:paraId="4E79E472" w14:textId="2BE05CE8" w:rsidR="00362B21" w:rsidRPr="00F063B7" w:rsidRDefault="00362B21" w:rsidP="00F063B7">
            <w:pPr>
              <w:suppressAutoHyphens w:val="0"/>
              <w:spacing w:before="40" w:after="40" w:line="220" w:lineRule="exact"/>
              <w:ind w:right="113"/>
              <w:jc w:val="right"/>
              <w:rPr>
                <w:sz w:val="18"/>
              </w:rPr>
            </w:pPr>
            <w:r w:rsidRPr="00F063B7">
              <w:rPr>
                <w:sz w:val="18"/>
              </w:rPr>
              <w:t>73</w:t>
            </w:r>
            <w:r w:rsidR="00EA0331">
              <w:rPr>
                <w:sz w:val="18"/>
              </w:rPr>
              <w:t xml:space="preserve"> </w:t>
            </w:r>
            <w:r w:rsidRPr="00F063B7">
              <w:rPr>
                <w:sz w:val="18"/>
              </w:rPr>
              <w:t>719</w:t>
            </w:r>
          </w:p>
        </w:tc>
        <w:tc>
          <w:tcPr>
            <w:tcW w:w="413" w:type="pct"/>
            <w:shd w:val="clear" w:color="auto" w:fill="auto"/>
            <w:vAlign w:val="bottom"/>
            <w:hideMark/>
          </w:tcPr>
          <w:p w14:paraId="353DC74D" w14:textId="788F27C0" w:rsidR="00362B21" w:rsidRPr="00F063B7" w:rsidRDefault="00362B21" w:rsidP="00F063B7">
            <w:pPr>
              <w:suppressAutoHyphens w:val="0"/>
              <w:spacing w:before="40" w:after="40" w:line="220" w:lineRule="exact"/>
              <w:ind w:right="113"/>
              <w:jc w:val="right"/>
              <w:rPr>
                <w:sz w:val="18"/>
              </w:rPr>
            </w:pPr>
            <w:r w:rsidRPr="00F063B7">
              <w:rPr>
                <w:sz w:val="18"/>
              </w:rPr>
              <w:t>$555</w:t>
            </w:r>
            <w:r w:rsidR="00EA0331">
              <w:rPr>
                <w:sz w:val="18"/>
              </w:rPr>
              <w:t xml:space="preserve"> </w:t>
            </w:r>
            <w:r w:rsidRPr="00F063B7">
              <w:rPr>
                <w:sz w:val="18"/>
              </w:rPr>
              <w:t>704</w:t>
            </w:r>
            <w:r w:rsidR="00EA0331">
              <w:rPr>
                <w:sz w:val="18"/>
              </w:rPr>
              <w:t xml:space="preserve"> </w:t>
            </w:r>
            <w:r w:rsidRPr="00F063B7">
              <w:rPr>
                <w:sz w:val="18"/>
              </w:rPr>
              <w:t>000</w:t>
            </w:r>
          </w:p>
        </w:tc>
        <w:tc>
          <w:tcPr>
            <w:tcW w:w="413" w:type="pct"/>
            <w:shd w:val="clear" w:color="auto" w:fill="auto"/>
            <w:vAlign w:val="bottom"/>
            <w:hideMark/>
          </w:tcPr>
          <w:p w14:paraId="1E139F4E" w14:textId="1D429899" w:rsidR="00362B21" w:rsidRPr="00F063B7" w:rsidRDefault="00362B21" w:rsidP="00F063B7">
            <w:pPr>
              <w:suppressAutoHyphens w:val="0"/>
              <w:spacing w:before="40" w:after="40" w:line="220" w:lineRule="exact"/>
              <w:ind w:right="113"/>
              <w:jc w:val="right"/>
              <w:rPr>
                <w:sz w:val="18"/>
              </w:rPr>
            </w:pPr>
            <w:r w:rsidRPr="00F063B7">
              <w:rPr>
                <w:sz w:val="18"/>
              </w:rPr>
              <w:t>80</w:t>
            </w:r>
            <w:r w:rsidR="00EA0331">
              <w:rPr>
                <w:sz w:val="18"/>
              </w:rPr>
              <w:t xml:space="preserve"> </w:t>
            </w:r>
            <w:r w:rsidRPr="00F063B7">
              <w:rPr>
                <w:sz w:val="18"/>
              </w:rPr>
              <w:t>991</w:t>
            </w:r>
          </w:p>
        </w:tc>
        <w:tc>
          <w:tcPr>
            <w:tcW w:w="413" w:type="pct"/>
            <w:shd w:val="clear" w:color="auto" w:fill="auto"/>
            <w:vAlign w:val="bottom"/>
            <w:hideMark/>
          </w:tcPr>
          <w:p w14:paraId="71D32E01" w14:textId="7C5E82C0" w:rsidR="00362B21" w:rsidRPr="00F063B7" w:rsidRDefault="00362B21" w:rsidP="00F063B7">
            <w:pPr>
              <w:suppressAutoHyphens w:val="0"/>
              <w:spacing w:before="40" w:after="40" w:line="220" w:lineRule="exact"/>
              <w:ind w:right="113"/>
              <w:jc w:val="right"/>
              <w:rPr>
                <w:sz w:val="18"/>
              </w:rPr>
            </w:pPr>
            <w:r w:rsidRPr="00F063B7">
              <w:rPr>
                <w:sz w:val="18"/>
              </w:rPr>
              <w:t>$647</w:t>
            </w:r>
            <w:r w:rsidR="00EA0331">
              <w:rPr>
                <w:sz w:val="18"/>
              </w:rPr>
              <w:t xml:space="preserve"> </w:t>
            </w:r>
            <w:r w:rsidRPr="00F063B7">
              <w:rPr>
                <w:sz w:val="18"/>
              </w:rPr>
              <w:t>669</w:t>
            </w:r>
            <w:r w:rsidR="00EA0331">
              <w:rPr>
                <w:sz w:val="18"/>
              </w:rPr>
              <w:t xml:space="preserve"> </w:t>
            </w:r>
            <w:r w:rsidRPr="00F063B7">
              <w:rPr>
                <w:sz w:val="18"/>
              </w:rPr>
              <w:t>000</w:t>
            </w:r>
          </w:p>
        </w:tc>
        <w:tc>
          <w:tcPr>
            <w:tcW w:w="413" w:type="pct"/>
            <w:shd w:val="clear" w:color="auto" w:fill="auto"/>
            <w:vAlign w:val="bottom"/>
            <w:hideMark/>
          </w:tcPr>
          <w:p w14:paraId="4D98BED2" w14:textId="1887916B" w:rsidR="00362B21" w:rsidRPr="00F063B7" w:rsidRDefault="00362B21" w:rsidP="00F063B7">
            <w:pPr>
              <w:suppressAutoHyphens w:val="0"/>
              <w:spacing w:before="40" w:after="40" w:line="220" w:lineRule="exact"/>
              <w:ind w:right="113"/>
              <w:jc w:val="right"/>
              <w:rPr>
                <w:sz w:val="18"/>
              </w:rPr>
            </w:pPr>
            <w:r w:rsidRPr="00F063B7">
              <w:rPr>
                <w:sz w:val="18"/>
              </w:rPr>
              <w:t>82</w:t>
            </w:r>
            <w:r w:rsidR="00EA0331">
              <w:rPr>
                <w:sz w:val="18"/>
              </w:rPr>
              <w:t xml:space="preserve"> </w:t>
            </w:r>
            <w:r w:rsidRPr="00F063B7">
              <w:rPr>
                <w:sz w:val="18"/>
              </w:rPr>
              <w:t>901</w:t>
            </w:r>
          </w:p>
        </w:tc>
        <w:tc>
          <w:tcPr>
            <w:tcW w:w="413" w:type="pct"/>
            <w:shd w:val="clear" w:color="auto" w:fill="auto"/>
            <w:vAlign w:val="bottom"/>
          </w:tcPr>
          <w:p w14:paraId="77DD4BD6" w14:textId="0C464B23" w:rsidR="00362B21" w:rsidRPr="00F063B7" w:rsidRDefault="00362B21" w:rsidP="00F063B7">
            <w:pPr>
              <w:suppressAutoHyphens w:val="0"/>
              <w:spacing w:before="40" w:after="40" w:line="220" w:lineRule="exact"/>
              <w:ind w:right="113"/>
              <w:jc w:val="right"/>
              <w:rPr>
                <w:sz w:val="18"/>
              </w:rPr>
            </w:pPr>
            <w:r w:rsidRPr="00F063B7">
              <w:rPr>
                <w:sz w:val="18"/>
              </w:rPr>
              <w:t>$746</w:t>
            </w:r>
            <w:r w:rsidR="00EA0331">
              <w:rPr>
                <w:sz w:val="18"/>
              </w:rPr>
              <w:t xml:space="preserve"> </w:t>
            </w:r>
            <w:r w:rsidRPr="00F063B7">
              <w:rPr>
                <w:sz w:val="18"/>
              </w:rPr>
              <w:t>109</w:t>
            </w:r>
            <w:r w:rsidR="00EA0331">
              <w:rPr>
                <w:sz w:val="18"/>
              </w:rPr>
              <w:t xml:space="preserve"> </w:t>
            </w:r>
            <w:r w:rsidRPr="00F063B7">
              <w:rPr>
                <w:sz w:val="18"/>
              </w:rPr>
              <w:t>000</w:t>
            </w:r>
          </w:p>
        </w:tc>
      </w:tr>
      <w:tr w:rsidR="00362B21" w:rsidRPr="00F063B7" w14:paraId="446D7669" w14:textId="77777777" w:rsidTr="00E45843">
        <w:trPr>
          <w:cantSplit/>
        </w:trPr>
        <w:tc>
          <w:tcPr>
            <w:tcW w:w="869" w:type="pct"/>
            <w:shd w:val="clear" w:color="auto" w:fill="auto"/>
            <w:hideMark/>
          </w:tcPr>
          <w:p w14:paraId="1D3245DE" w14:textId="77777777" w:rsidR="00362B21" w:rsidRPr="00F063B7" w:rsidRDefault="00362B21" w:rsidP="00F063B7">
            <w:pPr>
              <w:suppressAutoHyphens w:val="0"/>
              <w:spacing w:before="40" w:after="40" w:line="220" w:lineRule="exact"/>
              <w:ind w:right="113"/>
              <w:rPr>
                <w:sz w:val="18"/>
              </w:rPr>
            </w:pPr>
            <w:r w:rsidRPr="00F063B7">
              <w:rPr>
                <w:sz w:val="18"/>
              </w:rPr>
              <w:t>Disability allowance**</w:t>
            </w:r>
          </w:p>
        </w:tc>
        <w:tc>
          <w:tcPr>
            <w:tcW w:w="413" w:type="pct"/>
            <w:shd w:val="clear" w:color="auto" w:fill="auto"/>
            <w:vAlign w:val="bottom"/>
            <w:hideMark/>
          </w:tcPr>
          <w:p w14:paraId="2CAF1ACF" w14:textId="163AABD0" w:rsidR="00362B21" w:rsidRPr="00F063B7" w:rsidRDefault="00362B21" w:rsidP="00F063B7">
            <w:pPr>
              <w:suppressAutoHyphens w:val="0"/>
              <w:spacing w:before="40" w:after="40" w:line="220" w:lineRule="exact"/>
              <w:ind w:right="113"/>
              <w:jc w:val="right"/>
              <w:rPr>
                <w:sz w:val="18"/>
              </w:rPr>
            </w:pPr>
            <w:r w:rsidRPr="00F063B7">
              <w:rPr>
                <w:sz w:val="18"/>
              </w:rPr>
              <w:t>9</w:t>
            </w:r>
            <w:r w:rsidR="00EA0331">
              <w:rPr>
                <w:sz w:val="18"/>
              </w:rPr>
              <w:t xml:space="preserve"> </w:t>
            </w:r>
            <w:r w:rsidRPr="00F063B7">
              <w:rPr>
                <w:sz w:val="18"/>
              </w:rPr>
              <w:t>758</w:t>
            </w:r>
          </w:p>
        </w:tc>
        <w:tc>
          <w:tcPr>
            <w:tcW w:w="413" w:type="pct"/>
            <w:shd w:val="clear" w:color="auto" w:fill="auto"/>
            <w:vAlign w:val="bottom"/>
            <w:hideMark/>
          </w:tcPr>
          <w:p w14:paraId="54A443C6" w14:textId="4953AC02" w:rsidR="00362B21" w:rsidRPr="00F063B7" w:rsidRDefault="00362B21" w:rsidP="00F063B7">
            <w:pPr>
              <w:suppressAutoHyphens w:val="0"/>
              <w:spacing w:before="40" w:after="40" w:line="220" w:lineRule="exact"/>
              <w:ind w:right="113"/>
              <w:jc w:val="right"/>
              <w:rPr>
                <w:sz w:val="18"/>
              </w:rPr>
            </w:pPr>
            <w:r w:rsidRPr="00F063B7">
              <w:rPr>
                <w:sz w:val="18"/>
              </w:rPr>
              <w:t>$95</w:t>
            </w:r>
            <w:r w:rsidR="00EA0331">
              <w:rPr>
                <w:sz w:val="18"/>
              </w:rPr>
              <w:t xml:space="preserve"> </w:t>
            </w:r>
            <w:r w:rsidRPr="00F063B7">
              <w:rPr>
                <w:sz w:val="18"/>
              </w:rPr>
              <w:t>172</w:t>
            </w:r>
            <w:r w:rsidR="00EA0331">
              <w:rPr>
                <w:sz w:val="18"/>
              </w:rPr>
              <w:t xml:space="preserve"> </w:t>
            </w:r>
            <w:r w:rsidRPr="00F063B7">
              <w:rPr>
                <w:sz w:val="18"/>
              </w:rPr>
              <w:t>000</w:t>
            </w:r>
          </w:p>
        </w:tc>
        <w:tc>
          <w:tcPr>
            <w:tcW w:w="413" w:type="pct"/>
            <w:shd w:val="clear" w:color="auto" w:fill="auto"/>
            <w:vAlign w:val="bottom"/>
            <w:hideMark/>
          </w:tcPr>
          <w:p w14:paraId="3CC8F532" w14:textId="0F6F2406" w:rsidR="00362B21" w:rsidRPr="00F063B7" w:rsidRDefault="00362B21" w:rsidP="00F063B7">
            <w:pPr>
              <w:suppressAutoHyphens w:val="0"/>
              <w:spacing w:before="40" w:after="40" w:line="220" w:lineRule="exact"/>
              <w:ind w:right="113"/>
              <w:jc w:val="right"/>
              <w:rPr>
                <w:sz w:val="18"/>
              </w:rPr>
            </w:pPr>
            <w:r w:rsidRPr="00F063B7">
              <w:rPr>
                <w:sz w:val="18"/>
              </w:rPr>
              <w:t>9</w:t>
            </w:r>
            <w:r w:rsidR="00EA0331">
              <w:rPr>
                <w:sz w:val="18"/>
              </w:rPr>
              <w:t xml:space="preserve"> </w:t>
            </w:r>
            <w:r w:rsidRPr="00F063B7">
              <w:rPr>
                <w:sz w:val="18"/>
              </w:rPr>
              <w:t>451</w:t>
            </w:r>
          </w:p>
        </w:tc>
        <w:tc>
          <w:tcPr>
            <w:tcW w:w="413" w:type="pct"/>
            <w:shd w:val="clear" w:color="auto" w:fill="auto"/>
            <w:vAlign w:val="bottom"/>
            <w:hideMark/>
          </w:tcPr>
          <w:p w14:paraId="04735915" w14:textId="3085A5A3" w:rsidR="00362B21" w:rsidRPr="00F063B7" w:rsidRDefault="00362B21" w:rsidP="00F063B7">
            <w:pPr>
              <w:suppressAutoHyphens w:val="0"/>
              <w:spacing w:before="40" w:after="40" w:line="220" w:lineRule="exact"/>
              <w:ind w:right="113"/>
              <w:jc w:val="right"/>
              <w:rPr>
                <w:sz w:val="18"/>
              </w:rPr>
            </w:pPr>
            <w:r w:rsidRPr="00F063B7">
              <w:rPr>
                <w:sz w:val="18"/>
              </w:rPr>
              <w:t>$94</w:t>
            </w:r>
            <w:r w:rsidR="00EA0331">
              <w:rPr>
                <w:sz w:val="18"/>
              </w:rPr>
              <w:t xml:space="preserve"> </w:t>
            </w:r>
            <w:r w:rsidRPr="00F063B7">
              <w:rPr>
                <w:sz w:val="18"/>
              </w:rPr>
              <w:t>342</w:t>
            </w:r>
            <w:r w:rsidR="00EA0331">
              <w:rPr>
                <w:sz w:val="18"/>
              </w:rPr>
              <w:t xml:space="preserve"> </w:t>
            </w:r>
            <w:r w:rsidRPr="00F063B7">
              <w:rPr>
                <w:sz w:val="18"/>
              </w:rPr>
              <w:t>500</w:t>
            </w:r>
          </w:p>
        </w:tc>
        <w:tc>
          <w:tcPr>
            <w:tcW w:w="413" w:type="pct"/>
            <w:shd w:val="clear" w:color="auto" w:fill="auto"/>
            <w:vAlign w:val="bottom"/>
            <w:hideMark/>
          </w:tcPr>
          <w:p w14:paraId="582D2CE8" w14:textId="5A8AD4CE" w:rsidR="00362B21" w:rsidRPr="00F063B7" w:rsidRDefault="00362B21" w:rsidP="00F063B7">
            <w:pPr>
              <w:suppressAutoHyphens w:val="0"/>
              <w:spacing w:before="40" w:after="40" w:line="220" w:lineRule="exact"/>
              <w:ind w:right="113"/>
              <w:jc w:val="right"/>
              <w:rPr>
                <w:sz w:val="18"/>
              </w:rPr>
            </w:pPr>
            <w:r w:rsidRPr="00F063B7">
              <w:rPr>
                <w:sz w:val="18"/>
              </w:rPr>
              <w:t>11</w:t>
            </w:r>
            <w:r w:rsidR="00EA0331">
              <w:rPr>
                <w:sz w:val="18"/>
              </w:rPr>
              <w:t xml:space="preserve"> </w:t>
            </w:r>
            <w:r w:rsidRPr="00F063B7">
              <w:rPr>
                <w:sz w:val="18"/>
              </w:rPr>
              <w:t>416</w:t>
            </w:r>
          </w:p>
        </w:tc>
        <w:tc>
          <w:tcPr>
            <w:tcW w:w="413" w:type="pct"/>
            <w:shd w:val="clear" w:color="auto" w:fill="auto"/>
            <w:vAlign w:val="bottom"/>
            <w:hideMark/>
          </w:tcPr>
          <w:p w14:paraId="5820958C" w14:textId="5216FD2C" w:rsidR="00362B21" w:rsidRPr="00F063B7" w:rsidRDefault="00362B21" w:rsidP="00F063B7">
            <w:pPr>
              <w:suppressAutoHyphens w:val="0"/>
              <w:spacing w:before="40" w:after="40" w:line="220" w:lineRule="exact"/>
              <w:ind w:right="113"/>
              <w:jc w:val="right"/>
              <w:rPr>
                <w:sz w:val="18"/>
              </w:rPr>
            </w:pPr>
            <w:r w:rsidRPr="00F063B7">
              <w:rPr>
                <w:sz w:val="18"/>
              </w:rPr>
              <w:t>$124</w:t>
            </w:r>
            <w:r w:rsidR="00EA0331">
              <w:rPr>
                <w:sz w:val="18"/>
              </w:rPr>
              <w:t xml:space="preserve"> </w:t>
            </w:r>
            <w:r w:rsidRPr="00F063B7">
              <w:rPr>
                <w:sz w:val="18"/>
              </w:rPr>
              <w:t>818</w:t>
            </w:r>
            <w:r w:rsidR="00EA0331">
              <w:rPr>
                <w:sz w:val="18"/>
              </w:rPr>
              <w:t xml:space="preserve"> </w:t>
            </w:r>
            <w:r w:rsidRPr="00F063B7">
              <w:rPr>
                <w:sz w:val="18"/>
              </w:rPr>
              <w:t>200</w:t>
            </w:r>
          </w:p>
        </w:tc>
        <w:tc>
          <w:tcPr>
            <w:tcW w:w="413" w:type="pct"/>
            <w:shd w:val="clear" w:color="auto" w:fill="auto"/>
            <w:vAlign w:val="bottom"/>
            <w:hideMark/>
          </w:tcPr>
          <w:p w14:paraId="751610D2" w14:textId="057EAF51" w:rsidR="00362B21" w:rsidRPr="00F063B7" w:rsidRDefault="00362B21" w:rsidP="00F063B7">
            <w:pPr>
              <w:suppressAutoHyphens w:val="0"/>
              <w:spacing w:before="40" w:after="40" w:line="220" w:lineRule="exact"/>
              <w:ind w:right="113"/>
              <w:jc w:val="right"/>
              <w:rPr>
                <w:sz w:val="18"/>
              </w:rPr>
            </w:pPr>
            <w:r w:rsidRPr="00F063B7">
              <w:rPr>
                <w:sz w:val="18"/>
              </w:rPr>
              <w:t>11</w:t>
            </w:r>
            <w:r w:rsidR="00EA0331">
              <w:rPr>
                <w:sz w:val="18"/>
              </w:rPr>
              <w:t xml:space="preserve"> </w:t>
            </w:r>
            <w:r w:rsidRPr="00F063B7">
              <w:rPr>
                <w:sz w:val="18"/>
              </w:rPr>
              <w:t>239</w:t>
            </w:r>
          </w:p>
        </w:tc>
        <w:tc>
          <w:tcPr>
            <w:tcW w:w="413" w:type="pct"/>
            <w:shd w:val="clear" w:color="auto" w:fill="auto"/>
            <w:vAlign w:val="bottom"/>
            <w:hideMark/>
          </w:tcPr>
          <w:p w14:paraId="6A9036E2" w14:textId="5BE46997" w:rsidR="00362B21" w:rsidRPr="00F063B7" w:rsidRDefault="00362B21" w:rsidP="00F063B7">
            <w:pPr>
              <w:suppressAutoHyphens w:val="0"/>
              <w:spacing w:before="40" w:after="40" w:line="220" w:lineRule="exact"/>
              <w:ind w:right="113"/>
              <w:jc w:val="right"/>
              <w:rPr>
                <w:sz w:val="18"/>
              </w:rPr>
            </w:pPr>
            <w:r w:rsidRPr="00F063B7">
              <w:rPr>
                <w:sz w:val="18"/>
              </w:rPr>
              <w:t>$123</w:t>
            </w:r>
            <w:r w:rsidR="00EA0331">
              <w:rPr>
                <w:sz w:val="18"/>
              </w:rPr>
              <w:t xml:space="preserve"> </w:t>
            </w:r>
            <w:r w:rsidRPr="00F063B7">
              <w:rPr>
                <w:sz w:val="18"/>
              </w:rPr>
              <w:t>568</w:t>
            </w:r>
            <w:r w:rsidR="00EA0331">
              <w:rPr>
                <w:sz w:val="18"/>
              </w:rPr>
              <w:t xml:space="preserve"> </w:t>
            </w:r>
            <w:r w:rsidRPr="00F063B7">
              <w:rPr>
                <w:sz w:val="18"/>
              </w:rPr>
              <w:t>000</w:t>
            </w:r>
          </w:p>
        </w:tc>
        <w:tc>
          <w:tcPr>
            <w:tcW w:w="413" w:type="pct"/>
            <w:shd w:val="clear" w:color="auto" w:fill="auto"/>
            <w:vAlign w:val="bottom"/>
            <w:hideMark/>
          </w:tcPr>
          <w:p w14:paraId="399659D6" w14:textId="5C160969" w:rsidR="00362B21" w:rsidRPr="00F063B7" w:rsidRDefault="00362B21" w:rsidP="00F063B7">
            <w:pPr>
              <w:suppressAutoHyphens w:val="0"/>
              <w:spacing w:before="40" w:after="40" w:line="220" w:lineRule="exact"/>
              <w:ind w:right="113"/>
              <w:jc w:val="right"/>
              <w:rPr>
                <w:sz w:val="18"/>
              </w:rPr>
            </w:pPr>
            <w:r w:rsidRPr="00F063B7">
              <w:rPr>
                <w:sz w:val="18"/>
              </w:rPr>
              <w:t>12</w:t>
            </w:r>
            <w:r w:rsidR="00EA0331">
              <w:rPr>
                <w:sz w:val="18"/>
              </w:rPr>
              <w:t xml:space="preserve"> </w:t>
            </w:r>
            <w:r w:rsidRPr="00F063B7">
              <w:rPr>
                <w:sz w:val="18"/>
              </w:rPr>
              <w:t>334</w:t>
            </w:r>
          </w:p>
        </w:tc>
        <w:tc>
          <w:tcPr>
            <w:tcW w:w="413" w:type="pct"/>
            <w:shd w:val="clear" w:color="auto" w:fill="auto"/>
            <w:vAlign w:val="bottom"/>
          </w:tcPr>
          <w:p w14:paraId="5801497F" w14:textId="0FCFDE7D" w:rsidR="00362B21" w:rsidRPr="00F063B7" w:rsidRDefault="00362B21" w:rsidP="00F063B7">
            <w:pPr>
              <w:suppressAutoHyphens w:val="0"/>
              <w:spacing w:before="40" w:after="40" w:line="220" w:lineRule="exact"/>
              <w:ind w:right="113"/>
              <w:jc w:val="right"/>
              <w:rPr>
                <w:sz w:val="18"/>
              </w:rPr>
            </w:pPr>
            <w:r w:rsidRPr="00F063B7">
              <w:rPr>
                <w:sz w:val="18"/>
              </w:rPr>
              <w:t>$134</w:t>
            </w:r>
            <w:r w:rsidR="00EA0331">
              <w:rPr>
                <w:sz w:val="18"/>
              </w:rPr>
              <w:t xml:space="preserve"> </w:t>
            </w:r>
            <w:r w:rsidRPr="00F063B7">
              <w:rPr>
                <w:sz w:val="18"/>
              </w:rPr>
              <w:t>168</w:t>
            </w:r>
            <w:r w:rsidR="00EA0331">
              <w:rPr>
                <w:sz w:val="18"/>
              </w:rPr>
              <w:t xml:space="preserve"> </w:t>
            </w:r>
            <w:r w:rsidRPr="00F063B7">
              <w:rPr>
                <w:sz w:val="18"/>
              </w:rPr>
              <w:t>000</w:t>
            </w:r>
          </w:p>
        </w:tc>
      </w:tr>
    </w:tbl>
    <w:p w14:paraId="36647BDA" w14:textId="2DC35F0A" w:rsidR="00362B21" w:rsidRPr="00EA0331" w:rsidRDefault="00362B21" w:rsidP="00EA0331">
      <w:pPr>
        <w:spacing w:before="120"/>
        <w:ind w:right="1134" w:firstLine="170"/>
        <w:rPr>
          <w:sz w:val="18"/>
        </w:rPr>
      </w:pPr>
      <w:r w:rsidRPr="00EA0331">
        <w:rPr>
          <w:i/>
          <w:iCs/>
          <w:sz w:val="18"/>
        </w:rPr>
        <w:t>Source</w:t>
      </w:r>
      <w:r w:rsidRPr="00EA0331">
        <w:rPr>
          <w:sz w:val="18"/>
        </w:rPr>
        <w:t xml:space="preserve">: </w:t>
      </w:r>
      <w:r w:rsidR="00E268D4">
        <w:rPr>
          <w:sz w:val="18"/>
        </w:rPr>
        <w:t xml:space="preserve"> </w:t>
      </w:r>
      <w:r w:rsidRPr="00EA0331">
        <w:rPr>
          <w:sz w:val="18"/>
        </w:rPr>
        <w:t>SWB.</w:t>
      </w:r>
    </w:p>
    <w:p w14:paraId="47F02EA4" w14:textId="14DBAAC3" w:rsidR="00362B21" w:rsidRPr="00EA0331" w:rsidRDefault="00362B21" w:rsidP="00EA0331">
      <w:pPr>
        <w:ind w:right="1134" w:firstLine="170"/>
        <w:rPr>
          <w:sz w:val="18"/>
        </w:rPr>
      </w:pPr>
      <w:r w:rsidRPr="00EA0331">
        <w:rPr>
          <w:sz w:val="18"/>
        </w:rPr>
        <w:t>*</w:t>
      </w:r>
      <w:r w:rsidR="00EA0331">
        <w:rPr>
          <w:sz w:val="18"/>
        </w:rPr>
        <w:t xml:space="preserve">  </w:t>
      </w:r>
      <w:r w:rsidRPr="00EA0331">
        <w:rPr>
          <w:sz w:val="18"/>
        </w:rPr>
        <w:t>Calculated based on number of family members.</w:t>
      </w:r>
    </w:p>
    <w:p w14:paraId="643A1840" w14:textId="4A32C684" w:rsidR="00362B21" w:rsidRDefault="00362B21" w:rsidP="00EA0331">
      <w:pPr>
        <w:ind w:right="1134" w:firstLine="170"/>
        <w:rPr>
          <w:sz w:val="18"/>
        </w:rPr>
      </w:pPr>
      <w:r w:rsidRPr="00EA0331">
        <w:rPr>
          <w:sz w:val="18"/>
        </w:rPr>
        <w:t>*</w:t>
      </w:r>
      <w:proofErr w:type="gramStart"/>
      <w:r w:rsidRPr="00EA0331">
        <w:rPr>
          <w:sz w:val="18"/>
        </w:rPr>
        <w:t>*</w:t>
      </w:r>
      <w:r w:rsidR="00EA0331">
        <w:rPr>
          <w:sz w:val="18"/>
        </w:rPr>
        <w:t xml:space="preserve">  </w:t>
      </w:r>
      <w:r w:rsidRPr="00EA0331">
        <w:rPr>
          <w:sz w:val="18"/>
        </w:rPr>
        <w:t>Calculated</w:t>
      </w:r>
      <w:proofErr w:type="gramEnd"/>
      <w:r w:rsidRPr="00EA0331">
        <w:rPr>
          <w:sz w:val="18"/>
        </w:rPr>
        <w:t xml:space="preserve"> based on number of cases.</w:t>
      </w:r>
    </w:p>
    <w:p w14:paraId="4879B92D" w14:textId="77777777" w:rsidR="00362B21" w:rsidRPr="00EA0331" w:rsidRDefault="00362B21" w:rsidP="00EA0331">
      <w:pPr>
        <w:spacing w:before="120"/>
        <w:ind w:left="1134" w:right="1134" w:firstLine="170"/>
        <w:rPr>
          <w:sz w:val="18"/>
        </w:rPr>
        <w:sectPr w:rsidR="00362B21" w:rsidRPr="00EA0331" w:rsidSect="00E45843">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p>
    <w:p w14:paraId="5B2750CE" w14:textId="77777777" w:rsidR="001D75D7" w:rsidRPr="00B47380" w:rsidRDefault="001D75D7" w:rsidP="00D53B5F">
      <w:pPr>
        <w:pStyle w:val="SingleTxtG"/>
      </w:pPr>
      <w:r w:rsidRPr="00B47380">
        <w:lastRenderedPageBreak/>
        <w:t>115.</w:t>
      </w:r>
      <w:r w:rsidRPr="00B47380">
        <w:tab/>
        <w:t>According to the SWB, there were, respectively, 3,119, 2,820, 2,660, 2,481 and 2,248 families in crisis receiving regular economic assistance between 2014 and September 2018. The amounts, being last adjusted in 2018, relate to the number of family members: MOP$4,230 (1), MOP$7,770 (2), MOP$10,710 (3), MOP$13,020 (4), MOP$14,700 (5), MOP$16,380 (6), MOP$18,060 (7) and MOP$19,710 (≥ 8). (AR 6/2007 as amended by Order of the CE 264/2018).</w:t>
      </w:r>
    </w:p>
    <w:p w14:paraId="0E53C814" w14:textId="77777777" w:rsidR="001D75D7" w:rsidRPr="00B47380" w:rsidRDefault="001D75D7" w:rsidP="00D53B5F">
      <w:pPr>
        <w:pStyle w:val="SingleTxtG"/>
      </w:pPr>
      <w:r w:rsidRPr="00B47380">
        <w:t>116.</w:t>
      </w:r>
      <w:r w:rsidRPr="00B47380">
        <w:tab/>
        <w:t>The priority intervention targets may also apply for the monthly-granted special allowance, such as study aid, nursing assistance and disability assistance (Order of the SSAC 18/2003, as amended).</w:t>
      </w:r>
    </w:p>
    <w:p w14:paraId="3F2F678E" w14:textId="77777777" w:rsidR="001D75D7" w:rsidRPr="00B47380" w:rsidRDefault="001D75D7" w:rsidP="00D53B5F">
      <w:pPr>
        <w:pStyle w:val="SingleTxtG"/>
      </w:pPr>
      <w:r w:rsidRPr="00B47380">
        <w:t>117.</w:t>
      </w:r>
      <w:r w:rsidRPr="00B47380">
        <w:tab/>
        <w:t>A substantial improvement to assist families in balancing their working life and taking care of their children is the increased number of nurseries from 45 in 2014 to 57 in September 2018, providing children from 3 months to 3 years with a safe and healthy environment.</w:t>
      </w:r>
    </w:p>
    <w:p w14:paraId="18A48695" w14:textId="77777777" w:rsidR="001D75D7" w:rsidRPr="00B47380" w:rsidRDefault="001D75D7" w:rsidP="00D53B5F">
      <w:pPr>
        <w:pStyle w:val="SingleTxtG"/>
      </w:pPr>
      <w:r w:rsidRPr="00B47380">
        <w:t>118.</w:t>
      </w:r>
      <w:r w:rsidRPr="00B47380">
        <w:tab/>
        <w:t>Updated data related to the expenses on social services, social service facilities by type of service and users of social service facilities are provided in the tables on pages 133 to 136 of the 2017 Yearbook of Statistics.</w:t>
      </w:r>
    </w:p>
    <w:p w14:paraId="7ACBCD5B" w14:textId="77777777" w:rsidR="001D75D7" w:rsidRPr="00B47380" w:rsidRDefault="001D75D7" w:rsidP="00387717">
      <w:pPr>
        <w:pStyle w:val="H4G"/>
      </w:pPr>
      <w:r w:rsidRPr="00B47380">
        <w:tab/>
      </w:r>
      <w:r w:rsidRPr="00B47380">
        <w:tab/>
        <w:t>Domestic violence and other forms of abuse</w:t>
      </w:r>
    </w:p>
    <w:p w14:paraId="779203FB" w14:textId="6029670C" w:rsidR="001D75D7" w:rsidRPr="00B47380" w:rsidRDefault="001D75D7" w:rsidP="00D53B5F">
      <w:pPr>
        <w:pStyle w:val="SingleTxtG"/>
      </w:pPr>
      <w:r w:rsidRPr="00B47380">
        <w:t>119.</w:t>
      </w:r>
      <w:r w:rsidRPr="00B47380">
        <w:tab/>
        <w:t>Pursuant to paragraph 58 of the concluding observations, Law 2/2016 on Preventing and Combating Domestic Violence was adopted, criminalising domestic violence as an autonomous crime. The public nature of the crime was prescribed, i.e. a victim</w:t>
      </w:r>
      <w:r w:rsidR="006266F0">
        <w:t>’</w:t>
      </w:r>
      <w:r w:rsidRPr="00B47380">
        <w:t>s complaint is no longer required to initiate criminal proceedings. A new legal and institutional framework with specific procedural criminal norms and law enforcement measures, and preventive and victim protective measures, encompassing all the relevant departments and the civil society, was introduced.</w:t>
      </w:r>
    </w:p>
    <w:p w14:paraId="37AFB1FD" w14:textId="77777777" w:rsidR="001D75D7" w:rsidRPr="00B47380" w:rsidRDefault="001D75D7" w:rsidP="00D53B5F">
      <w:pPr>
        <w:pStyle w:val="SingleTxtG"/>
      </w:pPr>
      <w:r w:rsidRPr="00B47380">
        <w:t>120.</w:t>
      </w:r>
      <w:r w:rsidRPr="00B47380">
        <w:tab/>
        <w:t xml:space="preserve">Under Article 18(1) of Law 2/2016, whoever, in a family relationship or in an equivalent relationship, inflicts on another person any kind of physical, mental or sexual ill-treatment shall be punished with imprisonment from 1 to 5 years. Article 18(2) states that if the ill-treatment was committed in circumstances which reveal the special censurability or perversity of the perpetrator, he/she shall be punished with imprisonment from 2 to 8 years. </w:t>
      </w:r>
    </w:p>
    <w:p w14:paraId="6A4C0FD9" w14:textId="1E232B36" w:rsidR="001D75D7" w:rsidRPr="00B47380" w:rsidRDefault="001D75D7" w:rsidP="00D53B5F">
      <w:pPr>
        <w:pStyle w:val="SingleTxtG"/>
      </w:pPr>
      <w:r w:rsidRPr="00B47380">
        <w:t>121.</w:t>
      </w:r>
      <w:r w:rsidRPr="00B47380">
        <w:tab/>
        <w:t xml:space="preserve">The circumstances deemed to reveal the special censurability or perversity of the perpetrator shall include, inter alia: </w:t>
      </w:r>
      <w:r w:rsidR="00387717">
        <w:t>(</w:t>
      </w:r>
      <w:proofErr w:type="spellStart"/>
      <w:r w:rsidRPr="00B47380">
        <w:t>i</w:t>
      </w:r>
      <w:proofErr w:type="spellEnd"/>
      <w:r w:rsidRPr="00B47380">
        <w:t xml:space="preserve">) the victim being a minor under the age of 14, an incapacitated or a particularly vulnerable person due to age, pregnancy, illness or physical or mental disability; </w:t>
      </w:r>
      <w:r w:rsidR="00387717">
        <w:t>(</w:t>
      </w:r>
      <w:r w:rsidRPr="00B47380">
        <w:t xml:space="preserve">ii) the act having occurred in the presence of a minor under the age of 14; or </w:t>
      </w:r>
      <w:r w:rsidR="00387717">
        <w:t>(</w:t>
      </w:r>
      <w:r w:rsidRPr="00B47380">
        <w:t xml:space="preserve">iii) the circumstances provided for in subparagraphs </w:t>
      </w:r>
      <w:r w:rsidR="00387717">
        <w:t>(</w:t>
      </w:r>
      <w:r w:rsidRPr="00B47380">
        <w:t xml:space="preserve">b), </w:t>
      </w:r>
      <w:r w:rsidR="00387717">
        <w:t>(</w:t>
      </w:r>
      <w:r w:rsidRPr="00B47380">
        <w:t xml:space="preserve">c), </w:t>
      </w:r>
      <w:r w:rsidR="00387717">
        <w:t>(</w:t>
      </w:r>
      <w:r w:rsidRPr="00B47380">
        <w:t xml:space="preserve">f) and </w:t>
      </w:r>
      <w:r w:rsidR="00387717">
        <w:t>(</w:t>
      </w:r>
      <w:r w:rsidRPr="00B47380">
        <w:t xml:space="preserve">g) of paragraph 2 of Article 129 of the MCC in relation to qualified homicide. More severe penalties may also be imposed in case of serious offence against the physical integrity or death of the victim. </w:t>
      </w:r>
    </w:p>
    <w:p w14:paraId="03E306A8" w14:textId="5145CEA2" w:rsidR="00387717" w:rsidRDefault="001D75D7" w:rsidP="00E45843">
      <w:pPr>
        <w:pStyle w:val="SingleTxtG"/>
      </w:pPr>
      <w:r w:rsidRPr="00B47380">
        <w:t>122.</w:t>
      </w:r>
      <w:r w:rsidR="00D96F66">
        <w:tab/>
      </w:r>
      <w:r w:rsidRPr="00B47380">
        <w:t xml:space="preserve">Accessory penalties may be imposed individually or cumulatively for a period of 6 months to 5 years to prevent the re-occurrence of domestic violence (Article 19), as well as urgent coercive measures, if there are strong </w:t>
      </w:r>
      <w:r w:rsidRPr="00887160">
        <w:rPr>
          <w:i/>
          <w:iCs/>
        </w:rPr>
        <w:t>indicia</w:t>
      </w:r>
      <w:r w:rsidRPr="00B47380">
        <w:t xml:space="preserve"> of the commission of the crime, namely, the removal from his/her domicile, when the defendant cohabits with the victim; the prohibition of staying in specified areas, particularly those near the domicile of the victim or of his/her cohabiting family members, their workplace or the educational establishment they attend; the prohibition of accompanying, lodging or receiving certain persons; the prohibition of possessing arms, objects or tools capable of being used to facilitate the commission of further crimes of domestic violence (Article 25(1)).</w:t>
      </w:r>
    </w:p>
    <w:p w14:paraId="07DE7CF1" w14:textId="7E1506E9" w:rsidR="001D75D7" w:rsidRDefault="001D75D7" w:rsidP="00387717">
      <w:pPr>
        <w:pStyle w:val="H23G"/>
      </w:pPr>
      <w:r w:rsidRPr="00B47380">
        <w:tab/>
      </w:r>
      <w:r w:rsidRPr="00B47380">
        <w:tab/>
        <w:t>Domestic violence cases handled by the police</w:t>
      </w:r>
    </w:p>
    <w:tbl>
      <w:tblPr>
        <w:tblStyle w:val="TableGrid"/>
        <w:tblW w:w="7370" w:type="dxa"/>
        <w:tblInd w:w="1134"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97"/>
        <w:gridCol w:w="1009"/>
        <w:gridCol w:w="1009"/>
        <w:gridCol w:w="1009"/>
        <w:gridCol w:w="904"/>
        <w:gridCol w:w="1071"/>
        <w:gridCol w:w="1071"/>
      </w:tblGrid>
      <w:tr w:rsidR="00402C08" w:rsidRPr="00402C08" w14:paraId="7A1393FF" w14:textId="77777777" w:rsidTr="00402C08">
        <w:trPr>
          <w:cantSplit/>
          <w:tblHeader/>
        </w:trPr>
        <w:tc>
          <w:tcPr>
            <w:tcW w:w="1297" w:type="dxa"/>
            <w:tcBorders>
              <w:top w:val="single" w:sz="4" w:space="0" w:color="auto"/>
              <w:bottom w:val="nil"/>
            </w:tcBorders>
            <w:shd w:val="clear" w:color="auto" w:fill="auto"/>
            <w:vAlign w:val="bottom"/>
          </w:tcPr>
          <w:p w14:paraId="3F729B4A" w14:textId="4D0196A6" w:rsidR="00402C08" w:rsidRPr="00402C08" w:rsidRDefault="00402C08" w:rsidP="00402C08">
            <w:pPr>
              <w:suppressAutoHyphens w:val="0"/>
              <w:spacing w:before="40" w:after="40" w:line="220" w:lineRule="exact"/>
              <w:ind w:right="113"/>
              <w:rPr>
                <w:i/>
                <w:sz w:val="18"/>
              </w:rPr>
            </w:pPr>
          </w:p>
        </w:tc>
        <w:tc>
          <w:tcPr>
            <w:tcW w:w="1009" w:type="dxa"/>
            <w:tcBorders>
              <w:top w:val="single" w:sz="4" w:space="0" w:color="auto"/>
              <w:bottom w:val="nil"/>
            </w:tcBorders>
            <w:shd w:val="clear" w:color="auto" w:fill="auto"/>
            <w:vAlign w:val="bottom"/>
          </w:tcPr>
          <w:p w14:paraId="112EB20D" w14:textId="07AF3848" w:rsidR="00402C08" w:rsidRPr="00402C08" w:rsidRDefault="00402C08" w:rsidP="00402C08">
            <w:pPr>
              <w:suppressAutoHyphens w:val="0"/>
              <w:spacing w:before="40" w:after="40" w:line="220" w:lineRule="exact"/>
              <w:ind w:right="113"/>
              <w:rPr>
                <w:i/>
                <w:sz w:val="18"/>
              </w:rPr>
            </w:pPr>
          </w:p>
        </w:tc>
        <w:tc>
          <w:tcPr>
            <w:tcW w:w="1009" w:type="dxa"/>
            <w:tcBorders>
              <w:top w:val="single" w:sz="4" w:space="0" w:color="auto"/>
              <w:bottom w:val="nil"/>
            </w:tcBorders>
            <w:shd w:val="clear" w:color="auto" w:fill="auto"/>
            <w:vAlign w:val="bottom"/>
          </w:tcPr>
          <w:p w14:paraId="51AEC40B" w14:textId="21D1C640" w:rsidR="00402C08" w:rsidRPr="00402C08" w:rsidRDefault="00402C08" w:rsidP="00402C08">
            <w:pPr>
              <w:suppressAutoHyphens w:val="0"/>
              <w:spacing w:before="40" w:after="40" w:line="220" w:lineRule="exact"/>
              <w:ind w:right="113"/>
              <w:rPr>
                <w:i/>
                <w:sz w:val="18"/>
              </w:rPr>
            </w:pPr>
          </w:p>
        </w:tc>
        <w:tc>
          <w:tcPr>
            <w:tcW w:w="1913" w:type="dxa"/>
            <w:gridSpan w:val="2"/>
            <w:tcBorders>
              <w:top w:val="single" w:sz="4" w:space="0" w:color="auto"/>
              <w:bottom w:val="single" w:sz="4" w:space="0" w:color="auto"/>
            </w:tcBorders>
            <w:shd w:val="clear" w:color="auto" w:fill="auto"/>
            <w:vAlign w:val="bottom"/>
          </w:tcPr>
          <w:p w14:paraId="32C437AE" w14:textId="3B1C1B9D" w:rsidR="00402C08" w:rsidRPr="00402C08" w:rsidRDefault="00402C08" w:rsidP="00402C08">
            <w:pPr>
              <w:suppressAutoHyphens w:val="0"/>
              <w:spacing w:before="40" w:after="40" w:line="220" w:lineRule="exact"/>
              <w:ind w:right="113"/>
              <w:jc w:val="center"/>
              <w:rPr>
                <w:i/>
                <w:sz w:val="18"/>
              </w:rPr>
            </w:pPr>
            <w:r w:rsidRPr="00402C08">
              <w:rPr>
                <w:i/>
                <w:sz w:val="18"/>
              </w:rPr>
              <w:t>2016</w:t>
            </w:r>
          </w:p>
        </w:tc>
        <w:tc>
          <w:tcPr>
            <w:tcW w:w="1071" w:type="dxa"/>
            <w:tcBorders>
              <w:top w:val="single" w:sz="4" w:space="0" w:color="auto"/>
              <w:bottom w:val="nil"/>
            </w:tcBorders>
            <w:shd w:val="clear" w:color="auto" w:fill="auto"/>
            <w:vAlign w:val="bottom"/>
          </w:tcPr>
          <w:p w14:paraId="2C98E9C6" w14:textId="73CE5831" w:rsidR="00402C08" w:rsidRPr="00402C08" w:rsidRDefault="00402C08" w:rsidP="00402C08">
            <w:pPr>
              <w:suppressAutoHyphens w:val="0"/>
              <w:spacing w:before="40" w:after="40" w:line="220" w:lineRule="exact"/>
              <w:ind w:right="113"/>
              <w:jc w:val="right"/>
              <w:rPr>
                <w:i/>
                <w:sz w:val="18"/>
              </w:rPr>
            </w:pPr>
          </w:p>
        </w:tc>
        <w:tc>
          <w:tcPr>
            <w:tcW w:w="1071" w:type="dxa"/>
            <w:tcBorders>
              <w:top w:val="single" w:sz="4" w:space="0" w:color="auto"/>
              <w:bottom w:val="nil"/>
            </w:tcBorders>
            <w:shd w:val="clear" w:color="auto" w:fill="auto"/>
            <w:vAlign w:val="bottom"/>
          </w:tcPr>
          <w:p w14:paraId="014D296D" w14:textId="20A84E3E" w:rsidR="00402C08" w:rsidRPr="00402C08" w:rsidRDefault="00402C08" w:rsidP="00402C08">
            <w:pPr>
              <w:suppressAutoHyphens w:val="0"/>
              <w:spacing w:before="40" w:after="40" w:line="220" w:lineRule="exact"/>
              <w:ind w:right="113"/>
              <w:jc w:val="right"/>
              <w:rPr>
                <w:i/>
                <w:sz w:val="18"/>
              </w:rPr>
            </w:pPr>
          </w:p>
        </w:tc>
      </w:tr>
      <w:tr w:rsidR="00402C08" w:rsidRPr="00402C08" w14:paraId="1169A7F7" w14:textId="77777777" w:rsidTr="00402C08">
        <w:trPr>
          <w:cantSplit/>
          <w:tblHeader/>
        </w:trPr>
        <w:tc>
          <w:tcPr>
            <w:tcW w:w="1297" w:type="dxa"/>
            <w:tcBorders>
              <w:top w:val="nil"/>
              <w:bottom w:val="single" w:sz="12" w:space="0" w:color="auto"/>
            </w:tcBorders>
            <w:shd w:val="clear" w:color="auto" w:fill="auto"/>
            <w:vAlign w:val="bottom"/>
          </w:tcPr>
          <w:p w14:paraId="13278AE8" w14:textId="50FD4B06" w:rsidR="00402C08" w:rsidRPr="00402C08" w:rsidRDefault="00402C08" w:rsidP="00402C08">
            <w:pPr>
              <w:suppressAutoHyphens w:val="0"/>
              <w:spacing w:before="40" w:after="40" w:line="220" w:lineRule="exact"/>
              <w:ind w:right="113"/>
              <w:rPr>
                <w:sz w:val="18"/>
              </w:rPr>
            </w:pPr>
            <w:r w:rsidRPr="00402C08">
              <w:rPr>
                <w:i/>
                <w:sz w:val="18"/>
              </w:rPr>
              <w:t>Type/Year</w:t>
            </w:r>
          </w:p>
        </w:tc>
        <w:tc>
          <w:tcPr>
            <w:tcW w:w="1009" w:type="dxa"/>
            <w:tcBorders>
              <w:top w:val="nil"/>
              <w:bottom w:val="single" w:sz="12" w:space="0" w:color="auto"/>
            </w:tcBorders>
            <w:shd w:val="clear" w:color="auto" w:fill="auto"/>
            <w:vAlign w:val="bottom"/>
          </w:tcPr>
          <w:p w14:paraId="64F9E9C6" w14:textId="3E427FC3" w:rsidR="00402C08" w:rsidRPr="00402C08" w:rsidRDefault="00402C08" w:rsidP="00402C08">
            <w:pPr>
              <w:suppressAutoHyphens w:val="0"/>
              <w:spacing w:before="40" w:after="40" w:line="220" w:lineRule="exact"/>
              <w:ind w:right="113"/>
              <w:rPr>
                <w:sz w:val="18"/>
              </w:rPr>
            </w:pPr>
            <w:r w:rsidRPr="00402C08">
              <w:rPr>
                <w:i/>
                <w:sz w:val="18"/>
              </w:rPr>
              <w:t>2014</w:t>
            </w:r>
          </w:p>
        </w:tc>
        <w:tc>
          <w:tcPr>
            <w:tcW w:w="1009" w:type="dxa"/>
            <w:tcBorders>
              <w:top w:val="nil"/>
              <w:bottom w:val="single" w:sz="12" w:space="0" w:color="auto"/>
            </w:tcBorders>
            <w:shd w:val="clear" w:color="auto" w:fill="auto"/>
            <w:vAlign w:val="bottom"/>
          </w:tcPr>
          <w:p w14:paraId="7B6D87F4" w14:textId="182C317C" w:rsidR="00402C08" w:rsidRPr="00402C08" w:rsidRDefault="00402C08" w:rsidP="00402C08">
            <w:pPr>
              <w:suppressAutoHyphens w:val="0"/>
              <w:spacing w:before="40" w:after="40" w:line="220" w:lineRule="exact"/>
              <w:ind w:right="113"/>
              <w:rPr>
                <w:sz w:val="18"/>
              </w:rPr>
            </w:pPr>
            <w:r w:rsidRPr="00402C08">
              <w:rPr>
                <w:i/>
                <w:sz w:val="18"/>
              </w:rPr>
              <w:t>2015</w:t>
            </w:r>
          </w:p>
        </w:tc>
        <w:tc>
          <w:tcPr>
            <w:tcW w:w="1009" w:type="dxa"/>
            <w:tcBorders>
              <w:top w:val="single" w:sz="4" w:space="0" w:color="auto"/>
              <w:bottom w:val="single" w:sz="12" w:space="0" w:color="auto"/>
            </w:tcBorders>
            <w:shd w:val="clear" w:color="auto" w:fill="auto"/>
            <w:vAlign w:val="bottom"/>
          </w:tcPr>
          <w:p w14:paraId="5C219359" w14:textId="2DE886BC" w:rsidR="00402C08" w:rsidRPr="00402C08" w:rsidRDefault="00402C08" w:rsidP="00402C08">
            <w:pPr>
              <w:suppressAutoHyphens w:val="0"/>
              <w:spacing w:before="40" w:after="40" w:line="220" w:lineRule="exact"/>
              <w:ind w:right="113"/>
              <w:rPr>
                <w:sz w:val="18"/>
              </w:rPr>
            </w:pPr>
            <w:r w:rsidRPr="00402C08">
              <w:rPr>
                <w:i/>
                <w:sz w:val="18"/>
              </w:rPr>
              <w:t>Jan</w:t>
            </w:r>
            <w:r w:rsidRPr="00402C08">
              <w:rPr>
                <w:sz w:val="18"/>
              </w:rPr>
              <w:t>–</w:t>
            </w:r>
            <w:r w:rsidRPr="00402C08">
              <w:rPr>
                <w:i/>
                <w:sz w:val="18"/>
              </w:rPr>
              <w:t>Sep</w:t>
            </w:r>
          </w:p>
        </w:tc>
        <w:tc>
          <w:tcPr>
            <w:tcW w:w="904" w:type="dxa"/>
            <w:tcBorders>
              <w:top w:val="single" w:sz="4" w:space="0" w:color="auto"/>
              <w:bottom w:val="single" w:sz="12" w:space="0" w:color="auto"/>
            </w:tcBorders>
            <w:shd w:val="clear" w:color="auto" w:fill="auto"/>
            <w:vAlign w:val="bottom"/>
          </w:tcPr>
          <w:p w14:paraId="0F1EA4F6" w14:textId="4C859AE2" w:rsidR="00402C08" w:rsidRPr="00402C08" w:rsidRDefault="00402C08" w:rsidP="00402C08">
            <w:pPr>
              <w:suppressAutoHyphens w:val="0"/>
              <w:spacing w:before="40" w:after="40" w:line="220" w:lineRule="exact"/>
              <w:ind w:right="113"/>
              <w:jc w:val="right"/>
              <w:rPr>
                <w:sz w:val="18"/>
              </w:rPr>
            </w:pPr>
            <w:r w:rsidRPr="00402C08">
              <w:rPr>
                <w:i/>
                <w:sz w:val="18"/>
              </w:rPr>
              <w:t>Oct</w:t>
            </w:r>
            <w:r w:rsidRPr="00402C08">
              <w:rPr>
                <w:sz w:val="18"/>
              </w:rPr>
              <w:t>–</w:t>
            </w:r>
            <w:r w:rsidRPr="00402C08">
              <w:rPr>
                <w:i/>
                <w:sz w:val="18"/>
              </w:rPr>
              <w:t>Dec*</w:t>
            </w:r>
          </w:p>
        </w:tc>
        <w:tc>
          <w:tcPr>
            <w:tcW w:w="1071" w:type="dxa"/>
            <w:tcBorders>
              <w:top w:val="nil"/>
              <w:bottom w:val="single" w:sz="12" w:space="0" w:color="auto"/>
            </w:tcBorders>
            <w:shd w:val="clear" w:color="auto" w:fill="auto"/>
            <w:vAlign w:val="bottom"/>
          </w:tcPr>
          <w:p w14:paraId="25AB2CDD" w14:textId="0E06FC2D" w:rsidR="00402C08" w:rsidRPr="00402C08" w:rsidRDefault="00402C08" w:rsidP="00402C08">
            <w:pPr>
              <w:suppressAutoHyphens w:val="0"/>
              <w:spacing w:before="40" w:after="40" w:line="220" w:lineRule="exact"/>
              <w:ind w:right="113"/>
              <w:jc w:val="right"/>
              <w:rPr>
                <w:sz w:val="18"/>
              </w:rPr>
            </w:pPr>
            <w:r w:rsidRPr="00402C08">
              <w:rPr>
                <w:i/>
                <w:sz w:val="18"/>
              </w:rPr>
              <w:t>2017*</w:t>
            </w:r>
          </w:p>
        </w:tc>
        <w:tc>
          <w:tcPr>
            <w:tcW w:w="1071" w:type="dxa"/>
            <w:tcBorders>
              <w:top w:val="nil"/>
              <w:bottom w:val="single" w:sz="12" w:space="0" w:color="auto"/>
            </w:tcBorders>
            <w:shd w:val="clear" w:color="auto" w:fill="auto"/>
            <w:vAlign w:val="bottom"/>
          </w:tcPr>
          <w:p w14:paraId="32E4D64E" w14:textId="3D04F3A2" w:rsidR="00402C08" w:rsidRPr="00402C08" w:rsidRDefault="00402C08" w:rsidP="00402C08">
            <w:pPr>
              <w:suppressAutoHyphens w:val="0"/>
              <w:spacing w:before="40" w:after="40" w:line="220" w:lineRule="exact"/>
              <w:ind w:right="113"/>
              <w:jc w:val="right"/>
              <w:rPr>
                <w:sz w:val="18"/>
              </w:rPr>
            </w:pPr>
            <w:r w:rsidRPr="00402C08">
              <w:rPr>
                <w:i/>
                <w:sz w:val="18"/>
              </w:rPr>
              <w:t>09/2018</w:t>
            </w:r>
          </w:p>
        </w:tc>
      </w:tr>
      <w:tr w:rsidR="00402C08" w:rsidRPr="00402C08" w14:paraId="7336A3A0" w14:textId="77777777" w:rsidTr="00402C08">
        <w:trPr>
          <w:cantSplit/>
        </w:trPr>
        <w:tc>
          <w:tcPr>
            <w:tcW w:w="1297" w:type="dxa"/>
            <w:tcBorders>
              <w:top w:val="single" w:sz="12" w:space="0" w:color="auto"/>
              <w:bottom w:val="nil"/>
            </w:tcBorders>
            <w:shd w:val="clear" w:color="auto" w:fill="auto"/>
          </w:tcPr>
          <w:p w14:paraId="3AF936E1" w14:textId="6253722E" w:rsidR="00402C08" w:rsidRPr="00402C08" w:rsidRDefault="00402C08" w:rsidP="00402C08">
            <w:pPr>
              <w:suppressAutoHyphens w:val="0"/>
              <w:spacing w:before="40" w:after="40" w:line="220" w:lineRule="exact"/>
              <w:ind w:right="113"/>
              <w:rPr>
                <w:sz w:val="18"/>
              </w:rPr>
            </w:pPr>
            <w:r w:rsidRPr="00402C08">
              <w:rPr>
                <w:sz w:val="18"/>
              </w:rPr>
              <w:t>No. of cases</w:t>
            </w:r>
          </w:p>
        </w:tc>
        <w:tc>
          <w:tcPr>
            <w:tcW w:w="1009" w:type="dxa"/>
            <w:tcBorders>
              <w:top w:val="single" w:sz="12" w:space="0" w:color="auto"/>
              <w:bottom w:val="nil"/>
            </w:tcBorders>
            <w:shd w:val="clear" w:color="auto" w:fill="auto"/>
            <w:vAlign w:val="bottom"/>
          </w:tcPr>
          <w:p w14:paraId="6CF8D24F" w14:textId="155CED17" w:rsidR="00402C08" w:rsidRPr="00402C08" w:rsidRDefault="00402C08" w:rsidP="00402C08">
            <w:pPr>
              <w:suppressAutoHyphens w:val="0"/>
              <w:spacing w:before="40" w:after="40" w:line="220" w:lineRule="exact"/>
              <w:ind w:right="113"/>
              <w:jc w:val="right"/>
              <w:rPr>
                <w:sz w:val="18"/>
              </w:rPr>
            </w:pPr>
            <w:r w:rsidRPr="00402C08">
              <w:rPr>
                <w:sz w:val="18"/>
              </w:rPr>
              <w:t>353</w:t>
            </w:r>
          </w:p>
        </w:tc>
        <w:tc>
          <w:tcPr>
            <w:tcW w:w="1009" w:type="dxa"/>
            <w:tcBorders>
              <w:top w:val="single" w:sz="12" w:space="0" w:color="auto"/>
              <w:bottom w:val="nil"/>
            </w:tcBorders>
            <w:shd w:val="clear" w:color="auto" w:fill="auto"/>
            <w:vAlign w:val="bottom"/>
          </w:tcPr>
          <w:p w14:paraId="55EAE2A2" w14:textId="19159A81" w:rsidR="00402C08" w:rsidRPr="00402C08" w:rsidRDefault="00402C08" w:rsidP="00402C08">
            <w:pPr>
              <w:suppressAutoHyphens w:val="0"/>
              <w:spacing w:before="40" w:after="40" w:line="220" w:lineRule="exact"/>
              <w:ind w:right="113"/>
              <w:jc w:val="right"/>
              <w:rPr>
                <w:sz w:val="18"/>
              </w:rPr>
            </w:pPr>
            <w:r w:rsidRPr="00402C08">
              <w:rPr>
                <w:sz w:val="18"/>
              </w:rPr>
              <w:t>273</w:t>
            </w:r>
          </w:p>
        </w:tc>
        <w:tc>
          <w:tcPr>
            <w:tcW w:w="1009" w:type="dxa"/>
            <w:tcBorders>
              <w:top w:val="single" w:sz="12" w:space="0" w:color="auto"/>
              <w:bottom w:val="nil"/>
            </w:tcBorders>
            <w:shd w:val="clear" w:color="auto" w:fill="auto"/>
            <w:vAlign w:val="bottom"/>
          </w:tcPr>
          <w:p w14:paraId="1D5D71DE" w14:textId="0F8F7EAF" w:rsidR="00402C08" w:rsidRPr="00402C08" w:rsidRDefault="00402C08" w:rsidP="00402C08">
            <w:pPr>
              <w:suppressAutoHyphens w:val="0"/>
              <w:spacing w:before="40" w:after="40" w:line="220" w:lineRule="exact"/>
              <w:ind w:right="113"/>
              <w:jc w:val="right"/>
              <w:rPr>
                <w:sz w:val="18"/>
              </w:rPr>
            </w:pPr>
            <w:r w:rsidRPr="00E45843">
              <w:rPr>
                <w:sz w:val="18"/>
              </w:rPr>
              <w:t>383</w:t>
            </w:r>
          </w:p>
        </w:tc>
        <w:tc>
          <w:tcPr>
            <w:tcW w:w="904" w:type="dxa"/>
            <w:tcBorders>
              <w:top w:val="single" w:sz="12" w:space="0" w:color="auto"/>
              <w:bottom w:val="nil"/>
            </w:tcBorders>
            <w:shd w:val="clear" w:color="auto" w:fill="auto"/>
            <w:vAlign w:val="bottom"/>
          </w:tcPr>
          <w:p w14:paraId="24E621E6" w14:textId="0EFBC410" w:rsidR="00402C08" w:rsidRPr="00402C08" w:rsidRDefault="00402C08" w:rsidP="00402C08">
            <w:pPr>
              <w:suppressAutoHyphens w:val="0"/>
              <w:spacing w:before="40" w:after="40" w:line="220" w:lineRule="exact"/>
              <w:ind w:right="113"/>
              <w:jc w:val="right"/>
              <w:rPr>
                <w:sz w:val="18"/>
              </w:rPr>
            </w:pPr>
            <w:r w:rsidRPr="00E45843">
              <w:rPr>
                <w:sz w:val="18"/>
              </w:rPr>
              <w:t>9</w:t>
            </w:r>
          </w:p>
        </w:tc>
        <w:tc>
          <w:tcPr>
            <w:tcW w:w="1071" w:type="dxa"/>
            <w:tcBorders>
              <w:top w:val="single" w:sz="12" w:space="0" w:color="auto"/>
              <w:bottom w:val="nil"/>
            </w:tcBorders>
            <w:shd w:val="clear" w:color="auto" w:fill="auto"/>
            <w:vAlign w:val="bottom"/>
          </w:tcPr>
          <w:p w14:paraId="2BAF3CA3" w14:textId="263C9465" w:rsidR="00402C08" w:rsidRPr="00402C08" w:rsidRDefault="00402C08" w:rsidP="00402C08">
            <w:pPr>
              <w:suppressAutoHyphens w:val="0"/>
              <w:spacing w:before="40" w:after="40" w:line="220" w:lineRule="exact"/>
              <w:ind w:right="113"/>
              <w:jc w:val="right"/>
              <w:rPr>
                <w:sz w:val="18"/>
              </w:rPr>
            </w:pPr>
            <w:r w:rsidRPr="00E45843">
              <w:rPr>
                <w:sz w:val="18"/>
              </w:rPr>
              <w:t>10</w:t>
            </w:r>
          </w:p>
        </w:tc>
        <w:tc>
          <w:tcPr>
            <w:tcW w:w="1071" w:type="dxa"/>
            <w:tcBorders>
              <w:top w:val="single" w:sz="12" w:space="0" w:color="auto"/>
              <w:bottom w:val="nil"/>
            </w:tcBorders>
            <w:shd w:val="clear" w:color="auto" w:fill="auto"/>
            <w:vAlign w:val="bottom"/>
          </w:tcPr>
          <w:p w14:paraId="7CB60903" w14:textId="7D15B3B7" w:rsidR="00402C08" w:rsidRPr="00402C08" w:rsidRDefault="00402C08" w:rsidP="00402C08">
            <w:pPr>
              <w:suppressAutoHyphens w:val="0"/>
              <w:spacing w:before="40" w:after="40" w:line="220" w:lineRule="exact"/>
              <w:ind w:right="113"/>
              <w:jc w:val="right"/>
              <w:rPr>
                <w:sz w:val="18"/>
              </w:rPr>
            </w:pPr>
            <w:r w:rsidRPr="00E45843">
              <w:rPr>
                <w:sz w:val="18"/>
              </w:rPr>
              <w:t>1</w:t>
            </w:r>
          </w:p>
        </w:tc>
      </w:tr>
      <w:tr w:rsidR="00402C08" w:rsidRPr="00402C08" w14:paraId="166DC4EF" w14:textId="77777777" w:rsidTr="00402C08">
        <w:trPr>
          <w:cantSplit/>
        </w:trPr>
        <w:tc>
          <w:tcPr>
            <w:tcW w:w="1297" w:type="dxa"/>
            <w:tcBorders>
              <w:top w:val="nil"/>
              <w:bottom w:val="nil"/>
            </w:tcBorders>
            <w:shd w:val="clear" w:color="auto" w:fill="auto"/>
          </w:tcPr>
          <w:p w14:paraId="765FB1FD" w14:textId="3650313E" w:rsidR="00402C08" w:rsidRPr="00402C08" w:rsidRDefault="00402C08" w:rsidP="00402C08">
            <w:pPr>
              <w:suppressAutoHyphens w:val="0"/>
              <w:spacing w:before="40" w:after="40" w:line="220" w:lineRule="exact"/>
              <w:ind w:right="113"/>
              <w:rPr>
                <w:sz w:val="18"/>
              </w:rPr>
            </w:pPr>
            <w:r w:rsidRPr="00402C08">
              <w:rPr>
                <w:sz w:val="18"/>
              </w:rPr>
              <w:t>Spousal abuse (No. of cases)</w:t>
            </w:r>
          </w:p>
        </w:tc>
        <w:tc>
          <w:tcPr>
            <w:tcW w:w="1009" w:type="dxa"/>
            <w:tcBorders>
              <w:top w:val="nil"/>
              <w:bottom w:val="nil"/>
            </w:tcBorders>
            <w:shd w:val="clear" w:color="auto" w:fill="auto"/>
            <w:vAlign w:val="bottom"/>
          </w:tcPr>
          <w:p w14:paraId="116346A2" w14:textId="29004E0B" w:rsidR="00402C08" w:rsidRPr="00402C08" w:rsidRDefault="00402C08" w:rsidP="00402C08">
            <w:pPr>
              <w:suppressAutoHyphens w:val="0"/>
              <w:spacing w:before="40" w:after="40" w:line="220" w:lineRule="exact"/>
              <w:ind w:right="113"/>
              <w:jc w:val="right"/>
              <w:rPr>
                <w:sz w:val="18"/>
              </w:rPr>
            </w:pPr>
            <w:r w:rsidRPr="00402C08">
              <w:rPr>
                <w:sz w:val="18"/>
              </w:rPr>
              <w:t>241</w:t>
            </w:r>
          </w:p>
        </w:tc>
        <w:tc>
          <w:tcPr>
            <w:tcW w:w="1009" w:type="dxa"/>
            <w:tcBorders>
              <w:top w:val="nil"/>
              <w:bottom w:val="nil"/>
            </w:tcBorders>
            <w:shd w:val="clear" w:color="auto" w:fill="auto"/>
            <w:vAlign w:val="bottom"/>
          </w:tcPr>
          <w:p w14:paraId="76059157" w14:textId="6CD515E9" w:rsidR="00402C08" w:rsidRPr="00402C08" w:rsidRDefault="00402C08" w:rsidP="00402C08">
            <w:pPr>
              <w:suppressAutoHyphens w:val="0"/>
              <w:spacing w:before="40" w:after="40" w:line="220" w:lineRule="exact"/>
              <w:ind w:right="113"/>
              <w:jc w:val="right"/>
              <w:rPr>
                <w:sz w:val="18"/>
              </w:rPr>
            </w:pPr>
            <w:r w:rsidRPr="00402C08">
              <w:rPr>
                <w:sz w:val="18"/>
              </w:rPr>
              <w:t>207</w:t>
            </w:r>
          </w:p>
        </w:tc>
        <w:tc>
          <w:tcPr>
            <w:tcW w:w="1009" w:type="dxa"/>
            <w:tcBorders>
              <w:top w:val="nil"/>
              <w:bottom w:val="nil"/>
            </w:tcBorders>
            <w:shd w:val="clear" w:color="auto" w:fill="auto"/>
            <w:vAlign w:val="bottom"/>
          </w:tcPr>
          <w:p w14:paraId="12302544" w14:textId="6B9D4E09" w:rsidR="00402C08" w:rsidRPr="00402C08" w:rsidRDefault="00402C08" w:rsidP="00402C08">
            <w:pPr>
              <w:suppressAutoHyphens w:val="0"/>
              <w:spacing w:before="40" w:after="40" w:line="220" w:lineRule="exact"/>
              <w:ind w:right="113"/>
              <w:jc w:val="right"/>
              <w:rPr>
                <w:sz w:val="18"/>
              </w:rPr>
            </w:pPr>
            <w:r w:rsidRPr="00E45843">
              <w:rPr>
                <w:sz w:val="18"/>
              </w:rPr>
              <w:t>275</w:t>
            </w:r>
          </w:p>
        </w:tc>
        <w:tc>
          <w:tcPr>
            <w:tcW w:w="904" w:type="dxa"/>
            <w:tcBorders>
              <w:top w:val="nil"/>
              <w:bottom w:val="nil"/>
            </w:tcBorders>
            <w:shd w:val="clear" w:color="auto" w:fill="auto"/>
            <w:vAlign w:val="bottom"/>
          </w:tcPr>
          <w:p w14:paraId="5C126A28" w14:textId="0CC7A044" w:rsidR="00402C08" w:rsidRPr="00402C08" w:rsidRDefault="00402C08" w:rsidP="00402C08">
            <w:pPr>
              <w:suppressAutoHyphens w:val="0"/>
              <w:spacing w:before="40" w:after="40" w:line="220" w:lineRule="exact"/>
              <w:ind w:right="113"/>
              <w:jc w:val="right"/>
              <w:rPr>
                <w:sz w:val="18"/>
              </w:rPr>
            </w:pPr>
            <w:r w:rsidRPr="00E45843">
              <w:rPr>
                <w:sz w:val="18"/>
              </w:rPr>
              <w:t>8</w:t>
            </w:r>
          </w:p>
        </w:tc>
        <w:tc>
          <w:tcPr>
            <w:tcW w:w="1071" w:type="dxa"/>
            <w:tcBorders>
              <w:top w:val="nil"/>
              <w:bottom w:val="nil"/>
            </w:tcBorders>
            <w:shd w:val="clear" w:color="auto" w:fill="auto"/>
            <w:vAlign w:val="bottom"/>
          </w:tcPr>
          <w:p w14:paraId="497F732C" w14:textId="449C6931" w:rsidR="00402C08" w:rsidRPr="00402C08" w:rsidRDefault="00402C08" w:rsidP="00402C08">
            <w:pPr>
              <w:suppressAutoHyphens w:val="0"/>
              <w:spacing w:before="40" w:after="40" w:line="220" w:lineRule="exact"/>
              <w:ind w:right="113"/>
              <w:jc w:val="right"/>
              <w:rPr>
                <w:sz w:val="18"/>
              </w:rPr>
            </w:pPr>
            <w:r w:rsidRPr="00E45843">
              <w:rPr>
                <w:sz w:val="18"/>
              </w:rPr>
              <w:t>8</w:t>
            </w:r>
          </w:p>
        </w:tc>
        <w:tc>
          <w:tcPr>
            <w:tcW w:w="1071" w:type="dxa"/>
            <w:tcBorders>
              <w:top w:val="nil"/>
              <w:bottom w:val="nil"/>
            </w:tcBorders>
            <w:shd w:val="clear" w:color="auto" w:fill="auto"/>
            <w:vAlign w:val="bottom"/>
          </w:tcPr>
          <w:p w14:paraId="39723561" w14:textId="3F7C646D" w:rsidR="00402C08" w:rsidRPr="00402C08" w:rsidRDefault="00402C08" w:rsidP="00402C08">
            <w:pPr>
              <w:suppressAutoHyphens w:val="0"/>
              <w:spacing w:before="40" w:after="40" w:line="220" w:lineRule="exact"/>
              <w:ind w:right="113"/>
              <w:jc w:val="right"/>
              <w:rPr>
                <w:sz w:val="18"/>
              </w:rPr>
            </w:pPr>
            <w:r w:rsidRPr="00E45843">
              <w:rPr>
                <w:sz w:val="18"/>
              </w:rPr>
              <w:t>1</w:t>
            </w:r>
          </w:p>
        </w:tc>
      </w:tr>
      <w:tr w:rsidR="00402C08" w:rsidRPr="00402C08" w14:paraId="6FD14930" w14:textId="77777777" w:rsidTr="00402C08">
        <w:trPr>
          <w:cantSplit/>
        </w:trPr>
        <w:tc>
          <w:tcPr>
            <w:tcW w:w="1297" w:type="dxa"/>
            <w:tcBorders>
              <w:top w:val="nil"/>
            </w:tcBorders>
            <w:shd w:val="clear" w:color="auto" w:fill="auto"/>
          </w:tcPr>
          <w:p w14:paraId="32405818" w14:textId="3D7DEBE5" w:rsidR="00402C08" w:rsidRPr="00402C08" w:rsidRDefault="00402C08" w:rsidP="00402C08">
            <w:pPr>
              <w:suppressAutoHyphens w:val="0"/>
              <w:spacing w:before="40" w:after="40" w:line="220" w:lineRule="exact"/>
              <w:ind w:right="113"/>
              <w:rPr>
                <w:sz w:val="18"/>
              </w:rPr>
            </w:pPr>
            <w:r w:rsidRPr="00402C08">
              <w:rPr>
                <w:sz w:val="18"/>
              </w:rPr>
              <w:lastRenderedPageBreak/>
              <w:t>Female victims</w:t>
            </w:r>
          </w:p>
        </w:tc>
        <w:tc>
          <w:tcPr>
            <w:tcW w:w="1009" w:type="dxa"/>
            <w:tcBorders>
              <w:top w:val="nil"/>
            </w:tcBorders>
            <w:shd w:val="clear" w:color="auto" w:fill="auto"/>
            <w:vAlign w:val="bottom"/>
          </w:tcPr>
          <w:p w14:paraId="225DB801" w14:textId="0BBEC8CD" w:rsidR="00402C08" w:rsidRPr="00402C08" w:rsidRDefault="00402C08" w:rsidP="00402C08">
            <w:pPr>
              <w:suppressAutoHyphens w:val="0"/>
              <w:spacing w:before="40" w:after="40" w:line="220" w:lineRule="exact"/>
              <w:ind w:right="113"/>
              <w:jc w:val="right"/>
              <w:rPr>
                <w:sz w:val="18"/>
              </w:rPr>
            </w:pPr>
            <w:r w:rsidRPr="00402C08">
              <w:rPr>
                <w:sz w:val="18"/>
              </w:rPr>
              <w:t>229</w:t>
            </w:r>
          </w:p>
        </w:tc>
        <w:tc>
          <w:tcPr>
            <w:tcW w:w="1009" w:type="dxa"/>
            <w:tcBorders>
              <w:top w:val="nil"/>
            </w:tcBorders>
            <w:shd w:val="clear" w:color="auto" w:fill="auto"/>
            <w:vAlign w:val="bottom"/>
          </w:tcPr>
          <w:p w14:paraId="4706CD80" w14:textId="45B67DAF" w:rsidR="00402C08" w:rsidRPr="00402C08" w:rsidRDefault="00402C08" w:rsidP="00402C08">
            <w:pPr>
              <w:suppressAutoHyphens w:val="0"/>
              <w:spacing w:before="40" w:after="40" w:line="220" w:lineRule="exact"/>
              <w:ind w:right="113"/>
              <w:jc w:val="right"/>
              <w:rPr>
                <w:sz w:val="18"/>
              </w:rPr>
            </w:pPr>
            <w:r w:rsidRPr="00402C08">
              <w:rPr>
                <w:sz w:val="18"/>
              </w:rPr>
              <w:t>194</w:t>
            </w:r>
          </w:p>
        </w:tc>
        <w:tc>
          <w:tcPr>
            <w:tcW w:w="1009" w:type="dxa"/>
            <w:tcBorders>
              <w:top w:val="nil"/>
            </w:tcBorders>
            <w:shd w:val="clear" w:color="auto" w:fill="auto"/>
            <w:vAlign w:val="bottom"/>
          </w:tcPr>
          <w:p w14:paraId="0C28C86A" w14:textId="615C00E1" w:rsidR="00402C08" w:rsidRPr="00402C08" w:rsidRDefault="00402C08" w:rsidP="00402C08">
            <w:pPr>
              <w:suppressAutoHyphens w:val="0"/>
              <w:spacing w:before="40" w:after="40" w:line="220" w:lineRule="exact"/>
              <w:ind w:right="113"/>
              <w:jc w:val="right"/>
              <w:rPr>
                <w:sz w:val="18"/>
              </w:rPr>
            </w:pPr>
            <w:r w:rsidRPr="00E45843">
              <w:rPr>
                <w:sz w:val="18"/>
              </w:rPr>
              <w:t>239</w:t>
            </w:r>
          </w:p>
        </w:tc>
        <w:tc>
          <w:tcPr>
            <w:tcW w:w="904" w:type="dxa"/>
            <w:tcBorders>
              <w:top w:val="nil"/>
            </w:tcBorders>
            <w:shd w:val="clear" w:color="auto" w:fill="auto"/>
            <w:vAlign w:val="bottom"/>
          </w:tcPr>
          <w:p w14:paraId="139D37D8" w14:textId="219AB013" w:rsidR="00402C08" w:rsidRPr="00402C08" w:rsidRDefault="00402C08" w:rsidP="00402C08">
            <w:pPr>
              <w:suppressAutoHyphens w:val="0"/>
              <w:spacing w:before="40" w:after="40" w:line="220" w:lineRule="exact"/>
              <w:ind w:right="113"/>
              <w:jc w:val="right"/>
              <w:rPr>
                <w:sz w:val="18"/>
              </w:rPr>
            </w:pPr>
            <w:r w:rsidRPr="00E45843">
              <w:rPr>
                <w:sz w:val="18"/>
              </w:rPr>
              <w:t>8</w:t>
            </w:r>
          </w:p>
        </w:tc>
        <w:tc>
          <w:tcPr>
            <w:tcW w:w="1071" w:type="dxa"/>
            <w:tcBorders>
              <w:top w:val="nil"/>
            </w:tcBorders>
            <w:shd w:val="clear" w:color="auto" w:fill="auto"/>
            <w:vAlign w:val="bottom"/>
          </w:tcPr>
          <w:p w14:paraId="117408D4" w14:textId="22258B75" w:rsidR="00402C08" w:rsidRPr="00402C08" w:rsidRDefault="00402C08" w:rsidP="00402C08">
            <w:pPr>
              <w:suppressAutoHyphens w:val="0"/>
              <w:spacing w:before="40" w:after="40" w:line="220" w:lineRule="exact"/>
              <w:ind w:right="113"/>
              <w:jc w:val="right"/>
              <w:rPr>
                <w:sz w:val="18"/>
              </w:rPr>
            </w:pPr>
            <w:r w:rsidRPr="00E45843">
              <w:rPr>
                <w:sz w:val="18"/>
              </w:rPr>
              <w:t>8</w:t>
            </w:r>
          </w:p>
        </w:tc>
        <w:tc>
          <w:tcPr>
            <w:tcW w:w="1071" w:type="dxa"/>
            <w:tcBorders>
              <w:top w:val="nil"/>
            </w:tcBorders>
            <w:shd w:val="clear" w:color="auto" w:fill="auto"/>
            <w:vAlign w:val="bottom"/>
          </w:tcPr>
          <w:p w14:paraId="2B8358B3" w14:textId="1563C386" w:rsidR="00402C08" w:rsidRPr="00402C08" w:rsidRDefault="00402C08" w:rsidP="00402C08">
            <w:pPr>
              <w:suppressAutoHyphens w:val="0"/>
              <w:spacing w:before="40" w:after="40" w:line="220" w:lineRule="exact"/>
              <w:ind w:right="113"/>
              <w:jc w:val="right"/>
              <w:rPr>
                <w:sz w:val="18"/>
              </w:rPr>
            </w:pPr>
            <w:r w:rsidRPr="00E45843">
              <w:rPr>
                <w:sz w:val="18"/>
              </w:rPr>
              <w:t>1</w:t>
            </w:r>
          </w:p>
        </w:tc>
      </w:tr>
      <w:tr w:rsidR="00402C08" w:rsidRPr="00402C08" w14:paraId="188B7893" w14:textId="77777777" w:rsidTr="00402C08">
        <w:trPr>
          <w:cantSplit/>
        </w:trPr>
        <w:tc>
          <w:tcPr>
            <w:tcW w:w="1297" w:type="dxa"/>
            <w:shd w:val="clear" w:color="auto" w:fill="auto"/>
          </w:tcPr>
          <w:p w14:paraId="79FE55BC" w14:textId="22CF77E6" w:rsidR="00402C08" w:rsidRPr="00402C08" w:rsidRDefault="00402C08" w:rsidP="00402C08">
            <w:pPr>
              <w:suppressAutoHyphens w:val="0"/>
              <w:spacing w:before="40" w:after="40" w:line="220" w:lineRule="exact"/>
              <w:ind w:right="113"/>
              <w:rPr>
                <w:sz w:val="18"/>
              </w:rPr>
            </w:pPr>
            <w:r w:rsidRPr="00402C08">
              <w:rPr>
                <w:sz w:val="18"/>
              </w:rPr>
              <w:t>Male victims</w:t>
            </w:r>
          </w:p>
        </w:tc>
        <w:tc>
          <w:tcPr>
            <w:tcW w:w="1009" w:type="dxa"/>
            <w:shd w:val="clear" w:color="auto" w:fill="auto"/>
            <w:vAlign w:val="bottom"/>
          </w:tcPr>
          <w:p w14:paraId="50A87B28" w14:textId="312A1AEB" w:rsidR="00402C08" w:rsidRPr="00402C08" w:rsidRDefault="00402C08" w:rsidP="00402C08">
            <w:pPr>
              <w:suppressAutoHyphens w:val="0"/>
              <w:spacing w:before="40" w:after="40" w:line="220" w:lineRule="exact"/>
              <w:ind w:right="113"/>
              <w:jc w:val="right"/>
              <w:rPr>
                <w:sz w:val="18"/>
              </w:rPr>
            </w:pPr>
            <w:r w:rsidRPr="00402C08">
              <w:rPr>
                <w:sz w:val="18"/>
              </w:rPr>
              <w:t>12</w:t>
            </w:r>
          </w:p>
        </w:tc>
        <w:tc>
          <w:tcPr>
            <w:tcW w:w="1009" w:type="dxa"/>
            <w:shd w:val="clear" w:color="auto" w:fill="auto"/>
            <w:vAlign w:val="bottom"/>
          </w:tcPr>
          <w:p w14:paraId="72D66133" w14:textId="05008E1A" w:rsidR="00402C08" w:rsidRPr="00402C08" w:rsidRDefault="00402C08" w:rsidP="00402C08">
            <w:pPr>
              <w:suppressAutoHyphens w:val="0"/>
              <w:spacing w:before="40" w:after="40" w:line="220" w:lineRule="exact"/>
              <w:ind w:right="113"/>
              <w:jc w:val="right"/>
              <w:rPr>
                <w:sz w:val="18"/>
              </w:rPr>
            </w:pPr>
            <w:r w:rsidRPr="00402C08">
              <w:rPr>
                <w:sz w:val="18"/>
              </w:rPr>
              <w:t>13</w:t>
            </w:r>
          </w:p>
        </w:tc>
        <w:tc>
          <w:tcPr>
            <w:tcW w:w="1009" w:type="dxa"/>
            <w:shd w:val="clear" w:color="auto" w:fill="auto"/>
            <w:vAlign w:val="bottom"/>
          </w:tcPr>
          <w:p w14:paraId="4AF1A375" w14:textId="466197CD" w:rsidR="00402C08" w:rsidRPr="00402C08" w:rsidRDefault="00402C08" w:rsidP="00402C08">
            <w:pPr>
              <w:suppressAutoHyphens w:val="0"/>
              <w:spacing w:before="40" w:after="40" w:line="220" w:lineRule="exact"/>
              <w:ind w:right="113"/>
              <w:jc w:val="right"/>
              <w:rPr>
                <w:sz w:val="18"/>
              </w:rPr>
            </w:pPr>
            <w:r w:rsidRPr="00E45843">
              <w:rPr>
                <w:sz w:val="18"/>
              </w:rPr>
              <w:t>36</w:t>
            </w:r>
          </w:p>
        </w:tc>
        <w:tc>
          <w:tcPr>
            <w:tcW w:w="904" w:type="dxa"/>
            <w:shd w:val="clear" w:color="auto" w:fill="auto"/>
            <w:vAlign w:val="bottom"/>
          </w:tcPr>
          <w:p w14:paraId="3318A46F" w14:textId="29097794" w:rsidR="00402C08" w:rsidRPr="00402C08" w:rsidRDefault="00402C08" w:rsidP="00402C08">
            <w:pPr>
              <w:suppressAutoHyphens w:val="0"/>
              <w:spacing w:before="40" w:after="40" w:line="220" w:lineRule="exact"/>
              <w:ind w:right="113"/>
              <w:jc w:val="right"/>
              <w:rPr>
                <w:sz w:val="18"/>
              </w:rPr>
            </w:pPr>
            <w:r w:rsidRPr="00E45843">
              <w:rPr>
                <w:sz w:val="18"/>
              </w:rPr>
              <w:t>0</w:t>
            </w:r>
          </w:p>
        </w:tc>
        <w:tc>
          <w:tcPr>
            <w:tcW w:w="1071" w:type="dxa"/>
            <w:shd w:val="clear" w:color="auto" w:fill="auto"/>
            <w:vAlign w:val="bottom"/>
          </w:tcPr>
          <w:p w14:paraId="53690380" w14:textId="2F50B21D" w:rsidR="00402C08" w:rsidRPr="00402C08" w:rsidRDefault="00402C08" w:rsidP="00402C08">
            <w:pPr>
              <w:suppressAutoHyphens w:val="0"/>
              <w:spacing w:before="40" w:after="40" w:line="220" w:lineRule="exact"/>
              <w:ind w:right="113"/>
              <w:jc w:val="right"/>
              <w:rPr>
                <w:sz w:val="18"/>
              </w:rPr>
            </w:pPr>
            <w:r w:rsidRPr="00E45843">
              <w:rPr>
                <w:sz w:val="18"/>
              </w:rPr>
              <w:t>0</w:t>
            </w:r>
          </w:p>
        </w:tc>
        <w:tc>
          <w:tcPr>
            <w:tcW w:w="1071" w:type="dxa"/>
            <w:shd w:val="clear" w:color="auto" w:fill="auto"/>
            <w:vAlign w:val="bottom"/>
          </w:tcPr>
          <w:p w14:paraId="7EB822C8" w14:textId="45CDD27C" w:rsidR="00402C08" w:rsidRPr="00402C08" w:rsidRDefault="00402C08" w:rsidP="00402C08">
            <w:pPr>
              <w:suppressAutoHyphens w:val="0"/>
              <w:spacing w:before="40" w:after="40" w:line="220" w:lineRule="exact"/>
              <w:ind w:right="113"/>
              <w:jc w:val="right"/>
              <w:rPr>
                <w:sz w:val="18"/>
              </w:rPr>
            </w:pPr>
            <w:r w:rsidRPr="00E45843">
              <w:rPr>
                <w:sz w:val="18"/>
              </w:rPr>
              <w:t>0</w:t>
            </w:r>
          </w:p>
        </w:tc>
      </w:tr>
      <w:tr w:rsidR="00402C08" w:rsidRPr="00402C08" w14:paraId="36689DC9" w14:textId="77777777" w:rsidTr="00402C08">
        <w:trPr>
          <w:cantSplit/>
        </w:trPr>
        <w:tc>
          <w:tcPr>
            <w:tcW w:w="1297" w:type="dxa"/>
            <w:shd w:val="clear" w:color="auto" w:fill="auto"/>
          </w:tcPr>
          <w:p w14:paraId="0FA9C6D5" w14:textId="0C3785E1" w:rsidR="00402C08" w:rsidRPr="00402C08" w:rsidRDefault="00402C08" w:rsidP="00402C08">
            <w:pPr>
              <w:suppressAutoHyphens w:val="0"/>
              <w:spacing w:before="40" w:after="40" w:line="220" w:lineRule="exact"/>
              <w:ind w:right="113"/>
              <w:rPr>
                <w:sz w:val="18"/>
              </w:rPr>
            </w:pPr>
            <w:r w:rsidRPr="00402C08">
              <w:rPr>
                <w:sz w:val="18"/>
              </w:rPr>
              <w:t>Abuse involving other family members (No. of cases)</w:t>
            </w:r>
          </w:p>
        </w:tc>
        <w:tc>
          <w:tcPr>
            <w:tcW w:w="1009" w:type="dxa"/>
            <w:shd w:val="clear" w:color="auto" w:fill="auto"/>
            <w:vAlign w:val="bottom"/>
          </w:tcPr>
          <w:p w14:paraId="3BCA28A9" w14:textId="375776EC" w:rsidR="00402C08" w:rsidRPr="00402C08" w:rsidRDefault="00402C08" w:rsidP="00402C08">
            <w:pPr>
              <w:suppressAutoHyphens w:val="0"/>
              <w:spacing w:before="40" w:after="40" w:line="220" w:lineRule="exact"/>
              <w:ind w:right="113"/>
              <w:jc w:val="right"/>
              <w:rPr>
                <w:sz w:val="18"/>
              </w:rPr>
            </w:pPr>
            <w:r w:rsidRPr="00402C08">
              <w:rPr>
                <w:sz w:val="18"/>
              </w:rPr>
              <w:t>112</w:t>
            </w:r>
          </w:p>
        </w:tc>
        <w:tc>
          <w:tcPr>
            <w:tcW w:w="1009" w:type="dxa"/>
            <w:shd w:val="clear" w:color="auto" w:fill="auto"/>
            <w:vAlign w:val="bottom"/>
          </w:tcPr>
          <w:p w14:paraId="4D7FFC41" w14:textId="015821AA" w:rsidR="00402C08" w:rsidRPr="00402C08" w:rsidRDefault="00402C08" w:rsidP="00402C08">
            <w:pPr>
              <w:suppressAutoHyphens w:val="0"/>
              <w:spacing w:before="40" w:after="40" w:line="220" w:lineRule="exact"/>
              <w:ind w:right="113"/>
              <w:jc w:val="right"/>
              <w:rPr>
                <w:sz w:val="18"/>
              </w:rPr>
            </w:pPr>
            <w:r w:rsidRPr="00402C08">
              <w:rPr>
                <w:sz w:val="18"/>
              </w:rPr>
              <w:t>66</w:t>
            </w:r>
          </w:p>
        </w:tc>
        <w:tc>
          <w:tcPr>
            <w:tcW w:w="1009" w:type="dxa"/>
            <w:shd w:val="clear" w:color="auto" w:fill="auto"/>
            <w:vAlign w:val="bottom"/>
          </w:tcPr>
          <w:p w14:paraId="399D4C23" w14:textId="6B3D3604" w:rsidR="00402C08" w:rsidRPr="00402C08" w:rsidRDefault="00402C08" w:rsidP="00402C08">
            <w:pPr>
              <w:suppressAutoHyphens w:val="0"/>
              <w:spacing w:before="40" w:after="40" w:line="220" w:lineRule="exact"/>
              <w:ind w:right="113"/>
              <w:jc w:val="right"/>
              <w:rPr>
                <w:sz w:val="18"/>
              </w:rPr>
            </w:pPr>
            <w:r w:rsidRPr="00E45843">
              <w:rPr>
                <w:sz w:val="18"/>
              </w:rPr>
              <w:t>108</w:t>
            </w:r>
          </w:p>
        </w:tc>
        <w:tc>
          <w:tcPr>
            <w:tcW w:w="904" w:type="dxa"/>
            <w:shd w:val="clear" w:color="auto" w:fill="auto"/>
            <w:vAlign w:val="bottom"/>
          </w:tcPr>
          <w:p w14:paraId="627E9F0C" w14:textId="264E1BB6" w:rsidR="00402C08" w:rsidRPr="00402C08" w:rsidRDefault="00402C08" w:rsidP="00402C08">
            <w:pPr>
              <w:suppressAutoHyphens w:val="0"/>
              <w:spacing w:before="40" w:after="40" w:line="220" w:lineRule="exact"/>
              <w:ind w:right="113"/>
              <w:jc w:val="right"/>
              <w:rPr>
                <w:sz w:val="18"/>
              </w:rPr>
            </w:pPr>
            <w:r w:rsidRPr="00E45843">
              <w:rPr>
                <w:sz w:val="18"/>
              </w:rPr>
              <w:t>1</w:t>
            </w:r>
          </w:p>
        </w:tc>
        <w:tc>
          <w:tcPr>
            <w:tcW w:w="1071" w:type="dxa"/>
            <w:shd w:val="clear" w:color="auto" w:fill="auto"/>
            <w:vAlign w:val="bottom"/>
          </w:tcPr>
          <w:p w14:paraId="2EA88260" w14:textId="0410B19F" w:rsidR="00402C08" w:rsidRPr="00402C08" w:rsidRDefault="00402C08" w:rsidP="00402C08">
            <w:pPr>
              <w:suppressAutoHyphens w:val="0"/>
              <w:spacing w:before="40" w:after="40" w:line="220" w:lineRule="exact"/>
              <w:ind w:right="113"/>
              <w:jc w:val="right"/>
              <w:rPr>
                <w:sz w:val="18"/>
              </w:rPr>
            </w:pPr>
            <w:r w:rsidRPr="00E45843">
              <w:rPr>
                <w:sz w:val="18"/>
              </w:rPr>
              <w:t>2</w:t>
            </w:r>
          </w:p>
        </w:tc>
        <w:tc>
          <w:tcPr>
            <w:tcW w:w="1071" w:type="dxa"/>
            <w:shd w:val="clear" w:color="auto" w:fill="auto"/>
            <w:vAlign w:val="bottom"/>
          </w:tcPr>
          <w:p w14:paraId="119E6FC0" w14:textId="0F7ADAAF" w:rsidR="00402C08" w:rsidRPr="00402C08" w:rsidRDefault="00402C08" w:rsidP="00402C08">
            <w:pPr>
              <w:suppressAutoHyphens w:val="0"/>
              <w:spacing w:before="40" w:after="40" w:line="220" w:lineRule="exact"/>
              <w:ind w:right="113"/>
              <w:jc w:val="right"/>
              <w:rPr>
                <w:sz w:val="18"/>
              </w:rPr>
            </w:pPr>
            <w:r w:rsidRPr="00E45843">
              <w:rPr>
                <w:sz w:val="18"/>
              </w:rPr>
              <w:t>0</w:t>
            </w:r>
          </w:p>
        </w:tc>
      </w:tr>
      <w:tr w:rsidR="00402C08" w:rsidRPr="00402C08" w14:paraId="064A35F9" w14:textId="77777777" w:rsidTr="00402C08">
        <w:trPr>
          <w:cantSplit/>
        </w:trPr>
        <w:tc>
          <w:tcPr>
            <w:tcW w:w="1297" w:type="dxa"/>
            <w:shd w:val="clear" w:color="auto" w:fill="auto"/>
          </w:tcPr>
          <w:p w14:paraId="77431FE0" w14:textId="4917BB9D" w:rsidR="00402C08" w:rsidRPr="00402C08" w:rsidRDefault="00402C08" w:rsidP="00402C08">
            <w:pPr>
              <w:suppressAutoHyphens w:val="0"/>
              <w:spacing w:before="40" w:after="40" w:line="220" w:lineRule="exact"/>
              <w:ind w:right="113"/>
              <w:rPr>
                <w:sz w:val="18"/>
              </w:rPr>
            </w:pPr>
            <w:r w:rsidRPr="00402C08">
              <w:rPr>
                <w:sz w:val="18"/>
              </w:rPr>
              <w:t xml:space="preserve">Victims </w:t>
            </w:r>
          </w:p>
        </w:tc>
        <w:tc>
          <w:tcPr>
            <w:tcW w:w="1009" w:type="dxa"/>
            <w:shd w:val="clear" w:color="auto" w:fill="auto"/>
            <w:vAlign w:val="bottom"/>
          </w:tcPr>
          <w:p w14:paraId="2CFA63ED" w14:textId="317A1580" w:rsidR="00402C08" w:rsidRPr="00402C08" w:rsidRDefault="00402C08" w:rsidP="00402C08">
            <w:pPr>
              <w:suppressAutoHyphens w:val="0"/>
              <w:spacing w:before="40" w:after="40" w:line="220" w:lineRule="exact"/>
              <w:ind w:right="113"/>
              <w:jc w:val="right"/>
              <w:rPr>
                <w:sz w:val="18"/>
              </w:rPr>
            </w:pPr>
            <w:r w:rsidRPr="00402C08">
              <w:rPr>
                <w:sz w:val="18"/>
              </w:rPr>
              <w:t>90</w:t>
            </w:r>
          </w:p>
        </w:tc>
        <w:tc>
          <w:tcPr>
            <w:tcW w:w="1009" w:type="dxa"/>
            <w:shd w:val="clear" w:color="auto" w:fill="auto"/>
            <w:vAlign w:val="bottom"/>
          </w:tcPr>
          <w:p w14:paraId="27824819" w14:textId="2D101C4C" w:rsidR="00402C08" w:rsidRPr="00402C08" w:rsidRDefault="00402C08" w:rsidP="00402C08">
            <w:pPr>
              <w:suppressAutoHyphens w:val="0"/>
              <w:spacing w:before="40" w:after="40" w:line="220" w:lineRule="exact"/>
              <w:ind w:right="113"/>
              <w:jc w:val="right"/>
              <w:rPr>
                <w:sz w:val="18"/>
              </w:rPr>
            </w:pPr>
            <w:r w:rsidRPr="00402C08">
              <w:rPr>
                <w:sz w:val="18"/>
              </w:rPr>
              <w:t>50</w:t>
            </w:r>
          </w:p>
        </w:tc>
        <w:tc>
          <w:tcPr>
            <w:tcW w:w="1009" w:type="dxa"/>
            <w:shd w:val="clear" w:color="auto" w:fill="auto"/>
            <w:vAlign w:val="bottom"/>
          </w:tcPr>
          <w:p w14:paraId="6679F21F" w14:textId="1D89CA18" w:rsidR="00402C08" w:rsidRPr="00402C08" w:rsidRDefault="00402C08" w:rsidP="00402C08">
            <w:pPr>
              <w:suppressAutoHyphens w:val="0"/>
              <w:spacing w:before="40" w:after="40" w:line="220" w:lineRule="exact"/>
              <w:ind w:right="113"/>
              <w:jc w:val="right"/>
              <w:rPr>
                <w:sz w:val="18"/>
              </w:rPr>
            </w:pPr>
            <w:r w:rsidRPr="00E45843">
              <w:rPr>
                <w:sz w:val="18"/>
              </w:rPr>
              <w:t>74</w:t>
            </w:r>
          </w:p>
        </w:tc>
        <w:tc>
          <w:tcPr>
            <w:tcW w:w="904" w:type="dxa"/>
            <w:shd w:val="clear" w:color="auto" w:fill="auto"/>
            <w:vAlign w:val="bottom"/>
          </w:tcPr>
          <w:p w14:paraId="6F4A81C0" w14:textId="4A1ABE4E" w:rsidR="00402C08" w:rsidRPr="00402C08" w:rsidRDefault="00402C08" w:rsidP="00402C08">
            <w:pPr>
              <w:suppressAutoHyphens w:val="0"/>
              <w:spacing w:before="40" w:after="40" w:line="220" w:lineRule="exact"/>
              <w:ind w:right="113"/>
              <w:jc w:val="right"/>
              <w:rPr>
                <w:sz w:val="18"/>
              </w:rPr>
            </w:pPr>
            <w:r w:rsidRPr="00E45843">
              <w:rPr>
                <w:sz w:val="18"/>
              </w:rPr>
              <w:t>0</w:t>
            </w:r>
          </w:p>
        </w:tc>
        <w:tc>
          <w:tcPr>
            <w:tcW w:w="1071" w:type="dxa"/>
            <w:shd w:val="clear" w:color="auto" w:fill="auto"/>
            <w:vAlign w:val="bottom"/>
          </w:tcPr>
          <w:p w14:paraId="18609192" w14:textId="77242EB5" w:rsidR="00402C08" w:rsidRPr="00402C08" w:rsidRDefault="00402C08" w:rsidP="00402C08">
            <w:pPr>
              <w:suppressAutoHyphens w:val="0"/>
              <w:spacing w:before="40" w:after="40" w:line="220" w:lineRule="exact"/>
              <w:ind w:right="113"/>
              <w:jc w:val="right"/>
              <w:rPr>
                <w:sz w:val="18"/>
              </w:rPr>
            </w:pPr>
            <w:r w:rsidRPr="00E45843">
              <w:rPr>
                <w:sz w:val="18"/>
              </w:rPr>
              <w:t>1</w:t>
            </w:r>
          </w:p>
        </w:tc>
        <w:tc>
          <w:tcPr>
            <w:tcW w:w="1071" w:type="dxa"/>
            <w:shd w:val="clear" w:color="auto" w:fill="auto"/>
            <w:vAlign w:val="bottom"/>
          </w:tcPr>
          <w:p w14:paraId="4BBD5A64" w14:textId="4220CC5E" w:rsidR="00402C08" w:rsidRPr="00402C08" w:rsidRDefault="00402C08" w:rsidP="00402C08">
            <w:pPr>
              <w:suppressAutoHyphens w:val="0"/>
              <w:spacing w:before="40" w:after="40" w:line="220" w:lineRule="exact"/>
              <w:ind w:right="113"/>
              <w:jc w:val="right"/>
              <w:rPr>
                <w:sz w:val="18"/>
              </w:rPr>
            </w:pPr>
            <w:r w:rsidRPr="00E45843">
              <w:rPr>
                <w:sz w:val="18"/>
              </w:rPr>
              <w:t>0</w:t>
            </w:r>
          </w:p>
        </w:tc>
      </w:tr>
      <w:tr w:rsidR="00402C08" w:rsidRPr="00402C08" w14:paraId="0C1FB07B" w14:textId="77777777" w:rsidTr="00402C08">
        <w:trPr>
          <w:cantSplit/>
        </w:trPr>
        <w:tc>
          <w:tcPr>
            <w:tcW w:w="1297" w:type="dxa"/>
            <w:tcBorders>
              <w:bottom w:val="single" w:sz="4" w:space="0" w:color="auto"/>
            </w:tcBorders>
            <w:shd w:val="clear" w:color="auto" w:fill="auto"/>
          </w:tcPr>
          <w:p w14:paraId="347262CF" w14:textId="2E855CB0" w:rsidR="00402C08" w:rsidRPr="00402C08" w:rsidRDefault="00402C08" w:rsidP="00402C08">
            <w:pPr>
              <w:suppressAutoHyphens w:val="0"/>
              <w:spacing w:before="40" w:after="40" w:line="220" w:lineRule="exact"/>
              <w:ind w:right="113"/>
              <w:rPr>
                <w:sz w:val="18"/>
              </w:rPr>
            </w:pPr>
            <w:r w:rsidRPr="00402C08">
              <w:rPr>
                <w:sz w:val="18"/>
              </w:rPr>
              <w:t xml:space="preserve">Victims under the age of 18 </w:t>
            </w:r>
          </w:p>
        </w:tc>
        <w:tc>
          <w:tcPr>
            <w:tcW w:w="1009" w:type="dxa"/>
            <w:tcBorders>
              <w:bottom w:val="single" w:sz="4" w:space="0" w:color="auto"/>
            </w:tcBorders>
            <w:shd w:val="clear" w:color="auto" w:fill="auto"/>
            <w:vAlign w:val="bottom"/>
          </w:tcPr>
          <w:p w14:paraId="2FC40971" w14:textId="33979A34" w:rsidR="00402C08" w:rsidRPr="00402C08" w:rsidRDefault="00402C08" w:rsidP="00402C08">
            <w:pPr>
              <w:suppressAutoHyphens w:val="0"/>
              <w:spacing w:before="40" w:after="40" w:line="220" w:lineRule="exact"/>
              <w:ind w:right="113"/>
              <w:jc w:val="right"/>
              <w:rPr>
                <w:sz w:val="18"/>
              </w:rPr>
            </w:pPr>
            <w:r w:rsidRPr="00402C08">
              <w:rPr>
                <w:sz w:val="18"/>
              </w:rPr>
              <w:t>15</w:t>
            </w:r>
          </w:p>
        </w:tc>
        <w:tc>
          <w:tcPr>
            <w:tcW w:w="1009" w:type="dxa"/>
            <w:tcBorders>
              <w:bottom w:val="single" w:sz="4" w:space="0" w:color="auto"/>
            </w:tcBorders>
            <w:shd w:val="clear" w:color="auto" w:fill="auto"/>
            <w:vAlign w:val="bottom"/>
          </w:tcPr>
          <w:p w14:paraId="51B02120" w14:textId="5E1A6986" w:rsidR="00402C08" w:rsidRPr="00402C08" w:rsidRDefault="00402C08" w:rsidP="00402C08">
            <w:pPr>
              <w:suppressAutoHyphens w:val="0"/>
              <w:spacing w:before="40" w:after="40" w:line="220" w:lineRule="exact"/>
              <w:ind w:right="113"/>
              <w:jc w:val="right"/>
              <w:rPr>
                <w:sz w:val="18"/>
              </w:rPr>
            </w:pPr>
            <w:r w:rsidRPr="00402C08">
              <w:rPr>
                <w:sz w:val="18"/>
              </w:rPr>
              <w:t>8</w:t>
            </w:r>
          </w:p>
        </w:tc>
        <w:tc>
          <w:tcPr>
            <w:tcW w:w="1009" w:type="dxa"/>
            <w:tcBorders>
              <w:bottom w:val="single" w:sz="4" w:space="0" w:color="auto"/>
            </w:tcBorders>
            <w:shd w:val="clear" w:color="auto" w:fill="auto"/>
            <w:vAlign w:val="bottom"/>
          </w:tcPr>
          <w:p w14:paraId="68055125" w14:textId="7F038A07" w:rsidR="00402C08" w:rsidRPr="00402C08" w:rsidRDefault="00402C08" w:rsidP="00402C08">
            <w:pPr>
              <w:suppressAutoHyphens w:val="0"/>
              <w:spacing w:before="40" w:after="40" w:line="220" w:lineRule="exact"/>
              <w:ind w:right="113"/>
              <w:jc w:val="right"/>
              <w:rPr>
                <w:sz w:val="18"/>
              </w:rPr>
            </w:pPr>
            <w:r w:rsidRPr="00E45843">
              <w:rPr>
                <w:sz w:val="18"/>
              </w:rPr>
              <w:t>28</w:t>
            </w:r>
          </w:p>
        </w:tc>
        <w:tc>
          <w:tcPr>
            <w:tcW w:w="904" w:type="dxa"/>
            <w:tcBorders>
              <w:bottom w:val="single" w:sz="4" w:space="0" w:color="auto"/>
            </w:tcBorders>
            <w:shd w:val="clear" w:color="auto" w:fill="auto"/>
            <w:vAlign w:val="bottom"/>
          </w:tcPr>
          <w:p w14:paraId="2F06E16B" w14:textId="45D32AA0" w:rsidR="00402C08" w:rsidRPr="00402C08" w:rsidRDefault="00402C08" w:rsidP="00402C08">
            <w:pPr>
              <w:suppressAutoHyphens w:val="0"/>
              <w:spacing w:before="40" w:after="40" w:line="220" w:lineRule="exact"/>
              <w:ind w:right="113"/>
              <w:jc w:val="right"/>
              <w:rPr>
                <w:sz w:val="18"/>
              </w:rPr>
            </w:pPr>
            <w:r w:rsidRPr="00E45843">
              <w:rPr>
                <w:sz w:val="18"/>
              </w:rPr>
              <w:t>1</w:t>
            </w:r>
          </w:p>
        </w:tc>
        <w:tc>
          <w:tcPr>
            <w:tcW w:w="1071" w:type="dxa"/>
            <w:tcBorders>
              <w:bottom w:val="single" w:sz="4" w:space="0" w:color="auto"/>
            </w:tcBorders>
            <w:shd w:val="clear" w:color="auto" w:fill="auto"/>
            <w:vAlign w:val="bottom"/>
          </w:tcPr>
          <w:p w14:paraId="36028BB5" w14:textId="7F4CFA4D" w:rsidR="00402C08" w:rsidRPr="00402C08" w:rsidRDefault="00402C08" w:rsidP="00402C08">
            <w:pPr>
              <w:suppressAutoHyphens w:val="0"/>
              <w:spacing w:before="40" w:after="40" w:line="220" w:lineRule="exact"/>
              <w:ind w:right="113"/>
              <w:jc w:val="right"/>
              <w:rPr>
                <w:sz w:val="18"/>
              </w:rPr>
            </w:pPr>
            <w:r w:rsidRPr="00E45843">
              <w:rPr>
                <w:sz w:val="18"/>
              </w:rPr>
              <w:t>1</w:t>
            </w:r>
          </w:p>
        </w:tc>
        <w:tc>
          <w:tcPr>
            <w:tcW w:w="1071" w:type="dxa"/>
            <w:tcBorders>
              <w:bottom w:val="single" w:sz="4" w:space="0" w:color="auto"/>
            </w:tcBorders>
            <w:shd w:val="clear" w:color="auto" w:fill="auto"/>
            <w:vAlign w:val="bottom"/>
          </w:tcPr>
          <w:p w14:paraId="1AB65D52" w14:textId="472B591A" w:rsidR="00402C08" w:rsidRPr="00402C08" w:rsidRDefault="00402C08" w:rsidP="00402C08">
            <w:pPr>
              <w:suppressAutoHyphens w:val="0"/>
              <w:spacing w:before="40" w:after="40" w:line="220" w:lineRule="exact"/>
              <w:ind w:right="113"/>
              <w:jc w:val="right"/>
              <w:rPr>
                <w:sz w:val="18"/>
              </w:rPr>
            </w:pPr>
            <w:r w:rsidRPr="00E45843">
              <w:rPr>
                <w:sz w:val="18"/>
              </w:rPr>
              <w:t>0</w:t>
            </w:r>
          </w:p>
        </w:tc>
      </w:tr>
    </w:tbl>
    <w:p w14:paraId="294550B2" w14:textId="3B21D295" w:rsidR="001D75D7" w:rsidRPr="00CD62AC" w:rsidRDefault="001D75D7" w:rsidP="00CD62AC">
      <w:pPr>
        <w:spacing w:before="120"/>
        <w:ind w:left="1134" w:right="1134" w:firstLine="170"/>
        <w:rPr>
          <w:sz w:val="18"/>
        </w:rPr>
      </w:pPr>
      <w:r w:rsidRPr="00CD62AC">
        <w:rPr>
          <w:i/>
          <w:iCs/>
          <w:sz w:val="18"/>
        </w:rPr>
        <w:t>Source</w:t>
      </w:r>
      <w:r w:rsidRPr="00CD62AC">
        <w:rPr>
          <w:sz w:val="18"/>
        </w:rPr>
        <w:t xml:space="preserve">: </w:t>
      </w:r>
      <w:r w:rsidR="00E268D4">
        <w:rPr>
          <w:sz w:val="18"/>
        </w:rPr>
        <w:t xml:space="preserve"> </w:t>
      </w:r>
      <w:r w:rsidRPr="00CD62AC">
        <w:rPr>
          <w:sz w:val="18"/>
        </w:rPr>
        <w:t>Office of the Secretary for Security (OSS).</w:t>
      </w:r>
    </w:p>
    <w:p w14:paraId="6335765B" w14:textId="77777777" w:rsidR="001D75D7" w:rsidRPr="00B47380" w:rsidRDefault="001D75D7" w:rsidP="00CD62AC">
      <w:pPr>
        <w:pStyle w:val="H23G"/>
      </w:pPr>
      <w:r w:rsidRPr="00B47380">
        <w:tab/>
      </w:r>
      <w:r w:rsidRPr="00B47380">
        <w:tab/>
        <w:t>Cases investigated by the police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5"/>
        <w:gridCol w:w="1164"/>
        <w:gridCol w:w="1161"/>
        <w:gridCol w:w="1162"/>
        <w:gridCol w:w="6"/>
        <w:gridCol w:w="1158"/>
        <w:gridCol w:w="1164"/>
      </w:tblGrid>
      <w:tr w:rsidR="00F063B7" w:rsidRPr="00F063B7" w14:paraId="49CEE791" w14:textId="77777777" w:rsidTr="00E45843">
        <w:trPr>
          <w:cantSplit/>
          <w:tblHeader/>
        </w:trPr>
        <w:tc>
          <w:tcPr>
            <w:tcW w:w="1555" w:type="dxa"/>
            <w:vMerge w:val="restart"/>
            <w:tcBorders>
              <w:top w:val="single" w:sz="4" w:space="0" w:color="auto"/>
              <w:bottom w:val="single" w:sz="12" w:space="0" w:color="auto"/>
            </w:tcBorders>
            <w:shd w:val="clear" w:color="auto" w:fill="auto"/>
            <w:vAlign w:val="bottom"/>
          </w:tcPr>
          <w:p w14:paraId="150A7C05" w14:textId="77777777" w:rsidR="001D75D7" w:rsidRPr="00F063B7" w:rsidRDefault="001D75D7" w:rsidP="00F063B7">
            <w:pPr>
              <w:pStyle w:val="SingleTxtG"/>
              <w:suppressAutoHyphens w:val="0"/>
              <w:spacing w:before="80" w:after="80" w:line="200" w:lineRule="exact"/>
              <w:ind w:left="0" w:right="113"/>
              <w:jc w:val="left"/>
              <w:rPr>
                <w:i/>
                <w:sz w:val="16"/>
              </w:rPr>
            </w:pPr>
            <w:r w:rsidRPr="00F063B7">
              <w:rPr>
                <w:i/>
                <w:sz w:val="16"/>
              </w:rPr>
              <w:t>Year</w:t>
            </w:r>
          </w:p>
        </w:tc>
        <w:tc>
          <w:tcPr>
            <w:tcW w:w="1164" w:type="dxa"/>
            <w:vMerge w:val="restart"/>
            <w:tcBorders>
              <w:top w:val="single" w:sz="4" w:space="0" w:color="auto"/>
              <w:bottom w:val="single" w:sz="12" w:space="0" w:color="auto"/>
            </w:tcBorders>
            <w:shd w:val="clear" w:color="auto" w:fill="auto"/>
            <w:vAlign w:val="bottom"/>
          </w:tcPr>
          <w:p w14:paraId="4E448210" w14:textId="77777777" w:rsidR="001D75D7" w:rsidRPr="00F063B7" w:rsidRDefault="001D75D7" w:rsidP="00F063B7">
            <w:pPr>
              <w:pStyle w:val="SingleTxtG"/>
              <w:suppressAutoHyphens w:val="0"/>
              <w:spacing w:before="80" w:after="80" w:line="200" w:lineRule="exact"/>
              <w:ind w:left="0" w:right="113"/>
              <w:jc w:val="right"/>
              <w:rPr>
                <w:i/>
                <w:sz w:val="16"/>
              </w:rPr>
            </w:pPr>
            <w:r w:rsidRPr="00F063B7">
              <w:rPr>
                <w:i/>
                <w:sz w:val="16"/>
              </w:rPr>
              <w:t>No. of cases</w:t>
            </w:r>
          </w:p>
        </w:tc>
        <w:tc>
          <w:tcPr>
            <w:tcW w:w="2329" w:type="dxa"/>
            <w:gridSpan w:val="3"/>
            <w:tcBorders>
              <w:top w:val="single" w:sz="4" w:space="0" w:color="auto"/>
              <w:bottom w:val="single" w:sz="4" w:space="0" w:color="auto"/>
              <w:right w:val="single" w:sz="24" w:space="0" w:color="FFFFFF" w:themeColor="background1"/>
            </w:tcBorders>
            <w:shd w:val="clear" w:color="auto" w:fill="auto"/>
            <w:vAlign w:val="bottom"/>
          </w:tcPr>
          <w:p w14:paraId="353E8D22" w14:textId="77777777" w:rsidR="001D75D7" w:rsidRPr="00F063B7" w:rsidRDefault="001D75D7" w:rsidP="00CD62AC">
            <w:pPr>
              <w:pStyle w:val="SingleTxtG"/>
              <w:suppressAutoHyphens w:val="0"/>
              <w:spacing w:before="80" w:after="80" w:line="200" w:lineRule="exact"/>
              <w:ind w:left="0" w:right="113"/>
              <w:jc w:val="center"/>
              <w:rPr>
                <w:i/>
                <w:sz w:val="16"/>
              </w:rPr>
            </w:pPr>
            <w:r w:rsidRPr="00F063B7">
              <w:rPr>
                <w:i/>
                <w:sz w:val="16"/>
              </w:rPr>
              <w:t>No. of perpetrators</w:t>
            </w:r>
          </w:p>
        </w:tc>
        <w:tc>
          <w:tcPr>
            <w:tcW w:w="2322" w:type="dxa"/>
            <w:gridSpan w:val="2"/>
            <w:tcBorders>
              <w:top w:val="single" w:sz="4" w:space="0" w:color="auto"/>
              <w:left w:val="single" w:sz="24" w:space="0" w:color="FFFFFF" w:themeColor="background1"/>
              <w:bottom w:val="single" w:sz="4" w:space="0" w:color="auto"/>
            </w:tcBorders>
            <w:shd w:val="clear" w:color="auto" w:fill="auto"/>
            <w:vAlign w:val="bottom"/>
          </w:tcPr>
          <w:p w14:paraId="3BB92BB7" w14:textId="77777777" w:rsidR="001D75D7" w:rsidRPr="00F063B7" w:rsidRDefault="001D75D7" w:rsidP="00CD62AC">
            <w:pPr>
              <w:pStyle w:val="SingleTxtG"/>
              <w:suppressAutoHyphens w:val="0"/>
              <w:spacing w:before="80" w:after="80" w:line="200" w:lineRule="exact"/>
              <w:ind w:left="0" w:right="113"/>
              <w:jc w:val="center"/>
              <w:rPr>
                <w:i/>
                <w:sz w:val="16"/>
              </w:rPr>
            </w:pPr>
            <w:r w:rsidRPr="00F063B7">
              <w:rPr>
                <w:i/>
                <w:sz w:val="16"/>
              </w:rPr>
              <w:t>No. of perpetrators detained</w:t>
            </w:r>
          </w:p>
        </w:tc>
      </w:tr>
      <w:tr w:rsidR="00F063B7" w:rsidRPr="00CD62AC" w14:paraId="57838ED3" w14:textId="77777777" w:rsidTr="00E45843">
        <w:trPr>
          <w:cantSplit/>
          <w:tblHeader/>
        </w:trPr>
        <w:tc>
          <w:tcPr>
            <w:tcW w:w="1555" w:type="dxa"/>
            <w:vMerge/>
            <w:tcBorders>
              <w:top w:val="nil"/>
              <w:bottom w:val="single" w:sz="12" w:space="0" w:color="auto"/>
            </w:tcBorders>
            <w:shd w:val="clear" w:color="auto" w:fill="auto"/>
            <w:vAlign w:val="bottom"/>
          </w:tcPr>
          <w:p w14:paraId="21968895" w14:textId="77777777" w:rsidR="001D75D7" w:rsidRPr="00F063B7" w:rsidRDefault="001D75D7" w:rsidP="00F063B7">
            <w:pPr>
              <w:pStyle w:val="SingleTxtG"/>
              <w:suppressAutoHyphens w:val="0"/>
              <w:spacing w:before="40" w:after="40" w:line="220" w:lineRule="exact"/>
              <w:ind w:left="0" w:right="113"/>
              <w:jc w:val="left"/>
              <w:rPr>
                <w:sz w:val="18"/>
              </w:rPr>
            </w:pPr>
          </w:p>
        </w:tc>
        <w:tc>
          <w:tcPr>
            <w:tcW w:w="1164" w:type="dxa"/>
            <w:vMerge/>
            <w:tcBorders>
              <w:top w:val="nil"/>
              <w:bottom w:val="single" w:sz="12" w:space="0" w:color="auto"/>
            </w:tcBorders>
            <w:shd w:val="clear" w:color="auto" w:fill="auto"/>
            <w:vAlign w:val="bottom"/>
          </w:tcPr>
          <w:p w14:paraId="27028CFA" w14:textId="77777777" w:rsidR="001D75D7" w:rsidRPr="00F063B7" w:rsidRDefault="001D75D7" w:rsidP="00F063B7">
            <w:pPr>
              <w:pStyle w:val="SingleTxtG"/>
              <w:suppressAutoHyphens w:val="0"/>
              <w:spacing w:before="40" w:after="40" w:line="220" w:lineRule="exact"/>
              <w:ind w:left="0" w:right="113"/>
              <w:jc w:val="right"/>
              <w:rPr>
                <w:sz w:val="18"/>
              </w:rPr>
            </w:pPr>
          </w:p>
        </w:tc>
        <w:tc>
          <w:tcPr>
            <w:tcW w:w="1161" w:type="dxa"/>
            <w:tcBorders>
              <w:top w:val="single" w:sz="4" w:space="0" w:color="auto"/>
              <w:bottom w:val="single" w:sz="12" w:space="0" w:color="auto"/>
            </w:tcBorders>
            <w:shd w:val="clear" w:color="auto" w:fill="auto"/>
            <w:vAlign w:val="bottom"/>
          </w:tcPr>
          <w:p w14:paraId="27E72C49" w14:textId="77777777" w:rsidR="001D75D7" w:rsidRPr="00CD62AC" w:rsidRDefault="001D75D7" w:rsidP="00F063B7">
            <w:pPr>
              <w:pStyle w:val="SingleTxtG"/>
              <w:suppressAutoHyphens w:val="0"/>
              <w:spacing w:before="40" w:after="40" w:line="220" w:lineRule="exact"/>
              <w:ind w:left="0" w:right="113"/>
              <w:jc w:val="right"/>
              <w:rPr>
                <w:i/>
                <w:sz w:val="16"/>
              </w:rPr>
            </w:pPr>
            <w:r w:rsidRPr="00CD62AC">
              <w:rPr>
                <w:i/>
                <w:sz w:val="16"/>
              </w:rPr>
              <w:t>M</w:t>
            </w:r>
          </w:p>
        </w:tc>
        <w:tc>
          <w:tcPr>
            <w:tcW w:w="1168" w:type="dxa"/>
            <w:gridSpan w:val="2"/>
            <w:tcBorders>
              <w:top w:val="single" w:sz="4" w:space="0" w:color="auto"/>
              <w:bottom w:val="single" w:sz="12" w:space="0" w:color="auto"/>
              <w:right w:val="single" w:sz="24" w:space="0" w:color="FFFFFF" w:themeColor="background1"/>
            </w:tcBorders>
            <w:shd w:val="clear" w:color="auto" w:fill="auto"/>
            <w:vAlign w:val="bottom"/>
          </w:tcPr>
          <w:p w14:paraId="6A9AC1B6" w14:textId="77777777" w:rsidR="001D75D7" w:rsidRPr="00CD62AC" w:rsidRDefault="001D75D7" w:rsidP="00F063B7">
            <w:pPr>
              <w:pStyle w:val="SingleTxtG"/>
              <w:suppressAutoHyphens w:val="0"/>
              <w:spacing w:before="40" w:after="40" w:line="220" w:lineRule="exact"/>
              <w:ind w:left="0" w:right="113"/>
              <w:jc w:val="right"/>
              <w:rPr>
                <w:i/>
                <w:sz w:val="16"/>
              </w:rPr>
            </w:pPr>
            <w:r w:rsidRPr="00CD62AC">
              <w:rPr>
                <w:i/>
                <w:sz w:val="16"/>
              </w:rPr>
              <w:t>F</w:t>
            </w:r>
          </w:p>
        </w:tc>
        <w:tc>
          <w:tcPr>
            <w:tcW w:w="1158" w:type="dxa"/>
            <w:tcBorders>
              <w:top w:val="single" w:sz="4" w:space="0" w:color="auto"/>
              <w:left w:val="single" w:sz="24" w:space="0" w:color="FFFFFF" w:themeColor="background1"/>
              <w:bottom w:val="single" w:sz="12" w:space="0" w:color="auto"/>
            </w:tcBorders>
            <w:shd w:val="clear" w:color="auto" w:fill="auto"/>
            <w:vAlign w:val="bottom"/>
          </w:tcPr>
          <w:p w14:paraId="4E06511D" w14:textId="77777777" w:rsidR="001D75D7" w:rsidRPr="00CD62AC" w:rsidRDefault="001D75D7" w:rsidP="00F063B7">
            <w:pPr>
              <w:pStyle w:val="SingleTxtG"/>
              <w:suppressAutoHyphens w:val="0"/>
              <w:spacing w:before="40" w:after="40" w:line="220" w:lineRule="exact"/>
              <w:ind w:left="0" w:right="113"/>
              <w:jc w:val="right"/>
              <w:rPr>
                <w:i/>
                <w:sz w:val="16"/>
              </w:rPr>
            </w:pPr>
            <w:r w:rsidRPr="00CD62AC">
              <w:rPr>
                <w:i/>
                <w:sz w:val="16"/>
              </w:rPr>
              <w:t>M</w:t>
            </w:r>
          </w:p>
        </w:tc>
        <w:tc>
          <w:tcPr>
            <w:tcW w:w="1164" w:type="dxa"/>
            <w:tcBorders>
              <w:top w:val="single" w:sz="4" w:space="0" w:color="auto"/>
              <w:bottom w:val="single" w:sz="12" w:space="0" w:color="auto"/>
            </w:tcBorders>
            <w:shd w:val="clear" w:color="auto" w:fill="auto"/>
            <w:vAlign w:val="bottom"/>
          </w:tcPr>
          <w:p w14:paraId="636291E3" w14:textId="77777777" w:rsidR="001D75D7" w:rsidRPr="00CD62AC" w:rsidRDefault="001D75D7" w:rsidP="00F063B7">
            <w:pPr>
              <w:pStyle w:val="SingleTxtG"/>
              <w:suppressAutoHyphens w:val="0"/>
              <w:spacing w:before="40" w:after="40" w:line="220" w:lineRule="exact"/>
              <w:ind w:left="0" w:right="113"/>
              <w:jc w:val="right"/>
              <w:rPr>
                <w:i/>
                <w:sz w:val="16"/>
              </w:rPr>
            </w:pPr>
            <w:r w:rsidRPr="00CD62AC">
              <w:rPr>
                <w:i/>
                <w:sz w:val="16"/>
              </w:rPr>
              <w:t>F</w:t>
            </w:r>
          </w:p>
        </w:tc>
      </w:tr>
      <w:tr w:rsidR="00F063B7" w:rsidRPr="00F063B7" w14:paraId="0C986C32" w14:textId="77777777" w:rsidTr="00E45843">
        <w:trPr>
          <w:cantSplit/>
        </w:trPr>
        <w:tc>
          <w:tcPr>
            <w:tcW w:w="1555" w:type="dxa"/>
            <w:tcBorders>
              <w:top w:val="single" w:sz="12" w:space="0" w:color="auto"/>
            </w:tcBorders>
            <w:shd w:val="clear" w:color="auto" w:fill="auto"/>
          </w:tcPr>
          <w:p w14:paraId="6D0B1AED" w14:textId="77777777" w:rsidR="001D75D7" w:rsidRPr="00F063B7" w:rsidRDefault="001D75D7" w:rsidP="00F063B7">
            <w:pPr>
              <w:pStyle w:val="SingleTxtG"/>
              <w:suppressAutoHyphens w:val="0"/>
              <w:spacing w:before="40" w:after="40" w:line="220" w:lineRule="exact"/>
              <w:ind w:left="0" w:right="113"/>
              <w:jc w:val="left"/>
              <w:rPr>
                <w:sz w:val="18"/>
              </w:rPr>
            </w:pPr>
            <w:r w:rsidRPr="00F063B7">
              <w:rPr>
                <w:sz w:val="18"/>
              </w:rPr>
              <w:t>2014</w:t>
            </w:r>
          </w:p>
        </w:tc>
        <w:tc>
          <w:tcPr>
            <w:tcW w:w="1164" w:type="dxa"/>
            <w:tcBorders>
              <w:top w:val="single" w:sz="12" w:space="0" w:color="auto"/>
            </w:tcBorders>
            <w:shd w:val="clear" w:color="auto" w:fill="auto"/>
            <w:vAlign w:val="bottom"/>
          </w:tcPr>
          <w:p w14:paraId="5E14F3FA"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353</w:t>
            </w:r>
          </w:p>
        </w:tc>
        <w:tc>
          <w:tcPr>
            <w:tcW w:w="1161" w:type="dxa"/>
            <w:tcBorders>
              <w:top w:val="single" w:sz="12" w:space="0" w:color="auto"/>
            </w:tcBorders>
            <w:shd w:val="clear" w:color="auto" w:fill="auto"/>
            <w:vAlign w:val="bottom"/>
          </w:tcPr>
          <w:p w14:paraId="64E09DA7"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328</w:t>
            </w:r>
          </w:p>
        </w:tc>
        <w:tc>
          <w:tcPr>
            <w:tcW w:w="1162" w:type="dxa"/>
            <w:tcBorders>
              <w:top w:val="single" w:sz="12" w:space="0" w:color="auto"/>
            </w:tcBorders>
            <w:shd w:val="clear" w:color="auto" w:fill="auto"/>
            <w:vAlign w:val="bottom"/>
          </w:tcPr>
          <w:p w14:paraId="180CF5B9"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58</w:t>
            </w:r>
          </w:p>
        </w:tc>
        <w:tc>
          <w:tcPr>
            <w:tcW w:w="1164" w:type="dxa"/>
            <w:gridSpan w:val="2"/>
            <w:tcBorders>
              <w:top w:val="single" w:sz="12" w:space="0" w:color="auto"/>
            </w:tcBorders>
            <w:shd w:val="clear" w:color="auto" w:fill="auto"/>
            <w:vAlign w:val="bottom"/>
          </w:tcPr>
          <w:p w14:paraId="443B7CD1"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1</w:t>
            </w:r>
          </w:p>
        </w:tc>
        <w:tc>
          <w:tcPr>
            <w:tcW w:w="1164" w:type="dxa"/>
            <w:tcBorders>
              <w:top w:val="single" w:sz="12" w:space="0" w:color="auto"/>
            </w:tcBorders>
            <w:shd w:val="clear" w:color="auto" w:fill="auto"/>
            <w:vAlign w:val="bottom"/>
          </w:tcPr>
          <w:p w14:paraId="39304A1F"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0</w:t>
            </w:r>
          </w:p>
        </w:tc>
      </w:tr>
      <w:tr w:rsidR="00F063B7" w:rsidRPr="00F063B7" w14:paraId="04772329" w14:textId="77777777" w:rsidTr="00E45843">
        <w:trPr>
          <w:cantSplit/>
        </w:trPr>
        <w:tc>
          <w:tcPr>
            <w:tcW w:w="1555" w:type="dxa"/>
            <w:shd w:val="clear" w:color="auto" w:fill="auto"/>
          </w:tcPr>
          <w:p w14:paraId="4E7B60FA" w14:textId="7B7DE275" w:rsidR="001D75D7" w:rsidRPr="00F063B7" w:rsidRDefault="001D75D7" w:rsidP="00F063B7">
            <w:pPr>
              <w:pStyle w:val="SingleTxtG"/>
              <w:suppressAutoHyphens w:val="0"/>
              <w:spacing w:before="40" w:after="40" w:line="220" w:lineRule="exact"/>
              <w:ind w:left="0" w:right="113"/>
              <w:jc w:val="left"/>
              <w:rPr>
                <w:sz w:val="18"/>
              </w:rPr>
            </w:pPr>
            <w:r w:rsidRPr="00F063B7">
              <w:rPr>
                <w:sz w:val="18"/>
              </w:rPr>
              <w:t>10</w:t>
            </w:r>
            <w:r w:rsidR="00CD62AC">
              <w:t>–</w:t>
            </w:r>
            <w:r w:rsidRPr="00F063B7">
              <w:rPr>
                <w:sz w:val="18"/>
              </w:rPr>
              <w:t>12/2016*</w:t>
            </w:r>
          </w:p>
        </w:tc>
        <w:tc>
          <w:tcPr>
            <w:tcW w:w="1164" w:type="dxa"/>
            <w:shd w:val="clear" w:color="auto" w:fill="auto"/>
            <w:vAlign w:val="bottom"/>
          </w:tcPr>
          <w:p w14:paraId="6E44341B"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9</w:t>
            </w:r>
          </w:p>
        </w:tc>
        <w:tc>
          <w:tcPr>
            <w:tcW w:w="1161" w:type="dxa"/>
            <w:shd w:val="clear" w:color="auto" w:fill="auto"/>
            <w:vAlign w:val="bottom"/>
          </w:tcPr>
          <w:p w14:paraId="498FCF1E"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8</w:t>
            </w:r>
          </w:p>
        </w:tc>
        <w:tc>
          <w:tcPr>
            <w:tcW w:w="1162" w:type="dxa"/>
            <w:shd w:val="clear" w:color="auto" w:fill="auto"/>
            <w:vAlign w:val="bottom"/>
          </w:tcPr>
          <w:p w14:paraId="2D098D8A"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1</w:t>
            </w:r>
          </w:p>
        </w:tc>
        <w:tc>
          <w:tcPr>
            <w:tcW w:w="1164" w:type="dxa"/>
            <w:gridSpan w:val="2"/>
            <w:shd w:val="clear" w:color="auto" w:fill="auto"/>
            <w:vAlign w:val="bottom"/>
          </w:tcPr>
          <w:p w14:paraId="6287A03A"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8</w:t>
            </w:r>
          </w:p>
        </w:tc>
        <w:tc>
          <w:tcPr>
            <w:tcW w:w="1164" w:type="dxa"/>
            <w:shd w:val="clear" w:color="auto" w:fill="auto"/>
            <w:vAlign w:val="bottom"/>
          </w:tcPr>
          <w:p w14:paraId="081ABAA6"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1</w:t>
            </w:r>
          </w:p>
        </w:tc>
      </w:tr>
      <w:tr w:rsidR="00F063B7" w:rsidRPr="00F063B7" w14:paraId="253A5A81" w14:textId="77777777" w:rsidTr="00E45843">
        <w:trPr>
          <w:cantSplit/>
        </w:trPr>
        <w:tc>
          <w:tcPr>
            <w:tcW w:w="1555" w:type="dxa"/>
            <w:shd w:val="clear" w:color="auto" w:fill="auto"/>
          </w:tcPr>
          <w:p w14:paraId="698C9FDA" w14:textId="77777777" w:rsidR="001D75D7" w:rsidRPr="00F063B7" w:rsidRDefault="001D75D7" w:rsidP="00F063B7">
            <w:pPr>
              <w:pStyle w:val="SingleTxtG"/>
              <w:suppressAutoHyphens w:val="0"/>
              <w:spacing w:before="40" w:after="40" w:line="220" w:lineRule="exact"/>
              <w:ind w:left="0" w:right="113"/>
              <w:jc w:val="left"/>
              <w:rPr>
                <w:sz w:val="18"/>
              </w:rPr>
            </w:pPr>
            <w:r w:rsidRPr="00F063B7">
              <w:rPr>
                <w:sz w:val="18"/>
              </w:rPr>
              <w:t>2017</w:t>
            </w:r>
          </w:p>
        </w:tc>
        <w:tc>
          <w:tcPr>
            <w:tcW w:w="1164" w:type="dxa"/>
            <w:shd w:val="clear" w:color="auto" w:fill="auto"/>
            <w:vAlign w:val="bottom"/>
          </w:tcPr>
          <w:p w14:paraId="52DD64BB"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10</w:t>
            </w:r>
          </w:p>
        </w:tc>
        <w:tc>
          <w:tcPr>
            <w:tcW w:w="1161" w:type="dxa"/>
            <w:shd w:val="clear" w:color="auto" w:fill="auto"/>
            <w:vAlign w:val="bottom"/>
          </w:tcPr>
          <w:p w14:paraId="126E416A"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10</w:t>
            </w:r>
          </w:p>
        </w:tc>
        <w:tc>
          <w:tcPr>
            <w:tcW w:w="1162" w:type="dxa"/>
            <w:shd w:val="clear" w:color="auto" w:fill="auto"/>
            <w:vAlign w:val="bottom"/>
          </w:tcPr>
          <w:p w14:paraId="2AD02D11"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0</w:t>
            </w:r>
          </w:p>
        </w:tc>
        <w:tc>
          <w:tcPr>
            <w:tcW w:w="1164" w:type="dxa"/>
            <w:gridSpan w:val="2"/>
            <w:shd w:val="clear" w:color="auto" w:fill="auto"/>
            <w:vAlign w:val="bottom"/>
          </w:tcPr>
          <w:p w14:paraId="0F5DA970"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10</w:t>
            </w:r>
          </w:p>
        </w:tc>
        <w:tc>
          <w:tcPr>
            <w:tcW w:w="1164" w:type="dxa"/>
            <w:shd w:val="clear" w:color="auto" w:fill="auto"/>
            <w:vAlign w:val="bottom"/>
          </w:tcPr>
          <w:p w14:paraId="1739F360"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0</w:t>
            </w:r>
          </w:p>
        </w:tc>
      </w:tr>
      <w:tr w:rsidR="00F063B7" w:rsidRPr="00F063B7" w14:paraId="5D34F0B6" w14:textId="77777777" w:rsidTr="00E45843">
        <w:trPr>
          <w:cantSplit/>
        </w:trPr>
        <w:tc>
          <w:tcPr>
            <w:tcW w:w="1555" w:type="dxa"/>
            <w:shd w:val="clear" w:color="auto" w:fill="auto"/>
          </w:tcPr>
          <w:p w14:paraId="4AAEDC48" w14:textId="77777777" w:rsidR="001D75D7" w:rsidRPr="00F063B7" w:rsidRDefault="001D75D7" w:rsidP="00F063B7">
            <w:pPr>
              <w:pStyle w:val="SingleTxtG"/>
              <w:suppressAutoHyphens w:val="0"/>
              <w:spacing w:before="40" w:after="40" w:line="220" w:lineRule="exact"/>
              <w:ind w:left="0" w:right="113"/>
              <w:jc w:val="left"/>
              <w:rPr>
                <w:sz w:val="18"/>
              </w:rPr>
            </w:pPr>
            <w:r w:rsidRPr="00F063B7">
              <w:rPr>
                <w:sz w:val="18"/>
              </w:rPr>
              <w:t>09/2018</w:t>
            </w:r>
          </w:p>
        </w:tc>
        <w:tc>
          <w:tcPr>
            <w:tcW w:w="1164" w:type="dxa"/>
            <w:shd w:val="clear" w:color="auto" w:fill="auto"/>
            <w:vAlign w:val="bottom"/>
          </w:tcPr>
          <w:p w14:paraId="314592B2"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1</w:t>
            </w:r>
          </w:p>
        </w:tc>
        <w:tc>
          <w:tcPr>
            <w:tcW w:w="1161" w:type="dxa"/>
            <w:shd w:val="clear" w:color="auto" w:fill="auto"/>
            <w:vAlign w:val="bottom"/>
          </w:tcPr>
          <w:p w14:paraId="551976A7"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1</w:t>
            </w:r>
          </w:p>
        </w:tc>
        <w:tc>
          <w:tcPr>
            <w:tcW w:w="1162" w:type="dxa"/>
            <w:shd w:val="clear" w:color="auto" w:fill="auto"/>
            <w:vAlign w:val="bottom"/>
          </w:tcPr>
          <w:p w14:paraId="4CE9C327"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0</w:t>
            </w:r>
          </w:p>
        </w:tc>
        <w:tc>
          <w:tcPr>
            <w:tcW w:w="1164" w:type="dxa"/>
            <w:gridSpan w:val="2"/>
            <w:shd w:val="clear" w:color="auto" w:fill="auto"/>
            <w:vAlign w:val="bottom"/>
          </w:tcPr>
          <w:p w14:paraId="3EF08AE1"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1</w:t>
            </w:r>
          </w:p>
        </w:tc>
        <w:tc>
          <w:tcPr>
            <w:tcW w:w="1164" w:type="dxa"/>
            <w:shd w:val="clear" w:color="auto" w:fill="auto"/>
            <w:vAlign w:val="bottom"/>
          </w:tcPr>
          <w:p w14:paraId="2D0CC02B" w14:textId="77777777" w:rsidR="001D75D7" w:rsidRPr="00F063B7" w:rsidRDefault="001D75D7" w:rsidP="00F063B7">
            <w:pPr>
              <w:pStyle w:val="SingleTxtG"/>
              <w:suppressAutoHyphens w:val="0"/>
              <w:spacing w:before="40" w:after="40" w:line="220" w:lineRule="exact"/>
              <w:ind w:left="0" w:right="113"/>
              <w:jc w:val="right"/>
              <w:rPr>
                <w:sz w:val="18"/>
              </w:rPr>
            </w:pPr>
            <w:r w:rsidRPr="00F063B7">
              <w:rPr>
                <w:sz w:val="18"/>
              </w:rPr>
              <w:t>0</w:t>
            </w:r>
          </w:p>
        </w:tc>
      </w:tr>
    </w:tbl>
    <w:p w14:paraId="53034DB5" w14:textId="77777777" w:rsidR="001D75D7" w:rsidRPr="00CD62AC" w:rsidRDefault="001D75D7" w:rsidP="00CD62AC">
      <w:pPr>
        <w:spacing w:before="120"/>
        <w:ind w:left="1134" w:right="1134" w:firstLine="170"/>
        <w:rPr>
          <w:sz w:val="18"/>
        </w:rPr>
      </w:pPr>
      <w:r w:rsidRPr="003C749F">
        <w:rPr>
          <w:i/>
          <w:iCs/>
          <w:sz w:val="18"/>
        </w:rPr>
        <w:t>Source</w:t>
      </w:r>
      <w:r w:rsidRPr="00CD62AC">
        <w:rPr>
          <w:sz w:val="18"/>
        </w:rPr>
        <w:t>: OSS.</w:t>
      </w:r>
    </w:p>
    <w:p w14:paraId="40C8FF8E" w14:textId="05EA9A8C" w:rsidR="001D75D7" w:rsidRPr="0024161B" w:rsidRDefault="001D75D7" w:rsidP="00CD62AC">
      <w:pPr>
        <w:pStyle w:val="SingleTxtG"/>
        <w:spacing w:after="240"/>
        <w:ind w:firstLine="170"/>
        <w:jc w:val="left"/>
        <w:rPr>
          <w:sz w:val="18"/>
          <w:lang w:eastAsia="en-US"/>
        </w:rPr>
      </w:pPr>
      <w:r w:rsidRPr="00CD62AC">
        <w:rPr>
          <w:sz w:val="18"/>
          <w:lang w:eastAsia="en-US"/>
        </w:rPr>
        <w:t>*</w:t>
      </w:r>
      <w:r w:rsidR="00CD62AC">
        <w:rPr>
          <w:sz w:val="18"/>
          <w:lang w:eastAsia="en-US"/>
        </w:rPr>
        <w:t xml:space="preserve">  </w:t>
      </w:r>
      <w:r w:rsidRPr="00CD62AC">
        <w:rPr>
          <w:sz w:val="18"/>
          <w:lang w:eastAsia="en-US"/>
        </w:rPr>
        <w:t xml:space="preserve">Law 2/2016 entered into force on 5/10/2016. Before that, domestic violence cases </w:t>
      </w:r>
      <w:r w:rsidRPr="0024161B">
        <w:rPr>
          <w:sz w:val="18"/>
          <w:lang w:eastAsia="en-US"/>
        </w:rPr>
        <w:t xml:space="preserve">were inserted within cases of offences against physical integrity. </w:t>
      </w:r>
    </w:p>
    <w:p w14:paraId="7A00CC84" w14:textId="77777777" w:rsidR="001D75D7" w:rsidRPr="00B47380" w:rsidRDefault="001D75D7" w:rsidP="00D53B5F">
      <w:pPr>
        <w:pStyle w:val="SingleTxtG"/>
      </w:pPr>
      <w:r w:rsidRPr="00B47380">
        <w:t>123.</w:t>
      </w:r>
      <w:r w:rsidRPr="00B47380">
        <w:tab/>
        <w:t>According to the Office of the President of the Court of Final Appeal, after Law 2/2016, 9 domestic violence cases reached the courts as of September 2018 (1 victim is under 18), of which 3 were tried and led to 3 convictions, while the remaining 6 are still waiting for trial.</w:t>
      </w:r>
    </w:p>
    <w:p w14:paraId="0BB2CD4E" w14:textId="77777777" w:rsidR="001D75D7" w:rsidRPr="00B47380" w:rsidRDefault="001D75D7" w:rsidP="00D53B5F">
      <w:pPr>
        <w:pStyle w:val="SingleTxtG"/>
      </w:pPr>
      <w:r w:rsidRPr="00B47380">
        <w:t>124.</w:t>
      </w:r>
      <w:r w:rsidRPr="00B47380">
        <w:tab/>
        <w:t xml:space="preserve">The SWB is the entity responsible for coordinating all the preventive actions against domestic violence, including signalling risk situations and executing general protective measures (Article 5). A multi-disciplinary and cross-sectoral cooperation mechanism with the Public Police Security Forces (PSPF), Judiciary Police (JP), Health Bureau (HB), Education and Youth Affairs Bureau (EYAB), LAB and NGOs was established. </w:t>
      </w:r>
    </w:p>
    <w:p w14:paraId="657AEBCC" w14:textId="77777777" w:rsidR="001D75D7" w:rsidRPr="00B47380" w:rsidRDefault="001D75D7" w:rsidP="00D53B5F">
      <w:pPr>
        <w:pStyle w:val="SingleTxtG"/>
      </w:pPr>
      <w:r w:rsidRPr="00B47380">
        <w:t>125.</w:t>
      </w:r>
      <w:r w:rsidRPr="00B47380">
        <w:tab/>
        <w:t>Protective and assistance measures are guaranteed to victims, such as temporary shelter, economic assistance, legal aid, healthcare, assistance in access to education or employment, individual and family counselling, legal information and counselling services and other measures necessary for safeguarding their safety and well-being (Article 16 of Law 2/2016).</w:t>
      </w:r>
    </w:p>
    <w:p w14:paraId="37B4CF5F" w14:textId="77777777" w:rsidR="001D75D7" w:rsidRPr="00B47380" w:rsidRDefault="001D75D7" w:rsidP="00D53B5F">
      <w:pPr>
        <w:pStyle w:val="SingleTxtG"/>
      </w:pPr>
      <w:r w:rsidRPr="00B47380">
        <w:t>126.</w:t>
      </w:r>
      <w:r w:rsidRPr="00B47380">
        <w:tab/>
        <w:t>The duty for public and private entities providing medical and nursing services, care services for children, elderly and persons with disabilities, or engaging in teaching, social service or counselling activities to report cases they suspect or which come to their knowledge to the SWB was paramount towards the prevention of domestic violence and victim identification (Article 6 of Law 2/2016).</w:t>
      </w:r>
    </w:p>
    <w:p w14:paraId="2E843652" w14:textId="77777777" w:rsidR="001D75D7" w:rsidRPr="00B47380" w:rsidRDefault="001D75D7" w:rsidP="0024161B">
      <w:pPr>
        <w:pStyle w:val="H23G"/>
      </w:pPr>
      <w:r w:rsidRPr="00B47380">
        <w:tab/>
      </w:r>
      <w:r w:rsidRPr="00B47380">
        <w:tab/>
        <w:t>Domestic violence cases handled by the SWB</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09"/>
        <w:gridCol w:w="744"/>
        <w:gridCol w:w="842"/>
        <w:gridCol w:w="802"/>
        <w:gridCol w:w="813"/>
        <w:gridCol w:w="828"/>
        <w:gridCol w:w="830"/>
        <w:gridCol w:w="810"/>
        <w:gridCol w:w="834"/>
        <w:gridCol w:w="806"/>
        <w:gridCol w:w="821"/>
      </w:tblGrid>
      <w:tr w:rsidR="005E65F8" w:rsidRPr="005E65F8" w14:paraId="0925CF37" w14:textId="77777777" w:rsidTr="00E45843">
        <w:trPr>
          <w:cantSplit/>
          <w:tblHeader/>
        </w:trPr>
        <w:tc>
          <w:tcPr>
            <w:tcW w:w="1153" w:type="dxa"/>
            <w:vMerge w:val="restart"/>
            <w:tcBorders>
              <w:top w:val="single" w:sz="4" w:space="0" w:color="auto"/>
              <w:bottom w:val="single" w:sz="12" w:space="0" w:color="auto"/>
            </w:tcBorders>
            <w:shd w:val="clear" w:color="auto" w:fill="auto"/>
            <w:vAlign w:val="bottom"/>
          </w:tcPr>
          <w:p w14:paraId="2124B438" w14:textId="2F9639FB" w:rsidR="001D75D7" w:rsidRPr="005E65F8" w:rsidRDefault="001D75D7" w:rsidP="005E65F8">
            <w:pPr>
              <w:pStyle w:val="SingleTxtG"/>
              <w:suppressAutoHyphens w:val="0"/>
              <w:spacing w:before="80" w:after="80" w:line="200" w:lineRule="exact"/>
              <w:ind w:left="0" w:right="113"/>
              <w:jc w:val="left"/>
              <w:rPr>
                <w:i/>
                <w:sz w:val="16"/>
              </w:rPr>
            </w:pPr>
            <w:r w:rsidRPr="005E65F8">
              <w:rPr>
                <w:i/>
                <w:sz w:val="16"/>
              </w:rPr>
              <w:t>Type</w:t>
            </w:r>
            <w:r w:rsidR="0024161B">
              <w:rPr>
                <w:i/>
                <w:sz w:val="16"/>
              </w:rPr>
              <w:t>/</w:t>
            </w:r>
            <w:r w:rsidRPr="005E65F8">
              <w:rPr>
                <w:i/>
                <w:sz w:val="16"/>
              </w:rPr>
              <w:t>Year</w:t>
            </w:r>
          </w:p>
        </w:tc>
        <w:tc>
          <w:tcPr>
            <w:tcW w:w="1213" w:type="dxa"/>
            <w:gridSpan w:val="2"/>
            <w:tcBorders>
              <w:top w:val="single" w:sz="4" w:space="0" w:color="auto"/>
              <w:bottom w:val="single" w:sz="4" w:space="0" w:color="auto"/>
              <w:right w:val="single" w:sz="24" w:space="0" w:color="FFFFFF" w:themeColor="background1"/>
            </w:tcBorders>
            <w:shd w:val="clear" w:color="auto" w:fill="auto"/>
            <w:vAlign w:val="bottom"/>
          </w:tcPr>
          <w:p w14:paraId="18228650" w14:textId="77777777" w:rsidR="001D75D7" w:rsidRPr="005E65F8" w:rsidRDefault="001D75D7" w:rsidP="0024161B">
            <w:pPr>
              <w:pStyle w:val="SingleTxtG"/>
              <w:suppressAutoHyphens w:val="0"/>
              <w:spacing w:before="80" w:after="80" w:line="200" w:lineRule="exact"/>
              <w:ind w:left="0" w:right="113"/>
              <w:jc w:val="center"/>
              <w:rPr>
                <w:i/>
                <w:sz w:val="16"/>
              </w:rPr>
            </w:pPr>
            <w:r w:rsidRPr="005E65F8">
              <w:rPr>
                <w:i/>
                <w:sz w:val="16"/>
              </w:rPr>
              <w:t>2014</w:t>
            </w:r>
          </w:p>
        </w:tc>
        <w:tc>
          <w:tcPr>
            <w:tcW w:w="123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F8766DA" w14:textId="77777777" w:rsidR="001D75D7" w:rsidRPr="005E65F8" w:rsidRDefault="001D75D7" w:rsidP="0024161B">
            <w:pPr>
              <w:pStyle w:val="SingleTxtG"/>
              <w:suppressAutoHyphens w:val="0"/>
              <w:spacing w:before="80" w:after="80" w:line="200" w:lineRule="exact"/>
              <w:ind w:left="0" w:right="113"/>
              <w:jc w:val="center"/>
              <w:rPr>
                <w:i/>
                <w:sz w:val="16"/>
              </w:rPr>
            </w:pPr>
            <w:r w:rsidRPr="005E65F8">
              <w:rPr>
                <w:i/>
                <w:sz w:val="16"/>
              </w:rPr>
              <w:t>2015</w:t>
            </w:r>
          </w:p>
        </w:tc>
        <w:tc>
          <w:tcPr>
            <w:tcW w:w="126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881B774" w14:textId="77777777" w:rsidR="001D75D7" w:rsidRPr="005E65F8" w:rsidRDefault="001D75D7" w:rsidP="0024161B">
            <w:pPr>
              <w:pStyle w:val="SingleTxtG"/>
              <w:suppressAutoHyphens w:val="0"/>
              <w:spacing w:before="80" w:after="80" w:line="200" w:lineRule="exact"/>
              <w:ind w:left="0" w:right="113"/>
              <w:jc w:val="center"/>
              <w:rPr>
                <w:i/>
                <w:sz w:val="16"/>
              </w:rPr>
            </w:pPr>
            <w:r w:rsidRPr="005E65F8">
              <w:rPr>
                <w:i/>
                <w:sz w:val="16"/>
              </w:rPr>
              <w:t>2016</w:t>
            </w:r>
          </w:p>
        </w:tc>
        <w:tc>
          <w:tcPr>
            <w:tcW w:w="125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3679329" w14:textId="77777777" w:rsidR="001D75D7" w:rsidRPr="005E65F8" w:rsidRDefault="001D75D7" w:rsidP="0024161B">
            <w:pPr>
              <w:pStyle w:val="SingleTxtG"/>
              <w:suppressAutoHyphens w:val="0"/>
              <w:spacing w:before="80" w:after="80" w:line="200" w:lineRule="exact"/>
              <w:ind w:left="0" w:right="113"/>
              <w:jc w:val="center"/>
              <w:rPr>
                <w:i/>
                <w:sz w:val="16"/>
              </w:rPr>
            </w:pPr>
            <w:r w:rsidRPr="005E65F8">
              <w:rPr>
                <w:i/>
                <w:sz w:val="16"/>
              </w:rPr>
              <w:t>2017</w:t>
            </w:r>
          </w:p>
        </w:tc>
        <w:tc>
          <w:tcPr>
            <w:tcW w:w="1244" w:type="dxa"/>
            <w:gridSpan w:val="2"/>
            <w:tcBorders>
              <w:top w:val="single" w:sz="4" w:space="0" w:color="auto"/>
              <w:left w:val="single" w:sz="24" w:space="0" w:color="FFFFFF" w:themeColor="background1"/>
              <w:bottom w:val="single" w:sz="4" w:space="0" w:color="auto"/>
            </w:tcBorders>
            <w:shd w:val="clear" w:color="auto" w:fill="auto"/>
            <w:vAlign w:val="bottom"/>
          </w:tcPr>
          <w:p w14:paraId="67858AAC" w14:textId="2E9B6826" w:rsidR="001D75D7" w:rsidRPr="005E65F8" w:rsidRDefault="001D75D7" w:rsidP="0024161B">
            <w:pPr>
              <w:pStyle w:val="SingleTxtG"/>
              <w:suppressAutoHyphens w:val="0"/>
              <w:spacing w:before="80" w:after="80" w:line="200" w:lineRule="exact"/>
              <w:ind w:left="0" w:right="113"/>
              <w:jc w:val="center"/>
              <w:rPr>
                <w:i/>
                <w:sz w:val="16"/>
              </w:rPr>
            </w:pPr>
            <w:r w:rsidRPr="005E65F8">
              <w:rPr>
                <w:i/>
                <w:sz w:val="16"/>
              </w:rPr>
              <w:t>09</w:t>
            </w:r>
            <w:r w:rsidR="0024161B">
              <w:rPr>
                <w:i/>
                <w:sz w:val="16"/>
              </w:rPr>
              <w:t>/</w:t>
            </w:r>
            <w:r w:rsidRPr="005E65F8">
              <w:rPr>
                <w:i/>
                <w:sz w:val="16"/>
              </w:rPr>
              <w:t>2018</w:t>
            </w:r>
          </w:p>
        </w:tc>
      </w:tr>
      <w:tr w:rsidR="005E65F8" w:rsidRPr="005E65F8" w14:paraId="05837B55" w14:textId="77777777" w:rsidTr="00E45843">
        <w:trPr>
          <w:cantSplit/>
          <w:tblHeader/>
        </w:trPr>
        <w:tc>
          <w:tcPr>
            <w:tcW w:w="1153" w:type="dxa"/>
            <w:vMerge/>
            <w:tcBorders>
              <w:top w:val="single" w:sz="12" w:space="0" w:color="auto"/>
              <w:bottom w:val="single" w:sz="12" w:space="0" w:color="auto"/>
            </w:tcBorders>
            <w:shd w:val="clear" w:color="auto" w:fill="auto"/>
            <w:vAlign w:val="bottom"/>
          </w:tcPr>
          <w:p w14:paraId="0A8B2595" w14:textId="77777777" w:rsidR="001D75D7" w:rsidRPr="005E65F8" w:rsidRDefault="001D75D7" w:rsidP="005E65F8">
            <w:pPr>
              <w:pStyle w:val="SingleTxtG"/>
              <w:suppressAutoHyphens w:val="0"/>
              <w:spacing w:before="40" w:after="40" w:line="220" w:lineRule="exact"/>
              <w:ind w:left="0" w:right="113"/>
              <w:jc w:val="left"/>
              <w:rPr>
                <w:sz w:val="18"/>
              </w:rPr>
            </w:pPr>
          </w:p>
        </w:tc>
        <w:tc>
          <w:tcPr>
            <w:tcW w:w="569" w:type="dxa"/>
            <w:tcBorders>
              <w:top w:val="single" w:sz="4" w:space="0" w:color="auto"/>
              <w:bottom w:val="single" w:sz="12" w:space="0" w:color="auto"/>
            </w:tcBorders>
            <w:shd w:val="clear" w:color="auto" w:fill="auto"/>
            <w:vAlign w:val="bottom"/>
          </w:tcPr>
          <w:p w14:paraId="172D8C3D" w14:textId="77777777" w:rsidR="001D75D7" w:rsidRPr="0024161B" w:rsidRDefault="001D75D7" w:rsidP="005E65F8">
            <w:pPr>
              <w:pStyle w:val="SingleTxtG"/>
              <w:suppressAutoHyphens w:val="0"/>
              <w:spacing w:before="40" w:after="40" w:line="220" w:lineRule="exact"/>
              <w:ind w:left="0" w:right="113"/>
              <w:jc w:val="right"/>
              <w:rPr>
                <w:i/>
                <w:sz w:val="16"/>
              </w:rPr>
            </w:pPr>
            <w:r w:rsidRPr="0024161B">
              <w:rPr>
                <w:i/>
                <w:sz w:val="16"/>
              </w:rPr>
              <w:t>No. of cases</w:t>
            </w:r>
          </w:p>
        </w:tc>
        <w:tc>
          <w:tcPr>
            <w:tcW w:w="644" w:type="dxa"/>
            <w:tcBorders>
              <w:top w:val="single" w:sz="4" w:space="0" w:color="auto"/>
              <w:bottom w:val="single" w:sz="12" w:space="0" w:color="auto"/>
              <w:right w:val="single" w:sz="24" w:space="0" w:color="FFFFFF" w:themeColor="background1"/>
            </w:tcBorders>
            <w:shd w:val="clear" w:color="auto" w:fill="auto"/>
            <w:vAlign w:val="bottom"/>
          </w:tcPr>
          <w:p w14:paraId="4969C219" w14:textId="77777777" w:rsidR="001D75D7" w:rsidRPr="0024161B" w:rsidRDefault="001D75D7" w:rsidP="005E65F8">
            <w:pPr>
              <w:pStyle w:val="SingleTxtG"/>
              <w:suppressAutoHyphens w:val="0"/>
              <w:spacing w:before="40" w:after="40" w:line="220" w:lineRule="exact"/>
              <w:ind w:left="0" w:right="113"/>
              <w:jc w:val="right"/>
              <w:rPr>
                <w:i/>
                <w:sz w:val="16"/>
              </w:rPr>
            </w:pPr>
            <w:r w:rsidRPr="0024161B">
              <w:rPr>
                <w:i/>
                <w:sz w:val="16"/>
              </w:rPr>
              <w:t>No. of victims</w:t>
            </w:r>
          </w:p>
        </w:tc>
        <w:tc>
          <w:tcPr>
            <w:tcW w:w="613" w:type="dxa"/>
            <w:tcBorders>
              <w:top w:val="single" w:sz="4" w:space="0" w:color="auto"/>
              <w:left w:val="single" w:sz="24" w:space="0" w:color="FFFFFF" w:themeColor="background1"/>
              <w:bottom w:val="single" w:sz="12" w:space="0" w:color="auto"/>
            </w:tcBorders>
            <w:shd w:val="clear" w:color="auto" w:fill="auto"/>
            <w:vAlign w:val="bottom"/>
          </w:tcPr>
          <w:p w14:paraId="79480CEC" w14:textId="77777777" w:rsidR="001D75D7" w:rsidRPr="0024161B" w:rsidRDefault="001D75D7" w:rsidP="005E65F8">
            <w:pPr>
              <w:pStyle w:val="SingleTxtG"/>
              <w:suppressAutoHyphens w:val="0"/>
              <w:spacing w:before="40" w:after="40" w:line="220" w:lineRule="exact"/>
              <w:ind w:left="0" w:right="113"/>
              <w:jc w:val="right"/>
              <w:rPr>
                <w:i/>
                <w:sz w:val="16"/>
              </w:rPr>
            </w:pPr>
            <w:r w:rsidRPr="0024161B">
              <w:rPr>
                <w:i/>
                <w:sz w:val="16"/>
              </w:rPr>
              <w:t>No. of cases</w:t>
            </w:r>
          </w:p>
        </w:tc>
        <w:tc>
          <w:tcPr>
            <w:tcW w:w="622" w:type="dxa"/>
            <w:tcBorders>
              <w:top w:val="single" w:sz="4" w:space="0" w:color="auto"/>
              <w:bottom w:val="single" w:sz="12" w:space="0" w:color="auto"/>
              <w:right w:val="single" w:sz="24" w:space="0" w:color="FFFFFF" w:themeColor="background1"/>
            </w:tcBorders>
            <w:shd w:val="clear" w:color="auto" w:fill="auto"/>
            <w:vAlign w:val="bottom"/>
          </w:tcPr>
          <w:p w14:paraId="5C24C3C0" w14:textId="77777777" w:rsidR="001D75D7" w:rsidRPr="0024161B" w:rsidRDefault="001D75D7" w:rsidP="005E65F8">
            <w:pPr>
              <w:pStyle w:val="SingleTxtG"/>
              <w:suppressAutoHyphens w:val="0"/>
              <w:spacing w:before="40" w:after="40" w:line="220" w:lineRule="exact"/>
              <w:ind w:left="0" w:right="113"/>
              <w:jc w:val="right"/>
              <w:rPr>
                <w:i/>
                <w:sz w:val="16"/>
              </w:rPr>
            </w:pPr>
            <w:r w:rsidRPr="0024161B">
              <w:rPr>
                <w:i/>
                <w:sz w:val="16"/>
              </w:rPr>
              <w:t>No. of victims</w:t>
            </w:r>
          </w:p>
        </w:tc>
        <w:tc>
          <w:tcPr>
            <w:tcW w:w="633" w:type="dxa"/>
            <w:tcBorders>
              <w:top w:val="single" w:sz="4" w:space="0" w:color="auto"/>
              <w:left w:val="single" w:sz="24" w:space="0" w:color="FFFFFF" w:themeColor="background1"/>
              <w:bottom w:val="single" w:sz="12" w:space="0" w:color="auto"/>
            </w:tcBorders>
            <w:shd w:val="clear" w:color="auto" w:fill="auto"/>
            <w:vAlign w:val="bottom"/>
          </w:tcPr>
          <w:p w14:paraId="09768D12" w14:textId="77777777" w:rsidR="001D75D7" w:rsidRPr="0024161B" w:rsidRDefault="001D75D7" w:rsidP="005E65F8">
            <w:pPr>
              <w:pStyle w:val="SingleTxtG"/>
              <w:suppressAutoHyphens w:val="0"/>
              <w:spacing w:before="40" w:after="40" w:line="220" w:lineRule="exact"/>
              <w:ind w:left="0" w:right="113"/>
              <w:jc w:val="right"/>
              <w:rPr>
                <w:i/>
                <w:sz w:val="16"/>
              </w:rPr>
            </w:pPr>
            <w:r w:rsidRPr="0024161B">
              <w:rPr>
                <w:i/>
                <w:sz w:val="16"/>
              </w:rPr>
              <w:t>No. of cases</w:t>
            </w:r>
          </w:p>
        </w:tc>
        <w:tc>
          <w:tcPr>
            <w:tcW w:w="635" w:type="dxa"/>
            <w:tcBorders>
              <w:top w:val="single" w:sz="4" w:space="0" w:color="auto"/>
              <w:bottom w:val="single" w:sz="12" w:space="0" w:color="auto"/>
              <w:right w:val="single" w:sz="24" w:space="0" w:color="FFFFFF" w:themeColor="background1"/>
            </w:tcBorders>
            <w:shd w:val="clear" w:color="auto" w:fill="auto"/>
            <w:vAlign w:val="bottom"/>
          </w:tcPr>
          <w:p w14:paraId="240EA9BB" w14:textId="77777777" w:rsidR="001D75D7" w:rsidRPr="0024161B" w:rsidRDefault="001D75D7" w:rsidP="005E65F8">
            <w:pPr>
              <w:pStyle w:val="SingleTxtG"/>
              <w:suppressAutoHyphens w:val="0"/>
              <w:spacing w:before="40" w:after="40" w:line="220" w:lineRule="exact"/>
              <w:ind w:left="0" w:right="113"/>
              <w:jc w:val="right"/>
              <w:rPr>
                <w:i/>
                <w:sz w:val="16"/>
              </w:rPr>
            </w:pPr>
            <w:r w:rsidRPr="0024161B">
              <w:rPr>
                <w:i/>
                <w:sz w:val="16"/>
              </w:rPr>
              <w:t>No. of victims</w:t>
            </w:r>
          </w:p>
        </w:tc>
        <w:tc>
          <w:tcPr>
            <w:tcW w:w="619" w:type="dxa"/>
            <w:tcBorders>
              <w:top w:val="single" w:sz="4" w:space="0" w:color="auto"/>
              <w:left w:val="single" w:sz="24" w:space="0" w:color="FFFFFF" w:themeColor="background1"/>
              <w:bottom w:val="single" w:sz="12" w:space="0" w:color="auto"/>
            </w:tcBorders>
            <w:shd w:val="clear" w:color="auto" w:fill="auto"/>
            <w:vAlign w:val="bottom"/>
          </w:tcPr>
          <w:p w14:paraId="61923BA1" w14:textId="77777777" w:rsidR="001D75D7" w:rsidRPr="0024161B" w:rsidRDefault="001D75D7" w:rsidP="005E65F8">
            <w:pPr>
              <w:pStyle w:val="SingleTxtG"/>
              <w:suppressAutoHyphens w:val="0"/>
              <w:spacing w:before="40" w:after="40" w:line="220" w:lineRule="exact"/>
              <w:ind w:left="0" w:right="113"/>
              <w:jc w:val="right"/>
              <w:rPr>
                <w:i/>
                <w:sz w:val="16"/>
              </w:rPr>
            </w:pPr>
            <w:r w:rsidRPr="0024161B">
              <w:rPr>
                <w:i/>
                <w:sz w:val="16"/>
              </w:rPr>
              <w:t>No. of cases</w:t>
            </w:r>
          </w:p>
        </w:tc>
        <w:tc>
          <w:tcPr>
            <w:tcW w:w="638" w:type="dxa"/>
            <w:tcBorders>
              <w:top w:val="single" w:sz="4" w:space="0" w:color="auto"/>
              <w:bottom w:val="single" w:sz="12" w:space="0" w:color="auto"/>
              <w:right w:val="single" w:sz="24" w:space="0" w:color="FFFFFF" w:themeColor="background1"/>
            </w:tcBorders>
            <w:shd w:val="clear" w:color="auto" w:fill="auto"/>
            <w:vAlign w:val="bottom"/>
          </w:tcPr>
          <w:p w14:paraId="42068161" w14:textId="77777777" w:rsidR="001D75D7" w:rsidRPr="0024161B" w:rsidRDefault="001D75D7" w:rsidP="005E65F8">
            <w:pPr>
              <w:pStyle w:val="SingleTxtG"/>
              <w:suppressAutoHyphens w:val="0"/>
              <w:spacing w:before="40" w:after="40" w:line="220" w:lineRule="exact"/>
              <w:ind w:left="0" w:right="113"/>
              <w:jc w:val="right"/>
              <w:rPr>
                <w:i/>
                <w:sz w:val="16"/>
              </w:rPr>
            </w:pPr>
            <w:r w:rsidRPr="0024161B">
              <w:rPr>
                <w:i/>
                <w:sz w:val="16"/>
              </w:rPr>
              <w:t>No. of victims</w:t>
            </w:r>
          </w:p>
        </w:tc>
        <w:tc>
          <w:tcPr>
            <w:tcW w:w="616" w:type="dxa"/>
            <w:tcBorders>
              <w:top w:val="single" w:sz="4" w:space="0" w:color="auto"/>
              <w:left w:val="single" w:sz="24" w:space="0" w:color="FFFFFF" w:themeColor="background1"/>
              <w:bottom w:val="single" w:sz="12" w:space="0" w:color="auto"/>
            </w:tcBorders>
            <w:shd w:val="clear" w:color="auto" w:fill="auto"/>
            <w:vAlign w:val="bottom"/>
          </w:tcPr>
          <w:p w14:paraId="0E9E43AD" w14:textId="77777777" w:rsidR="001D75D7" w:rsidRPr="0024161B" w:rsidRDefault="001D75D7" w:rsidP="005E65F8">
            <w:pPr>
              <w:pStyle w:val="SingleTxtG"/>
              <w:suppressAutoHyphens w:val="0"/>
              <w:spacing w:before="40" w:after="40" w:line="220" w:lineRule="exact"/>
              <w:ind w:left="0" w:right="113"/>
              <w:jc w:val="right"/>
              <w:rPr>
                <w:i/>
                <w:sz w:val="16"/>
              </w:rPr>
            </w:pPr>
            <w:r w:rsidRPr="0024161B">
              <w:rPr>
                <w:i/>
                <w:sz w:val="16"/>
              </w:rPr>
              <w:t>No. of cases</w:t>
            </w:r>
          </w:p>
        </w:tc>
        <w:tc>
          <w:tcPr>
            <w:tcW w:w="628" w:type="dxa"/>
            <w:tcBorders>
              <w:top w:val="single" w:sz="4" w:space="0" w:color="auto"/>
              <w:bottom w:val="single" w:sz="12" w:space="0" w:color="auto"/>
            </w:tcBorders>
            <w:shd w:val="clear" w:color="auto" w:fill="auto"/>
            <w:vAlign w:val="bottom"/>
          </w:tcPr>
          <w:p w14:paraId="68970ABA" w14:textId="77777777" w:rsidR="001D75D7" w:rsidRPr="0024161B" w:rsidRDefault="001D75D7" w:rsidP="005E65F8">
            <w:pPr>
              <w:pStyle w:val="SingleTxtG"/>
              <w:suppressAutoHyphens w:val="0"/>
              <w:spacing w:before="40" w:after="40" w:line="220" w:lineRule="exact"/>
              <w:ind w:left="0" w:right="113"/>
              <w:jc w:val="right"/>
              <w:rPr>
                <w:i/>
                <w:sz w:val="16"/>
              </w:rPr>
            </w:pPr>
            <w:r w:rsidRPr="0024161B">
              <w:rPr>
                <w:i/>
                <w:sz w:val="16"/>
              </w:rPr>
              <w:t>No. of victims</w:t>
            </w:r>
          </w:p>
        </w:tc>
      </w:tr>
      <w:tr w:rsidR="005E65F8" w:rsidRPr="005E65F8" w14:paraId="662FAC78" w14:textId="77777777" w:rsidTr="00402C08">
        <w:trPr>
          <w:cantSplit/>
        </w:trPr>
        <w:tc>
          <w:tcPr>
            <w:tcW w:w="1153" w:type="dxa"/>
            <w:tcBorders>
              <w:top w:val="single" w:sz="12" w:space="0" w:color="auto"/>
              <w:bottom w:val="nil"/>
            </w:tcBorders>
            <w:shd w:val="clear" w:color="auto" w:fill="auto"/>
          </w:tcPr>
          <w:p w14:paraId="201F25BA" w14:textId="77777777" w:rsidR="001D75D7" w:rsidRPr="005E65F8" w:rsidRDefault="001D75D7" w:rsidP="005E65F8">
            <w:pPr>
              <w:pStyle w:val="SingleTxtG"/>
              <w:suppressAutoHyphens w:val="0"/>
              <w:spacing w:before="40" w:after="40" w:line="220" w:lineRule="exact"/>
              <w:ind w:left="0" w:right="113"/>
              <w:jc w:val="left"/>
              <w:rPr>
                <w:sz w:val="18"/>
              </w:rPr>
            </w:pPr>
            <w:r w:rsidRPr="005E65F8">
              <w:rPr>
                <w:sz w:val="18"/>
              </w:rPr>
              <w:t>Wife abuse</w:t>
            </w:r>
          </w:p>
        </w:tc>
        <w:tc>
          <w:tcPr>
            <w:tcW w:w="569" w:type="dxa"/>
            <w:tcBorders>
              <w:top w:val="single" w:sz="12" w:space="0" w:color="auto"/>
              <w:bottom w:val="nil"/>
            </w:tcBorders>
            <w:shd w:val="clear" w:color="auto" w:fill="auto"/>
            <w:vAlign w:val="bottom"/>
          </w:tcPr>
          <w:p w14:paraId="65F70CBC"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31</w:t>
            </w:r>
          </w:p>
        </w:tc>
        <w:tc>
          <w:tcPr>
            <w:tcW w:w="644" w:type="dxa"/>
            <w:tcBorders>
              <w:top w:val="single" w:sz="12" w:space="0" w:color="auto"/>
              <w:bottom w:val="nil"/>
            </w:tcBorders>
            <w:shd w:val="clear" w:color="auto" w:fill="auto"/>
            <w:vAlign w:val="bottom"/>
          </w:tcPr>
          <w:p w14:paraId="51B08307"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31</w:t>
            </w:r>
          </w:p>
        </w:tc>
        <w:tc>
          <w:tcPr>
            <w:tcW w:w="613" w:type="dxa"/>
            <w:tcBorders>
              <w:top w:val="single" w:sz="12" w:space="0" w:color="auto"/>
              <w:bottom w:val="nil"/>
            </w:tcBorders>
            <w:shd w:val="clear" w:color="auto" w:fill="auto"/>
            <w:vAlign w:val="bottom"/>
          </w:tcPr>
          <w:p w14:paraId="7B9F919C"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46</w:t>
            </w:r>
          </w:p>
        </w:tc>
        <w:tc>
          <w:tcPr>
            <w:tcW w:w="622" w:type="dxa"/>
            <w:tcBorders>
              <w:top w:val="single" w:sz="12" w:space="0" w:color="auto"/>
              <w:bottom w:val="nil"/>
            </w:tcBorders>
            <w:shd w:val="clear" w:color="auto" w:fill="auto"/>
            <w:vAlign w:val="bottom"/>
          </w:tcPr>
          <w:p w14:paraId="33A2075B"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46</w:t>
            </w:r>
          </w:p>
        </w:tc>
        <w:tc>
          <w:tcPr>
            <w:tcW w:w="633" w:type="dxa"/>
            <w:tcBorders>
              <w:top w:val="single" w:sz="12" w:space="0" w:color="auto"/>
              <w:bottom w:val="nil"/>
            </w:tcBorders>
            <w:shd w:val="clear" w:color="auto" w:fill="auto"/>
            <w:vAlign w:val="bottom"/>
          </w:tcPr>
          <w:p w14:paraId="6A01074C"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90</w:t>
            </w:r>
          </w:p>
        </w:tc>
        <w:tc>
          <w:tcPr>
            <w:tcW w:w="635" w:type="dxa"/>
            <w:tcBorders>
              <w:top w:val="single" w:sz="12" w:space="0" w:color="auto"/>
              <w:bottom w:val="nil"/>
            </w:tcBorders>
            <w:shd w:val="clear" w:color="auto" w:fill="auto"/>
            <w:vAlign w:val="bottom"/>
          </w:tcPr>
          <w:p w14:paraId="4481D543"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90</w:t>
            </w:r>
          </w:p>
        </w:tc>
        <w:tc>
          <w:tcPr>
            <w:tcW w:w="619" w:type="dxa"/>
            <w:tcBorders>
              <w:top w:val="single" w:sz="12" w:space="0" w:color="auto"/>
              <w:bottom w:val="nil"/>
            </w:tcBorders>
            <w:shd w:val="clear" w:color="auto" w:fill="auto"/>
            <w:vAlign w:val="bottom"/>
          </w:tcPr>
          <w:p w14:paraId="43DF3F56"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68</w:t>
            </w:r>
          </w:p>
        </w:tc>
        <w:tc>
          <w:tcPr>
            <w:tcW w:w="638" w:type="dxa"/>
            <w:tcBorders>
              <w:top w:val="single" w:sz="12" w:space="0" w:color="auto"/>
              <w:bottom w:val="nil"/>
            </w:tcBorders>
            <w:shd w:val="clear" w:color="auto" w:fill="auto"/>
            <w:vAlign w:val="bottom"/>
          </w:tcPr>
          <w:p w14:paraId="668D9178"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68</w:t>
            </w:r>
          </w:p>
        </w:tc>
        <w:tc>
          <w:tcPr>
            <w:tcW w:w="616" w:type="dxa"/>
            <w:tcBorders>
              <w:top w:val="single" w:sz="12" w:space="0" w:color="auto"/>
              <w:bottom w:val="nil"/>
            </w:tcBorders>
            <w:shd w:val="clear" w:color="auto" w:fill="auto"/>
            <w:vAlign w:val="bottom"/>
          </w:tcPr>
          <w:p w14:paraId="60129085"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27</w:t>
            </w:r>
          </w:p>
        </w:tc>
        <w:tc>
          <w:tcPr>
            <w:tcW w:w="628" w:type="dxa"/>
            <w:tcBorders>
              <w:top w:val="single" w:sz="12" w:space="0" w:color="auto"/>
              <w:bottom w:val="nil"/>
            </w:tcBorders>
            <w:shd w:val="clear" w:color="auto" w:fill="auto"/>
            <w:vAlign w:val="bottom"/>
          </w:tcPr>
          <w:p w14:paraId="433F15AF"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27</w:t>
            </w:r>
          </w:p>
        </w:tc>
      </w:tr>
      <w:tr w:rsidR="005E65F8" w:rsidRPr="005E65F8" w14:paraId="0EC8DD03" w14:textId="77777777" w:rsidTr="00402C08">
        <w:trPr>
          <w:cantSplit/>
        </w:trPr>
        <w:tc>
          <w:tcPr>
            <w:tcW w:w="1153" w:type="dxa"/>
            <w:tcBorders>
              <w:top w:val="nil"/>
              <w:bottom w:val="nil"/>
            </w:tcBorders>
            <w:shd w:val="clear" w:color="auto" w:fill="auto"/>
          </w:tcPr>
          <w:p w14:paraId="4DF865E3" w14:textId="77777777" w:rsidR="001D75D7" w:rsidRPr="005E65F8" w:rsidRDefault="001D75D7" w:rsidP="005E65F8">
            <w:pPr>
              <w:pStyle w:val="SingleTxtG"/>
              <w:suppressAutoHyphens w:val="0"/>
              <w:spacing w:before="40" w:after="40" w:line="220" w:lineRule="exact"/>
              <w:ind w:left="0" w:right="113"/>
              <w:jc w:val="left"/>
              <w:rPr>
                <w:sz w:val="18"/>
              </w:rPr>
            </w:pPr>
            <w:r w:rsidRPr="005E65F8">
              <w:rPr>
                <w:sz w:val="18"/>
              </w:rPr>
              <w:t>Husband abuse</w:t>
            </w:r>
          </w:p>
        </w:tc>
        <w:tc>
          <w:tcPr>
            <w:tcW w:w="569" w:type="dxa"/>
            <w:tcBorders>
              <w:top w:val="nil"/>
              <w:bottom w:val="nil"/>
            </w:tcBorders>
            <w:shd w:val="clear" w:color="auto" w:fill="auto"/>
            <w:vAlign w:val="bottom"/>
          </w:tcPr>
          <w:p w14:paraId="4D699DB1"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10</w:t>
            </w:r>
          </w:p>
        </w:tc>
        <w:tc>
          <w:tcPr>
            <w:tcW w:w="644" w:type="dxa"/>
            <w:tcBorders>
              <w:top w:val="nil"/>
              <w:bottom w:val="nil"/>
            </w:tcBorders>
            <w:shd w:val="clear" w:color="auto" w:fill="auto"/>
            <w:vAlign w:val="bottom"/>
          </w:tcPr>
          <w:p w14:paraId="67D35C2D"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10</w:t>
            </w:r>
          </w:p>
        </w:tc>
        <w:tc>
          <w:tcPr>
            <w:tcW w:w="613" w:type="dxa"/>
            <w:tcBorders>
              <w:top w:val="nil"/>
              <w:bottom w:val="nil"/>
            </w:tcBorders>
            <w:shd w:val="clear" w:color="auto" w:fill="auto"/>
            <w:vAlign w:val="bottom"/>
          </w:tcPr>
          <w:p w14:paraId="32841220"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4</w:t>
            </w:r>
          </w:p>
        </w:tc>
        <w:tc>
          <w:tcPr>
            <w:tcW w:w="622" w:type="dxa"/>
            <w:tcBorders>
              <w:top w:val="nil"/>
              <w:bottom w:val="nil"/>
            </w:tcBorders>
            <w:shd w:val="clear" w:color="auto" w:fill="auto"/>
            <w:vAlign w:val="bottom"/>
          </w:tcPr>
          <w:p w14:paraId="0FB81F0F"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4</w:t>
            </w:r>
          </w:p>
        </w:tc>
        <w:tc>
          <w:tcPr>
            <w:tcW w:w="633" w:type="dxa"/>
            <w:tcBorders>
              <w:top w:val="nil"/>
              <w:bottom w:val="nil"/>
            </w:tcBorders>
            <w:shd w:val="clear" w:color="auto" w:fill="auto"/>
            <w:vAlign w:val="bottom"/>
          </w:tcPr>
          <w:p w14:paraId="258C363A"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7</w:t>
            </w:r>
          </w:p>
        </w:tc>
        <w:tc>
          <w:tcPr>
            <w:tcW w:w="635" w:type="dxa"/>
            <w:tcBorders>
              <w:top w:val="nil"/>
              <w:bottom w:val="nil"/>
            </w:tcBorders>
            <w:shd w:val="clear" w:color="auto" w:fill="auto"/>
            <w:vAlign w:val="bottom"/>
          </w:tcPr>
          <w:p w14:paraId="0F091641"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7</w:t>
            </w:r>
          </w:p>
        </w:tc>
        <w:tc>
          <w:tcPr>
            <w:tcW w:w="619" w:type="dxa"/>
            <w:tcBorders>
              <w:top w:val="nil"/>
              <w:bottom w:val="nil"/>
            </w:tcBorders>
            <w:shd w:val="clear" w:color="auto" w:fill="auto"/>
            <w:vAlign w:val="bottom"/>
          </w:tcPr>
          <w:p w14:paraId="6AA78484"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5</w:t>
            </w:r>
          </w:p>
        </w:tc>
        <w:tc>
          <w:tcPr>
            <w:tcW w:w="638" w:type="dxa"/>
            <w:tcBorders>
              <w:top w:val="nil"/>
              <w:bottom w:val="nil"/>
            </w:tcBorders>
            <w:shd w:val="clear" w:color="auto" w:fill="auto"/>
            <w:vAlign w:val="bottom"/>
          </w:tcPr>
          <w:p w14:paraId="3793B20A"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5</w:t>
            </w:r>
          </w:p>
        </w:tc>
        <w:tc>
          <w:tcPr>
            <w:tcW w:w="616" w:type="dxa"/>
            <w:tcBorders>
              <w:top w:val="nil"/>
              <w:bottom w:val="nil"/>
            </w:tcBorders>
            <w:shd w:val="clear" w:color="auto" w:fill="auto"/>
            <w:vAlign w:val="bottom"/>
          </w:tcPr>
          <w:p w14:paraId="38220DAA"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w:t>
            </w:r>
          </w:p>
        </w:tc>
        <w:tc>
          <w:tcPr>
            <w:tcW w:w="628" w:type="dxa"/>
            <w:tcBorders>
              <w:top w:val="nil"/>
              <w:bottom w:val="nil"/>
            </w:tcBorders>
            <w:shd w:val="clear" w:color="auto" w:fill="auto"/>
            <w:vAlign w:val="bottom"/>
          </w:tcPr>
          <w:p w14:paraId="0D72F90B"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w:t>
            </w:r>
          </w:p>
        </w:tc>
      </w:tr>
      <w:tr w:rsidR="005E65F8" w:rsidRPr="005E65F8" w14:paraId="22D14A57" w14:textId="77777777" w:rsidTr="00402C08">
        <w:trPr>
          <w:cantSplit/>
        </w:trPr>
        <w:tc>
          <w:tcPr>
            <w:tcW w:w="1153" w:type="dxa"/>
            <w:tcBorders>
              <w:top w:val="nil"/>
            </w:tcBorders>
            <w:shd w:val="clear" w:color="auto" w:fill="auto"/>
          </w:tcPr>
          <w:p w14:paraId="4AD3708A" w14:textId="77777777" w:rsidR="001D75D7" w:rsidRPr="005E65F8" w:rsidRDefault="001D75D7" w:rsidP="005E65F8">
            <w:pPr>
              <w:pStyle w:val="SingleTxtG"/>
              <w:suppressAutoHyphens w:val="0"/>
              <w:spacing w:before="40" w:after="40" w:line="220" w:lineRule="exact"/>
              <w:ind w:left="0" w:right="113"/>
              <w:jc w:val="left"/>
              <w:rPr>
                <w:sz w:val="18"/>
              </w:rPr>
            </w:pPr>
            <w:r w:rsidRPr="005E65F8">
              <w:rPr>
                <w:sz w:val="18"/>
              </w:rPr>
              <w:lastRenderedPageBreak/>
              <w:t>Child abuse</w:t>
            </w:r>
          </w:p>
        </w:tc>
        <w:tc>
          <w:tcPr>
            <w:tcW w:w="569" w:type="dxa"/>
            <w:tcBorders>
              <w:top w:val="nil"/>
            </w:tcBorders>
            <w:shd w:val="clear" w:color="auto" w:fill="auto"/>
            <w:vAlign w:val="bottom"/>
          </w:tcPr>
          <w:p w14:paraId="2C913DAB"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8</w:t>
            </w:r>
          </w:p>
        </w:tc>
        <w:tc>
          <w:tcPr>
            <w:tcW w:w="644" w:type="dxa"/>
            <w:tcBorders>
              <w:top w:val="nil"/>
            </w:tcBorders>
            <w:shd w:val="clear" w:color="auto" w:fill="auto"/>
            <w:vAlign w:val="bottom"/>
          </w:tcPr>
          <w:p w14:paraId="5AF7934C"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10</w:t>
            </w:r>
          </w:p>
        </w:tc>
        <w:tc>
          <w:tcPr>
            <w:tcW w:w="613" w:type="dxa"/>
            <w:tcBorders>
              <w:top w:val="nil"/>
            </w:tcBorders>
            <w:shd w:val="clear" w:color="auto" w:fill="auto"/>
            <w:vAlign w:val="bottom"/>
          </w:tcPr>
          <w:p w14:paraId="66DAC411"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14</w:t>
            </w:r>
          </w:p>
        </w:tc>
        <w:tc>
          <w:tcPr>
            <w:tcW w:w="622" w:type="dxa"/>
            <w:tcBorders>
              <w:top w:val="nil"/>
            </w:tcBorders>
            <w:shd w:val="clear" w:color="auto" w:fill="auto"/>
            <w:vAlign w:val="bottom"/>
          </w:tcPr>
          <w:p w14:paraId="71A0AADF"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16</w:t>
            </w:r>
          </w:p>
        </w:tc>
        <w:tc>
          <w:tcPr>
            <w:tcW w:w="633" w:type="dxa"/>
            <w:tcBorders>
              <w:top w:val="nil"/>
            </w:tcBorders>
            <w:shd w:val="clear" w:color="auto" w:fill="auto"/>
            <w:vAlign w:val="bottom"/>
          </w:tcPr>
          <w:p w14:paraId="3BC82007"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31</w:t>
            </w:r>
          </w:p>
        </w:tc>
        <w:tc>
          <w:tcPr>
            <w:tcW w:w="635" w:type="dxa"/>
            <w:tcBorders>
              <w:top w:val="nil"/>
            </w:tcBorders>
            <w:shd w:val="clear" w:color="auto" w:fill="auto"/>
            <w:vAlign w:val="bottom"/>
          </w:tcPr>
          <w:p w14:paraId="07817F7E"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32</w:t>
            </w:r>
          </w:p>
        </w:tc>
        <w:tc>
          <w:tcPr>
            <w:tcW w:w="619" w:type="dxa"/>
            <w:tcBorders>
              <w:top w:val="nil"/>
            </w:tcBorders>
            <w:shd w:val="clear" w:color="auto" w:fill="auto"/>
            <w:vAlign w:val="bottom"/>
          </w:tcPr>
          <w:p w14:paraId="0E04BB2D"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20</w:t>
            </w:r>
          </w:p>
        </w:tc>
        <w:tc>
          <w:tcPr>
            <w:tcW w:w="638" w:type="dxa"/>
            <w:tcBorders>
              <w:top w:val="nil"/>
            </w:tcBorders>
            <w:shd w:val="clear" w:color="auto" w:fill="auto"/>
            <w:vAlign w:val="bottom"/>
          </w:tcPr>
          <w:p w14:paraId="668D5BE0"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22</w:t>
            </w:r>
          </w:p>
        </w:tc>
        <w:tc>
          <w:tcPr>
            <w:tcW w:w="616" w:type="dxa"/>
            <w:tcBorders>
              <w:top w:val="nil"/>
            </w:tcBorders>
            <w:shd w:val="clear" w:color="auto" w:fill="auto"/>
            <w:vAlign w:val="bottom"/>
          </w:tcPr>
          <w:p w14:paraId="580A98DC"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15</w:t>
            </w:r>
          </w:p>
        </w:tc>
        <w:tc>
          <w:tcPr>
            <w:tcW w:w="628" w:type="dxa"/>
            <w:tcBorders>
              <w:top w:val="nil"/>
            </w:tcBorders>
            <w:shd w:val="clear" w:color="auto" w:fill="auto"/>
            <w:vAlign w:val="bottom"/>
          </w:tcPr>
          <w:p w14:paraId="29970CC2"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16</w:t>
            </w:r>
          </w:p>
        </w:tc>
      </w:tr>
      <w:tr w:rsidR="005E65F8" w:rsidRPr="005E65F8" w14:paraId="09E36C98" w14:textId="77777777" w:rsidTr="00E45843">
        <w:trPr>
          <w:cantSplit/>
        </w:trPr>
        <w:tc>
          <w:tcPr>
            <w:tcW w:w="1153" w:type="dxa"/>
            <w:shd w:val="clear" w:color="auto" w:fill="auto"/>
          </w:tcPr>
          <w:p w14:paraId="521DB99B" w14:textId="77777777" w:rsidR="001D75D7" w:rsidRPr="005E65F8" w:rsidRDefault="001D75D7" w:rsidP="005E65F8">
            <w:pPr>
              <w:pStyle w:val="SingleTxtG"/>
              <w:suppressAutoHyphens w:val="0"/>
              <w:spacing w:before="40" w:after="40" w:line="220" w:lineRule="exact"/>
              <w:ind w:left="0" w:right="113"/>
              <w:jc w:val="left"/>
              <w:rPr>
                <w:sz w:val="18"/>
              </w:rPr>
            </w:pPr>
            <w:r w:rsidRPr="005E65F8">
              <w:rPr>
                <w:sz w:val="18"/>
              </w:rPr>
              <w:t>Elder abuse</w:t>
            </w:r>
          </w:p>
        </w:tc>
        <w:tc>
          <w:tcPr>
            <w:tcW w:w="569" w:type="dxa"/>
            <w:shd w:val="clear" w:color="auto" w:fill="auto"/>
            <w:vAlign w:val="bottom"/>
          </w:tcPr>
          <w:p w14:paraId="59664C85"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2</w:t>
            </w:r>
          </w:p>
        </w:tc>
        <w:tc>
          <w:tcPr>
            <w:tcW w:w="644" w:type="dxa"/>
            <w:shd w:val="clear" w:color="auto" w:fill="auto"/>
            <w:vAlign w:val="bottom"/>
          </w:tcPr>
          <w:p w14:paraId="449262A8"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2</w:t>
            </w:r>
          </w:p>
        </w:tc>
        <w:tc>
          <w:tcPr>
            <w:tcW w:w="613" w:type="dxa"/>
            <w:shd w:val="clear" w:color="auto" w:fill="auto"/>
            <w:vAlign w:val="bottom"/>
          </w:tcPr>
          <w:p w14:paraId="3EDFA6CA"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5</w:t>
            </w:r>
          </w:p>
        </w:tc>
        <w:tc>
          <w:tcPr>
            <w:tcW w:w="622" w:type="dxa"/>
            <w:shd w:val="clear" w:color="auto" w:fill="auto"/>
            <w:vAlign w:val="bottom"/>
          </w:tcPr>
          <w:p w14:paraId="250E7278"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5</w:t>
            </w:r>
          </w:p>
        </w:tc>
        <w:tc>
          <w:tcPr>
            <w:tcW w:w="633" w:type="dxa"/>
            <w:shd w:val="clear" w:color="auto" w:fill="auto"/>
            <w:vAlign w:val="bottom"/>
          </w:tcPr>
          <w:p w14:paraId="364A2C54"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2</w:t>
            </w:r>
          </w:p>
        </w:tc>
        <w:tc>
          <w:tcPr>
            <w:tcW w:w="635" w:type="dxa"/>
            <w:shd w:val="clear" w:color="auto" w:fill="auto"/>
            <w:vAlign w:val="bottom"/>
          </w:tcPr>
          <w:p w14:paraId="569357F9"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2</w:t>
            </w:r>
          </w:p>
        </w:tc>
        <w:tc>
          <w:tcPr>
            <w:tcW w:w="619" w:type="dxa"/>
            <w:shd w:val="clear" w:color="auto" w:fill="auto"/>
            <w:vAlign w:val="bottom"/>
          </w:tcPr>
          <w:p w14:paraId="6DA2D3E8"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w:t>
            </w:r>
          </w:p>
        </w:tc>
        <w:tc>
          <w:tcPr>
            <w:tcW w:w="638" w:type="dxa"/>
            <w:shd w:val="clear" w:color="auto" w:fill="auto"/>
            <w:vAlign w:val="bottom"/>
          </w:tcPr>
          <w:p w14:paraId="1AA84D11"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w:t>
            </w:r>
          </w:p>
        </w:tc>
        <w:tc>
          <w:tcPr>
            <w:tcW w:w="616" w:type="dxa"/>
            <w:shd w:val="clear" w:color="auto" w:fill="auto"/>
            <w:vAlign w:val="bottom"/>
          </w:tcPr>
          <w:p w14:paraId="45A13A4D"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0</w:t>
            </w:r>
          </w:p>
        </w:tc>
        <w:tc>
          <w:tcPr>
            <w:tcW w:w="628" w:type="dxa"/>
            <w:shd w:val="clear" w:color="auto" w:fill="auto"/>
            <w:vAlign w:val="bottom"/>
          </w:tcPr>
          <w:p w14:paraId="55466D7E"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0</w:t>
            </w:r>
          </w:p>
        </w:tc>
      </w:tr>
      <w:tr w:rsidR="005E65F8" w:rsidRPr="005E65F8" w14:paraId="1AD0783A" w14:textId="77777777" w:rsidTr="00E45843">
        <w:trPr>
          <w:cantSplit/>
        </w:trPr>
        <w:tc>
          <w:tcPr>
            <w:tcW w:w="1153" w:type="dxa"/>
            <w:tcBorders>
              <w:bottom w:val="single" w:sz="4" w:space="0" w:color="auto"/>
            </w:tcBorders>
            <w:shd w:val="clear" w:color="auto" w:fill="auto"/>
          </w:tcPr>
          <w:p w14:paraId="74C9B352" w14:textId="77777777" w:rsidR="001D75D7" w:rsidRPr="005E65F8" w:rsidRDefault="001D75D7" w:rsidP="005E65F8">
            <w:pPr>
              <w:pStyle w:val="SingleTxtG"/>
              <w:suppressAutoHyphens w:val="0"/>
              <w:spacing w:before="40" w:after="40" w:line="220" w:lineRule="exact"/>
              <w:ind w:left="0" w:right="113"/>
              <w:jc w:val="left"/>
              <w:rPr>
                <w:sz w:val="18"/>
              </w:rPr>
            </w:pPr>
            <w:r w:rsidRPr="005E65F8">
              <w:rPr>
                <w:sz w:val="18"/>
              </w:rPr>
              <w:t>Violence from family members</w:t>
            </w:r>
          </w:p>
        </w:tc>
        <w:tc>
          <w:tcPr>
            <w:tcW w:w="569" w:type="dxa"/>
            <w:tcBorders>
              <w:bottom w:val="single" w:sz="4" w:space="0" w:color="auto"/>
            </w:tcBorders>
            <w:shd w:val="clear" w:color="auto" w:fill="auto"/>
            <w:vAlign w:val="bottom"/>
          </w:tcPr>
          <w:p w14:paraId="78F14227"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18</w:t>
            </w:r>
          </w:p>
        </w:tc>
        <w:tc>
          <w:tcPr>
            <w:tcW w:w="644" w:type="dxa"/>
            <w:tcBorders>
              <w:bottom w:val="single" w:sz="4" w:space="0" w:color="auto"/>
            </w:tcBorders>
            <w:shd w:val="clear" w:color="auto" w:fill="auto"/>
            <w:vAlign w:val="bottom"/>
          </w:tcPr>
          <w:p w14:paraId="5A83CBA0"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18</w:t>
            </w:r>
          </w:p>
        </w:tc>
        <w:tc>
          <w:tcPr>
            <w:tcW w:w="613" w:type="dxa"/>
            <w:tcBorders>
              <w:bottom w:val="single" w:sz="4" w:space="0" w:color="auto"/>
            </w:tcBorders>
            <w:shd w:val="clear" w:color="auto" w:fill="auto"/>
            <w:vAlign w:val="bottom"/>
          </w:tcPr>
          <w:p w14:paraId="0D27A3E7"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11</w:t>
            </w:r>
          </w:p>
        </w:tc>
        <w:tc>
          <w:tcPr>
            <w:tcW w:w="622" w:type="dxa"/>
            <w:tcBorders>
              <w:bottom w:val="single" w:sz="4" w:space="0" w:color="auto"/>
            </w:tcBorders>
            <w:shd w:val="clear" w:color="auto" w:fill="auto"/>
            <w:vAlign w:val="bottom"/>
          </w:tcPr>
          <w:p w14:paraId="44C7822D"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11</w:t>
            </w:r>
          </w:p>
        </w:tc>
        <w:tc>
          <w:tcPr>
            <w:tcW w:w="633" w:type="dxa"/>
            <w:tcBorders>
              <w:bottom w:val="single" w:sz="4" w:space="0" w:color="auto"/>
            </w:tcBorders>
            <w:shd w:val="clear" w:color="auto" w:fill="auto"/>
            <w:vAlign w:val="bottom"/>
          </w:tcPr>
          <w:p w14:paraId="34D9C719"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10</w:t>
            </w:r>
          </w:p>
        </w:tc>
        <w:tc>
          <w:tcPr>
            <w:tcW w:w="635" w:type="dxa"/>
            <w:tcBorders>
              <w:bottom w:val="single" w:sz="4" w:space="0" w:color="auto"/>
            </w:tcBorders>
            <w:shd w:val="clear" w:color="auto" w:fill="auto"/>
            <w:vAlign w:val="bottom"/>
          </w:tcPr>
          <w:p w14:paraId="21B7E040"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11</w:t>
            </w:r>
          </w:p>
        </w:tc>
        <w:tc>
          <w:tcPr>
            <w:tcW w:w="619" w:type="dxa"/>
            <w:tcBorders>
              <w:bottom w:val="single" w:sz="4" w:space="0" w:color="auto"/>
            </w:tcBorders>
            <w:shd w:val="clear" w:color="auto" w:fill="auto"/>
            <w:vAlign w:val="bottom"/>
          </w:tcPr>
          <w:p w14:paraId="2622CCBF"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2</w:t>
            </w:r>
          </w:p>
        </w:tc>
        <w:tc>
          <w:tcPr>
            <w:tcW w:w="638" w:type="dxa"/>
            <w:tcBorders>
              <w:bottom w:val="single" w:sz="4" w:space="0" w:color="auto"/>
            </w:tcBorders>
            <w:shd w:val="clear" w:color="auto" w:fill="auto"/>
            <w:vAlign w:val="bottom"/>
          </w:tcPr>
          <w:p w14:paraId="20157888"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3</w:t>
            </w:r>
          </w:p>
        </w:tc>
        <w:tc>
          <w:tcPr>
            <w:tcW w:w="616" w:type="dxa"/>
            <w:tcBorders>
              <w:bottom w:val="single" w:sz="4" w:space="0" w:color="auto"/>
            </w:tcBorders>
            <w:shd w:val="clear" w:color="auto" w:fill="auto"/>
            <w:vAlign w:val="bottom"/>
          </w:tcPr>
          <w:p w14:paraId="72BDB545"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4</w:t>
            </w:r>
          </w:p>
        </w:tc>
        <w:tc>
          <w:tcPr>
            <w:tcW w:w="628" w:type="dxa"/>
            <w:tcBorders>
              <w:bottom w:val="single" w:sz="4" w:space="0" w:color="auto"/>
            </w:tcBorders>
            <w:shd w:val="clear" w:color="auto" w:fill="auto"/>
            <w:vAlign w:val="bottom"/>
          </w:tcPr>
          <w:p w14:paraId="72E01D49"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4</w:t>
            </w:r>
          </w:p>
        </w:tc>
      </w:tr>
      <w:tr w:rsidR="005E65F8" w:rsidRPr="0037717C" w14:paraId="0E32A032" w14:textId="77777777" w:rsidTr="00E45843">
        <w:trPr>
          <w:cantSplit/>
        </w:trPr>
        <w:tc>
          <w:tcPr>
            <w:tcW w:w="1153" w:type="dxa"/>
            <w:tcBorders>
              <w:top w:val="single" w:sz="4" w:space="0" w:color="auto"/>
              <w:bottom w:val="single" w:sz="12" w:space="0" w:color="auto"/>
            </w:tcBorders>
            <w:shd w:val="clear" w:color="auto" w:fill="auto"/>
          </w:tcPr>
          <w:p w14:paraId="4AA1028A" w14:textId="77777777" w:rsidR="001D75D7" w:rsidRPr="0037717C" w:rsidRDefault="001D75D7" w:rsidP="0037717C">
            <w:pPr>
              <w:pStyle w:val="SingleTxtG"/>
              <w:suppressAutoHyphens w:val="0"/>
              <w:spacing w:before="80" w:after="80" w:line="220" w:lineRule="exact"/>
              <w:ind w:left="283" w:right="0"/>
              <w:jc w:val="left"/>
              <w:rPr>
                <w:b/>
                <w:sz w:val="18"/>
              </w:rPr>
            </w:pPr>
            <w:r w:rsidRPr="0037717C">
              <w:rPr>
                <w:b/>
                <w:sz w:val="18"/>
              </w:rPr>
              <w:t>Total</w:t>
            </w:r>
            <w:r w:rsidRPr="0037717C">
              <w:rPr>
                <w:bCs/>
                <w:sz w:val="18"/>
              </w:rPr>
              <w:t>*</w:t>
            </w:r>
          </w:p>
        </w:tc>
        <w:tc>
          <w:tcPr>
            <w:tcW w:w="569" w:type="dxa"/>
            <w:tcBorders>
              <w:top w:val="single" w:sz="4" w:space="0" w:color="auto"/>
              <w:bottom w:val="single" w:sz="12" w:space="0" w:color="auto"/>
            </w:tcBorders>
            <w:shd w:val="clear" w:color="auto" w:fill="auto"/>
            <w:vAlign w:val="bottom"/>
          </w:tcPr>
          <w:p w14:paraId="1DEB4E30" w14:textId="77777777" w:rsidR="001D75D7" w:rsidRPr="0037717C" w:rsidRDefault="001D75D7" w:rsidP="0037717C">
            <w:pPr>
              <w:pStyle w:val="SingleTxtG"/>
              <w:suppressAutoHyphens w:val="0"/>
              <w:spacing w:before="80" w:after="80" w:line="220" w:lineRule="exact"/>
              <w:ind w:left="0" w:right="113"/>
              <w:jc w:val="right"/>
              <w:rPr>
                <w:b/>
                <w:sz w:val="18"/>
              </w:rPr>
            </w:pPr>
            <w:r w:rsidRPr="0037717C">
              <w:rPr>
                <w:b/>
                <w:sz w:val="18"/>
              </w:rPr>
              <w:t>69</w:t>
            </w:r>
          </w:p>
        </w:tc>
        <w:tc>
          <w:tcPr>
            <w:tcW w:w="644" w:type="dxa"/>
            <w:tcBorders>
              <w:top w:val="single" w:sz="4" w:space="0" w:color="auto"/>
              <w:bottom w:val="single" w:sz="12" w:space="0" w:color="auto"/>
            </w:tcBorders>
            <w:shd w:val="clear" w:color="auto" w:fill="auto"/>
            <w:vAlign w:val="bottom"/>
          </w:tcPr>
          <w:p w14:paraId="67234A0C" w14:textId="77777777" w:rsidR="001D75D7" w:rsidRPr="0037717C" w:rsidRDefault="001D75D7" w:rsidP="0037717C">
            <w:pPr>
              <w:pStyle w:val="SingleTxtG"/>
              <w:suppressAutoHyphens w:val="0"/>
              <w:spacing w:before="80" w:after="80" w:line="220" w:lineRule="exact"/>
              <w:ind w:left="0" w:right="113"/>
              <w:jc w:val="right"/>
              <w:rPr>
                <w:b/>
                <w:sz w:val="18"/>
              </w:rPr>
            </w:pPr>
            <w:r w:rsidRPr="0037717C">
              <w:rPr>
                <w:b/>
                <w:sz w:val="18"/>
              </w:rPr>
              <w:t>71</w:t>
            </w:r>
          </w:p>
        </w:tc>
        <w:tc>
          <w:tcPr>
            <w:tcW w:w="613" w:type="dxa"/>
            <w:tcBorders>
              <w:top w:val="single" w:sz="4" w:space="0" w:color="auto"/>
              <w:bottom w:val="single" w:sz="12" w:space="0" w:color="auto"/>
            </w:tcBorders>
            <w:shd w:val="clear" w:color="auto" w:fill="auto"/>
            <w:vAlign w:val="bottom"/>
          </w:tcPr>
          <w:p w14:paraId="4FDC9A8E" w14:textId="77777777" w:rsidR="001D75D7" w:rsidRPr="0037717C" w:rsidRDefault="001D75D7" w:rsidP="0037717C">
            <w:pPr>
              <w:pStyle w:val="SingleTxtG"/>
              <w:suppressAutoHyphens w:val="0"/>
              <w:spacing w:before="80" w:after="80" w:line="220" w:lineRule="exact"/>
              <w:ind w:left="0" w:right="113"/>
              <w:jc w:val="right"/>
              <w:rPr>
                <w:b/>
                <w:sz w:val="18"/>
              </w:rPr>
            </w:pPr>
            <w:r w:rsidRPr="0037717C">
              <w:rPr>
                <w:b/>
                <w:sz w:val="18"/>
              </w:rPr>
              <w:t>80</w:t>
            </w:r>
          </w:p>
        </w:tc>
        <w:tc>
          <w:tcPr>
            <w:tcW w:w="622" w:type="dxa"/>
            <w:tcBorders>
              <w:top w:val="single" w:sz="4" w:space="0" w:color="auto"/>
              <w:bottom w:val="single" w:sz="12" w:space="0" w:color="auto"/>
            </w:tcBorders>
            <w:shd w:val="clear" w:color="auto" w:fill="auto"/>
            <w:vAlign w:val="bottom"/>
          </w:tcPr>
          <w:p w14:paraId="5D221E83" w14:textId="77777777" w:rsidR="001D75D7" w:rsidRPr="0037717C" w:rsidRDefault="001D75D7" w:rsidP="0037717C">
            <w:pPr>
              <w:pStyle w:val="SingleTxtG"/>
              <w:suppressAutoHyphens w:val="0"/>
              <w:spacing w:before="80" w:after="80" w:line="220" w:lineRule="exact"/>
              <w:ind w:left="0" w:right="113"/>
              <w:jc w:val="right"/>
              <w:rPr>
                <w:b/>
                <w:sz w:val="18"/>
              </w:rPr>
            </w:pPr>
            <w:r w:rsidRPr="0037717C">
              <w:rPr>
                <w:b/>
                <w:sz w:val="18"/>
              </w:rPr>
              <w:t>82</w:t>
            </w:r>
          </w:p>
        </w:tc>
        <w:tc>
          <w:tcPr>
            <w:tcW w:w="633" w:type="dxa"/>
            <w:tcBorders>
              <w:top w:val="single" w:sz="4" w:space="0" w:color="auto"/>
              <w:bottom w:val="single" w:sz="12" w:space="0" w:color="auto"/>
            </w:tcBorders>
            <w:shd w:val="clear" w:color="auto" w:fill="auto"/>
            <w:vAlign w:val="bottom"/>
          </w:tcPr>
          <w:p w14:paraId="00F97B22" w14:textId="77777777" w:rsidR="001D75D7" w:rsidRPr="0037717C" w:rsidRDefault="001D75D7" w:rsidP="0037717C">
            <w:pPr>
              <w:pStyle w:val="SingleTxtG"/>
              <w:suppressAutoHyphens w:val="0"/>
              <w:spacing w:before="80" w:after="80" w:line="220" w:lineRule="exact"/>
              <w:ind w:left="0" w:right="113"/>
              <w:jc w:val="right"/>
              <w:rPr>
                <w:b/>
                <w:sz w:val="18"/>
              </w:rPr>
            </w:pPr>
            <w:r w:rsidRPr="0037717C">
              <w:rPr>
                <w:b/>
                <w:sz w:val="18"/>
              </w:rPr>
              <w:t>140</w:t>
            </w:r>
          </w:p>
        </w:tc>
        <w:tc>
          <w:tcPr>
            <w:tcW w:w="635" w:type="dxa"/>
            <w:tcBorders>
              <w:top w:val="single" w:sz="4" w:space="0" w:color="auto"/>
              <w:bottom w:val="single" w:sz="12" w:space="0" w:color="auto"/>
            </w:tcBorders>
            <w:shd w:val="clear" w:color="auto" w:fill="auto"/>
            <w:vAlign w:val="bottom"/>
          </w:tcPr>
          <w:p w14:paraId="7DF57E45" w14:textId="77777777" w:rsidR="001D75D7" w:rsidRPr="0037717C" w:rsidRDefault="001D75D7" w:rsidP="0037717C">
            <w:pPr>
              <w:pStyle w:val="SingleTxtG"/>
              <w:suppressAutoHyphens w:val="0"/>
              <w:spacing w:before="80" w:after="80" w:line="220" w:lineRule="exact"/>
              <w:ind w:left="0" w:right="113"/>
              <w:jc w:val="right"/>
              <w:rPr>
                <w:b/>
                <w:sz w:val="18"/>
              </w:rPr>
            </w:pPr>
            <w:r w:rsidRPr="0037717C">
              <w:rPr>
                <w:b/>
                <w:sz w:val="18"/>
              </w:rPr>
              <w:t>142</w:t>
            </w:r>
          </w:p>
        </w:tc>
        <w:tc>
          <w:tcPr>
            <w:tcW w:w="619" w:type="dxa"/>
            <w:tcBorders>
              <w:top w:val="single" w:sz="4" w:space="0" w:color="auto"/>
              <w:bottom w:val="single" w:sz="12" w:space="0" w:color="auto"/>
            </w:tcBorders>
            <w:shd w:val="clear" w:color="auto" w:fill="auto"/>
            <w:vAlign w:val="bottom"/>
          </w:tcPr>
          <w:p w14:paraId="4DFA22BD" w14:textId="77777777" w:rsidR="001D75D7" w:rsidRPr="0037717C" w:rsidRDefault="001D75D7" w:rsidP="0037717C">
            <w:pPr>
              <w:pStyle w:val="SingleTxtG"/>
              <w:suppressAutoHyphens w:val="0"/>
              <w:spacing w:before="80" w:after="80" w:line="220" w:lineRule="exact"/>
              <w:ind w:left="0" w:right="113"/>
              <w:jc w:val="right"/>
              <w:rPr>
                <w:b/>
                <w:sz w:val="18"/>
              </w:rPr>
            </w:pPr>
            <w:r w:rsidRPr="0037717C">
              <w:rPr>
                <w:b/>
                <w:sz w:val="18"/>
              </w:rPr>
              <w:t>96</w:t>
            </w:r>
          </w:p>
        </w:tc>
        <w:tc>
          <w:tcPr>
            <w:tcW w:w="638" w:type="dxa"/>
            <w:tcBorders>
              <w:top w:val="single" w:sz="4" w:space="0" w:color="auto"/>
              <w:bottom w:val="single" w:sz="12" w:space="0" w:color="auto"/>
            </w:tcBorders>
            <w:shd w:val="clear" w:color="auto" w:fill="auto"/>
            <w:vAlign w:val="bottom"/>
          </w:tcPr>
          <w:p w14:paraId="101393D7" w14:textId="77777777" w:rsidR="001D75D7" w:rsidRPr="0037717C" w:rsidRDefault="001D75D7" w:rsidP="0037717C">
            <w:pPr>
              <w:pStyle w:val="SingleTxtG"/>
              <w:suppressAutoHyphens w:val="0"/>
              <w:spacing w:before="80" w:after="80" w:line="220" w:lineRule="exact"/>
              <w:ind w:left="0" w:right="113"/>
              <w:jc w:val="right"/>
              <w:rPr>
                <w:b/>
                <w:sz w:val="18"/>
              </w:rPr>
            </w:pPr>
            <w:r w:rsidRPr="0037717C">
              <w:rPr>
                <w:b/>
                <w:sz w:val="18"/>
              </w:rPr>
              <w:t>99</w:t>
            </w:r>
          </w:p>
        </w:tc>
        <w:tc>
          <w:tcPr>
            <w:tcW w:w="616" w:type="dxa"/>
            <w:tcBorders>
              <w:top w:val="single" w:sz="4" w:space="0" w:color="auto"/>
              <w:bottom w:val="single" w:sz="12" w:space="0" w:color="auto"/>
            </w:tcBorders>
            <w:shd w:val="clear" w:color="auto" w:fill="auto"/>
            <w:vAlign w:val="bottom"/>
          </w:tcPr>
          <w:p w14:paraId="5A1B5727" w14:textId="77777777" w:rsidR="001D75D7" w:rsidRPr="0037717C" w:rsidRDefault="001D75D7" w:rsidP="0037717C">
            <w:pPr>
              <w:pStyle w:val="SingleTxtG"/>
              <w:suppressAutoHyphens w:val="0"/>
              <w:spacing w:before="80" w:after="80" w:line="220" w:lineRule="exact"/>
              <w:ind w:left="0" w:right="113"/>
              <w:jc w:val="right"/>
              <w:rPr>
                <w:b/>
                <w:sz w:val="18"/>
              </w:rPr>
            </w:pPr>
            <w:r w:rsidRPr="0037717C">
              <w:rPr>
                <w:b/>
                <w:sz w:val="18"/>
              </w:rPr>
              <w:t>47</w:t>
            </w:r>
          </w:p>
        </w:tc>
        <w:tc>
          <w:tcPr>
            <w:tcW w:w="628" w:type="dxa"/>
            <w:tcBorders>
              <w:top w:val="single" w:sz="4" w:space="0" w:color="auto"/>
              <w:bottom w:val="single" w:sz="12" w:space="0" w:color="auto"/>
            </w:tcBorders>
            <w:shd w:val="clear" w:color="auto" w:fill="auto"/>
            <w:vAlign w:val="bottom"/>
          </w:tcPr>
          <w:p w14:paraId="65EB47E9" w14:textId="77777777" w:rsidR="001D75D7" w:rsidRPr="0037717C" w:rsidRDefault="001D75D7" w:rsidP="0037717C">
            <w:pPr>
              <w:pStyle w:val="SingleTxtG"/>
              <w:suppressAutoHyphens w:val="0"/>
              <w:spacing w:before="80" w:after="80" w:line="220" w:lineRule="exact"/>
              <w:ind w:left="0" w:right="113"/>
              <w:jc w:val="right"/>
              <w:rPr>
                <w:b/>
                <w:sz w:val="18"/>
              </w:rPr>
            </w:pPr>
            <w:r w:rsidRPr="0037717C">
              <w:rPr>
                <w:b/>
                <w:sz w:val="18"/>
              </w:rPr>
              <w:t>48</w:t>
            </w:r>
          </w:p>
        </w:tc>
      </w:tr>
    </w:tbl>
    <w:p w14:paraId="47385CE1" w14:textId="1B9870B4" w:rsidR="001D75D7" w:rsidRPr="0037717C" w:rsidRDefault="001D75D7" w:rsidP="0037717C">
      <w:pPr>
        <w:spacing w:before="120"/>
        <w:ind w:left="1134" w:right="1134" w:firstLine="170"/>
        <w:rPr>
          <w:sz w:val="18"/>
        </w:rPr>
      </w:pPr>
      <w:r w:rsidRPr="00BC00A7">
        <w:rPr>
          <w:i/>
          <w:iCs/>
          <w:sz w:val="18"/>
        </w:rPr>
        <w:t>Source</w:t>
      </w:r>
      <w:r w:rsidRPr="0037717C">
        <w:rPr>
          <w:sz w:val="18"/>
        </w:rPr>
        <w:t>:</w:t>
      </w:r>
      <w:r w:rsidR="00E268D4">
        <w:rPr>
          <w:sz w:val="18"/>
        </w:rPr>
        <w:t xml:space="preserve"> </w:t>
      </w:r>
      <w:r w:rsidRPr="0037717C">
        <w:rPr>
          <w:sz w:val="18"/>
        </w:rPr>
        <w:t xml:space="preserve"> SWB.</w:t>
      </w:r>
    </w:p>
    <w:p w14:paraId="584FFEDA" w14:textId="0503ED23" w:rsidR="001D75D7" w:rsidRPr="0037717C" w:rsidRDefault="001D75D7" w:rsidP="0037717C">
      <w:pPr>
        <w:spacing w:after="240"/>
        <w:ind w:left="1134" w:right="1134" w:firstLine="170"/>
        <w:rPr>
          <w:sz w:val="18"/>
        </w:rPr>
      </w:pPr>
      <w:r w:rsidRPr="0037717C">
        <w:rPr>
          <w:sz w:val="18"/>
        </w:rPr>
        <w:t>*</w:t>
      </w:r>
      <w:r w:rsidR="0037717C">
        <w:rPr>
          <w:sz w:val="18"/>
        </w:rPr>
        <w:t xml:space="preserve">  </w:t>
      </w:r>
      <w:r w:rsidRPr="0037717C">
        <w:rPr>
          <w:sz w:val="18"/>
        </w:rPr>
        <w:t>Some cases involve more than one type of abuse.</w:t>
      </w:r>
    </w:p>
    <w:p w14:paraId="0FF0C63E" w14:textId="77777777" w:rsidR="001D75D7" w:rsidRPr="00B47380" w:rsidRDefault="001D75D7" w:rsidP="00D53B5F">
      <w:pPr>
        <w:pStyle w:val="SingleTxtG"/>
      </w:pPr>
      <w:r w:rsidRPr="00B47380">
        <w:t>127.</w:t>
      </w:r>
      <w:r w:rsidRPr="00B47380">
        <w:tab/>
        <w:t>In 2016, a Family Crisis Support Service Network was established to assess the risk of victims suffering from physical, mental and sexual abuses, including the extent and history of abuse and other potential victims, as well as to adopt appropriate measures (follow up, crisis management and counselling).</w:t>
      </w:r>
    </w:p>
    <w:p w14:paraId="22F1F238" w14:textId="77777777" w:rsidR="001D75D7" w:rsidRPr="00B47380" w:rsidRDefault="001D75D7" w:rsidP="004A0F79">
      <w:pPr>
        <w:pStyle w:val="H23G"/>
      </w:pPr>
      <w:r w:rsidRPr="00B47380">
        <w:tab/>
      </w:r>
      <w:r w:rsidRPr="00B47380">
        <w:tab/>
        <w:t>Cases handled by the SWB</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9"/>
        <w:gridCol w:w="1020"/>
        <w:gridCol w:w="1020"/>
        <w:gridCol w:w="1020"/>
        <w:gridCol w:w="1020"/>
        <w:gridCol w:w="1021"/>
      </w:tblGrid>
      <w:tr w:rsidR="005E65F8" w:rsidRPr="005E65F8" w14:paraId="35B19A06" w14:textId="77777777" w:rsidTr="00E45843">
        <w:trPr>
          <w:cantSplit/>
          <w:tblHeader/>
        </w:trPr>
        <w:tc>
          <w:tcPr>
            <w:tcW w:w="1539" w:type="pct"/>
            <w:tcBorders>
              <w:top w:val="single" w:sz="4" w:space="0" w:color="auto"/>
              <w:bottom w:val="single" w:sz="12" w:space="0" w:color="auto"/>
            </w:tcBorders>
            <w:shd w:val="clear" w:color="auto" w:fill="auto"/>
            <w:vAlign w:val="bottom"/>
          </w:tcPr>
          <w:p w14:paraId="36E622F0" w14:textId="77777777" w:rsidR="001D75D7" w:rsidRPr="005E65F8" w:rsidRDefault="001D75D7" w:rsidP="005E65F8">
            <w:pPr>
              <w:pStyle w:val="SingleTxtG"/>
              <w:suppressAutoHyphens w:val="0"/>
              <w:spacing w:before="80" w:after="80" w:line="200" w:lineRule="exact"/>
              <w:ind w:left="0" w:right="113"/>
              <w:jc w:val="left"/>
              <w:rPr>
                <w:i/>
                <w:sz w:val="16"/>
              </w:rPr>
            </w:pPr>
            <w:r w:rsidRPr="005E65F8">
              <w:rPr>
                <w:i/>
                <w:sz w:val="16"/>
              </w:rPr>
              <w:t>Type/Year</w:t>
            </w:r>
          </w:p>
        </w:tc>
        <w:tc>
          <w:tcPr>
            <w:tcW w:w="692" w:type="pct"/>
            <w:tcBorders>
              <w:top w:val="single" w:sz="4" w:space="0" w:color="auto"/>
              <w:bottom w:val="single" w:sz="12" w:space="0" w:color="auto"/>
            </w:tcBorders>
            <w:shd w:val="clear" w:color="auto" w:fill="auto"/>
            <w:vAlign w:val="bottom"/>
          </w:tcPr>
          <w:p w14:paraId="35D72DCD" w14:textId="77777777" w:rsidR="001D75D7" w:rsidRPr="005E65F8" w:rsidRDefault="001D75D7" w:rsidP="005E65F8">
            <w:pPr>
              <w:pStyle w:val="SingleTxtG"/>
              <w:suppressAutoHyphens w:val="0"/>
              <w:spacing w:before="80" w:after="80" w:line="200" w:lineRule="exact"/>
              <w:ind w:left="0" w:right="113"/>
              <w:jc w:val="right"/>
              <w:rPr>
                <w:i/>
                <w:sz w:val="16"/>
              </w:rPr>
            </w:pPr>
            <w:r w:rsidRPr="005E65F8">
              <w:rPr>
                <w:i/>
                <w:sz w:val="16"/>
              </w:rPr>
              <w:t>2014</w:t>
            </w:r>
          </w:p>
        </w:tc>
        <w:tc>
          <w:tcPr>
            <w:tcW w:w="692" w:type="pct"/>
            <w:tcBorders>
              <w:top w:val="single" w:sz="4" w:space="0" w:color="auto"/>
              <w:bottom w:val="single" w:sz="12" w:space="0" w:color="auto"/>
            </w:tcBorders>
            <w:shd w:val="clear" w:color="auto" w:fill="auto"/>
            <w:vAlign w:val="bottom"/>
          </w:tcPr>
          <w:p w14:paraId="1B04D86F" w14:textId="77777777" w:rsidR="001D75D7" w:rsidRPr="005E65F8" w:rsidRDefault="001D75D7" w:rsidP="005E65F8">
            <w:pPr>
              <w:pStyle w:val="SingleTxtG"/>
              <w:suppressAutoHyphens w:val="0"/>
              <w:spacing w:before="80" w:after="80" w:line="200" w:lineRule="exact"/>
              <w:ind w:left="0" w:right="113"/>
              <w:jc w:val="right"/>
              <w:rPr>
                <w:i/>
                <w:sz w:val="16"/>
              </w:rPr>
            </w:pPr>
            <w:r w:rsidRPr="005E65F8">
              <w:rPr>
                <w:i/>
                <w:sz w:val="16"/>
              </w:rPr>
              <w:t>2015</w:t>
            </w:r>
          </w:p>
        </w:tc>
        <w:tc>
          <w:tcPr>
            <w:tcW w:w="692" w:type="pct"/>
            <w:tcBorders>
              <w:top w:val="single" w:sz="4" w:space="0" w:color="auto"/>
              <w:bottom w:val="single" w:sz="12" w:space="0" w:color="auto"/>
            </w:tcBorders>
            <w:shd w:val="clear" w:color="auto" w:fill="auto"/>
            <w:vAlign w:val="bottom"/>
          </w:tcPr>
          <w:p w14:paraId="23EFCE54" w14:textId="77777777" w:rsidR="001D75D7" w:rsidRPr="005E65F8" w:rsidRDefault="001D75D7" w:rsidP="005E65F8">
            <w:pPr>
              <w:pStyle w:val="SingleTxtG"/>
              <w:suppressAutoHyphens w:val="0"/>
              <w:spacing w:before="80" w:after="80" w:line="200" w:lineRule="exact"/>
              <w:ind w:left="0" w:right="113"/>
              <w:jc w:val="right"/>
              <w:rPr>
                <w:i/>
                <w:sz w:val="16"/>
              </w:rPr>
            </w:pPr>
            <w:r w:rsidRPr="005E65F8">
              <w:rPr>
                <w:i/>
                <w:sz w:val="16"/>
              </w:rPr>
              <w:t>2016</w:t>
            </w:r>
          </w:p>
        </w:tc>
        <w:tc>
          <w:tcPr>
            <w:tcW w:w="692" w:type="pct"/>
            <w:tcBorders>
              <w:top w:val="single" w:sz="4" w:space="0" w:color="auto"/>
              <w:bottom w:val="single" w:sz="12" w:space="0" w:color="auto"/>
            </w:tcBorders>
            <w:shd w:val="clear" w:color="auto" w:fill="auto"/>
            <w:vAlign w:val="bottom"/>
          </w:tcPr>
          <w:p w14:paraId="41CB223D" w14:textId="77777777" w:rsidR="001D75D7" w:rsidRPr="005E65F8" w:rsidRDefault="001D75D7" w:rsidP="005E65F8">
            <w:pPr>
              <w:pStyle w:val="SingleTxtG"/>
              <w:suppressAutoHyphens w:val="0"/>
              <w:spacing w:before="80" w:after="80" w:line="200" w:lineRule="exact"/>
              <w:ind w:left="0" w:right="113"/>
              <w:jc w:val="right"/>
              <w:rPr>
                <w:i/>
                <w:sz w:val="16"/>
              </w:rPr>
            </w:pPr>
            <w:r w:rsidRPr="005E65F8">
              <w:rPr>
                <w:i/>
                <w:sz w:val="16"/>
              </w:rPr>
              <w:t>2017</w:t>
            </w:r>
          </w:p>
        </w:tc>
        <w:tc>
          <w:tcPr>
            <w:tcW w:w="693" w:type="pct"/>
            <w:tcBorders>
              <w:top w:val="single" w:sz="4" w:space="0" w:color="auto"/>
              <w:bottom w:val="single" w:sz="12" w:space="0" w:color="auto"/>
            </w:tcBorders>
            <w:shd w:val="clear" w:color="auto" w:fill="auto"/>
            <w:vAlign w:val="bottom"/>
          </w:tcPr>
          <w:p w14:paraId="28ED6111" w14:textId="77777777" w:rsidR="001D75D7" w:rsidRPr="005E65F8" w:rsidRDefault="001D75D7" w:rsidP="005E65F8">
            <w:pPr>
              <w:pStyle w:val="SingleTxtG"/>
              <w:suppressAutoHyphens w:val="0"/>
              <w:spacing w:before="80" w:after="80" w:line="200" w:lineRule="exact"/>
              <w:ind w:left="0" w:right="113"/>
              <w:jc w:val="right"/>
              <w:rPr>
                <w:i/>
                <w:sz w:val="16"/>
              </w:rPr>
            </w:pPr>
            <w:r w:rsidRPr="005E65F8">
              <w:rPr>
                <w:i/>
                <w:sz w:val="16"/>
              </w:rPr>
              <w:t>09/2018</w:t>
            </w:r>
          </w:p>
        </w:tc>
      </w:tr>
      <w:tr w:rsidR="005E65F8" w:rsidRPr="005E65F8" w14:paraId="10189155" w14:textId="77777777" w:rsidTr="00E45843">
        <w:trPr>
          <w:cantSplit/>
        </w:trPr>
        <w:tc>
          <w:tcPr>
            <w:tcW w:w="1539" w:type="pct"/>
            <w:tcBorders>
              <w:top w:val="single" w:sz="12" w:space="0" w:color="auto"/>
            </w:tcBorders>
            <w:shd w:val="clear" w:color="auto" w:fill="auto"/>
            <w:hideMark/>
          </w:tcPr>
          <w:p w14:paraId="796EB1A4" w14:textId="77777777" w:rsidR="001D75D7" w:rsidRPr="005E65F8" w:rsidRDefault="001D75D7" w:rsidP="005E65F8">
            <w:pPr>
              <w:pStyle w:val="SingleTxtG"/>
              <w:suppressAutoHyphens w:val="0"/>
              <w:spacing w:before="40" w:after="40" w:line="220" w:lineRule="exact"/>
              <w:ind w:left="0" w:right="113"/>
              <w:jc w:val="left"/>
              <w:rPr>
                <w:sz w:val="18"/>
              </w:rPr>
            </w:pPr>
            <w:r w:rsidRPr="005E65F8">
              <w:rPr>
                <w:sz w:val="18"/>
              </w:rPr>
              <w:t>Suicide</w:t>
            </w:r>
          </w:p>
        </w:tc>
        <w:tc>
          <w:tcPr>
            <w:tcW w:w="692" w:type="pct"/>
            <w:tcBorders>
              <w:top w:val="single" w:sz="12" w:space="0" w:color="auto"/>
            </w:tcBorders>
            <w:shd w:val="clear" w:color="auto" w:fill="auto"/>
            <w:vAlign w:val="bottom"/>
            <w:hideMark/>
          </w:tcPr>
          <w:p w14:paraId="26A1DC23"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16</w:t>
            </w:r>
          </w:p>
        </w:tc>
        <w:tc>
          <w:tcPr>
            <w:tcW w:w="692" w:type="pct"/>
            <w:tcBorders>
              <w:top w:val="single" w:sz="12" w:space="0" w:color="auto"/>
            </w:tcBorders>
            <w:shd w:val="clear" w:color="auto" w:fill="auto"/>
            <w:vAlign w:val="bottom"/>
            <w:hideMark/>
          </w:tcPr>
          <w:p w14:paraId="2A86F26C"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11</w:t>
            </w:r>
          </w:p>
        </w:tc>
        <w:tc>
          <w:tcPr>
            <w:tcW w:w="692" w:type="pct"/>
            <w:tcBorders>
              <w:top w:val="single" w:sz="12" w:space="0" w:color="auto"/>
            </w:tcBorders>
            <w:shd w:val="clear" w:color="auto" w:fill="auto"/>
            <w:vAlign w:val="bottom"/>
            <w:hideMark/>
          </w:tcPr>
          <w:p w14:paraId="160EEC8F"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10</w:t>
            </w:r>
          </w:p>
        </w:tc>
        <w:tc>
          <w:tcPr>
            <w:tcW w:w="692" w:type="pct"/>
            <w:tcBorders>
              <w:top w:val="single" w:sz="12" w:space="0" w:color="auto"/>
            </w:tcBorders>
            <w:shd w:val="clear" w:color="auto" w:fill="auto"/>
            <w:vAlign w:val="bottom"/>
            <w:hideMark/>
          </w:tcPr>
          <w:p w14:paraId="5595DCD3"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23</w:t>
            </w:r>
          </w:p>
        </w:tc>
        <w:tc>
          <w:tcPr>
            <w:tcW w:w="693" w:type="pct"/>
            <w:tcBorders>
              <w:top w:val="single" w:sz="12" w:space="0" w:color="auto"/>
            </w:tcBorders>
            <w:shd w:val="clear" w:color="auto" w:fill="auto"/>
            <w:vAlign w:val="bottom"/>
          </w:tcPr>
          <w:p w14:paraId="7145714D"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2</w:t>
            </w:r>
          </w:p>
        </w:tc>
      </w:tr>
      <w:tr w:rsidR="005E65F8" w:rsidRPr="005E65F8" w14:paraId="06F65B2F" w14:textId="77777777" w:rsidTr="00E45843">
        <w:trPr>
          <w:cantSplit/>
        </w:trPr>
        <w:tc>
          <w:tcPr>
            <w:tcW w:w="1539" w:type="pct"/>
            <w:shd w:val="clear" w:color="auto" w:fill="auto"/>
            <w:hideMark/>
          </w:tcPr>
          <w:p w14:paraId="198C352F" w14:textId="77777777" w:rsidR="001D75D7" w:rsidRPr="005E65F8" w:rsidRDefault="001D75D7" w:rsidP="005E65F8">
            <w:pPr>
              <w:pStyle w:val="SingleTxtG"/>
              <w:suppressAutoHyphens w:val="0"/>
              <w:spacing w:before="40" w:after="40" w:line="220" w:lineRule="exact"/>
              <w:ind w:left="0" w:right="113"/>
              <w:jc w:val="left"/>
              <w:rPr>
                <w:sz w:val="18"/>
              </w:rPr>
            </w:pPr>
            <w:r w:rsidRPr="005E65F8">
              <w:rPr>
                <w:sz w:val="18"/>
              </w:rPr>
              <w:t>Emotional distress</w:t>
            </w:r>
          </w:p>
        </w:tc>
        <w:tc>
          <w:tcPr>
            <w:tcW w:w="692" w:type="pct"/>
            <w:shd w:val="clear" w:color="auto" w:fill="auto"/>
            <w:vAlign w:val="bottom"/>
            <w:hideMark/>
          </w:tcPr>
          <w:p w14:paraId="32E1149B"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246</w:t>
            </w:r>
          </w:p>
        </w:tc>
        <w:tc>
          <w:tcPr>
            <w:tcW w:w="692" w:type="pct"/>
            <w:shd w:val="clear" w:color="auto" w:fill="auto"/>
            <w:vAlign w:val="bottom"/>
            <w:hideMark/>
          </w:tcPr>
          <w:p w14:paraId="7FE0518D"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254</w:t>
            </w:r>
          </w:p>
        </w:tc>
        <w:tc>
          <w:tcPr>
            <w:tcW w:w="692" w:type="pct"/>
            <w:shd w:val="clear" w:color="auto" w:fill="auto"/>
            <w:vAlign w:val="bottom"/>
            <w:hideMark/>
          </w:tcPr>
          <w:p w14:paraId="5BA586DB"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203</w:t>
            </w:r>
          </w:p>
        </w:tc>
        <w:tc>
          <w:tcPr>
            <w:tcW w:w="692" w:type="pct"/>
            <w:shd w:val="clear" w:color="auto" w:fill="auto"/>
            <w:vAlign w:val="bottom"/>
            <w:hideMark/>
          </w:tcPr>
          <w:p w14:paraId="78336A7A"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214</w:t>
            </w:r>
          </w:p>
        </w:tc>
        <w:tc>
          <w:tcPr>
            <w:tcW w:w="693" w:type="pct"/>
            <w:shd w:val="clear" w:color="auto" w:fill="auto"/>
            <w:vAlign w:val="bottom"/>
          </w:tcPr>
          <w:p w14:paraId="6788D23D"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104</w:t>
            </w:r>
          </w:p>
        </w:tc>
      </w:tr>
      <w:tr w:rsidR="005E65F8" w:rsidRPr="005E65F8" w14:paraId="7C0901B8" w14:textId="77777777" w:rsidTr="00E45843">
        <w:trPr>
          <w:cantSplit/>
        </w:trPr>
        <w:tc>
          <w:tcPr>
            <w:tcW w:w="1539" w:type="pct"/>
            <w:shd w:val="clear" w:color="auto" w:fill="auto"/>
            <w:hideMark/>
          </w:tcPr>
          <w:p w14:paraId="3414D891" w14:textId="3EB58166" w:rsidR="001D75D7" w:rsidRPr="005E65F8" w:rsidRDefault="001D75D7" w:rsidP="005E65F8">
            <w:pPr>
              <w:pStyle w:val="SingleTxtG"/>
              <w:suppressAutoHyphens w:val="0"/>
              <w:spacing w:before="40" w:after="40" w:line="220" w:lineRule="exact"/>
              <w:ind w:left="0" w:right="113"/>
              <w:jc w:val="left"/>
              <w:rPr>
                <w:sz w:val="18"/>
              </w:rPr>
            </w:pPr>
            <w:r w:rsidRPr="005E65F8">
              <w:rPr>
                <w:sz w:val="18"/>
              </w:rPr>
              <w:t>Child neglect</w:t>
            </w:r>
            <w:r w:rsidRPr="006266F0">
              <w:rPr>
                <w:rStyle w:val="FootnoteReference"/>
              </w:rPr>
              <w:t>(1)</w:t>
            </w:r>
          </w:p>
        </w:tc>
        <w:tc>
          <w:tcPr>
            <w:tcW w:w="692" w:type="pct"/>
            <w:shd w:val="clear" w:color="auto" w:fill="auto"/>
            <w:vAlign w:val="bottom"/>
            <w:hideMark/>
          </w:tcPr>
          <w:p w14:paraId="1EC4F8E3"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7</w:t>
            </w:r>
          </w:p>
        </w:tc>
        <w:tc>
          <w:tcPr>
            <w:tcW w:w="692" w:type="pct"/>
            <w:shd w:val="clear" w:color="auto" w:fill="auto"/>
            <w:vAlign w:val="bottom"/>
            <w:hideMark/>
          </w:tcPr>
          <w:p w14:paraId="058CD783" w14:textId="77777777" w:rsidR="001D75D7" w:rsidRPr="006266F0" w:rsidRDefault="001D75D7" w:rsidP="005E65F8">
            <w:pPr>
              <w:pStyle w:val="SingleTxtG"/>
              <w:suppressAutoHyphens w:val="0"/>
              <w:spacing w:before="40" w:after="40" w:line="220" w:lineRule="exact"/>
              <w:ind w:left="0" w:right="113"/>
              <w:jc w:val="right"/>
              <w:rPr>
                <w:rStyle w:val="EndnoteReference"/>
              </w:rPr>
            </w:pPr>
            <w:r w:rsidRPr="006266F0">
              <w:rPr>
                <w:rStyle w:val="EndnoteReference"/>
              </w:rPr>
              <w:t>(1)</w:t>
            </w:r>
          </w:p>
        </w:tc>
        <w:tc>
          <w:tcPr>
            <w:tcW w:w="692" w:type="pct"/>
            <w:shd w:val="clear" w:color="auto" w:fill="auto"/>
            <w:vAlign w:val="bottom"/>
            <w:hideMark/>
          </w:tcPr>
          <w:p w14:paraId="0734752A" w14:textId="77777777" w:rsidR="001D75D7" w:rsidRPr="006266F0" w:rsidRDefault="001D75D7" w:rsidP="005E65F8">
            <w:pPr>
              <w:pStyle w:val="SingleTxtG"/>
              <w:suppressAutoHyphens w:val="0"/>
              <w:spacing w:before="40" w:after="40" w:line="220" w:lineRule="exact"/>
              <w:ind w:left="0" w:right="113"/>
              <w:jc w:val="right"/>
              <w:rPr>
                <w:rStyle w:val="EndnoteReference"/>
              </w:rPr>
            </w:pPr>
            <w:r w:rsidRPr="006266F0">
              <w:rPr>
                <w:rStyle w:val="EndnoteReference"/>
              </w:rPr>
              <w:t>(1)</w:t>
            </w:r>
          </w:p>
        </w:tc>
        <w:tc>
          <w:tcPr>
            <w:tcW w:w="692" w:type="pct"/>
            <w:shd w:val="clear" w:color="auto" w:fill="auto"/>
            <w:vAlign w:val="bottom"/>
            <w:hideMark/>
          </w:tcPr>
          <w:p w14:paraId="027F850F" w14:textId="77777777" w:rsidR="001D75D7" w:rsidRPr="006266F0" w:rsidRDefault="001D75D7" w:rsidP="005E65F8">
            <w:pPr>
              <w:pStyle w:val="SingleTxtG"/>
              <w:suppressAutoHyphens w:val="0"/>
              <w:spacing w:before="40" w:after="40" w:line="220" w:lineRule="exact"/>
              <w:ind w:left="0" w:right="113"/>
              <w:jc w:val="right"/>
              <w:rPr>
                <w:rStyle w:val="EndnoteReference"/>
              </w:rPr>
            </w:pPr>
            <w:r w:rsidRPr="006266F0">
              <w:rPr>
                <w:rStyle w:val="EndnoteReference"/>
              </w:rPr>
              <w:t>(1)</w:t>
            </w:r>
          </w:p>
        </w:tc>
        <w:tc>
          <w:tcPr>
            <w:tcW w:w="693" w:type="pct"/>
            <w:shd w:val="clear" w:color="auto" w:fill="auto"/>
            <w:vAlign w:val="bottom"/>
          </w:tcPr>
          <w:p w14:paraId="712037C9" w14:textId="77777777" w:rsidR="001D75D7" w:rsidRPr="006266F0" w:rsidRDefault="001D75D7" w:rsidP="005E65F8">
            <w:pPr>
              <w:pStyle w:val="SingleTxtG"/>
              <w:suppressAutoHyphens w:val="0"/>
              <w:spacing w:before="40" w:after="40" w:line="220" w:lineRule="exact"/>
              <w:ind w:left="0" w:right="113"/>
              <w:jc w:val="right"/>
              <w:rPr>
                <w:rStyle w:val="EndnoteReference"/>
              </w:rPr>
            </w:pPr>
            <w:r w:rsidRPr="006266F0">
              <w:rPr>
                <w:rStyle w:val="EndnoteReference"/>
              </w:rPr>
              <w:t>(1)</w:t>
            </w:r>
          </w:p>
        </w:tc>
      </w:tr>
      <w:tr w:rsidR="005E65F8" w:rsidRPr="005E65F8" w14:paraId="083A6ABC" w14:textId="77777777" w:rsidTr="00E45843">
        <w:trPr>
          <w:cantSplit/>
        </w:trPr>
        <w:tc>
          <w:tcPr>
            <w:tcW w:w="1539" w:type="pct"/>
            <w:shd w:val="clear" w:color="auto" w:fill="auto"/>
            <w:hideMark/>
          </w:tcPr>
          <w:p w14:paraId="0093EFC0" w14:textId="77777777" w:rsidR="001D75D7" w:rsidRPr="005E65F8" w:rsidRDefault="001D75D7" w:rsidP="005E65F8">
            <w:pPr>
              <w:pStyle w:val="SingleTxtG"/>
              <w:suppressAutoHyphens w:val="0"/>
              <w:spacing w:before="40" w:after="40" w:line="220" w:lineRule="exact"/>
              <w:ind w:left="0" w:right="113"/>
              <w:jc w:val="left"/>
              <w:rPr>
                <w:sz w:val="18"/>
              </w:rPr>
            </w:pPr>
            <w:r w:rsidRPr="005E65F8">
              <w:rPr>
                <w:sz w:val="18"/>
              </w:rPr>
              <w:t>Marriage problems</w:t>
            </w:r>
          </w:p>
        </w:tc>
        <w:tc>
          <w:tcPr>
            <w:tcW w:w="692" w:type="pct"/>
            <w:shd w:val="clear" w:color="auto" w:fill="auto"/>
            <w:vAlign w:val="bottom"/>
            <w:hideMark/>
          </w:tcPr>
          <w:p w14:paraId="46614EA0"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207</w:t>
            </w:r>
          </w:p>
        </w:tc>
        <w:tc>
          <w:tcPr>
            <w:tcW w:w="692" w:type="pct"/>
            <w:shd w:val="clear" w:color="auto" w:fill="auto"/>
            <w:vAlign w:val="bottom"/>
            <w:hideMark/>
          </w:tcPr>
          <w:p w14:paraId="1E121A9B"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201</w:t>
            </w:r>
          </w:p>
        </w:tc>
        <w:tc>
          <w:tcPr>
            <w:tcW w:w="692" w:type="pct"/>
            <w:shd w:val="clear" w:color="auto" w:fill="auto"/>
            <w:vAlign w:val="bottom"/>
            <w:hideMark/>
          </w:tcPr>
          <w:p w14:paraId="37938061"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175</w:t>
            </w:r>
          </w:p>
        </w:tc>
        <w:tc>
          <w:tcPr>
            <w:tcW w:w="692" w:type="pct"/>
            <w:shd w:val="clear" w:color="auto" w:fill="auto"/>
            <w:vAlign w:val="bottom"/>
            <w:hideMark/>
          </w:tcPr>
          <w:p w14:paraId="30B0DB70"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209</w:t>
            </w:r>
          </w:p>
        </w:tc>
        <w:tc>
          <w:tcPr>
            <w:tcW w:w="693" w:type="pct"/>
            <w:shd w:val="clear" w:color="auto" w:fill="auto"/>
            <w:vAlign w:val="bottom"/>
          </w:tcPr>
          <w:p w14:paraId="0BDF1522"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91</w:t>
            </w:r>
          </w:p>
        </w:tc>
      </w:tr>
      <w:tr w:rsidR="005E65F8" w:rsidRPr="005E65F8" w14:paraId="36999CF3" w14:textId="77777777" w:rsidTr="00E45843">
        <w:trPr>
          <w:cantSplit/>
        </w:trPr>
        <w:tc>
          <w:tcPr>
            <w:tcW w:w="1539" w:type="pct"/>
            <w:shd w:val="clear" w:color="auto" w:fill="auto"/>
            <w:hideMark/>
          </w:tcPr>
          <w:p w14:paraId="441D564F" w14:textId="77777777" w:rsidR="001D75D7" w:rsidRPr="005E65F8" w:rsidRDefault="001D75D7" w:rsidP="005E65F8">
            <w:pPr>
              <w:pStyle w:val="SingleTxtG"/>
              <w:suppressAutoHyphens w:val="0"/>
              <w:spacing w:before="40" w:after="40" w:line="220" w:lineRule="exact"/>
              <w:ind w:left="0" w:right="113"/>
              <w:jc w:val="left"/>
              <w:rPr>
                <w:sz w:val="18"/>
              </w:rPr>
            </w:pPr>
            <w:r w:rsidRPr="005E65F8">
              <w:rPr>
                <w:sz w:val="18"/>
              </w:rPr>
              <w:t>Parent-child relationship</w:t>
            </w:r>
          </w:p>
        </w:tc>
        <w:tc>
          <w:tcPr>
            <w:tcW w:w="692" w:type="pct"/>
            <w:shd w:val="clear" w:color="auto" w:fill="auto"/>
            <w:vAlign w:val="bottom"/>
            <w:hideMark/>
          </w:tcPr>
          <w:p w14:paraId="3484EE64"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169</w:t>
            </w:r>
          </w:p>
        </w:tc>
        <w:tc>
          <w:tcPr>
            <w:tcW w:w="692" w:type="pct"/>
            <w:shd w:val="clear" w:color="auto" w:fill="auto"/>
            <w:vAlign w:val="bottom"/>
            <w:hideMark/>
          </w:tcPr>
          <w:p w14:paraId="6ABA3610"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141</w:t>
            </w:r>
          </w:p>
        </w:tc>
        <w:tc>
          <w:tcPr>
            <w:tcW w:w="692" w:type="pct"/>
            <w:shd w:val="clear" w:color="auto" w:fill="auto"/>
            <w:vAlign w:val="bottom"/>
            <w:hideMark/>
          </w:tcPr>
          <w:p w14:paraId="04B8E573"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121</w:t>
            </w:r>
          </w:p>
        </w:tc>
        <w:tc>
          <w:tcPr>
            <w:tcW w:w="692" w:type="pct"/>
            <w:shd w:val="clear" w:color="auto" w:fill="auto"/>
            <w:vAlign w:val="bottom"/>
            <w:hideMark/>
          </w:tcPr>
          <w:p w14:paraId="444713E4"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120</w:t>
            </w:r>
          </w:p>
        </w:tc>
        <w:tc>
          <w:tcPr>
            <w:tcW w:w="693" w:type="pct"/>
            <w:shd w:val="clear" w:color="auto" w:fill="auto"/>
            <w:vAlign w:val="bottom"/>
          </w:tcPr>
          <w:p w14:paraId="75D2E49F"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73</w:t>
            </w:r>
          </w:p>
        </w:tc>
      </w:tr>
      <w:tr w:rsidR="005E65F8" w:rsidRPr="005E65F8" w14:paraId="332C322D" w14:textId="77777777" w:rsidTr="00E45843">
        <w:trPr>
          <w:cantSplit/>
        </w:trPr>
        <w:tc>
          <w:tcPr>
            <w:tcW w:w="1539" w:type="pct"/>
            <w:shd w:val="clear" w:color="auto" w:fill="auto"/>
            <w:hideMark/>
          </w:tcPr>
          <w:p w14:paraId="3E26F36A" w14:textId="54320A75" w:rsidR="001D75D7" w:rsidRPr="005E65F8" w:rsidRDefault="001D75D7" w:rsidP="005E65F8">
            <w:pPr>
              <w:pStyle w:val="SingleTxtG"/>
              <w:suppressAutoHyphens w:val="0"/>
              <w:spacing w:before="40" w:after="40" w:line="220" w:lineRule="exact"/>
              <w:ind w:left="0" w:right="113"/>
              <w:jc w:val="left"/>
              <w:rPr>
                <w:sz w:val="18"/>
              </w:rPr>
            </w:pPr>
            <w:r w:rsidRPr="005E65F8">
              <w:rPr>
                <w:sz w:val="18"/>
              </w:rPr>
              <w:t>Individual counselling</w:t>
            </w:r>
            <w:r w:rsidRPr="006266F0">
              <w:rPr>
                <w:rStyle w:val="FootnoteReference"/>
              </w:rPr>
              <w:t>(2)</w:t>
            </w:r>
          </w:p>
        </w:tc>
        <w:tc>
          <w:tcPr>
            <w:tcW w:w="692" w:type="pct"/>
            <w:shd w:val="clear" w:color="auto" w:fill="auto"/>
            <w:vAlign w:val="bottom"/>
            <w:hideMark/>
          </w:tcPr>
          <w:p w14:paraId="7754FAE0"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448</w:t>
            </w:r>
          </w:p>
        </w:tc>
        <w:tc>
          <w:tcPr>
            <w:tcW w:w="692" w:type="pct"/>
            <w:shd w:val="clear" w:color="auto" w:fill="auto"/>
            <w:vAlign w:val="bottom"/>
            <w:hideMark/>
          </w:tcPr>
          <w:p w14:paraId="12296D9F" w14:textId="16B8F17D" w:rsidR="001D75D7" w:rsidRPr="005E65F8" w:rsidRDefault="001D75D7" w:rsidP="005E65F8">
            <w:pPr>
              <w:pStyle w:val="SingleTxtG"/>
              <w:suppressAutoHyphens w:val="0"/>
              <w:spacing w:before="40" w:after="40" w:line="220" w:lineRule="exact"/>
              <w:ind w:left="0" w:right="113"/>
              <w:jc w:val="right"/>
              <w:rPr>
                <w:sz w:val="18"/>
              </w:rPr>
            </w:pPr>
          </w:p>
        </w:tc>
        <w:tc>
          <w:tcPr>
            <w:tcW w:w="692" w:type="pct"/>
            <w:shd w:val="clear" w:color="auto" w:fill="auto"/>
            <w:vAlign w:val="bottom"/>
            <w:hideMark/>
          </w:tcPr>
          <w:p w14:paraId="5A5F252E" w14:textId="6CCC0F82" w:rsidR="001D75D7" w:rsidRPr="005E65F8" w:rsidRDefault="001D75D7" w:rsidP="005E65F8">
            <w:pPr>
              <w:pStyle w:val="SingleTxtG"/>
              <w:suppressAutoHyphens w:val="0"/>
              <w:spacing w:before="40" w:after="40" w:line="220" w:lineRule="exact"/>
              <w:ind w:left="0" w:right="113"/>
              <w:jc w:val="right"/>
              <w:rPr>
                <w:sz w:val="18"/>
              </w:rPr>
            </w:pPr>
          </w:p>
        </w:tc>
        <w:tc>
          <w:tcPr>
            <w:tcW w:w="692" w:type="pct"/>
            <w:shd w:val="clear" w:color="auto" w:fill="auto"/>
            <w:vAlign w:val="bottom"/>
            <w:hideMark/>
          </w:tcPr>
          <w:p w14:paraId="0F224D4D" w14:textId="017BCADB" w:rsidR="001D75D7" w:rsidRPr="005E65F8" w:rsidRDefault="001D75D7" w:rsidP="005E65F8">
            <w:pPr>
              <w:pStyle w:val="SingleTxtG"/>
              <w:suppressAutoHyphens w:val="0"/>
              <w:spacing w:before="40" w:after="40" w:line="220" w:lineRule="exact"/>
              <w:ind w:left="0" w:right="113"/>
              <w:jc w:val="right"/>
              <w:rPr>
                <w:sz w:val="18"/>
              </w:rPr>
            </w:pPr>
          </w:p>
        </w:tc>
        <w:tc>
          <w:tcPr>
            <w:tcW w:w="693" w:type="pct"/>
            <w:shd w:val="clear" w:color="auto" w:fill="auto"/>
            <w:vAlign w:val="bottom"/>
          </w:tcPr>
          <w:p w14:paraId="31FC328E" w14:textId="6F81656F" w:rsidR="001D75D7" w:rsidRPr="005E65F8" w:rsidRDefault="001D75D7" w:rsidP="005E65F8">
            <w:pPr>
              <w:pStyle w:val="SingleTxtG"/>
              <w:suppressAutoHyphens w:val="0"/>
              <w:spacing w:before="40" w:after="40" w:line="220" w:lineRule="exact"/>
              <w:ind w:left="0" w:right="113"/>
              <w:jc w:val="right"/>
              <w:rPr>
                <w:sz w:val="18"/>
              </w:rPr>
            </w:pPr>
          </w:p>
        </w:tc>
      </w:tr>
      <w:tr w:rsidR="005E65F8" w:rsidRPr="005E65F8" w14:paraId="1702AD78" w14:textId="77777777" w:rsidTr="00E45843">
        <w:trPr>
          <w:cantSplit/>
        </w:trPr>
        <w:tc>
          <w:tcPr>
            <w:tcW w:w="1539" w:type="pct"/>
            <w:shd w:val="clear" w:color="auto" w:fill="auto"/>
            <w:hideMark/>
          </w:tcPr>
          <w:p w14:paraId="418DB1DA" w14:textId="77777777" w:rsidR="001D75D7" w:rsidRPr="005E65F8" w:rsidRDefault="001D75D7" w:rsidP="005E65F8">
            <w:pPr>
              <w:pStyle w:val="SingleTxtG"/>
              <w:suppressAutoHyphens w:val="0"/>
              <w:spacing w:before="40" w:after="40" w:line="220" w:lineRule="exact"/>
              <w:ind w:left="0" w:right="113"/>
              <w:jc w:val="left"/>
              <w:rPr>
                <w:sz w:val="18"/>
              </w:rPr>
            </w:pPr>
            <w:r w:rsidRPr="005E65F8">
              <w:rPr>
                <w:sz w:val="18"/>
              </w:rPr>
              <w:t>Family counselling</w:t>
            </w:r>
          </w:p>
        </w:tc>
        <w:tc>
          <w:tcPr>
            <w:tcW w:w="692" w:type="pct"/>
            <w:shd w:val="clear" w:color="auto" w:fill="auto"/>
            <w:vAlign w:val="bottom"/>
            <w:hideMark/>
          </w:tcPr>
          <w:p w14:paraId="73ECD94D" w14:textId="77777777" w:rsidR="001D75D7" w:rsidRPr="005E65F8" w:rsidRDefault="001D75D7" w:rsidP="005E65F8">
            <w:pPr>
              <w:pStyle w:val="SingleTxtG"/>
              <w:suppressAutoHyphens w:val="0"/>
              <w:spacing w:before="40" w:after="40" w:line="220" w:lineRule="exact"/>
              <w:ind w:left="0" w:right="113"/>
              <w:jc w:val="right"/>
              <w:rPr>
                <w:sz w:val="18"/>
              </w:rPr>
            </w:pPr>
            <w:r w:rsidRPr="005E65F8">
              <w:rPr>
                <w:sz w:val="18"/>
              </w:rPr>
              <w:t>137</w:t>
            </w:r>
          </w:p>
        </w:tc>
        <w:tc>
          <w:tcPr>
            <w:tcW w:w="692" w:type="pct"/>
            <w:shd w:val="clear" w:color="auto" w:fill="auto"/>
            <w:vAlign w:val="bottom"/>
            <w:hideMark/>
          </w:tcPr>
          <w:p w14:paraId="60594865" w14:textId="5014F36B" w:rsidR="001D75D7" w:rsidRPr="005E65F8" w:rsidRDefault="004A0F79" w:rsidP="005E65F8">
            <w:pPr>
              <w:pStyle w:val="SingleTxtG"/>
              <w:suppressAutoHyphens w:val="0"/>
              <w:spacing w:before="40" w:after="40" w:line="220" w:lineRule="exact"/>
              <w:ind w:left="0" w:right="113"/>
              <w:jc w:val="right"/>
              <w:rPr>
                <w:sz w:val="18"/>
              </w:rPr>
            </w:pPr>
            <w:r w:rsidRPr="005E65F8">
              <w:rPr>
                <w:sz w:val="18"/>
              </w:rPr>
              <w:t>733</w:t>
            </w:r>
            <w:r w:rsidRPr="006266F0">
              <w:rPr>
                <w:rStyle w:val="FootnoteReference"/>
              </w:rPr>
              <w:t>(2)</w:t>
            </w:r>
          </w:p>
        </w:tc>
        <w:tc>
          <w:tcPr>
            <w:tcW w:w="692" w:type="pct"/>
            <w:shd w:val="clear" w:color="auto" w:fill="auto"/>
            <w:vAlign w:val="bottom"/>
            <w:hideMark/>
          </w:tcPr>
          <w:p w14:paraId="5C3B3A68" w14:textId="6B7BE489" w:rsidR="001D75D7" w:rsidRPr="005E65F8" w:rsidRDefault="004A0F79" w:rsidP="005E65F8">
            <w:pPr>
              <w:pStyle w:val="SingleTxtG"/>
              <w:suppressAutoHyphens w:val="0"/>
              <w:spacing w:before="40" w:after="40" w:line="220" w:lineRule="exact"/>
              <w:ind w:left="0" w:right="113"/>
              <w:jc w:val="right"/>
              <w:rPr>
                <w:sz w:val="18"/>
              </w:rPr>
            </w:pPr>
            <w:r w:rsidRPr="005E65F8">
              <w:rPr>
                <w:sz w:val="18"/>
              </w:rPr>
              <w:t>748</w:t>
            </w:r>
            <w:r w:rsidRPr="006266F0">
              <w:rPr>
                <w:rStyle w:val="FootnoteReference"/>
              </w:rPr>
              <w:t>(2)</w:t>
            </w:r>
          </w:p>
        </w:tc>
        <w:tc>
          <w:tcPr>
            <w:tcW w:w="692" w:type="pct"/>
            <w:shd w:val="clear" w:color="auto" w:fill="auto"/>
            <w:vAlign w:val="bottom"/>
            <w:hideMark/>
          </w:tcPr>
          <w:p w14:paraId="673CA150" w14:textId="0521E3E4" w:rsidR="001D75D7" w:rsidRPr="005E65F8" w:rsidRDefault="004A0F79" w:rsidP="005E65F8">
            <w:pPr>
              <w:pStyle w:val="SingleTxtG"/>
              <w:suppressAutoHyphens w:val="0"/>
              <w:spacing w:before="40" w:after="40" w:line="220" w:lineRule="exact"/>
              <w:ind w:left="0" w:right="113"/>
              <w:jc w:val="right"/>
              <w:rPr>
                <w:sz w:val="18"/>
              </w:rPr>
            </w:pPr>
            <w:r w:rsidRPr="005E65F8">
              <w:rPr>
                <w:sz w:val="18"/>
              </w:rPr>
              <w:t>924</w:t>
            </w:r>
            <w:r w:rsidRPr="006266F0">
              <w:rPr>
                <w:rStyle w:val="FootnoteReference"/>
              </w:rPr>
              <w:t>(2)</w:t>
            </w:r>
          </w:p>
        </w:tc>
        <w:tc>
          <w:tcPr>
            <w:tcW w:w="693" w:type="pct"/>
            <w:shd w:val="clear" w:color="auto" w:fill="auto"/>
            <w:vAlign w:val="bottom"/>
          </w:tcPr>
          <w:p w14:paraId="1C056BBB" w14:textId="521D46A3" w:rsidR="001D75D7" w:rsidRPr="005E65F8" w:rsidRDefault="004A0F79" w:rsidP="005E65F8">
            <w:pPr>
              <w:pStyle w:val="SingleTxtG"/>
              <w:suppressAutoHyphens w:val="0"/>
              <w:spacing w:before="40" w:after="40" w:line="220" w:lineRule="exact"/>
              <w:ind w:left="0" w:right="113"/>
              <w:jc w:val="right"/>
              <w:rPr>
                <w:sz w:val="18"/>
              </w:rPr>
            </w:pPr>
            <w:r w:rsidRPr="005E65F8">
              <w:rPr>
                <w:sz w:val="18"/>
              </w:rPr>
              <w:t>942</w:t>
            </w:r>
            <w:r w:rsidRPr="006266F0">
              <w:rPr>
                <w:rStyle w:val="FootnoteReference"/>
              </w:rPr>
              <w:t>(2)</w:t>
            </w:r>
          </w:p>
        </w:tc>
      </w:tr>
    </w:tbl>
    <w:p w14:paraId="5CC58179" w14:textId="2843B470" w:rsidR="001D75D7" w:rsidRPr="004A0F79" w:rsidRDefault="001D75D7" w:rsidP="004A0F79">
      <w:pPr>
        <w:spacing w:before="120"/>
        <w:ind w:left="1134" w:right="1134" w:firstLine="170"/>
        <w:rPr>
          <w:sz w:val="18"/>
        </w:rPr>
      </w:pPr>
      <w:r w:rsidRPr="004A0F79">
        <w:rPr>
          <w:i/>
          <w:iCs/>
          <w:sz w:val="18"/>
        </w:rPr>
        <w:t>Source</w:t>
      </w:r>
      <w:r w:rsidRPr="004A0F79">
        <w:rPr>
          <w:sz w:val="18"/>
        </w:rPr>
        <w:t xml:space="preserve">: </w:t>
      </w:r>
      <w:r w:rsidR="00F73613">
        <w:rPr>
          <w:sz w:val="18"/>
        </w:rPr>
        <w:t xml:space="preserve"> </w:t>
      </w:r>
      <w:r w:rsidRPr="004A0F79">
        <w:rPr>
          <w:sz w:val="18"/>
        </w:rPr>
        <w:t>SWB.</w:t>
      </w:r>
    </w:p>
    <w:p w14:paraId="2004F798" w14:textId="77777777" w:rsidR="001D75D7" w:rsidRPr="004A0F79" w:rsidRDefault="001D75D7" w:rsidP="004A0F79">
      <w:pPr>
        <w:ind w:left="1134" w:right="1134" w:firstLine="170"/>
        <w:rPr>
          <w:sz w:val="18"/>
        </w:rPr>
      </w:pPr>
      <w:r w:rsidRPr="004A0F79">
        <w:rPr>
          <w:sz w:val="18"/>
        </w:rPr>
        <w:t>Note:</w:t>
      </w:r>
    </w:p>
    <w:p w14:paraId="799B46A0" w14:textId="122B41DD" w:rsidR="001D75D7" w:rsidRPr="004A0F79" w:rsidRDefault="001D75D7" w:rsidP="004A0F79">
      <w:pPr>
        <w:ind w:left="1134" w:right="1134" w:firstLine="170"/>
        <w:rPr>
          <w:sz w:val="18"/>
        </w:rPr>
      </w:pPr>
      <w:r w:rsidRPr="006266F0">
        <w:rPr>
          <w:rStyle w:val="FootnoteReference"/>
        </w:rPr>
        <w:t>1</w:t>
      </w:r>
      <w:r w:rsidR="004A0F79">
        <w:rPr>
          <w:sz w:val="18"/>
        </w:rPr>
        <w:t xml:space="preserve">  </w:t>
      </w:r>
      <w:r w:rsidRPr="004A0F79">
        <w:rPr>
          <w:sz w:val="18"/>
        </w:rPr>
        <w:t>Statistics will no longer be included from 2015.</w:t>
      </w:r>
    </w:p>
    <w:p w14:paraId="54F1621B" w14:textId="4777B1A0" w:rsidR="001D75D7" w:rsidRPr="004A0F79" w:rsidRDefault="001D75D7" w:rsidP="004A0F79">
      <w:pPr>
        <w:spacing w:after="240"/>
        <w:ind w:left="1134" w:right="1134" w:firstLine="170"/>
        <w:rPr>
          <w:sz w:val="18"/>
        </w:rPr>
      </w:pPr>
      <w:r w:rsidRPr="006266F0">
        <w:rPr>
          <w:rStyle w:val="FootnoteReference"/>
        </w:rPr>
        <w:t>2</w:t>
      </w:r>
      <w:r w:rsidR="004A0F79">
        <w:rPr>
          <w:sz w:val="18"/>
        </w:rPr>
        <w:t xml:space="preserve">  </w:t>
      </w:r>
      <w:r w:rsidRPr="004A0F79">
        <w:rPr>
          <w:sz w:val="18"/>
        </w:rPr>
        <w:t>Two categories were combined from 2015.</w:t>
      </w:r>
    </w:p>
    <w:p w14:paraId="4B4D9AEC" w14:textId="77777777" w:rsidR="001D75D7" w:rsidRPr="00B47380" w:rsidRDefault="001D75D7" w:rsidP="00D53B5F">
      <w:pPr>
        <w:pStyle w:val="SingleTxtG"/>
      </w:pPr>
      <w:r w:rsidRPr="00B47380">
        <w:t>128.</w:t>
      </w:r>
      <w:r w:rsidRPr="00B47380">
        <w:tab/>
        <w:t xml:space="preserve">A centralised record system was also created to: </w:t>
      </w:r>
      <w:proofErr w:type="spellStart"/>
      <w:r w:rsidRPr="00B47380">
        <w:t>i</w:t>
      </w:r>
      <w:proofErr w:type="spellEnd"/>
      <w:r w:rsidRPr="00B47380">
        <w:t>) collect data to study the domestic violence phenomenon, including its characteristics and trends; ii) identify the causes of domestic violence, behavioural patterns and typical social and legal responses and; iii) develop appropriate activities to counter domestic violence (Article 7 of Law 2/2016). And a new 24-hour Domestic Violence Hotline was added to the 3 existing support hotlines.</w:t>
      </w:r>
    </w:p>
    <w:p w14:paraId="7B3D25E6" w14:textId="77777777" w:rsidR="001D75D7" w:rsidRPr="00B47380" w:rsidRDefault="001D75D7" w:rsidP="00D53B5F">
      <w:pPr>
        <w:pStyle w:val="SingleTxtG"/>
      </w:pPr>
      <w:r w:rsidRPr="00B47380">
        <w:t>129.</w:t>
      </w:r>
      <w:r w:rsidRPr="00B47380">
        <w:tab/>
        <w:t>In respect of paragraph 58 of the concluding observations, there are 2 shelters offering temporary accommodation to women victims of violence, including domestic violence. Between 2014 and September 2018, 70, 139, 133, 26 and 12 women used the temporary shelters respectively. And, in May 2017, a male shelter for victims of domestic violence was launched.</w:t>
      </w:r>
    </w:p>
    <w:p w14:paraId="73E3E469" w14:textId="77777777" w:rsidR="001D75D7" w:rsidRPr="00B47380" w:rsidRDefault="001D75D7" w:rsidP="00D53B5F">
      <w:pPr>
        <w:pStyle w:val="SingleTxtG"/>
      </w:pPr>
      <w:r w:rsidRPr="00B47380">
        <w:t>130.</w:t>
      </w:r>
      <w:r w:rsidRPr="00B47380">
        <w:tab/>
        <w:t>There are 9 shelters for minors. Between 2014 and September 2018, 3, 3, 7, 11 and 12 girl victims of violence, including domestic violence, stayed in the shelters respectively. The shelters accommodate minors according to their age, gender and specific needs.</w:t>
      </w:r>
    </w:p>
    <w:p w14:paraId="62D5A87E" w14:textId="7181D5F6" w:rsidR="005E27D9" w:rsidRDefault="001D75D7" w:rsidP="00402C08">
      <w:pPr>
        <w:pStyle w:val="SingleTxtG"/>
      </w:pPr>
      <w:r w:rsidRPr="00B47380">
        <w:t>131.</w:t>
      </w:r>
      <w:r w:rsidRPr="00B47380">
        <w:tab/>
        <w:t>Between 2014 and September 2018, the SWB organised 25 training courses related to domestic violence, covering a wide range of fields, including law, social work and psychology, with 10,662 participants.</w:t>
      </w:r>
    </w:p>
    <w:p w14:paraId="0D6A697C" w14:textId="77777777" w:rsidR="001D75D7" w:rsidRPr="00B47380" w:rsidRDefault="001D75D7" w:rsidP="00402C08">
      <w:pPr>
        <w:pStyle w:val="H23G"/>
      </w:pPr>
      <w:r w:rsidRPr="00B47380">
        <w:lastRenderedPageBreak/>
        <w:tab/>
      </w:r>
      <w:r w:rsidRPr="00B47380">
        <w:tab/>
        <w:t>Training on domestic violence for PSPF and JP</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85"/>
        <w:gridCol w:w="4885"/>
        <w:gridCol w:w="709"/>
        <w:gridCol w:w="495"/>
        <w:gridCol w:w="496"/>
      </w:tblGrid>
      <w:tr w:rsidR="00C22526" w:rsidRPr="00C22526" w14:paraId="6563F8D7" w14:textId="77777777" w:rsidTr="00E45843">
        <w:trPr>
          <w:cantSplit/>
          <w:tblHeader/>
        </w:trPr>
        <w:tc>
          <w:tcPr>
            <w:tcW w:w="785" w:type="dxa"/>
            <w:vMerge w:val="restart"/>
            <w:tcBorders>
              <w:top w:val="single" w:sz="4" w:space="0" w:color="auto"/>
              <w:bottom w:val="single" w:sz="12" w:space="0" w:color="auto"/>
            </w:tcBorders>
            <w:shd w:val="clear" w:color="auto" w:fill="auto"/>
            <w:vAlign w:val="bottom"/>
          </w:tcPr>
          <w:p w14:paraId="465D7564" w14:textId="77777777" w:rsidR="001D75D7" w:rsidRPr="00C22526" w:rsidRDefault="001D75D7" w:rsidP="00402C08">
            <w:pPr>
              <w:pStyle w:val="SingleTxtG"/>
              <w:keepNext/>
              <w:keepLines/>
              <w:suppressAutoHyphens w:val="0"/>
              <w:spacing w:before="80" w:after="80" w:line="200" w:lineRule="exact"/>
              <w:ind w:left="0" w:right="113"/>
              <w:jc w:val="left"/>
              <w:rPr>
                <w:i/>
                <w:sz w:val="16"/>
              </w:rPr>
            </w:pPr>
            <w:r w:rsidRPr="00C22526">
              <w:rPr>
                <w:i/>
                <w:sz w:val="16"/>
              </w:rPr>
              <w:t>Year</w:t>
            </w:r>
          </w:p>
        </w:tc>
        <w:tc>
          <w:tcPr>
            <w:tcW w:w="4885" w:type="dxa"/>
            <w:vMerge w:val="restart"/>
            <w:tcBorders>
              <w:top w:val="single" w:sz="4" w:space="0" w:color="auto"/>
              <w:bottom w:val="single" w:sz="12" w:space="0" w:color="auto"/>
            </w:tcBorders>
            <w:shd w:val="clear" w:color="auto" w:fill="auto"/>
            <w:vAlign w:val="bottom"/>
          </w:tcPr>
          <w:p w14:paraId="0A6D51C7" w14:textId="77777777" w:rsidR="001D75D7" w:rsidRPr="00C22526" w:rsidRDefault="001D75D7" w:rsidP="00402C08">
            <w:pPr>
              <w:pStyle w:val="SingleTxtG"/>
              <w:keepNext/>
              <w:keepLines/>
              <w:suppressAutoHyphens w:val="0"/>
              <w:spacing w:before="80" w:after="80" w:line="200" w:lineRule="exact"/>
              <w:ind w:left="0" w:right="113"/>
              <w:jc w:val="left"/>
              <w:rPr>
                <w:i/>
                <w:sz w:val="16"/>
              </w:rPr>
            </w:pPr>
            <w:r w:rsidRPr="00C22526">
              <w:rPr>
                <w:i/>
                <w:sz w:val="16"/>
              </w:rPr>
              <w:t>Name/type</w:t>
            </w:r>
          </w:p>
        </w:tc>
        <w:tc>
          <w:tcPr>
            <w:tcW w:w="709" w:type="dxa"/>
            <w:vMerge w:val="restart"/>
            <w:tcBorders>
              <w:top w:val="single" w:sz="4" w:space="0" w:color="auto"/>
              <w:bottom w:val="single" w:sz="12" w:space="0" w:color="auto"/>
            </w:tcBorders>
            <w:shd w:val="clear" w:color="auto" w:fill="auto"/>
            <w:vAlign w:val="bottom"/>
          </w:tcPr>
          <w:p w14:paraId="1EE6E79B" w14:textId="77777777" w:rsidR="001D75D7" w:rsidRPr="00C22526" w:rsidRDefault="001D75D7" w:rsidP="00402C08">
            <w:pPr>
              <w:pStyle w:val="SingleTxtG"/>
              <w:keepNext/>
              <w:keepLines/>
              <w:suppressAutoHyphens w:val="0"/>
              <w:spacing w:before="80" w:after="80" w:line="200" w:lineRule="exact"/>
              <w:ind w:left="0" w:right="113"/>
              <w:jc w:val="left"/>
              <w:rPr>
                <w:i/>
                <w:sz w:val="16"/>
              </w:rPr>
            </w:pPr>
            <w:r w:rsidRPr="00C22526">
              <w:rPr>
                <w:i/>
                <w:sz w:val="16"/>
              </w:rPr>
              <w:t>Entity</w:t>
            </w:r>
          </w:p>
        </w:tc>
        <w:tc>
          <w:tcPr>
            <w:tcW w:w="991" w:type="dxa"/>
            <w:gridSpan w:val="2"/>
            <w:tcBorders>
              <w:top w:val="single" w:sz="4" w:space="0" w:color="auto"/>
              <w:bottom w:val="single" w:sz="4" w:space="0" w:color="auto"/>
            </w:tcBorders>
            <w:shd w:val="clear" w:color="auto" w:fill="auto"/>
            <w:vAlign w:val="bottom"/>
          </w:tcPr>
          <w:p w14:paraId="1B4FF483" w14:textId="77777777" w:rsidR="001D75D7" w:rsidRPr="00C22526" w:rsidRDefault="001D75D7" w:rsidP="00402C08">
            <w:pPr>
              <w:pStyle w:val="SingleTxtG"/>
              <w:keepNext/>
              <w:keepLines/>
              <w:suppressAutoHyphens w:val="0"/>
              <w:spacing w:before="80" w:after="80" w:line="200" w:lineRule="exact"/>
              <w:ind w:left="0" w:right="113"/>
              <w:jc w:val="center"/>
              <w:rPr>
                <w:i/>
                <w:sz w:val="16"/>
              </w:rPr>
            </w:pPr>
            <w:r w:rsidRPr="00C22526">
              <w:rPr>
                <w:i/>
                <w:sz w:val="16"/>
              </w:rPr>
              <w:t>Trainees</w:t>
            </w:r>
          </w:p>
        </w:tc>
      </w:tr>
      <w:tr w:rsidR="00C22526" w:rsidRPr="00C22526" w14:paraId="4D8AEA71" w14:textId="77777777" w:rsidTr="00E45843">
        <w:trPr>
          <w:cantSplit/>
          <w:tblHeader/>
        </w:trPr>
        <w:tc>
          <w:tcPr>
            <w:tcW w:w="785" w:type="dxa"/>
            <w:vMerge/>
            <w:tcBorders>
              <w:top w:val="nil"/>
              <w:bottom w:val="single" w:sz="12" w:space="0" w:color="auto"/>
            </w:tcBorders>
            <w:shd w:val="clear" w:color="auto" w:fill="auto"/>
            <w:vAlign w:val="bottom"/>
          </w:tcPr>
          <w:p w14:paraId="474E333C" w14:textId="77777777" w:rsidR="001D75D7" w:rsidRPr="00C22526" w:rsidRDefault="001D75D7" w:rsidP="00402C08">
            <w:pPr>
              <w:pStyle w:val="SingleTxtG"/>
              <w:keepNext/>
              <w:keepLines/>
              <w:suppressAutoHyphens w:val="0"/>
              <w:spacing w:before="40" w:after="40" w:line="220" w:lineRule="exact"/>
              <w:ind w:left="0" w:right="113"/>
              <w:jc w:val="left"/>
              <w:rPr>
                <w:sz w:val="18"/>
              </w:rPr>
            </w:pPr>
          </w:p>
        </w:tc>
        <w:tc>
          <w:tcPr>
            <w:tcW w:w="4885" w:type="dxa"/>
            <w:vMerge/>
            <w:tcBorders>
              <w:top w:val="nil"/>
              <w:bottom w:val="single" w:sz="12" w:space="0" w:color="auto"/>
            </w:tcBorders>
            <w:shd w:val="clear" w:color="auto" w:fill="auto"/>
            <w:vAlign w:val="bottom"/>
          </w:tcPr>
          <w:p w14:paraId="1E106A8D" w14:textId="77777777" w:rsidR="001D75D7" w:rsidRPr="00C22526" w:rsidRDefault="001D75D7" w:rsidP="00402C08">
            <w:pPr>
              <w:pStyle w:val="SingleTxtG"/>
              <w:keepNext/>
              <w:keepLines/>
              <w:suppressAutoHyphens w:val="0"/>
              <w:spacing w:before="40" w:after="40" w:line="220" w:lineRule="exact"/>
              <w:ind w:left="0" w:right="113"/>
              <w:jc w:val="left"/>
              <w:rPr>
                <w:sz w:val="18"/>
              </w:rPr>
            </w:pPr>
          </w:p>
        </w:tc>
        <w:tc>
          <w:tcPr>
            <w:tcW w:w="709" w:type="dxa"/>
            <w:vMerge/>
            <w:tcBorders>
              <w:top w:val="nil"/>
              <w:bottom w:val="single" w:sz="12" w:space="0" w:color="auto"/>
            </w:tcBorders>
            <w:shd w:val="clear" w:color="auto" w:fill="auto"/>
            <w:vAlign w:val="bottom"/>
          </w:tcPr>
          <w:p w14:paraId="76D47052" w14:textId="77777777" w:rsidR="001D75D7" w:rsidRPr="00C22526" w:rsidRDefault="001D75D7" w:rsidP="00402C08">
            <w:pPr>
              <w:pStyle w:val="SingleTxtG"/>
              <w:keepNext/>
              <w:keepLines/>
              <w:suppressAutoHyphens w:val="0"/>
              <w:spacing w:before="40" w:after="40" w:line="220" w:lineRule="exact"/>
              <w:ind w:left="0" w:right="113"/>
              <w:jc w:val="left"/>
              <w:rPr>
                <w:sz w:val="18"/>
              </w:rPr>
            </w:pPr>
          </w:p>
        </w:tc>
        <w:tc>
          <w:tcPr>
            <w:tcW w:w="495" w:type="dxa"/>
            <w:tcBorders>
              <w:top w:val="single" w:sz="4" w:space="0" w:color="auto"/>
              <w:bottom w:val="single" w:sz="12" w:space="0" w:color="auto"/>
            </w:tcBorders>
            <w:shd w:val="clear" w:color="auto" w:fill="auto"/>
            <w:vAlign w:val="bottom"/>
          </w:tcPr>
          <w:p w14:paraId="4EE5F678" w14:textId="77777777" w:rsidR="001D75D7" w:rsidRPr="00E419B3" w:rsidRDefault="001D75D7" w:rsidP="00402C08">
            <w:pPr>
              <w:pStyle w:val="SingleTxtG"/>
              <w:keepNext/>
              <w:keepLines/>
              <w:suppressAutoHyphens w:val="0"/>
              <w:spacing w:before="80" w:after="80" w:line="200" w:lineRule="exact"/>
              <w:ind w:left="0" w:right="113"/>
              <w:jc w:val="right"/>
              <w:rPr>
                <w:i/>
                <w:sz w:val="16"/>
              </w:rPr>
            </w:pPr>
            <w:r w:rsidRPr="00E419B3">
              <w:rPr>
                <w:i/>
                <w:sz w:val="16"/>
              </w:rPr>
              <w:t>M</w:t>
            </w:r>
          </w:p>
        </w:tc>
        <w:tc>
          <w:tcPr>
            <w:tcW w:w="496" w:type="dxa"/>
            <w:tcBorders>
              <w:top w:val="single" w:sz="4" w:space="0" w:color="auto"/>
              <w:bottom w:val="single" w:sz="12" w:space="0" w:color="auto"/>
            </w:tcBorders>
            <w:shd w:val="clear" w:color="auto" w:fill="auto"/>
            <w:vAlign w:val="bottom"/>
          </w:tcPr>
          <w:p w14:paraId="672D3D06" w14:textId="77777777" w:rsidR="001D75D7" w:rsidRPr="00E419B3" w:rsidRDefault="001D75D7" w:rsidP="00402C08">
            <w:pPr>
              <w:pStyle w:val="SingleTxtG"/>
              <w:keepNext/>
              <w:keepLines/>
              <w:suppressAutoHyphens w:val="0"/>
              <w:spacing w:before="80" w:after="80" w:line="200" w:lineRule="exact"/>
              <w:ind w:left="0" w:right="113"/>
              <w:jc w:val="right"/>
              <w:rPr>
                <w:i/>
                <w:sz w:val="16"/>
              </w:rPr>
            </w:pPr>
            <w:r w:rsidRPr="00E419B3">
              <w:rPr>
                <w:i/>
                <w:sz w:val="16"/>
              </w:rPr>
              <w:t>F</w:t>
            </w:r>
          </w:p>
        </w:tc>
      </w:tr>
      <w:tr w:rsidR="00C22526" w:rsidRPr="00C22526" w14:paraId="49DB1CBE" w14:textId="77777777" w:rsidTr="00E45843">
        <w:trPr>
          <w:cantSplit/>
        </w:trPr>
        <w:tc>
          <w:tcPr>
            <w:tcW w:w="785" w:type="dxa"/>
            <w:tcBorders>
              <w:top w:val="single" w:sz="12" w:space="0" w:color="auto"/>
            </w:tcBorders>
            <w:shd w:val="clear" w:color="auto" w:fill="auto"/>
          </w:tcPr>
          <w:p w14:paraId="6550D407" w14:textId="77777777" w:rsidR="001D75D7" w:rsidRPr="00C22526" w:rsidRDefault="001D75D7" w:rsidP="00402C08">
            <w:pPr>
              <w:pStyle w:val="SingleTxtG"/>
              <w:keepNext/>
              <w:keepLines/>
              <w:suppressAutoHyphens w:val="0"/>
              <w:spacing w:before="40" w:after="40" w:line="220" w:lineRule="exact"/>
              <w:ind w:left="0" w:right="113"/>
              <w:jc w:val="left"/>
              <w:rPr>
                <w:sz w:val="18"/>
              </w:rPr>
            </w:pPr>
            <w:r w:rsidRPr="00C22526">
              <w:rPr>
                <w:sz w:val="18"/>
              </w:rPr>
              <w:t>2014</w:t>
            </w:r>
          </w:p>
        </w:tc>
        <w:tc>
          <w:tcPr>
            <w:tcW w:w="4885" w:type="dxa"/>
            <w:tcBorders>
              <w:top w:val="single" w:sz="12" w:space="0" w:color="auto"/>
            </w:tcBorders>
            <w:shd w:val="clear" w:color="auto" w:fill="auto"/>
            <w:vAlign w:val="bottom"/>
          </w:tcPr>
          <w:p w14:paraId="68E30EB8" w14:textId="77777777" w:rsidR="001D75D7" w:rsidRPr="00C22526" w:rsidRDefault="001D75D7" w:rsidP="00402C08">
            <w:pPr>
              <w:pStyle w:val="SingleTxtG"/>
              <w:keepNext/>
              <w:keepLines/>
              <w:suppressAutoHyphens w:val="0"/>
              <w:spacing w:before="40" w:after="40" w:line="220" w:lineRule="exact"/>
              <w:ind w:left="0" w:right="113"/>
              <w:jc w:val="left"/>
              <w:rPr>
                <w:sz w:val="18"/>
              </w:rPr>
            </w:pPr>
            <w:r w:rsidRPr="00C22526">
              <w:rPr>
                <w:sz w:val="18"/>
              </w:rPr>
              <w:t>Domestic Violence</w:t>
            </w:r>
          </w:p>
        </w:tc>
        <w:tc>
          <w:tcPr>
            <w:tcW w:w="709" w:type="dxa"/>
            <w:tcBorders>
              <w:top w:val="single" w:sz="12" w:space="0" w:color="auto"/>
            </w:tcBorders>
            <w:shd w:val="clear" w:color="auto" w:fill="auto"/>
            <w:vAlign w:val="bottom"/>
          </w:tcPr>
          <w:p w14:paraId="69B8A48C" w14:textId="77777777" w:rsidR="001D75D7" w:rsidRPr="00C22526" w:rsidRDefault="001D75D7" w:rsidP="00402C08">
            <w:pPr>
              <w:pStyle w:val="SingleTxtG"/>
              <w:keepNext/>
              <w:keepLines/>
              <w:suppressAutoHyphens w:val="0"/>
              <w:spacing w:before="40" w:after="40" w:line="220" w:lineRule="exact"/>
              <w:ind w:left="0" w:right="113"/>
              <w:jc w:val="left"/>
              <w:rPr>
                <w:sz w:val="18"/>
              </w:rPr>
            </w:pPr>
            <w:r w:rsidRPr="00C22526">
              <w:rPr>
                <w:sz w:val="18"/>
              </w:rPr>
              <w:t>PSPF</w:t>
            </w:r>
          </w:p>
        </w:tc>
        <w:tc>
          <w:tcPr>
            <w:tcW w:w="495" w:type="dxa"/>
            <w:tcBorders>
              <w:top w:val="single" w:sz="12" w:space="0" w:color="auto"/>
            </w:tcBorders>
            <w:shd w:val="clear" w:color="auto" w:fill="auto"/>
            <w:vAlign w:val="bottom"/>
          </w:tcPr>
          <w:p w14:paraId="6B8D8ACA" w14:textId="77777777" w:rsidR="001D75D7" w:rsidRPr="00C22526" w:rsidRDefault="001D75D7" w:rsidP="00402C08">
            <w:pPr>
              <w:pStyle w:val="SingleTxtG"/>
              <w:keepNext/>
              <w:keepLines/>
              <w:suppressAutoHyphens w:val="0"/>
              <w:spacing w:before="40" w:after="40" w:line="220" w:lineRule="exact"/>
              <w:ind w:left="0" w:right="113"/>
              <w:jc w:val="right"/>
              <w:rPr>
                <w:sz w:val="18"/>
              </w:rPr>
            </w:pPr>
            <w:r w:rsidRPr="00C22526">
              <w:rPr>
                <w:sz w:val="18"/>
              </w:rPr>
              <w:t>20</w:t>
            </w:r>
          </w:p>
        </w:tc>
        <w:tc>
          <w:tcPr>
            <w:tcW w:w="496" w:type="dxa"/>
            <w:tcBorders>
              <w:top w:val="single" w:sz="12" w:space="0" w:color="auto"/>
            </w:tcBorders>
            <w:shd w:val="clear" w:color="auto" w:fill="auto"/>
            <w:vAlign w:val="bottom"/>
          </w:tcPr>
          <w:p w14:paraId="301251DB" w14:textId="77777777" w:rsidR="001D75D7" w:rsidRPr="00C22526" w:rsidRDefault="001D75D7" w:rsidP="00402C08">
            <w:pPr>
              <w:pStyle w:val="SingleTxtG"/>
              <w:keepNext/>
              <w:keepLines/>
              <w:suppressAutoHyphens w:val="0"/>
              <w:spacing w:before="40" w:after="40" w:line="220" w:lineRule="exact"/>
              <w:ind w:left="0" w:right="113"/>
              <w:jc w:val="right"/>
              <w:rPr>
                <w:sz w:val="18"/>
              </w:rPr>
            </w:pPr>
            <w:r w:rsidRPr="00C22526">
              <w:rPr>
                <w:sz w:val="18"/>
              </w:rPr>
              <w:t>12</w:t>
            </w:r>
          </w:p>
        </w:tc>
      </w:tr>
      <w:tr w:rsidR="00C22526" w:rsidRPr="00C22526" w14:paraId="4109235E" w14:textId="77777777" w:rsidTr="00E45843">
        <w:trPr>
          <w:cantSplit/>
        </w:trPr>
        <w:tc>
          <w:tcPr>
            <w:tcW w:w="785" w:type="dxa"/>
            <w:vMerge w:val="restart"/>
            <w:shd w:val="clear" w:color="auto" w:fill="auto"/>
          </w:tcPr>
          <w:p w14:paraId="75EA8B39" w14:textId="77777777" w:rsidR="001D75D7" w:rsidRPr="00C22526" w:rsidRDefault="001D75D7" w:rsidP="00402C08">
            <w:pPr>
              <w:pStyle w:val="SingleTxtG"/>
              <w:keepNext/>
              <w:keepLines/>
              <w:suppressAutoHyphens w:val="0"/>
              <w:spacing w:before="40" w:after="40" w:line="220" w:lineRule="exact"/>
              <w:ind w:left="0" w:right="113"/>
              <w:jc w:val="left"/>
              <w:rPr>
                <w:sz w:val="18"/>
              </w:rPr>
            </w:pPr>
            <w:r w:rsidRPr="00C22526">
              <w:rPr>
                <w:sz w:val="18"/>
              </w:rPr>
              <w:t>2015</w:t>
            </w:r>
          </w:p>
        </w:tc>
        <w:tc>
          <w:tcPr>
            <w:tcW w:w="4885" w:type="dxa"/>
            <w:shd w:val="clear" w:color="auto" w:fill="auto"/>
            <w:vAlign w:val="bottom"/>
          </w:tcPr>
          <w:p w14:paraId="41EC009E" w14:textId="77777777" w:rsidR="001D75D7" w:rsidRPr="00C22526" w:rsidRDefault="001D75D7" w:rsidP="00402C08">
            <w:pPr>
              <w:pStyle w:val="SingleTxtG"/>
              <w:keepNext/>
              <w:keepLines/>
              <w:suppressAutoHyphens w:val="0"/>
              <w:spacing w:before="40" w:after="40" w:line="220" w:lineRule="exact"/>
              <w:ind w:left="0" w:right="113"/>
              <w:jc w:val="left"/>
              <w:rPr>
                <w:sz w:val="18"/>
              </w:rPr>
            </w:pPr>
            <w:r w:rsidRPr="00C22526">
              <w:rPr>
                <w:sz w:val="18"/>
              </w:rPr>
              <w:t>Visit to Hong Kong Family Conflict and Sexual Violence Policy Unit</w:t>
            </w:r>
          </w:p>
        </w:tc>
        <w:tc>
          <w:tcPr>
            <w:tcW w:w="709" w:type="dxa"/>
            <w:shd w:val="clear" w:color="auto" w:fill="auto"/>
            <w:vAlign w:val="bottom"/>
          </w:tcPr>
          <w:p w14:paraId="15E0916E" w14:textId="77777777" w:rsidR="001D75D7" w:rsidRPr="00C22526" w:rsidRDefault="001D75D7" w:rsidP="00402C08">
            <w:pPr>
              <w:pStyle w:val="SingleTxtG"/>
              <w:keepNext/>
              <w:keepLines/>
              <w:suppressAutoHyphens w:val="0"/>
              <w:spacing w:before="40" w:after="40" w:line="220" w:lineRule="exact"/>
              <w:ind w:left="0" w:right="113"/>
              <w:jc w:val="left"/>
              <w:rPr>
                <w:sz w:val="18"/>
              </w:rPr>
            </w:pPr>
            <w:r w:rsidRPr="00C22526">
              <w:rPr>
                <w:sz w:val="18"/>
              </w:rPr>
              <w:t>PSPF</w:t>
            </w:r>
          </w:p>
        </w:tc>
        <w:tc>
          <w:tcPr>
            <w:tcW w:w="495" w:type="dxa"/>
            <w:shd w:val="clear" w:color="auto" w:fill="auto"/>
            <w:vAlign w:val="bottom"/>
          </w:tcPr>
          <w:p w14:paraId="6337EF3E" w14:textId="77777777" w:rsidR="001D75D7" w:rsidRPr="00C22526" w:rsidRDefault="001D75D7" w:rsidP="00402C08">
            <w:pPr>
              <w:pStyle w:val="SingleTxtG"/>
              <w:keepNext/>
              <w:keepLines/>
              <w:suppressAutoHyphens w:val="0"/>
              <w:spacing w:before="40" w:after="40" w:line="220" w:lineRule="exact"/>
              <w:ind w:left="0" w:right="113"/>
              <w:jc w:val="right"/>
              <w:rPr>
                <w:sz w:val="18"/>
              </w:rPr>
            </w:pPr>
            <w:r w:rsidRPr="00C22526">
              <w:rPr>
                <w:sz w:val="18"/>
              </w:rPr>
              <w:t>9</w:t>
            </w:r>
          </w:p>
        </w:tc>
        <w:tc>
          <w:tcPr>
            <w:tcW w:w="496" w:type="dxa"/>
            <w:shd w:val="clear" w:color="auto" w:fill="auto"/>
            <w:vAlign w:val="bottom"/>
          </w:tcPr>
          <w:p w14:paraId="73E205E5" w14:textId="77777777" w:rsidR="001D75D7" w:rsidRPr="00C22526" w:rsidRDefault="001D75D7" w:rsidP="00402C08">
            <w:pPr>
              <w:pStyle w:val="SingleTxtG"/>
              <w:keepNext/>
              <w:keepLines/>
              <w:suppressAutoHyphens w:val="0"/>
              <w:spacing w:before="40" w:after="40" w:line="220" w:lineRule="exact"/>
              <w:ind w:left="0" w:right="113"/>
              <w:jc w:val="right"/>
              <w:rPr>
                <w:sz w:val="18"/>
              </w:rPr>
            </w:pPr>
            <w:r w:rsidRPr="00C22526">
              <w:rPr>
                <w:sz w:val="18"/>
              </w:rPr>
              <w:t>1</w:t>
            </w:r>
          </w:p>
        </w:tc>
      </w:tr>
      <w:tr w:rsidR="00C22526" w:rsidRPr="00C22526" w14:paraId="0C30361F" w14:textId="77777777" w:rsidTr="00E45843">
        <w:trPr>
          <w:cantSplit/>
        </w:trPr>
        <w:tc>
          <w:tcPr>
            <w:tcW w:w="785" w:type="dxa"/>
            <w:vMerge/>
            <w:shd w:val="clear" w:color="auto" w:fill="auto"/>
          </w:tcPr>
          <w:p w14:paraId="169EACAF" w14:textId="77777777" w:rsidR="001D75D7" w:rsidRPr="00C22526" w:rsidRDefault="001D75D7" w:rsidP="00402C08">
            <w:pPr>
              <w:pStyle w:val="SingleTxtG"/>
              <w:keepNext/>
              <w:keepLines/>
              <w:suppressAutoHyphens w:val="0"/>
              <w:spacing w:before="40" w:after="40" w:line="220" w:lineRule="exact"/>
              <w:ind w:left="0" w:right="113"/>
              <w:jc w:val="left"/>
              <w:rPr>
                <w:sz w:val="18"/>
              </w:rPr>
            </w:pPr>
          </w:p>
        </w:tc>
        <w:tc>
          <w:tcPr>
            <w:tcW w:w="4885" w:type="dxa"/>
            <w:shd w:val="clear" w:color="auto" w:fill="auto"/>
            <w:vAlign w:val="bottom"/>
          </w:tcPr>
          <w:p w14:paraId="60537FC0" w14:textId="77777777" w:rsidR="001D75D7" w:rsidRPr="00C22526" w:rsidRDefault="001D75D7" w:rsidP="00402C08">
            <w:pPr>
              <w:pStyle w:val="SingleTxtG"/>
              <w:keepNext/>
              <w:keepLines/>
              <w:suppressAutoHyphens w:val="0"/>
              <w:spacing w:before="40" w:after="40" w:line="220" w:lineRule="exact"/>
              <w:ind w:left="0" w:right="113"/>
              <w:jc w:val="left"/>
              <w:rPr>
                <w:sz w:val="18"/>
              </w:rPr>
            </w:pPr>
            <w:r w:rsidRPr="00C22526">
              <w:rPr>
                <w:sz w:val="18"/>
              </w:rPr>
              <w:t>Prevention of Domestic violence</w:t>
            </w:r>
          </w:p>
        </w:tc>
        <w:tc>
          <w:tcPr>
            <w:tcW w:w="709" w:type="dxa"/>
            <w:shd w:val="clear" w:color="auto" w:fill="auto"/>
            <w:vAlign w:val="bottom"/>
          </w:tcPr>
          <w:p w14:paraId="7E58E235" w14:textId="77777777" w:rsidR="001D75D7" w:rsidRPr="00C22526" w:rsidRDefault="001D75D7" w:rsidP="00402C08">
            <w:pPr>
              <w:pStyle w:val="SingleTxtG"/>
              <w:keepNext/>
              <w:keepLines/>
              <w:suppressAutoHyphens w:val="0"/>
              <w:spacing w:before="40" w:after="40" w:line="220" w:lineRule="exact"/>
              <w:ind w:left="0" w:right="113"/>
              <w:jc w:val="left"/>
              <w:rPr>
                <w:sz w:val="18"/>
              </w:rPr>
            </w:pPr>
            <w:r w:rsidRPr="00C22526">
              <w:rPr>
                <w:sz w:val="18"/>
              </w:rPr>
              <w:t>JP</w:t>
            </w:r>
          </w:p>
        </w:tc>
        <w:tc>
          <w:tcPr>
            <w:tcW w:w="495" w:type="dxa"/>
            <w:shd w:val="clear" w:color="auto" w:fill="auto"/>
            <w:vAlign w:val="bottom"/>
          </w:tcPr>
          <w:p w14:paraId="32EAF5F4" w14:textId="77777777" w:rsidR="001D75D7" w:rsidRPr="00C22526" w:rsidRDefault="001D75D7" w:rsidP="00402C08">
            <w:pPr>
              <w:pStyle w:val="SingleTxtG"/>
              <w:keepNext/>
              <w:keepLines/>
              <w:suppressAutoHyphens w:val="0"/>
              <w:spacing w:before="40" w:after="40" w:line="220" w:lineRule="exact"/>
              <w:ind w:left="0" w:right="113"/>
              <w:jc w:val="right"/>
              <w:rPr>
                <w:sz w:val="18"/>
              </w:rPr>
            </w:pPr>
            <w:r w:rsidRPr="00C22526">
              <w:rPr>
                <w:sz w:val="18"/>
              </w:rPr>
              <w:t>5</w:t>
            </w:r>
          </w:p>
        </w:tc>
        <w:tc>
          <w:tcPr>
            <w:tcW w:w="496" w:type="dxa"/>
            <w:shd w:val="clear" w:color="auto" w:fill="auto"/>
            <w:vAlign w:val="bottom"/>
          </w:tcPr>
          <w:p w14:paraId="7AEA5E4A" w14:textId="77777777" w:rsidR="001D75D7" w:rsidRPr="00C22526" w:rsidRDefault="001D75D7" w:rsidP="00402C08">
            <w:pPr>
              <w:pStyle w:val="SingleTxtG"/>
              <w:keepNext/>
              <w:keepLines/>
              <w:suppressAutoHyphens w:val="0"/>
              <w:spacing w:before="40" w:after="40" w:line="220" w:lineRule="exact"/>
              <w:ind w:left="0" w:right="113"/>
              <w:jc w:val="right"/>
              <w:rPr>
                <w:sz w:val="18"/>
              </w:rPr>
            </w:pPr>
            <w:r w:rsidRPr="00C22526">
              <w:rPr>
                <w:sz w:val="18"/>
              </w:rPr>
              <w:t>1</w:t>
            </w:r>
          </w:p>
        </w:tc>
      </w:tr>
      <w:tr w:rsidR="00C22526" w:rsidRPr="00C22526" w14:paraId="1B2200BC" w14:textId="77777777" w:rsidTr="00E45843">
        <w:trPr>
          <w:cantSplit/>
        </w:trPr>
        <w:tc>
          <w:tcPr>
            <w:tcW w:w="785" w:type="dxa"/>
            <w:vMerge/>
            <w:shd w:val="clear" w:color="auto" w:fill="auto"/>
          </w:tcPr>
          <w:p w14:paraId="3098F2D8" w14:textId="77777777" w:rsidR="001D75D7" w:rsidRPr="00C22526" w:rsidRDefault="001D75D7" w:rsidP="00402C08">
            <w:pPr>
              <w:pStyle w:val="SingleTxtG"/>
              <w:keepNext/>
              <w:keepLines/>
              <w:suppressAutoHyphens w:val="0"/>
              <w:spacing w:before="40" w:after="40" w:line="220" w:lineRule="exact"/>
              <w:ind w:left="0" w:right="113"/>
              <w:jc w:val="left"/>
              <w:rPr>
                <w:sz w:val="18"/>
              </w:rPr>
            </w:pPr>
          </w:p>
        </w:tc>
        <w:tc>
          <w:tcPr>
            <w:tcW w:w="4885" w:type="dxa"/>
            <w:shd w:val="clear" w:color="auto" w:fill="auto"/>
            <w:vAlign w:val="bottom"/>
          </w:tcPr>
          <w:p w14:paraId="76A9090E" w14:textId="77777777" w:rsidR="001D75D7" w:rsidRPr="00C22526" w:rsidRDefault="001D75D7" w:rsidP="00402C08">
            <w:pPr>
              <w:pStyle w:val="SingleTxtG"/>
              <w:keepNext/>
              <w:keepLines/>
              <w:suppressAutoHyphens w:val="0"/>
              <w:spacing w:before="40" w:after="40" w:line="220" w:lineRule="exact"/>
              <w:ind w:left="0" w:right="113"/>
              <w:jc w:val="left"/>
              <w:rPr>
                <w:sz w:val="18"/>
              </w:rPr>
            </w:pPr>
            <w:r w:rsidRPr="00C22526">
              <w:rPr>
                <w:sz w:val="18"/>
              </w:rPr>
              <w:t>Lecture: Family Policy Legal Framework</w:t>
            </w:r>
          </w:p>
        </w:tc>
        <w:tc>
          <w:tcPr>
            <w:tcW w:w="709" w:type="dxa"/>
            <w:shd w:val="clear" w:color="auto" w:fill="auto"/>
            <w:vAlign w:val="bottom"/>
          </w:tcPr>
          <w:p w14:paraId="4DCD4DF4" w14:textId="77777777" w:rsidR="001D75D7" w:rsidRPr="00C22526" w:rsidRDefault="001D75D7" w:rsidP="00402C08">
            <w:pPr>
              <w:pStyle w:val="SingleTxtG"/>
              <w:keepNext/>
              <w:keepLines/>
              <w:suppressAutoHyphens w:val="0"/>
              <w:spacing w:before="40" w:after="40" w:line="220" w:lineRule="exact"/>
              <w:ind w:left="0" w:right="113"/>
              <w:jc w:val="left"/>
              <w:rPr>
                <w:sz w:val="18"/>
              </w:rPr>
            </w:pPr>
            <w:r w:rsidRPr="00C22526">
              <w:rPr>
                <w:sz w:val="18"/>
              </w:rPr>
              <w:t>JP</w:t>
            </w:r>
          </w:p>
        </w:tc>
        <w:tc>
          <w:tcPr>
            <w:tcW w:w="495" w:type="dxa"/>
            <w:shd w:val="clear" w:color="auto" w:fill="auto"/>
            <w:vAlign w:val="bottom"/>
          </w:tcPr>
          <w:p w14:paraId="58346AD2" w14:textId="77777777" w:rsidR="001D75D7" w:rsidRPr="00C22526" w:rsidRDefault="001D75D7" w:rsidP="00402C08">
            <w:pPr>
              <w:pStyle w:val="SingleTxtG"/>
              <w:keepNext/>
              <w:keepLines/>
              <w:suppressAutoHyphens w:val="0"/>
              <w:spacing w:before="40" w:after="40" w:line="220" w:lineRule="exact"/>
              <w:ind w:left="0" w:right="113"/>
              <w:jc w:val="right"/>
              <w:rPr>
                <w:sz w:val="18"/>
              </w:rPr>
            </w:pPr>
            <w:r w:rsidRPr="00C22526">
              <w:rPr>
                <w:sz w:val="18"/>
              </w:rPr>
              <w:t>1</w:t>
            </w:r>
          </w:p>
        </w:tc>
        <w:tc>
          <w:tcPr>
            <w:tcW w:w="496" w:type="dxa"/>
            <w:shd w:val="clear" w:color="auto" w:fill="auto"/>
            <w:vAlign w:val="bottom"/>
          </w:tcPr>
          <w:p w14:paraId="6DF2EAAE" w14:textId="77777777" w:rsidR="001D75D7" w:rsidRPr="00C22526" w:rsidRDefault="001D75D7" w:rsidP="00402C08">
            <w:pPr>
              <w:pStyle w:val="SingleTxtG"/>
              <w:keepNext/>
              <w:keepLines/>
              <w:suppressAutoHyphens w:val="0"/>
              <w:spacing w:before="40" w:after="40" w:line="220" w:lineRule="exact"/>
              <w:ind w:left="0" w:right="113"/>
              <w:jc w:val="right"/>
              <w:rPr>
                <w:sz w:val="18"/>
              </w:rPr>
            </w:pPr>
            <w:r w:rsidRPr="00C22526">
              <w:rPr>
                <w:sz w:val="18"/>
              </w:rPr>
              <w:t>1</w:t>
            </w:r>
          </w:p>
        </w:tc>
      </w:tr>
      <w:tr w:rsidR="00C22526" w:rsidRPr="00C22526" w14:paraId="701A342D" w14:textId="77777777" w:rsidTr="00E45843">
        <w:trPr>
          <w:cantSplit/>
        </w:trPr>
        <w:tc>
          <w:tcPr>
            <w:tcW w:w="785" w:type="dxa"/>
            <w:vMerge w:val="restart"/>
            <w:shd w:val="clear" w:color="auto" w:fill="auto"/>
          </w:tcPr>
          <w:p w14:paraId="0282F8F4" w14:textId="77777777" w:rsidR="001D75D7" w:rsidRPr="00C22526" w:rsidRDefault="001D75D7" w:rsidP="00402C08">
            <w:pPr>
              <w:pStyle w:val="SingleTxtG"/>
              <w:keepNext/>
              <w:keepLines/>
              <w:suppressAutoHyphens w:val="0"/>
              <w:spacing w:before="40" w:after="40" w:line="220" w:lineRule="exact"/>
              <w:ind w:left="0" w:right="113"/>
              <w:jc w:val="left"/>
              <w:rPr>
                <w:sz w:val="18"/>
              </w:rPr>
            </w:pPr>
            <w:r w:rsidRPr="00C22526">
              <w:rPr>
                <w:sz w:val="18"/>
              </w:rPr>
              <w:t>2016</w:t>
            </w:r>
          </w:p>
        </w:tc>
        <w:tc>
          <w:tcPr>
            <w:tcW w:w="4885" w:type="dxa"/>
            <w:shd w:val="clear" w:color="auto" w:fill="auto"/>
            <w:vAlign w:val="bottom"/>
          </w:tcPr>
          <w:p w14:paraId="75955525" w14:textId="77777777" w:rsidR="001D75D7" w:rsidRPr="00C22526" w:rsidRDefault="001D75D7" w:rsidP="00402C08">
            <w:pPr>
              <w:pStyle w:val="SingleTxtG"/>
              <w:keepNext/>
              <w:keepLines/>
              <w:suppressAutoHyphens w:val="0"/>
              <w:spacing w:before="40" w:after="40" w:line="220" w:lineRule="exact"/>
              <w:ind w:left="0" w:right="113"/>
              <w:jc w:val="left"/>
              <w:rPr>
                <w:sz w:val="18"/>
              </w:rPr>
            </w:pPr>
            <w:r w:rsidRPr="00C22526">
              <w:rPr>
                <w:sz w:val="18"/>
              </w:rPr>
              <w:t>Lecture: Law on Preventing and Combating Domestic Violence</w:t>
            </w:r>
          </w:p>
        </w:tc>
        <w:tc>
          <w:tcPr>
            <w:tcW w:w="709" w:type="dxa"/>
            <w:shd w:val="clear" w:color="auto" w:fill="auto"/>
            <w:vAlign w:val="bottom"/>
          </w:tcPr>
          <w:p w14:paraId="7CF06899" w14:textId="77777777" w:rsidR="001D75D7" w:rsidRPr="00C22526" w:rsidRDefault="001D75D7" w:rsidP="00402C08">
            <w:pPr>
              <w:pStyle w:val="SingleTxtG"/>
              <w:keepNext/>
              <w:keepLines/>
              <w:suppressAutoHyphens w:val="0"/>
              <w:spacing w:before="40" w:after="40" w:line="220" w:lineRule="exact"/>
              <w:ind w:left="0" w:right="113"/>
              <w:jc w:val="left"/>
              <w:rPr>
                <w:sz w:val="18"/>
              </w:rPr>
            </w:pPr>
            <w:r w:rsidRPr="00C22526">
              <w:rPr>
                <w:sz w:val="18"/>
              </w:rPr>
              <w:t>JP</w:t>
            </w:r>
          </w:p>
        </w:tc>
        <w:tc>
          <w:tcPr>
            <w:tcW w:w="495" w:type="dxa"/>
            <w:shd w:val="clear" w:color="auto" w:fill="auto"/>
            <w:vAlign w:val="bottom"/>
          </w:tcPr>
          <w:p w14:paraId="2DE9A59A" w14:textId="77777777" w:rsidR="001D75D7" w:rsidRPr="00C22526" w:rsidRDefault="001D75D7" w:rsidP="00402C08">
            <w:pPr>
              <w:pStyle w:val="SingleTxtG"/>
              <w:keepNext/>
              <w:keepLines/>
              <w:suppressAutoHyphens w:val="0"/>
              <w:spacing w:before="40" w:after="40" w:line="220" w:lineRule="exact"/>
              <w:ind w:left="0" w:right="113"/>
              <w:jc w:val="right"/>
              <w:rPr>
                <w:sz w:val="18"/>
              </w:rPr>
            </w:pPr>
            <w:r w:rsidRPr="00C22526">
              <w:rPr>
                <w:sz w:val="18"/>
              </w:rPr>
              <w:t>98</w:t>
            </w:r>
          </w:p>
        </w:tc>
        <w:tc>
          <w:tcPr>
            <w:tcW w:w="496" w:type="dxa"/>
            <w:shd w:val="clear" w:color="auto" w:fill="auto"/>
            <w:vAlign w:val="bottom"/>
          </w:tcPr>
          <w:p w14:paraId="7782CDB3" w14:textId="77777777" w:rsidR="001D75D7" w:rsidRPr="00C22526" w:rsidRDefault="001D75D7" w:rsidP="00402C08">
            <w:pPr>
              <w:pStyle w:val="SingleTxtG"/>
              <w:keepNext/>
              <w:keepLines/>
              <w:suppressAutoHyphens w:val="0"/>
              <w:spacing w:before="40" w:after="40" w:line="220" w:lineRule="exact"/>
              <w:ind w:left="0" w:right="113"/>
              <w:jc w:val="right"/>
              <w:rPr>
                <w:sz w:val="18"/>
              </w:rPr>
            </w:pPr>
            <w:r w:rsidRPr="00C22526">
              <w:rPr>
                <w:sz w:val="18"/>
              </w:rPr>
              <w:t>27</w:t>
            </w:r>
          </w:p>
        </w:tc>
      </w:tr>
      <w:tr w:rsidR="00C22526" w:rsidRPr="00C22526" w14:paraId="5D63D59B" w14:textId="77777777" w:rsidTr="00E45843">
        <w:trPr>
          <w:cantSplit/>
        </w:trPr>
        <w:tc>
          <w:tcPr>
            <w:tcW w:w="785" w:type="dxa"/>
            <w:vMerge/>
            <w:shd w:val="clear" w:color="auto" w:fill="auto"/>
          </w:tcPr>
          <w:p w14:paraId="38508EC5" w14:textId="77777777" w:rsidR="001D75D7" w:rsidRPr="00C22526" w:rsidRDefault="001D75D7" w:rsidP="00C22526">
            <w:pPr>
              <w:pStyle w:val="SingleTxtG"/>
              <w:suppressAutoHyphens w:val="0"/>
              <w:spacing w:before="40" w:after="40" w:line="220" w:lineRule="exact"/>
              <w:ind w:left="0" w:right="113"/>
              <w:jc w:val="left"/>
              <w:rPr>
                <w:sz w:val="18"/>
              </w:rPr>
            </w:pPr>
          </w:p>
        </w:tc>
        <w:tc>
          <w:tcPr>
            <w:tcW w:w="4885" w:type="dxa"/>
            <w:shd w:val="clear" w:color="auto" w:fill="auto"/>
            <w:vAlign w:val="bottom"/>
          </w:tcPr>
          <w:p w14:paraId="0581EF1E" w14:textId="77777777" w:rsidR="001D75D7" w:rsidRPr="00C22526" w:rsidRDefault="001D75D7" w:rsidP="00E419B3">
            <w:pPr>
              <w:pStyle w:val="SingleTxtG"/>
              <w:suppressAutoHyphens w:val="0"/>
              <w:spacing w:before="40" w:after="40" w:line="220" w:lineRule="exact"/>
              <w:ind w:left="0" w:right="113"/>
              <w:jc w:val="left"/>
              <w:rPr>
                <w:sz w:val="18"/>
              </w:rPr>
            </w:pPr>
            <w:r w:rsidRPr="00C22526">
              <w:rPr>
                <w:sz w:val="18"/>
              </w:rPr>
              <w:t>Procedural Guidelines for Handling Domestic Violence Cases</w:t>
            </w:r>
          </w:p>
        </w:tc>
        <w:tc>
          <w:tcPr>
            <w:tcW w:w="709" w:type="dxa"/>
            <w:shd w:val="clear" w:color="auto" w:fill="auto"/>
            <w:vAlign w:val="bottom"/>
          </w:tcPr>
          <w:p w14:paraId="64BEF351" w14:textId="77777777" w:rsidR="001D75D7" w:rsidRPr="00C22526" w:rsidRDefault="001D75D7" w:rsidP="00E419B3">
            <w:pPr>
              <w:pStyle w:val="SingleTxtG"/>
              <w:suppressAutoHyphens w:val="0"/>
              <w:spacing w:before="40" w:after="40" w:line="220" w:lineRule="exact"/>
              <w:ind w:left="0" w:right="113"/>
              <w:jc w:val="left"/>
              <w:rPr>
                <w:sz w:val="18"/>
              </w:rPr>
            </w:pPr>
            <w:r w:rsidRPr="00C22526">
              <w:rPr>
                <w:sz w:val="18"/>
              </w:rPr>
              <w:t>JP</w:t>
            </w:r>
          </w:p>
        </w:tc>
        <w:tc>
          <w:tcPr>
            <w:tcW w:w="495" w:type="dxa"/>
            <w:shd w:val="clear" w:color="auto" w:fill="auto"/>
            <w:vAlign w:val="bottom"/>
          </w:tcPr>
          <w:p w14:paraId="0C8944B8"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96</w:t>
            </w:r>
          </w:p>
        </w:tc>
        <w:tc>
          <w:tcPr>
            <w:tcW w:w="496" w:type="dxa"/>
            <w:shd w:val="clear" w:color="auto" w:fill="auto"/>
            <w:vAlign w:val="bottom"/>
          </w:tcPr>
          <w:p w14:paraId="091DF59A"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31</w:t>
            </w:r>
          </w:p>
        </w:tc>
      </w:tr>
      <w:tr w:rsidR="00C22526" w:rsidRPr="00C22526" w14:paraId="2E308590" w14:textId="77777777" w:rsidTr="00E45843">
        <w:trPr>
          <w:cantSplit/>
        </w:trPr>
        <w:tc>
          <w:tcPr>
            <w:tcW w:w="785" w:type="dxa"/>
            <w:vMerge w:val="restart"/>
            <w:shd w:val="clear" w:color="auto" w:fill="auto"/>
          </w:tcPr>
          <w:p w14:paraId="5A069225" w14:textId="77777777" w:rsidR="001D75D7" w:rsidRPr="00C22526" w:rsidRDefault="001D75D7" w:rsidP="00C22526">
            <w:pPr>
              <w:pStyle w:val="SingleTxtG"/>
              <w:suppressAutoHyphens w:val="0"/>
              <w:spacing w:before="40" w:after="40" w:line="220" w:lineRule="exact"/>
              <w:ind w:left="0" w:right="113"/>
              <w:jc w:val="left"/>
              <w:rPr>
                <w:sz w:val="18"/>
              </w:rPr>
            </w:pPr>
            <w:r w:rsidRPr="00C22526">
              <w:rPr>
                <w:sz w:val="18"/>
              </w:rPr>
              <w:t>2017</w:t>
            </w:r>
          </w:p>
        </w:tc>
        <w:tc>
          <w:tcPr>
            <w:tcW w:w="4885" w:type="dxa"/>
            <w:shd w:val="clear" w:color="auto" w:fill="auto"/>
            <w:vAlign w:val="bottom"/>
          </w:tcPr>
          <w:p w14:paraId="4921726D" w14:textId="77777777" w:rsidR="001D75D7" w:rsidRPr="00C22526" w:rsidRDefault="001D75D7" w:rsidP="00E419B3">
            <w:pPr>
              <w:pStyle w:val="SingleTxtG"/>
              <w:suppressAutoHyphens w:val="0"/>
              <w:spacing w:before="40" w:after="40" w:line="220" w:lineRule="exact"/>
              <w:ind w:left="0" w:right="113"/>
              <w:jc w:val="left"/>
              <w:rPr>
                <w:sz w:val="18"/>
              </w:rPr>
            </w:pPr>
            <w:r w:rsidRPr="00C22526">
              <w:rPr>
                <w:sz w:val="18"/>
              </w:rPr>
              <w:t>Handling Cases of Child abuse and Mentally Disabled Persons (Hong Kong)</w:t>
            </w:r>
          </w:p>
        </w:tc>
        <w:tc>
          <w:tcPr>
            <w:tcW w:w="709" w:type="dxa"/>
            <w:shd w:val="clear" w:color="auto" w:fill="auto"/>
            <w:vAlign w:val="bottom"/>
          </w:tcPr>
          <w:p w14:paraId="768273CF" w14:textId="420B3DEC" w:rsidR="001D75D7" w:rsidRPr="00C22526" w:rsidRDefault="001D75D7" w:rsidP="007C181D">
            <w:pPr>
              <w:pStyle w:val="SingleTxtG"/>
              <w:suppressAutoHyphens w:val="0"/>
              <w:spacing w:before="40" w:after="40" w:line="220" w:lineRule="exact"/>
              <w:ind w:left="0" w:right="113"/>
              <w:jc w:val="left"/>
              <w:rPr>
                <w:sz w:val="18"/>
              </w:rPr>
            </w:pPr>
            <w:r w:rsidRPr="00C22526">
              <w:rPr>
                <w:sz w:val="18"/>
              </w:rPr>
              <w:t>PSPF</w:t>
            </w:r>
            <w:r w:rsidR="007C181D">
              <w:rPr>
                <w:sz w:val="18"/>
              </w:rPr>
              <w:br/>
            </w:r>
            <w:r w:rsidRPr="00C22526">
              <w:rPr>
                <w:sz w:val="18"/>
              </w:rPr>
              <w:t>JP</w:t>
            </w:r>
          </w:p>
        </w:tc>
        <w:tc>
          <w:tcPr>
            <w:tcW w:w="495" w:type="dxa"/>
            <w:shd w:val="clear" w:color="auto" w:fill="auto"/>
            <w:vAlign w:val="bottom"/>
          </w:tcPr>
          <w:p w14:paraId="2BC97621" w14:textId="4D50BD36" w:rsidR="001D75D7" w:rsidRPr="00C22526" w:rsidRDefault="001D75D7" w:rsidP="007C181D">
            <w:pPr>
              <w:pStyle w:val="SingleTxtG"/>
              <w:suppressAutoHyphens w:val="0"/>
              <w:spacing w:before="40" w:after="40" w:line="220" w:lineRule="exact"/>
              <w:ind w:left="0" w:right="113"/>
              <w:jc w:val="right"/>
              <w:rPr>
                <w:sz w:val="18"/>
              </w:rPr>
            </w:pPr>
            <w:r w:rsidRPr="00C22526">
              <w:rPr>
                <w:sz w:val="18"/>
              </w:rPr>
              <w:t>2</w:t>
            </w:r>
            <w:r w:rsidR="007C181D">
              <w:rPr>
                <w:sz w:val="18"/>
              </w:rPr>
              <w:br/>
            </w:r>
            <w:r w:rsidRPr="00C22526">
              <w:rPr>
                <w:sz w:val="18"/>
              </w:rPr>
              <w:t>1</w:t>
            </w:r>
          </w:p>
        </w:tc>
        <w:tc>
          <w:tcPr>
            <w:tcW w:w="496" w:type="dxa"/>
            <w:shd w:val="clear" w:color="auto" w:fill="auto"/>
            <w:vAlign w:val="bottom"/>
          </w:tcPr>
          <w:p w14:paraId="38DDC08C" w14:textId="62DFEFFB" w:rsidR="001D75D7" w:rsidRPr="00C22526" w:rsidRDefault="001D75D7" w:rsidP="007C181D">
            <w:pPr>
              <w:pStyle w:val="SingleTxtG"/>
              <w:suppressAutoHyphens w:val="0"/>
              <w:spacing w:before="40" w:after="40" w:line="220" w:lineRule="exact"/>
              <w:ind w:left="0" w:right="113"/>
              <w:jc w:val="right"/>
              <w:rPr>
                <w:sz w:val="18"/>
              </w:rPr>
            </w:pPr>
            <w:r w:rsidRPr="00C22526">
              <w:rPr>
                <w:sz w:val="18"/>
              </w:rPr>
              <w:t>0</w:t>
            </w:r>
            <w:r w:rsidR="007C181D">
              <w:rPr>
                <w:sz w:val="18"/>
              </w:rPr>
              <w:br/>
            </w:r>
            <w:r w:rsidRPr="00C22526">
              <w:rPr>
                <w:sz w:val="18"/>
              </w:rPr>
              <w:t>1</w:t>
            </w:r>
          </w:p>
        </w:tc>
      </w:tr>
      <w:tr w:rsidR="00C22526" w:rsidRPr="00C22526" w14:paraId="6E025E86" w14:textId="77777777" w:rsidTr="00E45843">
        <w:trPr>
          <w:cantSplit/>
        </w:trPr>
        <w:tc>
          <w:tcPr>
            <w:tcW w:w="785" w:type="dxa"/>
            <w:vMerge/>
            <w:shd w:val="clear" w:color="auto" w:fill="auto"/>
          </w:tcPr>
          <w:p w14:paraId="1680C2D3" w14:textId="77777777" w:rsidR="001D75D7" w:rsidRPr="00C22526" w:rsidRDefault="001D75D7" w:rsidP="00C22526">
            <w:pPr>
              <w:pStyle w:val="SingleTxtG"/>
              <w:suppressAutoHyphens w:val="0"/>
              <w:spacing w:before="40" w:after="40" w:line="220" w:lineRule="exact"/>
              <w:ind w:left="0" w:right="113"/>
              <w:jc w:val="left"/>
              <w:rPr>
                <w:sz w:val="18"/>
              </w:rPr>
            </w:pPr>
          </w:p>
        </w:tc>
        <w:tc>
          <w:tcPr>
            <w:tcW w:w="4885" w:type="dxa"/>
            <w:shd w:val="clear" w:color="auto" w:fill="auto"/>
            <w:vAlign w:val="bottom"/>
          </w:tcPr>
          <w:p w14:paraId="64BEE680" w14:textId="77777777" w:rsidR="001D75D7" w:rsidRPr="00C22526" w:rsidRDefault="001D75D7" w:rsidP="00E419B3">
            <w:pPr>
              <w:pStyle w:val="SingleTxtG"/>
              <w:suppressAutoHyphens w:val="0"/>
              <w:spacing w:before="40" w:after="40" w:line="220" w:lineRule="exact"/>
              <w:ind w:left="0" w:right="113"/>
              <w:jc w:val="left"/>
              <w:rPr>
                <w:sz w:val="18"/>
              </w:rPr>
            </w:pPr>
            <w:r w:rsidRPr="00C22526">
              <w:rPr>
                <w:sz w:val="18"/>
              </w:rPr>
              <w:t>Visit: Handling Domestic Violence and Sexual Abuse of Children (Hong Kong)</w:t>
            </w:r>
          </w:p>
        </w:tc>
        <w:tc>
          <w:tcPr>
            <w:tcW w:w="709" w:type="dxa"/>
            <w:shd w:val="clear" w:color="auto" w:fill="auto"/>
            <w:vAlign w:val="bottom"/>
          </w:tcPr>
          <w:p w14:paraId="0A9DB224" w14:textId="77777777" w:rsidR="001D75D7" w:rsidRPr="00C22526" w:rsidRDefault="001D75D7" w:rsidP="00E419B3">
            <w:pPr>
              <w:pStyle w:val="SingleTxtG"/>
              <w:suppressAutoHyphens w:val="0"/>
              <w:spacing w:before="40" w:after="40" w:line="220" w:lineRule="exact"/>
              <w:ind w:left="0" w:right="113"/>
              <w:jc w:val="left"/>
              <w:rPr>
                <w:sz w:val="18"/>
              </w:rPr>
            </w:pPr>
            <w:r w:rsidRPr="00C22526">
              <w:rPr>
                <w:sz w:val="18"/>
              </w:rPr>
              <w:t>PSPF</w:t>
            </w:r>
          </w:p>
        </w:tc>
        <w:tc>
          <w:tcPr>
            <w:tcW w:w="495" w:type="dxa"/>
            <w:shd w:val="clear" w:color="auto" w:fill="auto"/>
            <w:vAlign w:val="bottom"/>
          </w:tcPr>
          <w:p w14:paraId="5EC7C94C"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3</w:t>
            </w:r>
          </w:p>
        </w:tc>
        <w:tc>
          <w:tcPr>
            <w:tcW w:w="496" w:type="dxa"/>
            <w:shd w:val="clear" w:color="auto" w:fill="auto"/>
            <w:vAlign w:val="bottom"/>
          </w:tcPr>
          <w:p w14:paraId="3182479F"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r>
      <w:tr w:rsidR="00C22526" w:rsidRPr="00C22526" w14:paraId="0C68B87A" w14:textId="77777777" w:rsidTr="00E45843">
        <w:trPr>
          <w:cantSplit/>
        </w:trPr>
        <w:tc>
          <w:tcPr>
            <w:tcW w:w="785" w:type="dxa"/>
            <w:vMerge/>
            <w:shd w:val="clear" w:color="auto" w:fill="auto"/>
          </w:tcPr>
          <w:p w14:paraId="6BF12A9F" w14:textId="77777777" w:rsidR="001D75D7" w:rsidRPr="00C22526" w:rsidRDefault="001D75D7" w:rsidP="00C22526">
            <w:pPr>
              <w:pStyle w:val="SingleTxtG"/>
              <w:suppressAutoHyphens w:val="0"/>
              <w:spacing w:before="40" w:after="40" w:line="220" w:lineRule="exact"/>
              <w:ind w:left="0" w:right="113"/>
              <w:jc w:val="left"/>
              <w:rPr>
                <w:sz w:val="18"/>
              </w:rPr>
            </w:pPr>
          </w:p>
        </w:tc>
        <w:tc>
          <w:tcPr>
            <w:tcW w:w="4885" w:type="dxa"/>
            <w:shd w:val="clear" w:color="auto" w:fill="auto"/>
            <w:vAlign w:val="bottom"/>
          </w:tcPr>
          <w:p w14:paraId="1DFCFDFD" w14:textId="77777777" w:rsidR="001D75D7" w:rsidRPr="00C22526" w:rsidRDefault="001D75D7" w:rsidP="00E419B3">
            <w:pPr>
              <w:pStyle w:val="SingleTxtG"/>
              <w:suppressAutoHyphens w:val="0"/>
              <w:spacing w:before="40" w:after="40" w:line="220" w:lineRule="exact"/>
              <w:ind w:left="0" w:right="113"/>
              <w:jc w:val="left"/>
              <w:rPr>
                <w:sz w:val="18"/>
              </w:rPr>
            </w:pPr>
            <w:r w:rsidRPr="00C22526">
              <w:rPr>
                <w:sz w:val="18"/>
              </w:rPr>
              <w:t>Handling Children in Domestic Violence (Sexual Assault)</w:t>
            </w:r>
          </w:p>
        </w:tc>
        <w:tc>
          <w:tcPr>
            <w:tcW w:w="709" w:type="dxa"/>
            <w:shd w:val="clear" w:color="auto" w:fill="auto"/>
            <w:vAlign w:val="bottom"/>
          </w:tcPr>
          <w:p w14:paraId="0DA89FDD" w14:textId="77777777" w:rsidR="001D75D7" w:rsidRPr="00C22526" w:rsidRDefault="001D75D7" w:rsidP="00E419B3">
            <w:pPr>
              <w:pStyle w:val="SingleTxtG"/>
              <w:suppressAutoHyphens w:val="0"/>
              <w:spacing w:before="40" w:after="40" w:line="220" w:lineRule="exact"/>
              <w:ind w:left="0" w:right="113"/>
              <w:jc w:val="left"/>
              <w:rPr>
                <w:sz w:val="18"/>
              </w:rPr>
            </w:pPr>
            <w:r w:rsidRPr="00C22526">
              <w:rPr>
                <w:sz w:val="18"/>
              </w:rPr>
              <w:t>JP</w:t>
            </w:r>
          </w:p>
        </w:tc>
        <w:tc>
          <w:tcPr>
            <w:tcW w:w="495" w:type="dxa"/>
            <w:shd w:val="clear" w:color="auto" w:fill="auto"/>
            <w:vAlign w:val="bottom"/>
          </w:tcPr>
          <w:p w14:paraId="1909A9AB"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8</w:t>
            </w:r>
          </w:p>
        </w:tc>
        <w:tc>
          <w:tcPr>
            <w:tcW w:w="496" w:type="dxa"/>
            <w:shd w:val="clear" w:color="auto" w:fill="auto"/>
            <w:vAlign w:val="bottom"/>
          </w:tcPr>
          <w:p w14:paraId="22BECA6F"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6</w:t>
            </w:r>
          </w:p>
        </w:tc>
      </w:tr>
      <w:tr w:rsidR="00C22526" w:rsidRPr="00C22526" w14:paraId="11AAFC0E" w14:textId="77777777" w:rsidTr="00E45843">
        <w:trPr>
          <w:cantSplit/>
        </w:trPr>
        <w:tc>
          <w:tcPr>
            <w:tcW w:w="785" w:type="dxa"/>
            <w:vMerge/>
            <w:shd w:val="clear" w:color="auto" w:fill="auto"/>
          </w:tcPr>
          <w:p w14:paraId="2879E3FB" w14:textId="77777777" w:rsidR="001D75D7" w:rsidRPr="00C22526" w:rsidRDefault="001D75D7" w:rsidP="00C22526">
            <w:pPr>
              <w:pStyle w:val="SingleTxtG"/>
              <w:suppressAutoHyphens w:val="0"/>
              <w:spacing w:before="40" w:after="40" w:line="220" w:lineRule="exact"/>
              <w:ind w:left="0" w:right="113"/>
              <w:jc w:val="left"/>
              <w:rPr>
                <w:sz w:val="18"/>
              </w:rPr>
            </w:pPr>
          </w:p>
        </w:tc>
        <w:tc>
          <w:tcPr>
            <w:tcW w:w="4885" w:type="dxa"/>
            <w:shd w:val="clear" w:color="auto" w:fill="auto"/>
            <w:vAlign w:val="bottom"/>
          </w:tcPr>
          <w:p w14:paraId="672BEED8" w14:textId="77777777" w:rsidR="001D75D7" w:rsidRPr="00C22526" w:rsidRDefault="001D75D7" w:rsidP="00E419B3">
            <w:pPr>
              <w:pStyle w:val="SingleTxtG"/>
              <w:suppressAutoHyphens w:val="0"/>
              <w:spacing w:before="40" w:after="40" w:line="220" w:lineRule="exact"/>
              <w:ind w:left="0" w:right="113"/>
              <w:jc w:val="left"/>
              <w:rPr>
                <w:sz w:val="18"/>
              </w:rPr>
            </w:pPr>
            <w:r w:rsidRPr="00C22526">
              <w:rPr>
                <w:sz w:val="18"/>
              </w:rPr>
              <w:t>Criminal Investigation Strategies and Procedures on Handling Suspected Child Abuse Cases</w:t>
            </w:r>
          </w:p>
        </w:tc>
        <w:tc>
          <w:tcPr>
            <w:tcW w:w="709" w:type="dxa"/>
            <w:shd w:val="clear" w:color="auto" w:fill="auto"/>
            <w:vAlign w:val="bottom"/>
          </w:tcPr>
          <w:p w14:paraId="378D6A62" w14:textId="4399F417" w:rsidR="001D75D7" w:rsidRPr="00C22526" w:rsidRDefault="001D75D7" w:rsidP="007C181D">
            <w:pPr>
              <w:pStyle w:val="SingleTxtG"/>
              <w:suppressAutoHyphens w:val="0"/>
              <w:spacing w:before="40" w:after="40" w:line="220" w:lineRule="exact"/>
              <w:ind w:left="0" w:right="113"/>
              <w:jc w:val="left"/>
              <w:rPr>
                <w:sz w:val="18"/>
              </w:rPr>
            </w:pPr>
            <w:r w:rsidRPr="00C22526">
              <w:rPr>
                <w:sz w:val="18"/>
              </w:rPr>
              <w:t>PSPF</w:t>
            </w:r>
            <w:r w:rsidR="007C181D">
              <w:rPr>
                <w:sz w:val="18"/>
              </w:rPr>
              <w:br/>
            </w:r>
            <w:r w:rsidRPr="00C22526">
              <w:rPr>
                <w:sz w:val="18"/>
              </w:rPr>
              <w:t>JP</w:t>
            </w:r>
          </w:p>
        </w:tc>
        <w:tc>
          <w:tcPr>
            <w:tcW w:w="495" w:type="dxa"/>
            <w:shd w:val="clear" w:color="auto" w:fill="auto"/>
            <w:vAlign w:val="bottom"/>
          </w:tcPr>
          <w:p w14:paraId="249F4CA8" w14:textId="221ED8ED" w:rsidR="001D75D7" w:rsidRPr="00C22526" w:rsidRDefault="001D75D7" w:rsidP="007C181D">
            <w:pPr>
              <w:pStyle w:val="SingleTxtG"/>
              <w:suppressAutoHyphens w:val="0"/>
              <w:spacing w:before="40" w:after="40" w:line="220" w:lineRule="exact"/>
              <w:ind w:left="0" w:right="113"/>
              <w:jc w:val="right"/>
              <w:rPr>
                <w:sz w:val="18"/>
              </w:rPr>
            </w:pPr>
            <w:r w:rsidRPr="00C22526">
              <w:rPr>
                <w:sz w:val="18"/>
              </w:rPr>
              <w:t>76</w:t>
            </w:r>
            <w:r w:rsidR="007C181D">
              <w:rPr>
                <w:sz w:val="18"/>
              </w:rPr>
              <w:br/>
            </w:r>
            <w:r w:rsidRPr="00C22526">
              <w:rPr>
                <w:sz w:val="18"/>
              </w:rPr>
              <w:t>13</w:t>
            </w:r>
          </w:p>
        </w:tc>
        <w:tc>
          <w:tcPr>
            <w:tcW w:w="496" w:type="dxa"/>
            <w:shd w:val="clear" w:color="auto" w:fill="auto"/>
            <w:vAlign w:val="bottom"/>
          </w:tcPr>
          <w:p w14:paraId="2B846888" w14:textId="6043353D" w:rsidR="001D75D7" w:rsidRPr="00C22526" w:rsidRDefault="001D75D7" w:rsidP="007C181D">
            <w:pPr>
              <w:pStyle w:val="SingleTxtG"/>
              <w:suppressAutoHyphens w:val="0"/>
              <w:spacing w:before="40" w:after="40" w:line="220" w:lineRule="exact"/>
              <w:ind w:left="0" w:right="113"/>
              <w:jc w:val="right"/>
              <w:rPr>
                <w:sz w:val="18"/>
              </w:rPr>
            </w:pPr>
            <w:r w:rsidRPr="00C22526">
              <w:rPr>
                <w:sz w:val="18"/>
              </w:rPr>
              <w:t>11</w:t>
            </w:r>
            <w:r w:rsidR="007C181D">
              <w:rPr>
                <w:sz w:val="18"/>
              </w:rPr>
              <w:br/>
            </w:r>
            <w:r w:rsidRPr="00C22526">
              <w:rPr>
                <w:sz w:val="18"/>
              </w:rPr>
              <w:t>35</w:t>
            </w:r>
          </w:p>
        </w:tc>
      </w:tr>
      <w:tr w:rsidR="00C22526" w:rsidRPr="00C22526" w14:paraId="0014A4CD" w14:textId="77777777" w:rsidTr="00E45843">
        <w:trPr>
          <w:cantSplit/>
        </w:trPr>
        <w:tc>
          <w:tcPr>
            <w:tcW w:w="785" w:type="dxa"/>
            <w:vMerge/>
            <w:shd w:val="clear" w:color="auto" w:fill="auto"/>
          </w:tcPr>
          <w:p w14:paraId="679465F9" w14:textId="77777777" w:rsidR="001D75D7" w:rsidRPr="00C22526" w:rsidRDefault="001D75D7" w:rsidP="00C22526">
            <w:pPr>
              <w:pStyle w:val="SingleTxtG"/>
              <w:suppressAutoHyphens w:val="0"/>
              <w:spacing w:before="40" w:after="40" w:line="220" w:lineRule="exact"/>
              <w:ind w:left="0" w:right="113"/>
              <w:jc w:val="left"/>
              <w:rPr>
                <w:sz w:val="18"/>
              </w:rPr>
            </w:pPr>
          </w:p>
        </w:tc>
        <w:tc>
          <w:tcPr>
            <w:tcW w:w="4885" w:type="dxa"/>
            <w:shd w:val="clear" w:color="auto" w:fill="auto"/>
            <w:vAlign w:val="bottom"/>
          </w:tcPr>
          <w:p w14:paraId="4318E6D6" w14:textId="77777777" w:rsidR="001D75D7" w:rsidRPr="00C22526" w:rsidRDefault="001D75D7" w:rsidP="00E419B3">
            <w:pPr>
              <w:pStyle w:val="SingleTxtG"/>
              <w:suppressAutoHyphens w:val="0"/>
              <w:spacing w:before="40" w:after="40" w:line="220" w:lineRule="exact"/>
              <w:ind w:left="0" w:right="113"/>
              <w:jc w:val="left"/>
              <w:rPr>
                <w:sz w:val="18"/>
              </w:rPr>
            </w:pPr>
            <w:r w:rsidRPr="00C22526">
              <w:rPr>
                <w:sz w:val="18"/>
              </w:rPr>
              <w:t>Lecture: Domestic Violence Crimes Against Sexual Freedom and Sexual Self-determination</w:t>
            </w:r>
          </w:p>
        </w:tc>
        <w:tc>
          <w:tcPr>
            <w:tcW w:w="709" w:type="dxa"/>
            <w:shd w:val="clear" w:color="auto" w:fill="auto"/>
            <w:vAlign w:val="bottom"/>
          </w:tcPr>
          <w:p w14:paraId="4E4F8AB5" w14:textId="762D5771" w:rsidR="001D75D7" w:rsidRPr="00C22526" w:rsidRDefault="001D75D7" w:rsidP="007C181D">
            <w:pPr>
              <w:pStyle w:val="SingleTxtG"/>
              <w:suppressAutoHyphens w:val="0"/>
              <w:spacing w:before="40" w:after="40" w:line="220" w:lineRule="exact"/>
              <w:ind w:left="0" w:right="113"/>
              <w:jc w:val="left"/>
              <w:rPr>
                <w:sz w:val="18"/>
              </w:rPr>
            </w:pPr>
            <w:r w:rsidRPr="00C22526">
              <w:rPr>
                <w:sz w:val="18"/>
              </w:rPr>
              <w:t>PSPF</w:t>
            </w:r>
            <w:r w:rsidR="007C181D">
              <w:rPr>
                <w:sz w:val="18"/>
              </w:rPr>
              <w:br/>
            </w:r>
            <w:r w:rsidRPr="00C22526">
              <w:rPr>
                <w:sz w:val="18"/>
              </w:rPr>
              <w:t>JP</w:t>
            </w:r>
          </w:p>
        </w:tc>
        <w:tc>
          <w:tcPr>
            <w:tcW w:w="495" w:type="dxa"/>
            <w:shd w:val="clear" w:color="auto" w:fill="auto"/>
            <w:vAlign w:val="bottom"/>
          </w:tcPr>
          <w:p w14:paraId="141C7A93" w14:textId="109B4481" w:rsidR="001D75D7" w:rsidRPr="00C22526" w:rsidRDefault="001D75D7" w:rsidP="007C181D">
            <w:pPr>
              <w:pStyle w:val="SingleTxtG"/>
              <w:suppressAutoHyphens w:val="0"/>
              <w:spacing w:before="40" w:after="40" w:line="220" w:lineRule="exact"/>
              <w:ind w:left="0" w:right="113"/>
              <w:jc w:val="right"/>
              <w:rPr>
                <w:sz w:val="18"/>
              </w:rPr>
            </w:pPr>
            <w:r w:rsidRPr="00C22526">
              <w:rPr>
                <w:sz w:val="18"/>
              </w:rPr>
              <w:t>1</w:t>
            </w:r>
            <w:r w:rsidR="007C181D">
              <w:rPr>
                <w:sz w:val="18"/>
              </w:rPr>
              <w:br/>
            </w:r>
            <w:r w:rsidRPr="00C22526">
              <w:rPr>
                <w:sz w:val="18"/>
              </w:rPr>
              <w:t>4</w:t>
            </w:r>
          </w:p>
        </w:tc>
        <w:tc>
          <w:tcPr>
            <w:tcW w:w="496" w:type="dxa"/>
            <w:shd w:val="clear" w:color="auto" w:fill="auto"/>
            <w:vAlign w:val="bottom"/>
          </w:tcPr>
          <w:p w14:paraId="73D5225A" w14:textId="77777777" w:rsidR="007C181D" w:rsidRDefault="001D75D7" w:rsidP="007C181D">
            <w:pPr>
              <w:pStyle w:val="SingleTxtG"/>
              <w:suppressAutoHyphens w:val="0"/>
              <w:spacing w:before="40" w:after="40" w:line="220" w:lineRule="exact"/>
              <w:ind w:left="0" w:right="113"/>
              <w:jc w:val="right"/>
              <w:rPr>
                <w:sz w:val="18"/>
              </w:rPr>
            </w:pPr>
            <w:r w:rsidRPr="00C22526">
              <w:rPr>
                <w:sz w:val="18"/>
              </w:rPr>
              <w:t>1</w:t>
            </w:r>
          </w:p>
          <w:p w14:paraId="7465CA73" w14:textId="1E6DC2C1" w:rsidR="001D75D7" w:rsidRPr="00C22526" w:rsidRDefault="001D75D7" w:rsidP="007C181D">
            <w:pPr>
              <w:pStyle w:val="SingleTxtG"/>
              <w:suppressAutoHyphens w:val="0"/>
              <w:spacing w:before="40" w:after="40" w:line="220" w:lineRule="exact"/>
              <w:ind w:left="0" w:right="113"/>
              <w:jc w:val="right"/>
              <w:rPr>
                <w:sz w:val="18"/>
              </w:rPr>
            </w:pPr>
            <w:r w:rsidRPr="00C22526">
              <w:rPr>
                <w:sz w:val="18"/>
              </w:rPr>
              <w:t>0</w:t>
            </w:r>
          </w:p>
        </w:tc>
      </w:tr>
      <w:tr w:rsidR="00C22526" w:rsidRPr="00C22526" w14:paraId="2F0CFE46" w14:textId="77777777" w:rsidTr="00E45843">
        <w:trPr>
          <w:cantSplit/>
        </w:trPr>
        <w:tc>
          <w:tcPr>
            <w:tcW w:w="785" w:type="dxa"/>
            <w:vMerge/>
            <w:shd w:val="clear" w:color="auto" w:fill="auto"/>
          </w:tcPr>
          <w:p w14:paraId="33030C3D" w14:textId="77777777" w:rsidR="001D75D7" w:rsidRPr="00C22526" w:rsidRDefault="001D75D7" w:rsidP="00C22526">
            <w:pPr>
              <w:pStyle w:val="SingleTxtG"/>
              <w:suppressAutoHyphens w:val="0"/>
              <w:spacing w:before="40" w:after="40" w:line="220" w:lineRule="exact"/>
              <w:ind w:left="0" w:right="113"/>
              <w:jc w:val="left"/>
              <w:rPr>
                <w:sz w:val="18"/>
              </w:rPr>
            </w:pPr>
          </w:p>
        </w:tc>
        <w:tc>
          <w:tcPr>
            <w:tcW w:w="4885" w:type="dxa"/>
            <w:shd w:val="clear" w:color="auto" w:fill="auto"/>
            <w:vAlign w:val="bottom"/>
          </w:tcPr>
          <w:p w14:paraId="16F949BE" w14:textId="77777777" w:rsidR="001D75D7" w:rsidRPr="00C22526" w:rsidRDefault="001D75D7" w:rsidP="00E419B3">
            <w:pPr>
              <w:pStyle w:val="SingleTxtG"/>
              <w:suppressAutoHyphens w:val="0"/>
              <w:spacing w:before="40" w:after="40" w:line="220" w:lineRule="exact"/>
              <w:ind w:left="0" w:right="113"/>
              <w:jc w:val="left"/>
              <w:rPr>
                <w:sz w:val="18"/>
              </w:rPr>
            </w:pPr>
            <w:r w:rsidRPr="00C22526">
              <w:rPr>
                <w:sz w:val="18"/>
              </w:rPr>
              <w:t>Criminal Investigation Strategies and Procedures on Handling Suspected Child Abuse Cases</w:t>
            </w:r>
          </w:p>
        </w:tc>
        <w:tc>
          <w:tcPr>
            <w:tcW w:w="709" w:type="dxa"/>
            <w:shd w:val="clear" w:color="auto" w:fill="auto"/>
            <w:vAlign w:val="bottom"/>
          </w:tcPr>
          <w:p w14:paraId="748ECD5F" w14:textId="77777777" w:rsidR="001D75D7" w:rsidRPr="00C22526" w:rsidRDefault="001D75D7" w:rsidP="00E419B3">
            <w:pPr>
              <w:pStyle w:val="SingleTxtG"/>
              <w:suppressAutoHyphens w:val="0"/>
              <w:spacing w:before="40" w:after="40" w:line="220" w:lineRule="exact"/>
              <w:ind w:left="0" w:right="113"/>
              <w:jc w:val="left"/>
              <w:rPr>
                <w:sz w:val="18"/>
              </w:rPr>
            </w:pPr>
            <w:r w:rsidRPr="00C22526">
              <w:rPr>
                <w:sz w:val="18"/>
              </w:rPr>
              <w:t>JP</w:t>
            </w:r>
          </w:p>
        </w:tc>
        <w:tc>
          <w:tcPr>
            <w:tcW w:w="495" w:type="dxa"/>
            <w:shd w:val="clear" w:color="auto" w:fill="auto"/>
            <w:vAlign w:val="bottom"/>
          </w:tcPr>
          <w:p w14:paraId="25699D11"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6</w:t>
            </w:r>
          </w:p>
        </w:tc>
        <w:tc>
          <w:tcPr>
            <w:tcW w:w="496" w:type="dxa"/>
            <w:shd w:val="clear" w:color="auto" w:fill="auto"/>
            <w:vAlign w:val="bottom"/>
          </w:tcPr>
          <w:p w14:paraId="5FBB49D9"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7</w:t>
            </w:r>
          </w:p>
        </w:tc>
      </w:tr>
      <w:tr w:rsidR="00C22526" w:rsidRPr="00C22526" w14:paraId="5E721DB7" w14:textId="77777777" w:rsidTr="00E45843">
        <w:trPr>
          <w:cantSplit/>
        </w:trPr>
        <w:tc>
          <w:tcPr>
            <w:tcW w:w="785" w:type="dxa"/>
            <w:vMerge w:val="restart"/>
            <w:shd w:val="clear" w:color="auto" w:fill="auto"/>
          </w:tcPr>
          <w:p w14:paraId="7002221A" w14:textId="2E612AC7" w:rsidR="001D75D7" w:rsidRPr="00C22526" w:rsidRDefault="001D75D7" w:rsidP="007C181D">
            <w:pPr>
              <w:pStyle w:val="SingleTxtG"/>
              <w:suppressAutoHyphens w:val="0"/>
              <w:spacing w:before="40" w:after="40" w:line="220" w:lineRule="exact"/>
              <w:ind w:left="0" w:right="113"/>
              <w:jc w:val="left"/>
              <w:rPr>
                <w:sz w:val="18"/>
              </w:rPr>
            </w:pPr>
            <w:r w:rsidRPr="00C22526">
              <w:rPr>
                <w:sz w:val="18"/>
              </w:rPr>
              <w:t>09/2018</w:t>
            </w:r>
          </w:p>
        </w:tc>
        <w:tc>
          <w:tcPr>
            <w:tcW w:w="4885" w:type="dxa"/>
            <w:shd w:val="clear" w:color="auto" w:fill="auto"/>
          </w:tcPr>
          <w:p w14:paraId="1CE345F2" w14:textId="77777777" w:rsidR="001D75D7" w:rsidRPr="00C22526" w:rsidRDefault="001D75D7" w:rsidP="00E419B3">
            <w:pPr>
              <w:pStyle w:val="SingleTxtG"/>
              <w:suppressAutoHyphens w:val="0"/>
              <w:spacing w:before="40" w:after="40" w:line="220" w:lineRule="exact"/>
              <w:ind w:left="0" w:right="113"/>
              <w:jc w:val="left"/>
              <w:rPr>
                <w:sz w:val="18"/>
              </w:rPr>
            </w:pPr>
            <w:r w:rsidRPr="00C22526">
              <w:rPr>
                <w:sz w:val="18"/>
              </w:rPr>
              <w:t>Basic Training on Protection of Children</w:t>
            </w:r>
          </w:p>
        </w:tc>
        <w:tc>
          <w:tcPr>
            <w:tcW w:w="709" w:type="dxa"/>
            <w:shd w:val="clear" w:color="auto" w:fill="auto"/>
            <w:vAlign w:val="bottom"/>
          </w:tcPr>
          <w:p w14:paraId="3436B2E6" w14:textId="0CE184B8" w:rsidR="001D75D7" w:rsidRPr="00C22526" w:rsidRDefault="001D75D7" w:rsidP="007C181D">
            <w:pPr>
              <w:pStyle w:val="SingleTxtG"/>
              <w:suppressAutoHyphens w:val="0"/>
              <w:spacing w:before="40" w:after="40" w:line="220" w:lineRule="exact"/>
              <w:ind w:left="0" w:right="113"/>
              <w:jc w:val="left"/>
              <w:rPr>
                <w:sz w:val="18"/>
              </w:rPr>
            </w:pPr>
            <w:r w:rsidRPr="00C22526">
              <w:rPr>
                <w:sz w:val="18"/>
              </w:rPr>
              <w:t>PSPF</w:t>
            </w:r>
            <w:r w:rsidR="007C181D">
              <w:rPr>
                <w:sz w:val="18"/>
              </w:rPr>
              <w:br/>
            </w:r>
            <w:r w:rsidRPr="00C22526">
              <w:rPr>
                <w:sz w:val="18"/>
              </w:rPr>
              <w:t>JP</w:t>
            </w:r>
          </w:p>
        </w:tc>
        <w:tc>
          <w:tcPr>
            <w:tcW w:w="495" w:type="dxa"/>
            <w:shd w:val="clear" w:color="auto" w:fill="auto"/>
            <w:vAlign w:val="bottom"/>
          </w:tcPr>
          <w:p w14:paraId="2C4A0A6C" w14:textId="0AC2CC0B" w:rsidR="001D75D7" w:rsidRPr="00C22526" w:rsidRDefault="001D75D7" w:rsidP="007C181D">
            <w:pPr>
              <w:pStyle w:val="SingleTxtG"/>
              <w:suppressAutoHyphens w:val="0"/>
              <w:spacing w:before="40" w:after="40" w:line="220" w:lineRule="exact"/>
              <w:ind w:left="0" w:right="113"/>
              <w:jc w:val="right"/>
              <w:rPr>
                <w:sz w:val="18"/>
              </w:rPr>
            </w:pPr>
            <w:r w:rsidRPr="00C22526">
              <w:rPr>
                <w:sz w:val="18"/>
              </w:rPr>
              <w:t>111</w:t>
            </w:r>
            <w:r w:rsidR="007C181D">
              <w:rPr>
                <w:sz w:val="18"/>
              </w:rPr>
              <w:br/>
            </w:r>
            <w:r w:rsidRPr="00C22526">
              <w:rPr>
                <w:sz w:val="18"/>
              </w:rPr>
              <w:t>3</w:t>
            </w:r>
          </w:p>
        </w:tc>
        <w:tc>
          <w:tcPr>
            <w:tcW w:w="496" w:type="dxa"/>
            <w:shd w:val="clear" w:color="auto" w:fill="auto"/>
            <w:vAlign w:val="bottom"/>
          </w:tcPr>
          <w:p w14:paraId="262E6F57" w14:textId="06FCE170" w:rsidR="001D75D7" w:rsidRPr="00C22526" w:rsidRDefault="001D75D7" w:rsidP="007C181D">
            <w:pPr>
              <w:pStyle w:val="SingleTxtG"/>
              <w:suppressAutoHyphens w:val="0"/>
              <w:spacing w:before="40" w:after="40" w:line="220" w:lineRule="exact"/>
              <w:ind w:left="0" w:right="113"/>
              <w:jc w:val="right"/>
              <w:rPr>
                <w:sz w:val="18"/>
              </w:rPr>
            </w:pPr>
            <w:r w:rsidRPr="00C22526">
              <w:rPr>
                <w:sz w:val="18"/>
              </w:rPr>
              <w:t>60</w:t>
            </w:r>
            <w:r w:rsidR="007C181D">
              <w:rPr>
                <w:sz w:val="18"/>
              </w:rPr>
              <w:br/>
            </w:r>
            <w:r w:rsidRPr="00C22526">
              <w:rPr>
                <w:sz w:val="18"/>
              </w:rPr>
              <w:t>5</w:t>
            </w:r>
          </w:p>
        </w:tc>
      </w:tr>
      <w:tr w:rsidR="00C22526" w:rsidRPr="00C22526" w14:paraId="2D23BEB5" w14:textId="77777777" w:rsidTr="00E45843">
        <w:trPr>
          <w:cantSplit/>
        </w:trPr>
        <w:tc>
          <w:tcPr>
            <w:tcW w:w="785" w:type="dxa"/>
            <w:vMerge/>
            <w:shd w:val="clear" w:color="auto" w:fill="auto"/>
          </w:tcPr>
          <w:p w14:paraId="5AEAEFC3" w14:textId="77777777" w:rsidR="001D75D7" w:rsidRPr="00C22526" w:rsidRDefault="001D75D7" w:rsidP="00C22526">
            <w:pPr>
              <w:pStyle w:val="SingleTxtG"/>
              <w:suppressAutoHyphens w:val="0"/>
              <w:spacing w:before="40" w:after="40" w:line="220" w:lineRule="exact"/>
              <w:ind w:left="0" w:right="113"/>
              <w:jc w:val="left"/>
              <w:rPr>
                <w:sz w:val="18"/>
              </w:rPr>
            </w:pPr>
          </w:p>
        </w:tc>
        <w:tc>
          <w:tcPr>
            <w:tcW w:w="4885" w:type="dxa"/>
            <w:shd w:val="clear" w:color="auto" w:fill="auto"/>
            <w:vAlign w:val="bottom"/>
          </w:tcPr>
          <w:p w14:paraId="01FCF678" w14:textId="77777777" w:rsidR="001D75D7" w:rsidRPr="00C22526" w:rsidRDefault="001D75D7" w:rsidP="00E419B3">
            <w:pPr>
              <w:pStyle w:val="SingleTxtG"/>
              <w:suppressAutoHyphens w:val="0"/>
              <w:spacing w:before="40" w:after="40" w:line="220" w:lineRule="exact"/>
              <w:ind w:left="0" w:right="113"/>
              <w:jc w:val="left"/>
              <w:rPr>
                <w:sz w:val="18"/>
              </w:rPr>
            </w:pPr>
            <w:r w:rsidRPr="00C22526">
              <w:rPr>
                <w:sz w:val="18"/>
              </w:rPr>
              <w:t>Video Interviews with Children and Mentally Incapacitated Witnesses</w:t>
            </w:r>
          </w:p>
        </w:tc>
        <w:tc>
          <w:tcPr>
            <w:tcW w:w="709" w:type="dxa"/>
            <w:shd w:val="clear" w:color="auto" w:fill="auto"/>
            <w:vAlign w:val="bottom"/>
          </w:tcPr>
          <w:p w14:paraId="6087F8EA" w14:textId="77777777" w:rsidR="001D75D7" w:rsidRPr="00C22526" w:rsidRDefault="001D75D7" w:rsidP="00E419B3">
            <w:pPr>
              <w:pStyle w:val="SingleTxtG"/>
              <w:suppressAutoHyphens w:val="0"/>
              <w:spacing w:before="40" w:after="40" w:line="220" w:lineRule="exact"/>
              <w:ind w:left="0" w:right="113"/>
              <w:jc w:val="left"/>
              <w:rPr>
                <w:sz w:val="18"/>
              </w:rPr>
            </w:pPr>
            <w:r w:rsidRPr="00C22526">
              <w:rPr>
                <w:sz w:val="18"/>
              </w:rPr>
              <w:t>JP</w:t>
            </w:r>
          </w:p>
        </w:tc>
        <w:tc>
          <w:tcPr>
            <w:tcW w:w="495" w:type="dxa"/>
            <w:shd w:val="clear" w:color="auto" w:fill="auto"/>
            <w:vAlign w:val="bottom"/>
          </w:tcPr>
          <w:p w14:paraId="5B650000"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2</w:t>
            </w:r>
          </w:p>
        </w:tc>
        <w:tc>
          <w:tcPr>
            <w:tcW w:w="496" w:type="dxa"/>
            <w:shd w:val="clear" w:color="auto" w:fill="auto"/>
            <w:vAlign w:val="bottom"/>
          </w:tcPr>
          <w:p w14:paraId="4CBDEC6C"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r>
      <w:tr w:rsidR="00C22526" w:rsidRPr="00C22526" w14:paraId="3BB253DD" w14:textId="77777777" w:rsidTr="00E45843">
        <w:trPr>
          <w:cantSplit/>
        </w:trPr>
        <w:tc>
          <w:tcPr>
            <w:tcW w:w="785" w:type="dxa"/>
            <w:vMerge/>
            <w:shd w:val="clear" w:color="auto" w:fill="auto"/>
          </w:tcPr>
          <w:p w14:paraId="4F57E691" w14:textId="77777777" w:rsidR="001D75D7" w:rsidRPr="00C22526" w:rsidRDefault="001D75D7" w:rsidP="00C22526">
            <w:pPr>
              <w:pStyle w:val="SingleTxtG"/>
              <w:suppressAutoHyphens w:val="0"/>
              <w:spacing w:before="40" w:after="40" w:line="220" w:lineRule="exact"/>
              <w:ind w:left="0" w:right="113"/>
              <w:jc w:val="left"/>
              <w:rPr>
                <w:sz w:val="18"/>
              </w:rPr>
            </w:pPr>
          </w:p>
        </w:tc>
        <w:tc>
          <w:tcPr>
            <w:tcW w:w="4885" w:type="dxa"/>
            <w:shd w:val="clear" w:color="auto" w:fill="auto"/>
            <w:vAlign w:val="bottom"/>
          </w:tcPr>
          <w:p w14:paraId="7A352715" w14:textId="7814F58F" w:rsidR="001D75D7" w:rsidRPr="00C22526" w:rsidRDefault="001D75D7" w:rsidP="00E419B3">
            <w:pPr>
              <w:pStyle w:val="SingleTxtG"/>
              <w:suppressAutoHyphens w:val="0"/>
              <w:spacing w:before="40" w:after="40" w:line="220" w:lineRule="exact"/>
              <w:ind w:left="0" w:right="113"/>
              <w:jc w:val="left"/>
              <w:rPr>
                <w:sz w:val="18"/>
              </w:rPr>
            </w:pPr>
            <w:r w:rsidRPr="00C22526">
              <w:rPr>
                <w:sz w:val="18"/>
              </w:rPr>
              <w:t xml:space="preserve">Meeting: Regular Working Meeting for </w:t>
            </w:r>
            <w:r w:rsidR="006266F0">
              <w:rPr>
                <w:sz w:val="18"/>
              </w:rPr>
              <w:t>“</w:t>
            </w:r>
            <w:r w:rsidRPr="00C22526">
              <w:rPr>
                <w:sz w:val="18"/>
              </w:rPr>
              <w:t>Collaborative Mechanism of Prevention and Combat of Domestic Violence Act</w:t>
            </w:r>
            <w:r w:rsidR="006266F0">
              <w:rPr>
                <w:sz w:val="18"/>
              </w:rPr>
              <w:t>”</w:t>
            </w:r>
          </w:p>
        </w:tc>
        <w:tc>
          <w:tcPr>
            <w:tcW w:w="709" w:type="dxa"/>
            <w:shd w:val="clear" w:color="auto" w:fill="auto"/>
            <w:vAlign w:val="bottom"/>
          </w:tcPr>
          <w:p w14:paraId="64294BBC" w14:textId="77777777" w:rsidR="001D75D7" w:rsidRPr="00C22526" w:rsidRDefault="001D75D7" w:rsidP="00E419B3">
            <w:pPr>
              <w:pStyle w:val="SingleTxtG"/>
              <w:suppressAutoHyphens w:val="0"/>
              <w:spacing w:before="40" w:after="40" w:line="220" w:lineRule="exact"/>
              <w:ind w:left="0" w:right="113"/>
              <w:jc w:val="left"/>
              <w:rPr>
                <w:sz w:val="18"/>
              </w:rPr>
            </w:pPr>
            <w:r w:rsidRPr="00C22526">
              <w:rPr>
                <w:sz w:val="18"/>
              </w:rPr>
              <w:t>JP</w:t>
            </w:r>
          </w:p>
        </w:tc>
        <w:tc>
          <w:tcPr>
            <w:tcW w:w="495" w:type="dxa"/>
            <w:shd w:val="clear" w:color="auto" w:fill="auto"/>
            <w:vAlign w:val="bottom"/>
          </w:tcPr>
          <w:p w14:paraId="1F4B55EC"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2</w:t>
            </w:r>
          </w:p>
        </w:tc>
        <w:tc>
          <w:tcPr>
            <w:tcW w:w="496" w:type="dxa"/>
            <w:shd w:val="clear" w:color="auto" w:fill="auto"/>
            <w:vAlign w:val="bottom"/>
          </w:tcPr>
          <w:p w14:paraId="282C046B"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r>
    </w:tbl>
    <w:p w14:paraId="43481AB4" w14:textId="5E8735D5" w:rsidR="001D75D7" w:rsidRPr="00E419B3" w:rsidRDefault="001D75D7" w:rsidP="00E419B3">
      <w:pPr>
        <w:spacing w:before="120" w:after="240"/>
        <w:ind w:left="1134" w:right="1134" w:firstLine="170"/>
        <w:rPr>
          <w:sz w:val="18"/>
        </w:rPr>
      </w:pPr>
      <w:r w:rsidRPr="00E419B3">
        <w:rPr>
          <w:i/>
          <w:iCs/>
          <w:sz w:val="18"/>
        </w:rPr>
        <w:t>Source</w:t>
      </w:r>
      <w:r w:rsidRPr="00E419B3">
        <w:rPr>
          <w:sz w:val="18"/>
        </w:rPr>
        <w:t>:</w:t>
      </w:r>
      <w:r w:rsidR="00DB2739">
        <w:rPr>
          <w:sz w:val="18"/>
        </w:rPr>
        <w:t xml:space="preserve"> </w:t>
      </w:r>
      <w:r w:rsidRPr="00E419B3">
        <w:rPr>
          <w:sz w:val="18"/>
        </w:rPr>
        <w:t xml:space="preserve"> OSS.</w:t>
      </w:r>
    </w:p>
    <w:p w14:paraId="403547ED" w14:textId="77777777" w:rsidR="001D75D7" w:rsidRPr="00B47380" w:rsidRDefault="001D75D7" w:rsidP="00D53B5F">
      <w:pPr>
        <w:pStyle w:val="SingleTxtG"/>
      </w:pPr>
      <w:r w:rsidRPr="00B47380">
        <w:t>132.</w:t>
      </w:r>
      <w:r w:rsidRPr="00B47380">
        <w:tab/>
        <w:t xml:space="preserve">Awareness campaigns have been conducted, including through educational leaflets, posters, media and community activities. Between 2016 and September 2018, 12,740 persons participated in the public awareness-raising activity </w:t>
      </w:r>
      <w:r w:rsidRPr="00E419B3">
        <w:rPr>
          <w:i/>
          <w:iCs/>
        </w:rPr>
        <w:t xml:space="preserve">Zero Violence. </w:t>
      </w:r>
      <w:r w:rsidRPr="00887160">
        <w:t>The</w:t>
      </w:r>
      <w:r w:rsidRPr="00E419B3">
        <w:rPr>
          <w:i/>
          <w:iCs/>
        </w:rPr>
        <w:t xml:space="preserve"> Happy Family Serial Activities </w:t>
      </w:r>
      <w:r w:rsidRPr="00887160">
        <w:t>and</w:t>
      </w:r>
      <w:r w:rsidRPr="00E419B3">
        <w:rPr>
          <w:i/>
          <w:iCs/>
        </w:rPr>
        <w:t xml:space="preserve"> Campaign against Domestic Violence</w:t>
      </w:r>
      <w:r w:rsidRPr="00B47380">
        <w:t xml:space="preserve"> were organised for 6 consecutive years, attracting more than 134,000 participants. </w:t>
      </w:r>
    </w:p>
    <w:p w14:paraId="57153573" w14:textId="77777777" w:rsidR="001D75D7" w:rsidRPr="00B47380" w:rsidRDefault="001D75D7" w:rsidP="00E419B3">
      <w:pPr>
        <w:pStyle w:val="H4G"/>
      </w:pPr>
      <w:r w:rsidRPr="00B47380">
        <w:tab/>
      </w:r>
      <w:r w:rsidRPr="00B47380">
        <w:tab/>
        <w:t>Trafficking in persons</w:t>
      </w:r>
    </w:p>
    <w:p w14:paraId="63B05B43" w14:textId="77777777" w:rsidR="001D75D7" w:rsidRPr="00B47380" w:rsidRDefault="001D75D7" w:rsidP="00D53B5F">
      <w:pPr>
        <w:pStyle w:val="SingleTxtG"/>
      </w:pPr>
      <w:r w:rsidRPr="00B47380">
        <w:t>133.</w:t>
      </w:r>
      <w:r w:rsidRPr="00B47380">
        <w:tab/>
        <w:t xml:space="preserve">As pointed out in the last report, Law 6/2008 established a comprehensive and integrated framework to prevent and combat trafficking in persons (TIP) and support its victims. The information therein provided is still accurate. The Human Trafficking Deterrent Measures Concern Committee continues to be deeply and actively involved in most of the actions undertaken to counter TIP, in cooperation with other government departments and NGOs. </w:t>
      </w:r>
    </w:p>
    <w:p w14:paraId="7FA9F50C" w14:textId="77777777" w:rsidR="001D75D7" w:rsidRPr="00B47380" w:rsidRDefault="001D75D7" w:rsidP="00E419B3">
      <w:pPr>
        <w:pStyle w:val="H23G"/>
      </w:pPr>
      <w:r w:rsidRPr="00B47380">
        <w:tab/>
      </w:r>
      <w:r w:rsidRPr="00B47380">
        <w:tab/>
        <w:t>TIP cases investigated by police</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00"/>
        <w:gridCol w:w="903"/>
        <w:gridCol w:w="1841"/>
        <w:gridCol w:w="709"/>
        <w:gridCol w:w="729"/>
        <w:gridCol w:w="904"/>
        <w:gridCol w:w="1062"/>
        <w:gridCol w:w="733"/>
        <w:gridCol w:w="898"/>
        <w:gridCol w:w="1060"/>
      </w:tblGrid>
      <w:tr w:rsidR="00C22526" w:rsidRPr="00C22526" w14:paraId="4B7E06F2" w14:textId="77777777" w:rsidTr="00E45843">
        <w:trPr>
          <w:cantSplit/>
          <w:tblHeader/>
        </w:trPr>
        <w:tc>
          <w:tcPr>
            <w:tcW w:w="800" w:type="dxa"/>
            <w:vMerge w:val="restart"/>
            <w:tcBorders>
              <w:top w:val="single" w:sz="4" w:space="0" w:color="auto"/>
              <w:bottom w:val="single" w:sz="12" w:space="0" w:color="auto"/>
            </w:tcBorders>
            <w:shd w:val="clear" w:color="auto" w:fill="auto"/>
            <w:tcMar>
              <w:left w:w="0" w:type="dxa"/>
              <w:right w:w="0" w:type="dxa"/>
            </w:tcMar>
            <w:vAlign w:val="bottom"/>
          </w:tcPr>
          <w:p w14:paraId="362ADA27" w14:textId="77777777" w:rsidR="001D75D7" w:rsidRPr="00C22526" w:rsidRDefault="001D75D7" w:rsidP="00C22526">
            <w:pPr>
              <w:pStyle w:val="SingleTxtG"/>
              <w:suppressAutoHyphens w:val="0"/>
              <w:spacing w:before="80" w:after="80" w:line="200" w:lineRule="exact"/>
              <w:ind w:left="0" w:right="113"/>
              <w:jc w:val="left"/>
              <w:rPr>
                <w:i/>
                <w:sz w:val="16"/>
              </w:rPr>
            </w:pPr>
            <w:r w:rsidRPr="00C22526">
              <w:rPr>
                <w:i/>
                <w:sz w:val="16"/>
              </w:rPr>
              <w:t>Year</w:t>
            </w:r>
          </w:p>
        </w:tc>
        <w:tc>
          <w:tcPr>
            <w:tcW w:w="903" w:type="dxa"/>
            <w:vMerge w:val="restart"/>
            <w:tcBorders>
              <w:top w:val="single" w:sz="4" w:space="0" w:color="auto"/>
              <w:bottom w:val="single" w:sz="12" w:space="0" w:color="auto"/>
            </w:tcBorders>
            <w:shd w:val="clear" w:color="auto" w:fill="auto"/>
            <w:tcMar>
              <w:left w:w="0" w:type="dxa"/>
              <w:right w:w="0" w:type="dxa"/>
            </w:tcMar>
            <w:vAlign w:val="bottom"/>
          </w:tcPr>
          <w:p w14:paraId="24FFC956" w14:textId="77777777" w:rsidR="001D75D7" w:rsidRPr="00C22526" w:rsidRDefault="001D75D7" w:rsidP="00C22526">
            <w:pPr>
              <w:pStyle w:val="SingleTxtG"/>
              <w:suppressAutoHyphens w:val="0"/>
              <w:spacing w:before="80" w:after="80" w:line="200" w:lineRule="exact"/>
              <w:ind w:left="0" w:right="113"/>
              <w:jc w:val="right"/>
              <w:rPr>
                <w:i/>
                <w:sz w:val="16"/>
              </w:rPr>
            </w:pPr>
            <w:r w:rsidRPr="00C22526">
              <w:rPr>
                <w:i/>
                <w:sz w:val="16"/>
              </w:rPr>
              <w:t>No. of cases investigated</w:t>
            </w:r>
          </w:p>
        </w:tc>
        <w:tc>
          <w:tcPr>
            <w:tcW w:w="1841" w:type="dxa"/>
            <w:vMerge w:val="restart"/>
            <w:tcBorders>
              <w:top w:val="single" w:sz="4" w:space="0" w:color="auto"/>
              <w:bottom w:val="single" w:sz="12" w:space="0" w:color="auto"/>
            </w:tcBorders>
            <w:shd w:val="clear" w:color="auto" w:fill="auto"/>
            <w:tcMar>
              <w:left w:w="0" w:type="dxa"/>
              <w:right w:w="0" w:type="dxa"/>
            </w:tcMar>
            <w:vAlign w:val="bottom"/>
          </w:tcPr>
          <w:p w14:paraId="03DBA071" w14:textId="77777777" w:rsidR="001D75D7" w:rsidRPr="00C22526" w:rsidRDefault="001D75D7" w:rsidP="00C22526">
            <w:pPr>
              <w:pStyle w:val="SingleTxtG"/>
              <w:suppressAutoHyphens w:val="0"/>
              <w:spacing w:before="80" w:after="80" w:line="200" w:lineRule="exact"/>
              <w:ind w:left="0" w:right="113"/>
              <w:jc w:val="right"/>
              <w:rPr>
                <w:i/>
                <w:sz w:val="16"/>
              </w:rPr>
            </w:pPr>
            <w:r w:rsidRPr="00C22526">
              <w:rPr>
                <w:i/>
                <w:sz w:val="16"/>
              </w:rPr>
              <w:t>No. of cases qualified by the Procuratorate as TIP</w:t>
            </w:r>
          </w:p>
        </w:tc>
        <w:tc>
          <w:tcPr>
            <w:tcW w:w="709" w:type="dxa"/>
            <w:vMerge w:val="restart"/>
            <w:tcBorders>
              <w:top w:val="single" w:sz="4" w:space="0" w:color="auto"/>
              <w:bottom w:val="single" w:sz="12" w:space="0" w:color="auto"/>
            </w:tcBorders>
            <w:shd w:val="clear" w:color="auto" w:fill="auto"/>
            <w:tcMar>
              <w:left w:w="0" w:type="dxa"/>
              <w:right w:w="0" w:type="dxa"/>
            </w:tcMar>
            <w:vAlign w:val="bottom"/>
          </w:tcPr>
          <w:p w14:paraId="1BA6CB5F" w14:textId="77777777" w:rsidR="001D75D7" w:rsidRPr="00C22526" w:rsidRDefault="001D75D7" w:rsidP="00C22526">
            <w:pPr>
              <w:pStyle w:val="SingleTxtG"/>
              <w:suppressAutoHyphens w:val="0"/>
              <w:spacing w:before="80" w:after="80" w:line="200" w:lineRule="exact"/>
              <w:ind w:left="0" w:right="113"/>
              <w:jc w:val="right"/>
              <w:rPr>
                <w:i/>
                <w:sz w:val="16"/>
              </w:rPr>
            </w:pPr>
            <w:r w:rsidRPr="00C22526">
              <w:rPr>
                <w:i/>
                <w:sz w:val="16"/>
              </w:rPr>
              <w:t>No. of cases filed</w:t>
            </w:r>
          </w:p>
        </w:tc>
        <w:tc>
          <w:tcPr>
            <w:tcW w:w="729" w:type="dxa"/>
            <w:vMerge w:val="restart"/>
            <w:tcBorders>
              <w:top w:val="single" w:sz="4" w:space="0" w:color="auto"/>
              <w:bottom w:val="single" w:sz="12" w:space="0" w:color="auto"/>
            </w:tcBorders>
            <w:shd w:val="clear" w:color="auto" w:fill="auto"/>
            <w:tcMar>
              <w:left w:w="0" w:type="dxa"/>
              <w:right w:w="0" w:type="dxa"/>
            </w:tcMar>
            <w:vAlign w:val="bottom"/>
          </w:tcPr>
          <w:p w14:paraId="68D4B774" w14:textId="77777777" w:rsidR="001D75D7" w:rsidRPr="00C22526" w:rsidRDefault="001D75D7" w:rsidP="00C22526">
            <w:pPr>
              <w:pStyle w:val="SingleTxtG"/>
              <w:suppressAutoHyphens w:val="0"/>
              <w:spacing w:before="80" w:after="80" w:line="200" w:lineRule="exact"/>
              <w:ind w:left="0" w:right="113"/>
              <w:jc w:val="right"/>
              <w:rPr>
                <w:i/>
                <w:sz w:val="16"/>
              </w:rPr>
            </w:pPr>
            <w:r w:rsidRPr="00C22526">
              <w:rPr>
                <w:i/>
                <w:sz w:val="16"/>
              </w:rPr>
              <w:t>No. of cases pending</w:t>
            </w:r>
          </w:p>
        </w:tc>
        <w:tc>
          <w:tcPr>
            <w:tcW w:w="904" w:type="dxa"/>
            <w:vMerge w:val="restart"/>
            <w:tcBorders>
              <w:top w:val="single" w:sz="4" w:space="0" w:color="auto"/>
              <w:bottom w:val="single" w:sz="12" w:space="0" w:color="auto"/>
            </w:tcBorders>
            <w:shd w:val="clear" w:color="auto" w:fill="auto"/>
            <w:tcMar>
              <w:left w:w="0" w:type="dxa"/>
              <w:right w:w="0" w:type="dxa"/>
            </w:tcMar>
            <w:vAlign w:val="bottom"/>
          </w:tcPr>
          <w:p w14:paraId="438EC2F8" w14:textId="77777777" w:rsidR="001D75D7" w:rsidRPr="00C22526" w:rsidRDefault="001D75D7" w:rsidP="00C22526">
            <w:pPr>
              <w:pStyle w:val="SingleTxtG"/>
              <w:suppressAutoHyphens w:val="0"/>
              <w:spacing w:before="80" w:after="80" w:line="200" w:lineRule="exact"/>
              <w:ind w:left="0" w:right="113"/>
              <w:jc w:val="right"/>
              <w:rPr>
                <w:i/>
                <w:sz w:val="16"/>
              </w:rPr>
            </w:pPr>
            <w:r w:rsidRPr="00C22526">
              <w:rPr>
                <w:i/>
                <w:sz w:val="16"/>
              </w:rPr>
              <w:t>No. of cases prosecuted</w:t>
            </w:r>
          </w:p>
        </w:tc>
        <w:tc>
          <w:tcPr>
            <w:tcW w:w="1062" w:type="dxa"/>
            <w:vMerge w:val="restart"/>
            <w:tcBorders>
              <w:top w:val="single" w:sz="4" w:space="0" w:color="auto"/>
              <w:bottom w:val="single" w:sz="12" w:space="0" w:color="auto"/>
            </w:tcBorders>
            <w:shd w:val="clear" w:color="auto" w:fill="auto"/>
            <w:tcMar>
              <w:left w:w="0" w:type="dxa"/>
              <w:right w:w="0" w:type="dxa"/>
            </w:tcMar>
            <w:vAlign w:val="bottom"/>
          </w:tcPr>
          <w:p w14:paraId="56DA782A" w14:textId="77777777" w:rsidR="001D75D7" w:rsidRPr="00C22526" w:rsidRDefault="001D75D7" w:rsidP="00C22526">
            <w:pPr>
              <w:pStyle w:val="SingleTxtG"/>
              <w:suppressAutoHyphens w:val="0"/>
              <w:spacing w:before="80" w:after="80" w:line="200" w:lineRule="exact"/>
              <w:ind w:left="0" w:right="113"/>
              <w:jc w:val="right"/>
              <w:rPr>
                <w:i/>
                <w:sz w:val="16"/>
              </w:rPr>
            </w:pPr>
            <w:r w:rsidRPr="00C22526">
              <w:rPr>
                <w:i/>
                <w:sz w:val="16"/>
              </w:rPr>
              <w:t>No. of persons prosecuted</w:t>
            </w:r>
          </w:p>
        </w:tc>
        <w:tc>
          <w:tcPr>
            <w:tcW w:w="2691" w:type="dxa"/>
            <w:gridSpan w:val="3"/>
            <w:tcBorders>
              <w:top w:val="single" w:sz="4" w:space="0" w:color="auto"/>
              <w:bottom w:val="single" w:sz="4" w:space="0" w:color="auto"/>
            </w:tcBorders>
            <w:shd w:val="clear" w:color="auto" w:fill="auto"/>
            <w:tcMar>
              <w:left w:w="0" w:type="dxa"/>
              <w:right w:w="0" w:type="dxa"/>
            </w:tcMar>
            <w:vAlign w:val="bottom"/>
          </w:tcPr>
          <w:p w14:paraId="1640B575" w14:textId="77777777" w:rsidR="001D75D7" w:rsidRPr="00C22526" w:rsidRDefault="001D75D7" w:rsidP="00E419B3">
            <w:pPr>
              <w:pStyle w:val="SingleTxtG"/>
              <w:suppressAutoHyphens w:val="0"/>
              <w:spacing w:before="80" w:after="80" w:line="200" w:lineRule="exact"/>
              <w:ind w:left="0" w:right="113"/>
              <w:jc w:val="center"/>
              <w:rPr>
                <w:i/>
                <w:sz w:val="16"/>
              </w:rPr>
            </w:pPr>
            <w:r w:rsidRPr="00C22526">
              <w:rPr>
                <w:i/>
                <w:sz w:val="16"/>
              </w:rPr>
              <w:t>Judgment (No. of persons)</w:t>
            </w:r>
          </w:p>
        </w:tc>
      </w:tr>
      <w:tr w:rsidR="00C22526" w:rsidRPr="00C22526" w14:paraId="0A49D3FA" w14:textId="77777777" w:rsidTr="00E45843">
        <w:trPr>
          <w:cantSplit/>
          <w:tblHeader/>
        </w:trPr>
        <w:tc>
          <w:tcPr>
            <w:tcW w:w="800" w:type="dxa"/>
            <w:vMerge/>
            <w:tcBorders>
              <w:top w:val="nil"/>
              <w:bottom w:val="single" w:sz="12" w:space="0" w:color="auto"/>
            </w:tcBorders>
            <w:shd w:val="clear" w:color="auto" w:fill="auto"/>
            <w:tcMar>
              <w:left w:w="0" w:type="dxa"/>
              <w:right w:w="0" w:type="dxa"/>
            </w:tcMar>
            <w:vAlign w:val="bottom"/>
          </w:tcPr>
          <w:p w14:paraId="3CDD49A8" w14:textId="77777777" w:rsidR="001D75D7" w:rsidRPr="00C22526" w:rsidRDefault="001D75D7" w:rsidP="00C22526">
            <w:pPr>
              <w:pStyle w:val="SingleTxtG"/>
              <w:suppressAutoHyphens w:val="0"/>
              <w:spacing w:before="40" w:after="40" w:line="220" w:lineRule="exact"/>
              <w:ind w:left="0" w:right="113"/>
              <w:jc w:val="left"/>
              <w:rPr>
                <w:sz w:val="18"/>
              </w:rPr>
            </w:pPr>
          </w:p>
        </w:tc>
        <w:tc>
          <w:tcPr>
            <w:tcW w:w="903" w:type="dxa"/>
            <w:vMerge/>
            <w:tcBorders>
              <w:top w:val="nil"/>
              <w:bottom w:val="single" w:sz="12" w:space="0" w:color="auto"/>
            </w:tcBorders>
            <w:shd w:val="clear" w:color="auto" w:fill="auto"/>
            <w:tcMar>
              <w:left w:w="0" w:type="dxa"/>
              <w:right w:w="0" w:type="dxa"/>
            </w:tcMar>
            <w:vAlign w:val="bottom"/>
          </w:tcPr>
          <w:p w14:paraId="105F8069" w14:textId="77777777" w:rsidR="001D75D7" w:rsidRPr="00C22526" w:rsidRDefault="001D75D7" w:rsidP="00C22526">
            <w:pPr>
              <w:pStyle w:val="SingleTxtG"/>
              <w:suppressAutoHyphens w:val="0"/>
              <w:spacing w:before="40" w:after="40" w:line="220" w:lineRule="exact"/>
              <w:ind w:left="0" w:right="113"/>
              <w:jc w:val="right"/>
              <w:rPr>
                <w:sz w:val="18"/>
              </w:rPr>
            </w:pPr>
          </w:p>
        </w:tc>
        <w:tc>
          <w:tcPr>
            <w:tcW w:w="1841" w:type="dxa"/>
            <w:vMerge/>
            <w:tcBorders>
              <w:top w:val="nil"/>
              <w:bottom w:val="single" w:sz="12" w:space="0" w:color="auto"/>
            </w:tcBorders>
            <w:shd w:val="clear" w:color="auto" w:fill="auto"/>
            <w:tcMar>
              <w:left w:w="0" w:type="dxa"/>
              <w:right w:w="0" w:type="dxa"/>
            </w:tcMar>
            <w:vAlign w:val="bottom"/>
          </w:tcPr>
          <w:p w14:paraId="3ACDEF79" w14:textId="77777777" w:rsidR="001D75D7" w:rsidRPr="00C22526" w:rsidRDefault="001D75D7" w:rsidP="00C22526">
            <w:pPr>
              <w:pStyle w:val="SingleTxtG"/>
              <w:suppressAutoHyphens w:val="0"/>
              <w:spacing w:before="40" w:after="40" w:line="220" w:lineRule="exact"/>
              <w:ind w:left="0" w:right="113"/>
              <w:jc w:val="right"/>
              <w:rPr>
                <w:sz w:val="18"/>
              </w:rPr>
            </w:pPr>
          </w:p>
        </w:tc>
        <w:tc>
          <w:tcPr>
            <w:tcW w:w="709" w:type="dxa"/>
            <w:vMerge/>
            <w:tcBorders>
              <w:top w:val="nil"/>
              <w:bottom w:val="single" w:sz="12" w:space="0" w:color="auto"/>
            </w:tcBorders>
            <w:shd w:val="clear" w:color="auto" w:fill="auto"/>
            <w:tcMar>
              <w:left w:w="0" w:type="dxa"/>
              <w:right w:w="0" w:type="dxa"/>
            </w:tcMar>
            <w:vAlign w:val="bottom"/>
          </w:tcPr>
          <w:p w14:paraId="0968B8B2" w14:textId="77777777" w:rsidR="001D75D7" w:rsidRPr="00C22526" w:rsidRDefault="001D75D7" w:rsidP="00C22526">
            <w:pPr>
              <w:pStyle w:val="SingleTxtG"/>
              <w:suppressAutoHyphens w:val="0"/>
              <w:spacing w:before="40" w:after="40" w:line="220" w:lineRule="exact"/>
              <w:ind w:left="0" w:right="113"/>
              <w:jc w:val="right"/>
              <w:rPr>
                <w:sz w:val="18"/>
              </w:rPr>
            </w:pPr>
          </w:p>
        </w:tc>
        <w:tc>
          <w:tcPr>
            <w:tcW w:w="729" w:type="dxa"/>
            <w:vMerge/>
            <w:tcBorders>
              <w:top w:val="nil"/>
              <w:bottom w:val="single" w:sz="12" w:space="0" w:color="auto"/>
            </w:tcBorders>
            <w:shd w:val="clear" w:color="auto" w:fill="auto"/>
            <w:tcMar>
              <w:left w:w="0" w:type="dxa"/>
              <w:right w:w="0" w:type="dxa"/>
            </w:tcMar>
            <w:vAlign w:val="bottom"/>
          </w:tcPr>
          <w:p w14:paraId="11823FEF" w14:textId="77777777" w:rsidR="001D75D7" w:rsidRPr="00C22526" w:rsidRDefault="001D75D7" w:rsidP="00C22526">
            <w:pPr>
              <w:pStyle w:val="SingleTxtG"/>
              <w:suppressAutoHyphens w:val="0"/>
              <w:spacing w:before="40" w:after="40" w:line="220" w:lineRule="exact"/>
              <w:ind w:left="0" w:right="113"/>
              <w:jc w:val="right"/>
              <w:rPr>
                <w:sz w:val="18"/>
              </w:rPr>
            </w:pPr>
          </w:p>
        </w:tc>
        <w:tc>
          <w:tcPr>
            <w:tcW w:w="904" w:type="dxa"/>
            <w:vMerge/>
            <w:tcBorders>
              <w:top w:val="nil"/>
              <w:bottom w:val="single" w:sz="12" w:space="0" w:color="auto"/>
            </w:tcBorders>
            <w:shd w:val="clear" w:color="auto" w:fill="auto"/>
            <w:tcMar>
              <w:left w:w="0" w:type="dxa"/>
              <w:right w:w="0" w:type="dxa"/>
            </w:tcMar>
            <w:vAlign w:val="bottom"/>
          </w:tcPr>
          <w:p w14:paraId="4CDB814D" w14:textId="77777777" w:rsidR="001D75D7" w:rsidRPr="00C22526" w:rsidRDefault="001D75D7" w:rsidP="00C22526">
            <w:pPr>
              <w:pStyle w:val="SingleTxtG"/>
              <w:suppressAutoHyphens w:val="0"/>
              <w:spacing w:before="40" w:after="40" w:line="220" w:lineRule="exact"/>
              <w:ind w:left="0" w:right="113"/>
              <w:jc w:val="right"/>
              <w:rPr>
                <w:sz w:val="18"/>
              </w:rPr>
            </w:pPr>
          </w:p>
        </w:tc>
        <w:tc>
          <w:tcPr>
            <w:tcW w:w="1062" w:type="dxa"/>
            <w:vMerge/>
            <w:tcBorders>
              <w:top w:val="nil"/>
              <w:bottom w:val="single" w:sz="12" w:space="0" w:color="auto"/>
            </w:tcBorders>
            <w:shd w:val="clear" w:color="auto" w:fill="auto"/>
            <w:tcMar>
              <w:left w:w="0" w:type="dxa"/>
              <w:right w:w="0" w:type="dxa"/>
            </w:tcMar>
            <w:vAlign w:val="bottom"/>
          </w:tcPr>
          <w:p w14:paraId="1BFC39C5" w14:textId="77777777" w:rsidR="001D75D7" w:rsidRPr="00C22526" w:rsidRDefault="001D75D7" w:rsidP="00C22526">
            <w:pPr>
              <w:pStyle w:val="SingleTxtG"/>
              <w:suppressAutoHyphens w:val="0"/>
              <w:spacing w:before="40" w:after="40" w:line="220" w:lineRule="exact"/>
              <w:ind w:left="0" w:right="113"/>
              <w:jc w:val="right"/>
              <w:rPr>
                <w:sz w:val="18"/>
              </w:rPr>
            </w:pPr>
          </w:p>
        </w:tc>
        <w:tc>
          <w:tcPr>
            <w:tcW w:w="733" w:type="dxa"/>
            <w:tcBorders>
              <w:top w:val="single" w:sz="4" w:space="0" w:color="auto"/>
              <w:bottom w:val="single" w:sz="12" w:space="0" w:color="auto"/>
            </w:tcBorders>
            <w:shd w:val="clear" w:color="auto" w:fill="auto"/>
            <w:tcMar>
              <w:left w:w="0" w:type="dxa"/>
              <w:right w:w="0" w:type="dxa"/>
            </w:tcMar>
            <w:vAlign w:val="bottom"/>
          </w:tcPr>
          <w:p w14:paraId="36410964" w14:textId="77777777" w:rsidR="001D75D7" w:rsidRPr="00E419B3" w:rsidRDefault="001D75D7" w:rsidP="00C22526">
            <w:pPr>
              <w:pStyle w:val="SingleTxtG"/>
              <w:suppressAutoHyphens w:val="0"/>
              <w:spacing w:before="40" w:after="40" w:line="220" w:lineRule="exact"/>
              <w:ind w:left="0" w:right="113"/>
              <w:jc w:val="right"/>
              <w:rPr>
                <w:i/>
                <w:sz w:val="16"/>
              </w:rPr>
            </w:pPr>
            <w:r w:rsidRPr="00E419B3">
              <w:rPr>
                <w:i/>
                <w:sz w:val="16"/>
              </w:rPr>
              <w:t>Acquittal</w:t>
            </w:r>
          </w:p>
        </w:tc>
        <w:tc>
          <w:tcPr>
            <w:tcW w:w="898" w:type="dxa"/>
            <w:tcBorders>
              <w:top w:val="single" w:sz="4" w:space="0" w:color="auto"/>
              <w:bottom w:val="single" w:sz="12" w:space="0" w:color="auto"/>
            </w:tcBorders>
            <w:shd w:val="clear" w:color="auto" w:fill="auto"/>
            <w:tcMar>
              <w:left w:w="0" w:type="dxa"/>
              <w:right w:w="0" w:type="dxa"/>
            </w:tcMar>
            <w:vAlign w:val="bottom"/>
          </w:tcPr>
          <w:p w14:paraId="78121E76" w14:textId="77777777" w:rsidR="001D75D7" w:rsidRPr="00E419B3" w:rsidRDefault="001D75D7" w:rsidP="00C22526">
            <w:pPr>
              <w:pStyle w:val="SingleTxtG"/>
              <w:suppressAutoHyphens w:val="0"/>
              <w:spacing w:before="40" w:after="40" w:line="220" w:lineRule="exact"/>
              <w:ind w:left="0" w:right="113"/>
              <w:jc w:val="right"/>
              <w:rPr>
                <w:i/>
                <w:sz w:val="16"/>
              </w:rPr>
            </w:pPr>
            <w:r w:rsidRPr="00E419B3">
              <w:rPr>
                <w:i/>
                <w:sz w:val="16"/>
              </w:rPr>
              <w:t>Convicted as TIP</w:t>
            </w:r>
          </w:p>
        </w:tc>
        <w:tc>
          <w:tcPr>
            <w:tcW w:w="1060" w:type="dxa"/>
            <w:tcBorders>
              <w:top w:val="single" w:sz="4" w:space="0" w:color="auto"/>
              <w:bottom w:val="single" w:sz="12" w:space="0" w:color="auto"/>
            </w:tcBorders>
            <w:shd w:val="clear" w:color="auto" w:fill="auto"/>
            <w:tcMar>
              <w:left w:w="0" w:type="dxa"/>
              <w:right w:w="0" w:type="dxa"/>
            </w:tcMar>
            <w:vAlign w:val="bottom"/>
          </w:tcPr>
          <w:p w14:paraId="6A278C9A" w14:textId="77777777" w:rsidR="001D75D7" w:rsidRPr="00E419B3" w:rsidRDefault="001D75D7" w:rsidP="00C22526">
            <w:pPr>
              <w:pStyle w:val="SingleTxtG"/>
              <w:suppressAutoHyphens w:val="0"/>
              <w:spacing w:before="40" w:after="40" w:line="220" w:lineRule="exact"/>
              <w:ind w:left="0" w:right="113"/>
              <w:jc w:val="right"/>
              <w:rPr>
                <w:i/>
                <w:sz w:val="16"/>
              </w:rPr>
            </w:pPr>
            <w:r w:rsidRPr="00E419B3">
              <w:rPr>
                <w:i/>
                <w:sz w:val="16"/>
              </w:rPr>
              <w:t>Other Convictions</w:t>
            </w:r>
          </w:p>
        </w:tc>
      </w:tr>
      <w:tr w:rsidR="00C22526" w:rsidRPr="00C22526" w14:paraId="013FF572" w14:textId="77777777" w:rsidTr="00E45843">
        <w:trPr>
          <w:cantSplit/>
        </w:trPr>
        <w:tc>
          <w:tcPr>
            <w:tcW w:w="800" w:type="dxa"/>
            <w:tcBorders>
              <w:top w:val="single" w:sz="12" w:space="0" w:color="auto"/>
              <w:bottom w:val="nil"/>
            </w:tcBorders>
            <w:shd w:val="clear" w:color="auto" w:fill="auto"/>
          </w:tcPr>
          <w:p w14:paraId="4D55E41A" w14:textId="77777777" w:rsidR="001D75D7" w:rsidRPr="00C22526" w:rsidRDefault="001D75D7" w:rsidP="00C22526">
            <w:pPr>
              <w:pStyle w:val="SingleTxtG"/>
              <w:suppressAutoHyphens w:val="0"/>
              <w:spacing w:before="40" w:after="40" w:line="220" w:lineRule="exact"/>
              <w:ind w:left="0" w:right="113"/>
              <w:jc w:val="left"/>
              <w:rPr>
                <w:sz w:val="18"/>
              </w:rPr>
            </w:pPr>
            <w:r w:rsidRPr="00C22526">
              <w:rPr>
                <w:sz w:val="18"/>
              </w:rPr>
              <w:t>2014</w:t>
            </w:r>
          </w:p>
        </w:tc>
        <w:tc>
          <w:tcPr>
            <w:tcW w:w="903" w:type="dxa"/>
            <w:tcBorders>
              <w:top w:val="single" w:sz="12" w:space="0" w:color="auto"/>
              <w:bottom w:val="nil"/>
            </w:tcBorders>
            <w:shd w:val="clear" w:color="auto" w:fill="auto"/>
            <w:vAlign w:val="bottom"/>
          </w:tcPr>
          <w:p w14:paraId="731CA1D1"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5</w:t>
            </w:r>
          </w:p>
        </w:tc>
        <w:tc>
          <w:tcPr>
            <w:tcW w:w="1841" w:type="dxa"/>
            <w:tcBorders>
              <w:top w:val="single" w:sz="12" w:space="0" w:color="auto"/>
              <w:bottom w:val="nil"/>
            </w:tcBorders>
            <w:shd w:val="clear" w:color="auto" w:fill="auto"/>
            <w:vAlign w:val="bottom"/>
          </w:tcPr>
          <w:p w14:paraId="2C78D01B"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4</w:t>
            </w:r>
          </w:p>
        </w:tc>
        <w:tc>
          <w:tcPr>
            <w:tcW w:w="709" w:type="dxa"/>
            <w:tcBorders>
              <w:top w:val="single" w:sz="12" w:space="0" w:color="auto"/>
              <w:bottom w:val="nil"/>
            </w:tcBorders>
            <w:shd w:val="clear" w:color="auto" w:fill="auto"/>
            <w:vAlign w:val="bottom"/>
          </w:tcPr>
          <w:p w14:paraId="31D454FB"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4</w:t>
            </w:r>
          </w:p>
        </w:tc>
        <w:tc>
          <w:tcPr>
            <w:tcW w:w="729" w:type="dxa"/>
            <w:tcBorders>
              <w:top w:val="single" w:sz="12" w:space="0" w:color="auto"/>
              <w:bottom w:val="nil"/>
            </w:tcBorders>
            <w:shd w:val="clear" w:color="auto" w:fill="auto"/>
            <w:vAlign w:val="bottom"/>
          </w:tcPr>
          <w:p w14:paraId="39CCEB5D"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904" w:type="dxa"/>
            <w:tcBorders>
              <w:top w:val="single" w:sz="12" w:space="0" w:color="auto"/>
              <w:bottom w:val="nil"/>
            </w:tcBorders>
            <w:shd w:val="clear" w:color="auto" w:fill="auto"/>
            <w:vAlign w:val="bottom"/>
          </w:tcPr>
          <w:p w14:paraId="056E21E2"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1062" w:type="dxa"/>
            <w:tcBorders>
              <w:top w:val="single" w:sz="12" w:space="0" w:color="auto"/>
              <w:bottom w:val="nil"/>
            </w:tcBorders>
            <w:shd w:val="clear" w:color="auto" w:fill="auto"/>
            <w:vAlign w:val="bottom"/>
          </w:tcPr>
          <w:p w14:paraId="6D169F6F"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733" w:type="dxa"/>
            <w:tcBorders>
              <w:top w:val="single" w:sz="12" w:space="0" w:color="auto"/>
              <w:bottom w:val="nil"/>
            </w:tcBorders>
            <w:shd w:val="clear" w:color="auto" w:fill="auto"/>
            <w:vAlign w:val="bottom"/>
          </w:tcPr>
          <w:p w14:paraId="17EF5858"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898" w:type="dxa"/>
            <w:tcBorders>
              <w:top w:val="single" w:sz="12" w:space="0" w:color="auto"/>
              <w:bottom w:val="nil"/>
            </w:tcBorders>
            <w:shd w:val="clear" w:color="auto" w:fill="auto"/>
            <w:vAlign w:val="bottom"/>
          </w:tcPr>
          <w:p w14:paraId="541CD48D"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1060" w:type="dxa"/>
            <w:tcBorders>
              <w:top w:val="single" w:sz="12" w:space="0" w:color="auto"/>
              <w:bottom w:val="nil"/>
            </w:tcBorders>
            <w:shd w:val="clear" w:color="auto" w:fill="auto"/>
            <w:vAlign w:val="bottom"/>
          </w:tcPr>
          <w:p w14:paraId="711301FB"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r>
      <w:tr w:rsidR="00C22526" w:rsidRPr="00C22526" w14:paraId="5CA4DC42" w14:textId="77777777" w:rsidTr="00E45843">
        <w:trPr>
          <w:cantSplit/>
        </w:trPr>
        <w:tc>
          <w:tcPr>
            <w:tcW w:w="800" w:type="dxa"/>
            <w:tcBorders>
              <w:top w:val="nil"/>
              <w:bottom w:val="nil"/>
            </w:tcBorders>
            <w:shd w:val="clear" w:color="auto" w:fill="auto"/>
          </w:tcPr>
          <w:p w14:paraId="0DB7C240" w14:textId="77777777" w:rsidR="001D75D7" w:rsidRPr="00C22526" w:rsidRDefault="001D75D7" w:rsidP="00C22526">
            <w:pPr>
              <w:pStyle w:val="SingleTxtG"/>
              <w:suppressAutoHyphens w:val="0"/>
              <w:spacing w:before="40" w:after="40" w:line="220" w:lineRule="exact"/>
              <w:ind w:left="0" w:right="113"/>
              <w:jc w:val="left"/>
              <w:rPr>
                <w:sz w:val="18"/>
              </w:rPr>
            </w:pPr>
            <w:r w:rsidRPr="00C22526">
              <w:rPr>
                <w:sz w:val="18"/>
              </w:rPr>
              <w:t>2015</w:t>
            </w:r>
          </w:p>
        </w:tc>
        <w:tc>
          <w:tcPr>
            <w:tcW w:w="903" w:type="dxa"/>
            <w:tcBorders>
              <w:top w:val="nil"/>
              <w:bottom w:val="nil"/>
            </w:tcBorders>
            <w:shd w:val="clear" w:color="auto" w:fill="auto"/>
            <w:vAlign w:val="bottom"/>
          </w:tcPr>
          <w:p w14:paraId="5DA3CEB1"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5</w:t>
            </w:r>
          </w:p>
        </w:tc>
        <w:tc>
          <w:tcPr>
            <w:tcW w:w="1841" w:type="dxa"/>
            <w:tcBorders>
              <w:top w:val="nil"/>
              <w:bottom w:val="nil"/>
            </w:tcBorders>
            <w:shd w:val="clear" w:color="auto" w:fill="auto"/>
            <w:vAlign w:val="bottom"/>
          </w:tcPr>
          <w:p w14:paraId="703D3F8A"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2</w:t>
            </w:r>
          </w:p>
        </w:tc>
        <w:tc>
          <w:tcPr>
            <w:tcW w:w="709" w:type="dxa"/>
            <w:tcBorders>
              <w:top w:val="nil"/>
              <w:bottom w:val="nil"/>
            </w:tcBorders>
            <w:shd w:val="clear" w:color="auto" w:fill="auto"/>
            <w:vAlign w:val="bottom"/>
          </w:tcPr>
          <w:p w14:paraId="78BB948E"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1</w:t>
            </w:r>
          </w:p>
        </w:tc>
        <w:tc>
          <w:tcPr>
            <w:tcW w:w="729" w:type="dxa"/>
            <w:tcBorders>
              <w:top w:val="nil"/>
              <w:bottom w:val="nil"/>
            </w:tcBorders>
            <w:shd w:val="clear" w:color="auto" w:fill="auto"/>
            <w:vAlign w:val="bottom"/>
          </w:tcPr>
          <w:p w14:paraId="4F3EFC81"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904" w:type="dxa"/>
            <w:tcBorders>
              <w:top w:val="nil"/>
              <w:bottom w:val="nil"/>
            </w:tcBorders>
            <w:shd w:val="clear" w:color="auto" w:fill="auto"/>
            <w:vAlign w:val="bottom"/>
          </w:tcPr>
          <w:p w14:paraId="3E69B083"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1</w:t>
            </w:r>
          </w:p>
        </w:tc>
        <w:tc>
          <w:tcPr>
            <w:tcW w:w="1062" w:type="dxa"/>
            <w:tcBorders>
              <w:top w:val="nil"/>
              <w:bottom w:val="nil"/>
            </w:tcBorders>
            <w:shd w:val="clear" w:color="auto" w:fill="auto"/>
            <w:vAlign w:val="bottom"/>
          </w:tcPr>
          <w:p w14:paraId="77A56EA6"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1</w:t>
            </w:r>
          </w:p>
        </w:tc>
        <w:tc>
          <w:tcPr>
            <w:tcW w:w="733" w:type="dxa"/>
            <w:tcBorders>
              <w:top w:val="nil"/>
              <w:bottom w:val="nil"/>
            </w:tcBorders>
            <w:shd w:val="clear" w:color="auto" w:fill="auto"/>
            <w:vAlign w:val="bottom"/>
          </w:tcPr>
          <w:p w14:paraId="2092C713"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1</w:t>
            </w:r>
          </w:p>
        </w:tc>
        <w:tc>
          <w:tcPr>
            <w:tcW w:w="898" w:type="dxa"/>
            <w:tcBorders>
              <w:top w:val="nil"/>
              <w:bottom w:val="nil"/>
            </w:tcBorders>
            <w:shd w:val="clear" w:color="auto" w:fill="auto"/>
            <w:vAlign w:val="bottom"/>
          </w:tcPr>
          <w:p w14:paraId="39EBE59D"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1060" w:type="dxa"/>
            <w:tcBorders>
              <w:top w:val="nil"/>
              <w:bottom w:val="nil"/>
            </w:tcBorders>
            <w:shd w:val="clear" w:color="auto" w:fill="auto"/>
            <w:vAlign w:val="bottom"/>
          </w:tcPr>
          <w:p w14:paraId="29D49D57"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r>
      <w:tr w:rsidR="00C22526" w:rsidRPr="00C22526" w14:paraId="7C29263F" w14:textId="77777777" w:rsidTr="00E45843">
        <w:trPr>
          <w:cantSplit/>
        </w:trPr>
        <w:tc>
          <w:tcPr>
            <w:tcW w:w="800" w:type="dxa"/>
            <w:tcBorders>
              <w:top w:val="nil"/>
              <w:bottom w:val="nil"/>
            </w:tcBorders>
            <w:shd w:val="clear" w:color="auto" w:fill="auto"/>
          </w:tcPr>
          <w:p w14:paraId="3BA2BF05" w14:textId="77777777" w:rsidR="001D75D7" w:rsidRPr="00C22526" w:rsidRDefault="001D75D7" w:rsidP="00C22526">
            <w:pPr>
              <w:pStyle w:val="SingleTxtG"/>
              <w:suppressAutoHyphens w:val="0"/>
              <w:spacing w:before="40" w:after="40" w:line="220" w:lineRule="exact"/>
              <w:ind w:left="0" w:right="113"/>
              <w:jc w:val="left"/>
              <w:rPr>
                <w:sz w:val="18"/>
              </w:rPr>
            </w:pPr>
            <w:r w:rsidRPr="00C22526">
              <w:rPr>
                <w:sz w:val="18"/>
              </w:rPr>
              <w:t>2016</w:t>
            </w:r>
          </w:p>
        </w:tc>
        <w:tc>
          <w:tcPr>
            <w:tcW w:w="903" w:type="dxa"/>
            <w:tcBorders>
              <w:top w:val="nil"/>
              <w:bottom w:val="nil"/>
            </w:tcBorders>
            <w:shd w:val="clear" w:color="auto" w:fill="auto"/>
            <w:vAlign w:val="bottom"/>
          </w:tcPr>
          <w:p w14:paraId="6D8703FF"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4</w:t>
            </w:r>
          </w:p>
        </w:tc>
        <w:tc>
          <w:tcPr>
            <w:tcW w:w="1841" w:type="dxa"/>
            <w:tcBorders>
              <w:top w:val="nil"/>
              <w:bottom w:val="nil"/>
            </w:tcBorders>
            <w:shd w:val="clear" w:color="auto" w:fill="auto"/>
            <w:vAlign w:val="bottom"/>
          </w:tcPr>
          <w:p w14:paraId="6FB13E07"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2</w:t>
            </w:r>
          </w:p>
        </w:tc>
        <w:tc>
          <w:tcPr>
            <w:tcW w:w="709" w:type="dxa"/>
            <w:tcBorders>
              <w:top w:val="nil"/>
              <w:bottom w:val="nil"/>
            </w:tcBorders>
            <w:shd w:val="clear" w:color="auto" w:fill="auto"/>
            <w:vAlign w:val="bottom"/>
          </w:tcPr>
          <w:p w14:paraId="7DA57E10"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1</w:t>
            </w:r>
          </w:p>
        </w:tc>
        <w:tc>
          <w:tcPr>
            <w:tcW w:w="729" w:type="dxa"/>
            <w:tcBorders>
              <w:top w:val="nil"/>
              <w:bottom w:val="nil"/>
            </w:tcBorders>
            <w:shd w:val="clear" w:color="auto" w:fill="auto"/>
            <w:vAlign w:val="bottom"/>
          </w:tcPr>
          <w:p w14:paraId="50E21ED4"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904" w:type="dxa"/>
            <w:tcBorders>
              <w:top w:val="nil"/>
              <w:bottom w:val="nil"/>
            </w:tcBorders>
            <w:shd w:val="clear" w:color="auto" w:fill="auto"/>
            <w:vAlign w:val="bottom"/>
          </w:tcPr>
          <w:p w14:paraId="0DC57DF7"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1</w:t>
            </w:r>
          </w:p>
        </w:tc>
        <w:tc>
          <w:tcPr>
            <w:tcW w:w="1062" w:type="dxa"/>
            <w:tcBorders>
              <w:top w:val="nil"/>
              <w:bottom w:val="nil"/>
            </w:tcBorders>
            <w:shd w:val="clear" w:color="auto" w:fill="auto"/>
            <w:vAlign w:val="bottom"/>
          </w:tcPr>
          <w:p w14:paraId="6C7E2320"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1</w:t>
            </w:r>
          </w:p>
        </w:tc>
        <w:tc>
          <w:tcPr>
            <w:tcW w:w="733" w:type="dxa"/>
            <w:tcBorders>
              <w:top w:val="nil"/>
              <w:bottom w:val="nil"/>
            </w:tcBorders>
            <w:shd w:val="clear" w:color="auto" w:fill="auto"/>
            <w:vAlign w:val="bottom"/>
          </w:tcPr>
          <w:p w14:paraId="3E167DE2"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898" w:type="dxa"/>
            <w:tcBorders>
              <w:top w:val="nil"/>
              <w:bottom w:val="nil"/>
            </w:tcBorders>
            <w:shd w:val="clear" w:color="auto" w:fill="auto"/>
            <w:vAlign w:val="bottom"/>
          </w:tcPr>
          <w:p w14:paraId="7FE8194B"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1060" w:type="dxa"/>
            <w:tcBorders>
              <w:top w:val="nil"/>
              <w:bottom w:val="nil"/>
            </w:tcBorders>
            <w:shd w:val="clear" w:color="auto" w:fill="auto"/>
            <w:vAlign w:val="bottom"/>
          </w:tcPr>
          <w:p w14:paraId="061F5C6B"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r>
      <w:tr w:rsidR="00C22526" w:rsidRPr="00C22526" w14:paraId="21788149" w14:textId="77777777" w:rsidTr="00E45843">
        <w:trPr>
          <w:cantSplit/>
        </w:trPr>
        <w:tc>
          <w:tcPr>
            <w:tcW w:w="800" w:type="dxa"/>
            <w:tcBorders>
              <w:top w:val="nil"/>
            </w:tcBorders>
            <w:shd w:val="clear" w:color="auto" w:fill="auto"/>
          </w:tcPr>
          <w:p w14:paraId="51AD33A0" w14:textId="77777777" w:rsidR="001D75D7" w:rsidRPr="00C22526" w:rsidRDefault="001D75D7" w:rsidP="00C22526">
            <w:pPr>
              <w:pStyle w:val="SingleTxtG"/>
              <w:suppressAutoHyphens w:val="0"/>
              <w:spacing w:before="40" w:after="40" w:line="220" w:lineRule="exact"/>
              <w:ind w:left="0" w:right="113"/>
              <w:jc w:val="left"/>
              <w:rPr>
                <w:sz w:val="18"/>
              </w:rPr>
            </w:pPr>
            <w:r w:rsidRPr="00C22526">
              <w:rPr>
                <w:sz w:val="18"/>
              </w:rPr>
              <w:lastRenderedPageBreak/>
              <w:t>2017</w:t>
            </w:r>
          </w:p>
        </w:tc>
        <w:tc>
          <w:tcPr>
            <w:tcW w:w="903" w:type="dxa"/>
            <w:tcBorders>
              <w:top w:val="nil"/>
            </w:tcBorders>
            <w:shd w:val="clear" w:color="auto" w:fill="auto"/>
            <w:vAlign w:val="bottom"/>
          </w:tcPr>
          <w:p w14:paraId="7CA25AF6"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3</w:t>
            </w:r>
          </w:p>
        </w:tc>
        <w:tc>
          <w:tcPr>
            <w:tcW w:w="1841" w:type="dxa"/>
            <w:tcBorders>
              <w:top w:val="nil"/>
            </w:tcBorders>
            <w:shd w:val="clear" w:color="auto" w:fill="auto"/>
            <w:vAlign w:val="bottom"/>
          </w:tcPr>
          <w:p w14:paraId="7B888766"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2</w:t>
            </w:r>
          </w:p>
        </w:tc>
        <w:tc>
          <w:tcPr>
            <w:tcW w:w="709" w:type="dxa"/>
            <w:tcBorders>
              <w:top w:val="nil"/>
            </w:tcBorders>
            <w:shd w:val="clear" w:color="auto" w:fill="auto"/>
            <w:vAlign w:val="bottom"/>
          </w:tcPr>
          <w:p w14:paraId="3FBF53F5"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1</w:t>
            </w:r>
          </w:p>
        </w:tc>
        <w:tc>
          <w:tcPr>
            <w:tcW w:w="729" w:type="dxa"/>
            <w:tcBorders>
              <w:top w:val="nil"/>
            </w:tcBorders>
            <w:shd w:val="clear" w:color="auto" w:fill="auto"/>
            <w:vAlign w:val="bottom"/>
          </w:tcPr>
          <w:p w14:paraId="2A04BA3E"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1</w:t>
            </w:r>
          </w:p>
        </w:tc>
        <w:tc>
          <w:tcPr>
            <w:tcW w:w="904" w:type="dxa"/>
            <w:tcBorders>
              <w:top w:val="nil"/>
            </w:tcBorders>
            <w:shd w:val="clear" w:color="auto" w:fill="auto"/>
            <w:vAlign w:val="bottom"/>
          </w:tcPr>
          <w:p w14:paraId="1269A701"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1062" w:type="dxa"/>
            <w:tcBorders>
              <w:top w:val="nil"/>
            </w:tcBorders>
            <w:shd w:val="clear" w:color="auto" w:fill="auto"/>
            <w:vAlign w:val="bottom"/>
          </w:tcPr>
          <w:p w14:paraId="7A3899F7"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733" w:type="dxa"/>
            <w:tcBorders>
              <w:top w:val="nil"/>
            </w:tcBorders>
            <w:shd w:val="clear" w:color="auto" w:fill="auto"/>
            <w:vAlign w:val="bottom"/>
          </w:tcPr>
          <w:p w14:paraId="6877994E"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898" w:type="dxa"/>
            <w:tcBorders>
              <w:top w:val="nil"/>
            </w:tcBorders>
            <w:shd w:val="clear" w:color="auto" w:fill="auto"/>
            <w:vAlign w:val="bottom"/>
          </w:tcPr>
          <w:p w14:paraId="4F4139D9"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1060" w:type="dxa"/>
            <w:tcBorders>
              <w:top w:val="nil"/>
            </w:tcBorders>
            <w:shd w:val="clear" w:color="auto" w:fill="auto"/>
            <w:vAlign w:val="bottom"/>
          </w:tcPr>
          <w:p w14:paraId="145524FC"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r>
      <w:tr w:rsidR="00C22526" w:rsidRPr="00C22526" w14:paraId="3B554B90" w14:textId="77777777" w:rsidTr="00E45843">
        <w:trPr>
          <w:cantSplit/>
        </w:trPr>
        <w:tc>
          <w:tcPr>
            <w:tcW w:w="800" w:type="dxa"/>
            <w:shd w:val="clear" w:color="auto" w:fill="auto"/>
          </w:tcPr>
          <w:p w14:paraId="270487AA" w14:textId="77777777" w:rsidR="001D75D7" w:rsidRPr="00C22526" w:rsidRDefault="001D75D7" w:rsidP="00C22526">
            <w:pPr>
              <w:pStyle w:val="SingleTxtG"/>
              <w:suppressAutoHyphens w:val="0"/>
              <w:spacing w:before="40" w:after="40" w:line="220" w:lineRule="exact"/>
              <w:ind w:left="0" w:right="113"/>
              <w:jc w:val="left"/>
              <w:rPr>
                <w:sz w:val="18"/>
              </w:rPr>
            </w:pPr>
            <w:r w:rsidRPr="00C22526">
              <w:rPr>
                <w:sz w:val="18"/>
              </w:rPr>
              <w:t>09/2018</w:t>
            </w:r>
          </w:p>
        </w:tc>
        <w:tc>
          <w:tcPr>
            <w:tcW w:w="903" w:type="dxa"/>
            <w:shd w:val="clear" w:color="auto" w:fill="auto"/>
            <w:vAlign w:val="bottom"/>
          </w:tcPr>
          <w:p w14:paraId="73D55CCC"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1</w:t>
            </w:r>
          </w:p>
        </w:tc>
        <w:tc>
          <w:tcPr>
            <w:tcW w:w="1841" w:type="dxa"/>
            <w:shd w:val="clear" w:color="auto" w:fill="auto"/>
            <w:vAlign w:val="bottom"/>
          </w:tcPr>
          <w:p w14:paraId="5B55E85B"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709" w:type="dxa"/>
            <w:shd w:val="clear" w:color="auto" w:fill="auto"/>
            <w:vAlign w:val="bottom"/>
          </w:tcPr>
          <w:p w14:paraId="09BFDAC8"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729" w:type="dxa"/>
            <w:shd w:val="clear" w:color="auto" w:fill="auto"/>
            <w:vAlign w:val="bottom"/>
          </w:tcPr>
          <w:p w14:paraId="2038D777"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904" w:type="dxa"/>
            <w:shd w:val="clear" w:color="auto" w:fill="auto"/>
            <w:vAlign w:val="bottom"/>
          </w:tcPr>
          <w:p w14:paraId="3FAEBB89"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1062" w:type="dxa"/>
            <w:shd w:val="clear" w:color="auto" w:fill="auto"/>
            <w:vAlign w:val="bottom"/>
          </w:tcPr>
          <w:p w14:paraId="2D5D3F4D"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733" w:type="dxa"/>
            <w:shd w:val="clear" w:color="auto" w:fill="auto"/>
            <w:vAlign w:val="bottom"/>
          </w:tcPr>
          <w:p w14:paraId="6D524037"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898" w:type="dxa"/>
            <w:shd w:val="clear" w:color="auto" w:fill="auto"/>
            <w:vAlign w:val="bottom"/>
          </w:tcPr>
          <w:p w14:paraId="0776769E"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c>
          <w:tcPr>
            <w:tcW w:w="1060" w:type="dxa"/>
            <w:shd w:val="clear" w:color="auto" w:fill="auto"/>
            <w:vAlign w:val="bottom"/>
          </w:tcPr>
          <w:p w14:paraId="66B14FF5" w14:textId="77777777" w:rsidR="001D75D7" w:rsidRPr="00C22526" w:rsidRDefault="001D75D7" w:rsidP="00C22526">
            <w:pPr>
              <w:pStyle w:val="SingleTxtG"/>
              <w:suppressAutoHyphens w:val="0"/>
              <w:spacing w:before="40" w:after="40" w:line="220" w:lineRule="exact"/>
              <w:ind w:left="0" w:right="113"/>
              <w:jc w:val="right"/>
              <w:rPr>
                <w:sz w:val="18"/>
              </w:rPr>
            </w:pPr>
            <w:r w:rsidRPr="00C22526">
              <w:rPr>
                <w:sz w:val="18"/>
              </w:rPr>
              <w:t>0</w:t>
            </w:r>
          </w:p>
        </w:tc>
      </w:tr>
    </w:tbl>
    <w:p w14:paraId="524099D2" w14:textId="210604D5" w:rsidR="001D75D7" w:rsidRPr="00E419B3" w:rsidRDefault="001D75D7" w:rsidP="00E419B3">
      <w:pPr>
        <w:spacing w:before="120"/>
        <w:ind w:left="1134" w:right="1134" w:firstLine="170"/>
        <w:rPr>
          <w:sz w:val="18"/>
        </w:rPr>
      </w:pPr>
      <w:r w:rsidRPr="00E419B3">
        <w:rPr>
          <w:i/>
          <w:iCs/>
          <w:sz w:val="18"/>
        </w:rPr>
        <w:t>Source</w:t>
      </w:r>
      <w:r w:rsidRPr="00E419B3">
        <w:rPr>
          <w:sz w:val="18"/>
        </w:rPr>
        <w:t xml:space="preserve">: </w:t>
      </w:r>
      <w:r w:rsidR="00CB7C0C">
        <w:rPr>
          <w:sz w:val="18"/>
        </w:rPr>
        <w:t xml:space="preserve"> </w:t>
      </w:r>
      <w:r w:rsidRPr="00E419B3">
        <w:rPr>
          <w:sz w:val="18"/>
        </w:rPr>
        <w:t>OSS.</w:t>
      </w:r>
    </w:p>
    <w:p w14:paraId="1359E435" w14:textId="77777777" w:rsidR="001D75D7" w:rsidRPr="00B47380" w:rsidRDefault="001D75D7" w:rsidP="00E419B3">
      <w:pPr>
        <w:pStyle w:val="H23G"/>
      </w:pPr>
      <w:r w:rsidRPr="00B47380">
        <w:tab/>
      </w:r>
      <w:r w:rsidRPr="00B47380">
        <w:tab/>
        <w:t>Cases qualified by the Procuratorate as TIP</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93"/>
        <w:gridCol w:w="993"/>
        <w:gridCol w:w="1133"/>
        <w:gridCol w:w="855"/>
        <w:gridCol w:w="848"/>
        <w:gridCol w:w="848"/>
        <w:gridCol w:w="850"/>
        <w:gridCol w:w="850"/>
      </w:tblGrid>
      <w:tr w:rsidR="00B811EF" w:rsidRPr="00B811EF" w14:paraId="028E7CA3" w14:textId="77777777" w:rsidTr="00E45843">
        <w:trPr>
          <w:cantSplit/>
          <w:tblHeader/>
        </w:trPr>
        <w:tc>
          <w:tcPr>
            <w:tcW w:w="993" w:type="dxa"/>
            <w:vMerge w:val="restart"/>
            <w:tcBorders>
              <w:top w:val="single" w:sz="4" w:space="0" w:color="auto"/>
              <w:bottom w:val="single" w:sz="12" w:space="0" w:color="auto"/>
            </w:tcBorders>
            <w:shd w:val="clear" w:color="auto" w:fill="auto"/>
            <w:vAlign w:val="bottom"/>
          </w:tcPr>
          <w:p w14:paraId="7A9493B3" w14:textId="77777777" w:rsidR="001D75D7" w:rsidRPr="00B811EF" w:rsidRDefault="001D75D7" w:rsidP="00B811EF">
            <w:pPr>
              <w:pStyle w:val="SingleTxtG"/>
              <w:suppressAutoHyphens w:val="0"/>
              <w:spacing w:before="80" w:after="80" w:line="200" w:lineRule="exact"/>
              <w:ind w:left="0" w:right="113"/>
              <w:jc w:val="left"/>
              <w:rPr>
                <w:i/>
                <w:sz w:val="16"/>
              </w:rPr>
            </w:pPr>
            <w:r w:rsidRPr="00B811EF">
              <w:rPr>
                <w:i/>
                <w:sz w:val="16"/>
              </w:rPr>
              <w:t>Year</w:t>
            </w:r>
          </w:p>
        </w:tc>
        <w:tc>
          <w:tcPr>
            <w:tcW w:w="993" w:type="dxa"/>
            <w:vMerge w:val="restart"/>
            <w:tcBorders>
              <w:top w:val="single" w:sz="4" w:space="0" w:color="auto"/>
              <w:bottom w:val="single" w:sz="12" w:space="0" w:color="auto"/>
            </w:tcBorders>
            <w:shd w:val="clear" w:color="auto" w:fill="auto"/>
            <w:vAlign w:val="bottom"/>
          </w:tcPr>
          <w:p w14:paraId="30F3410D" w14:textId="77777777" w:rsidR="001D75D7" w:rsidRPr="00B811EF" w:rsidRDefault="001D75D7" w:rsidP="00B811EF">
            <w:pPr>
              <w:pStyle w:val="SingleTxtG"/>
              <w:suppressAutoHyphens w:val="0"/>
              <w:spacing w:before="80" w:after="80" w:line="200" w:lineRule="exact"/>
              <w:ind w:left="0" w:right="113"/>
              <w:jc w:val="right"/>
              <w:rPr>
                <w:i/>
                <w:sz w:val="16"/>
              </w:rPr>
            </w:pPr>
            <w:r w:rsidRPr="00B811EF">
              <w:rPr>
                <w:i/>
                <w:sz w:val="16"/>
              </w:rPr>
              <w:t>No. of cases</w:t>
            </w:r>
          </w:p>
        </w:tc>
        <w:tc>
          <w:tcPr>
            <w:tcW w:w="1133" w:type="dxa"/>
            <w:vMerge w:val="restart"/>
            <w:tcBorders>
              <w:top w:val="single" w:sz="4" w:space="0" w:color="auto"/>
              <w:bottom w:val="single" w:sz="12" w:space="0" w:color="auto"/>
            </w:tcBorders>
            <w:shd w:val="clear" w:color="auto" w:fill="auto"/>
            <w:vAlign w:val="bottom"/>
          </w:tcPr>
          <w:p w14:paraId="7F134F7C" w14:textId="77777777" w:rsidR="001D75D7" w:rsidRPr="00B811EF" w:rsidRDefault="001D75D7" w:rsidP="00B811EF">
            <w:pPr>
              <w:pStyle w:val="SingleTxtG"/>
              <w:suppressAutoHyphens w:val="0"/>
              <w:spacing w:before="80" w:after="80" w:line="200" w:lineRule="exact"/>
              <w:ind w:left="0" w:right="113"/>
              <w:jc w:val="right"/>
              <w:rPr>
                <w:i/>
                <w:sz w:val="16"/>
              </w:rPr>
            </w:pPr>
            <w:r w:rsidRPr="00B811EF">
              <w:rPr>
                <w:i/>
                <w:sz w:val="16"/>
              </w:rPr>
              <w:t>No. of victims</w:t>
            </w:r>
          </w:p>
        </w:tc>
        <w:tc>
          <w:tcPr>
            <w:tcW w:w="855" w:type="dxa"/>
            <w:vMerge w:val="restart"/>
            <w:tcBorders>
              <w:top w:val="single" w:sz="4" w:space="0" w:color="auto"/>
              <w:bottom w:val="single" w:sz="12" w:space="0" w:color="auto"/>
            </w:tcBorders>
            <w:shd w:val="clear" w:color="auto" w:fill="auto"/>
            <w:vAlign w:val="bottom"/>
          </w:tcPr>
          <w:p w14:paraId="22DD37FE" w14:textId="77777777" w:rsidR="001D75D7" w:rsidRPr="00B811EF" w:rsidRDefault="001D75D7" w:rsidP="00B811EF">
            <w:pPr>
              <w:pStyle w:val="SingleTxtG"/>
              <w:suppressAutoHyphens w:val="0"/>
              <w:spacing w:before="80" w:after="80" w:line="200" w:lineRule="exact"/>
              <w:ind w:left="0" w:right="113"/>
              <w:jc w:val="right"/>
              <w:rPr>
                <w:i/>
                <w:sz w:val="16"/>
              </w:rPr>
            </w:pPr>
            <w:r w:rsidRPr="00B811EF">
              <w:rPr>
                <w:i/>
                <w:sz w:val="16"/>
              </w:rPr>
              <w:t>Gender</w:t>
            </w:r>
          </w:p>
        </w:tc>
        <w:tc>
          <w:tcPr>
            <w:tcW w:w="1696" w:type="dxa"/>
            <w:gridSpan w:val="2"/>
            <w:tcBorders>
              <w:top w:val="single" w:sz="4" w:space="0" w:color="auto"/>
              <w:bottom w:val="single" w:sz="4" w:space="0" w:color="auto"/>
              <w:right w:val="single" w:sz="24" w:space="0" w:color="FFFFFF" w:themeColor="background1"/>
            </w:tcBorders>
            <w:shd w:val="clear" w:color="auto" w:fill="auto"/>
            <w:vAlign w:val="bottom"/>
          </w:tcPr>
          <w:p w14:paraId="1BB9CD23" w14:textId="77777777" w:rsidR="001D75D7" w:rsidRPr="00B811EF" w:rsidRDefault="001D75D7" w:rsidP="00E419B3">
            <w:pPr>
              <w:pStyle w:val="SingleTxtG"/>
              <w:suppressAutoHyphens w:val="0"/>
              <w:spacing w:before="80" w:after="80" w:line="200" w:lineRule="exact"/>
              <w:ind w:left="0" w:right="113"/>
              <w:jc w:val="center"/>
              <w:rPr>
                <w:i/>
                <w:sz w:val="16"/>
              </w:rPr>
            </w:pPr>
            <w:r w:rsidRPr="00B811EF">
              <w:rPr>
                <w:i/>
                <w:sz w:val="16"/>
              </w:rPr>
              <w:t>Age</w:t>
            </w:r>
          </w:p>
        </w:tc>
        <w:tc>
          <w:tcPr>
            <w:tcW w:w="1700" w:type="dxa"/>
            <w:gridSpan w:val="2"/>
            <w:tcBorders>
              <w:top w:val="single" w:sz="4" w:space="0" w:color="auto"/>
              <w:left w:val="single" w:sz="24" w:space="0" w:color="FFFFFF" w:themeColor="background1"/>
              <w:bottom w:val="single" w:sz="4" w:space="0" w:color="auto"/>
            </w:tcBorders>
            <w:shd w:val="clear" w:color="auto" w:fill="auto"/>
            <w:vAlign w:val="bottom"/>
          </w:tcPr>
          <w:p w14:paraId="41FF8497" w14:textId="77777777" w:rsidR="001D75D7" w:rsidRPr="00B811EF" w:rsidRDefault="001D75D7" w:rsidP="00E419B3">
            <w:pPr>
              <w:pStyle w:val="SingleTxtG"/>
              <w:suppressAutoHyphens w:val="0"/>
              <w:spacing w:before="80" w:after="80" w:line="200" w:lineRule="exact"/>
              <w:ind w:left="0" w:right="113"/>
              <w:jc w:val="center"/>
              <w:rPr>
                <w:i/>
                <w:sz w:val="16"/>
              </w:rPr>
            </w:pPr>
            <w:r w:rsidRPr="00B811EF">
              <w:rPr>
                <w:i/>
                <w:sz w:val="16"/>
              </w:rPr>
              <w:t>Nationality</w:t>
            </w:r>
          </w:p>
        </w:tc>
      </w:tr>
      <w:tr w:rsidR="00B811EF" w:rsidRPr="00B811EF" w14:paraId="101F1170" w14:textId="77777777" w:rsidTr="00E45843">
        <w:trPr>
          <w:cantSplit/>
          <w:tblHeader/>
        </w:trPr>
        <w:tc>
          <w:tcPr>
            <w:tcW w:w="993" w:type="dxa"/>
            <w:vMerge/>
            <w:tcBorders>
              <w:top w:val="nil"/>
              <w:bottom w:val="single" w:sz="12" w:space="0" w:color="auto"/>
            </w:tcBorders>
            <w:shd w:val="clear" w:color="auto" w:fill="auto"/>
            <w:vAlign w:val="bottom"/>
          </w:tcPr>
          <w:p w14:paraId="2F501C48" w14:textId="77777777" w:rsidR="001D75D7" w:rsidRPr="00B811EF" w:rsidRDefault="001D75D7" w:rsidP="00B811EF">
            <w:pPr>
              <w:pStyle w:val="SingleTxtG"/>
              <w:suppressAutoHyphens w:val="0"/>
              <w:spacing w:before="40" w:after="40" w:line="220" w:lineRule="exact"/>
              <w:ind w:left="0" w:right="113"/>
              <w:jc w:val="left"/>
              <w:rPr>
                <w:sz w:val="18"/>
              </w:rPr>
            </w:pPr>
          </w:p>
        </w:tc>
        <w:tc>
          <w:tcPr>
            <w:tcW w:w="993" w:type="dxa"/>
            <w:vMerge/>
            <w:tcBorders>
              <w:top w:val="nil"/>
              <w:bottom w:val="single" w:sz="12" w:space="0" w:color="auto"/>
            </w:tcBorders>
            <w:shd w:val="clear" w:color="auto" w:fill="auto"/>
            <w:vAlign w:val="bottom"/>
          </w:tcPr>
          <w:p w14:paraId="2F59D04C" w14:textId="77777777" w:rsidR="001D75D7" w:rsidRPr="00B811EF" w:rsidRDefault="001D75D7" w:rsidP="00B811EF">
            <w:pPr>
              <w:pStyle w:val="SingleTxtG"/>
              <w:suppressAutoHyphens w:val="0"/>
              <w:spacing w:before="40" w:after="40" w:line="220" w:lineRule="exact"/>
              <w:ind w:left="0" w:right="113"/>
              <w:jc w:val="right"/>
              <w:rPr>
                <w:sz w:val="18"/>
              </w:rPr>
            </w:pPr>
          </w:p>
        </w:tc>
        <w:tc>
          <w:tcPr>
            <w:tcW w:w="1133" w:type="dxa"/>
            <w:vMerge/>
            <w:tcBorders>
              <w:top w:val="nil"/>
              <w:bottom w:val="single" w:sz="12" w:space="0" w:color="auto"/>
            </w:tcBorders>
            <w:shd w:val="clear" w:color="auto" w:fill="auto"/>
            <w:vAlign w:val="bottom"/>
          </w:tcPr>
          <w:p w14:paraId="2398D1CC" w14:textId="77777777" w:rsidR="001D75D7" w:rsidRPr="00B811EF" w:rsidRDefault="001D75D7" w:rsidP="00B811EF">
            <w:pPr>
              <w:pStyle w:val="SingleTxtG"/>
              <w:suppressAutoHyphens w:val="0"/>
              <w:spacing w:before="40" w:after="40" w:line="220" w:lineRule="exact"/>
              <w:ind w:left="0" w:right="113"/>
              <w:jc w:val="right"/>
              <w:rPr>
                <w:sz w:val="18"/>
              </w:rPr>
            </w:pPr>
          </w:p>
        </w:tc>
        <w:tc>
          <w:tcPr>
            <w:tcW w:w="855" w:type="dxa"/>
            <w:vMerge/>
            <w:tcBorders>
              <w:top w:val="nil"/>
              <w:bottom w:val="single" w:sz="12" w:space="0" w:color="auto"/>
            </w:tcBorders>
            <w:shd w:val="clear" w:color="auto" w:fill="auto"/>
            <w:vAlign w:val="bottom"/>
          </w:tcPr>
          <w:p w14:paraId="38B53EF3" w14:textId="77777777" w:rsidR="001D75D7" w:rsidRPr="00B811EF" w:rsidRDefault="001D75D7" w:rsidP="00B811EF">
            <w:pPr>
              <w:pStyle w:val="SingleTxtG"/>
              <w:suppressAutoHyphens w:val="0"/>
              <w:spacing w:before="40" w:after="40" w:line="220" w:lineRule="exact"/>
              <w:ind w:left="0" w:right="113"/>
              <w:jc w:val="right"/>
              <w:rPr>
                <w:sz w:val="18"/>
              </w:rPr>
            </w:pPr>
          </w:p>
        </w:tc>
        <w:tc>
          <w:tcPr>
            <w:tcW w:w="848" w:type="dxa"/>
            <w:tcBorders>
              <w:top w:val="single" w:sz="4" w:space="0" w:color="auto"/>
              <w:bottom w:val="single" w:sz="12" w:space="0" w:color="auto"/>
            </w:tcBorders>
            <w:shd w:val="clear" w:color="auto" w:fill="auto"/>
            <w:vAlign w:val="bottom"/>
          </w:tcPr>
          <w:p w14:paraId="1C3CC0D4" w14:textId="77777777" w:rsidR="001D75D7" w:rsidRPr="00E419B3" w:rsidRDefault="001D75D7" w:rsidP="00B811EF">
            <w:pPr>
              <w:pStyle w:val="SingleTxtG"/>
              <w:suppressAutoHyphens w:val="0"/>
              <w:spacing w:before="40" w:after="40" w:line="220" w:lineRule="exact"/>
              <w:ind w:left="0" w:right="113"/>
              <w:jc w:val="right"/>
              <w:rPr>
                <w:i/>
                <w:sz w:val="16"/>
              </w:rPr>
            </w:pPr>
            <w:r w:rsidRPr="00E419B3">
              <w:rPr>
                <w:i/>
                <w:sz w:val="16"/>
              </w:rPr>
              <w:t>≥18</w:t>
            </w:r>
          </w:p>
        </w:tc>
        <w:tc>
          <w:tcPr>
            <w:tcW w:w="848" w:type="dxa"/>
            <w:tcBorders>
              <w:top w:val="single" w:sz="4" w:space="0" w:color="auto"/>
              <w:bottom w:val="single" w:sz="12" w:space="0" w:color="auto"/>
              <w:right w:val="single" w:sz="24" w:space="0" w:color="FFFFFF" w:themeColor="background1"/>
            </w:tcBorders>
            <w:shd w:val="clear" w:color="auto" w:fill="auto"/>
            <w:vAlign w:val="bottom"/>
          </w:tcPr>
          <w:p w14:paraId="61BE429B" w14:textId="77777777" w:rsidR="001D75D7" w:rsidRPr="00E419B3" w:rsidRDefault="001D75D7" w:rsidP="00B811EF">
            <w:pPr>
              <w:pStyle w:val="SingleTxtG"/>
              <w:suppressAutoHyphens w:val="0"/>
              <w:spacing w:before="40" w:after="40" w:line="220" w:lineRule="exact"/>
              <w:ind w:left="0" w:right="113"/>
              <w:jc w:val="right"/>
              <w:rPr>
                <w:i/>
                <w:sz w:val="16"/>
              </w:rPr>
            </w:pPr>
            <w:r w:rsidRPr="00E419B3">
              <w:rPr>
                <w:i/>
                <w:sz w:val="16"/>
              </w:rPr>
              <w:t>&lt;18</w:t>
            </w:r>
          </w:p>
        </w:tc>
        <w:tc>
          <w:tcPr>
            <w:tcW w:w="850" w:type="dxa"/>
            <w:tcBorders>
              <w:top w:val="single" w:sz="4" w:space="0" w:color="auto"/>
              <w:left w:val="single" w:sz="24" w:space="0" w:color="FFFFFF" w:themeColor="background1"/>
              <w:bottom w:val="single" w:sz="12" w:space="0" w:color="auto"/>
            </w:tcBorders>
            <w:shd w:val="clear" w:color="auto" w:fill="auto"/>
            <w:vAlign w:val="bottom"/>
          </w:tcPr>
          <w:p w14:paraId="5B0E19FC" w14:textId="77777777" w:rsidR="001D75D7" w:rsidRPr="00E419B3" w:rsidRDefault="001D75D7" w:rsidP="00B811EF">
            <w:pPr>
              <w:pStyle w:val="SingleTxtG"/>
              <w:suppressAutoHyphens w:val="0"/>
              <w:spacing w:before="40" w:after="40" w:line="220" w:lineRule="exact"/>
              <w:ind w:left="0" w:right="113"/>
              <w:jc w:val="right"/>
              <w:rPr>
                <w:i/>
                <w:sz w:val="16"/>
              </w:rPr>
            </w:pPr>
            <w:r w:rsidRPr="00E419B3">
              <w:rPr>
                <w:i/>
                <w:sz w:val="16"/>
              </w:rPr>
              <w:t>Chinese</w:t>
            </w:r>
          </w:p>
        </w:tc>
        <w:tc>
          <w:tcPr>
            <w:tcW w:w="850" w:type="dxa"/>
            <w:tcBorders>
              <w:top w:val="single" w:sz="4" w:space="0" w:color="auto"/>
              <w:bottom w:val="single" w:sz="12" w:space="0" w:color="auto"/>
            </w:tcBorders>
            <w:shd w:val="clear" w:color="auto" w:fill="auto"/>
            <w:vAlign w:val="bottom"/>
          </w:tcPr>
          <w:p w14:paraId="4707C50B" w14:textId="77777777" w:rsidR="001D75D7" w:rsidRPr="00E419B3" w:rsidRDefault="001D75D7" w:rsidP="00B811EF">
            <w:pPr>
              <w:pStyle w:val="SingleTxtG"/>
              <w:suppressAutoHyphens w:val="0"/>
              <w:spacing w:before="40" w:after="40" w:line="220" w:lineRule="exact"/>
              <w:ind w:left="0" w:right="113"/>
              <w:jc w:val="right"/>
              <w:rPr>
                <w:i/>
                <w:sz w:val="16"/>
              </w:rPr>
            </w:pPr>
            <w:r w:rsidRPr="00E419B3">
              <w:rPr>
                <w:i/>
                <w:sz w:val="16"/>
              </w:rPr>
              <w:t>Others</w:t>
            </w:r>
          </w:p>
        </w:tc>
      </w:tr>
      <w:tr w:rsidR="00B811EF" w:rsidRPr="00B811EF" w14:paraId="2479D858" w14:textId="77777777" w:rsidTr="00E45843">
        <w:trPr>
          <w:cantSplit/>
        </w:trPr>
        <w:tc>
          <w:tcPr>
            <w:tcW w:w="993" w:type="dxa"/>
            <w:tcBorders>
              <w:top w:val="single" w:sz="12" w:space="0" w:color="auto"/>
            </w:tcBorders>
            <w:shd w:val="clear" w:color="auto" w:fill="auto"/>
          </w:tcPr>
          <w:p w14:paraId="12ECB262" w14:textId="77777777" w:rsidR="001D75D7" w:rsidRPr="00B811EF" w:rsidRDefault="001D75D7" w:rsidP="00B811EF">
            <w:pPr>
              <w:pStyle w:val="SingleTxtG"/>
              <w:suppressAutoHyphens w:val="0"/>
              <w:spacing w:before="40" w:after="40" w:line="220" w:lineRule="exact"/>
              <w:ind w:left="0" w:right="113"/>
              <w:jc w:val="left"/>
              <w:rPr>
                <w:sz w:val="18"/>
              </w:rPr>
            </w:pPr>
            <w:r w:rsidRPr="00B811EF">
              <w:rPr>
                <w:sz w:val="18"/>
              </w:rPr>
              <w:t>2014</w:t>
            </w:r>
          </w:p>
        </w:tc>
        <w:tc>
          <w:tcPr>
            <w:tcW w:w="993" w:type="dxa"/>
            <w:tcBorders>
              <w:top w:val="single" w:sz="12" w:space="0" w:color="auto"/>
            </w:tcBorders>
            <w:shd w:val="clear" w:color="auto" w:fill="auto"/>
            <w:vAlign w:val="bottom"/>
          </w:tcPr>
          <w:p w14:paraId="1D841206"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4</w:t>
            </w:r>
          </w:p>
        </w:tc>
        <w:tc>
          <w:tcPr>
            <w:tcW w:w="1133" w:type="dxa"/>
            <w:tcBorders>
              <w:top w:val="single" w:sz="12" w:space="0" w:color="auto"/>
            </w:tcBorders>
            <w:shd w:val="clear" w:color="auto" w:fill="auto"/>
            <w:vAlign w:val="bottom"/>
          </w:tcPr>
          <w:p w14:paraId="6EB44166"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4</w:t>
            </w:r>
          </w:p>
        </w:tc>
        <w:tc>
          <w:tcPr>
            <w:tcW w:w="855" w:type="dxa"/>
            <w:tcBorders>
              <w:top w:val="single" w:sz="12" w:space="0" w:color="auto"/>
            </w:tcBorders>
            <w:shd w:val="clear" w:color="auto" w:fill="auto"/>
            <w:vAlign w:val="bottom"/>
          </w:tcPr>
          <w:p w14:paraId="143DE25D"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F</w:t>
            </w:r>
          </w:p>
        </w:tc>
        <w:tc>
          <w:tcPr>
            <w:tcW w:w="848" w:type="dxa"/>
            <w:tcBorders>
              <w:top w:val="single" w:sz="12" w:space="0" w:color="auto"/>
            </w:tcBorders>
            <w:shd w:val="clear" w:color="auto" w:fill="auto"/>
            <w:vAlign w:val="bottom"/>
          </w:tcPr>
          <w:p w14:paraId="2521CA73"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1</w:t>
            </w:r>
          </w:p>
        </w:tc>
        <w:tc>
          <w:tcPr>
            <w:tcW w:w="848" w:type="dxa"/>
            <w:tcBorders>
              <w:top w:val="single" w:sz="12" w:space="0" w:color="auto"/>
            </w:tcBorders>
            <w:shd w:val="clear" w:color="auto" w:fill="auto"/>
            <w:vAlign w:val="bottom"/>
          </w:tcPr>
          <w:p w14:paraId="1C606E41"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3</w:t>
            </w:r>
          </w:p>
        </w:tc>
        <w:tc>
          <w:tcPr>
            <w:tcW w:w="850" w:type="dxa"/>
            <w:tcBorders>
              <w:top w:val="single" w:sz="12" w:space="0" w:color="auto"/>
            </w:tcBorders>
            <w:shd w:val="clear" w:color="auto" w:fill="auto"/>
            <w:vAlign w:val="bottom"/>
          </w:tcPr>
          <w:p w14:paraId="3A726A3D"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4</w:t>
            </w:r>
          </w:p>
        </w:tc>
        <w:tc>
          <w:tcPr>
            <w:tcW w:w="850" w:type="dxa"/>
            <w:tcBorders>
              <w:top w:val="single" w:sz="12" w:space="0" w:color="auto"/>
            </w:tcBorders>
            <w:shd w:val="clear" w:color="auto" w:fill="auto"/>
            <w:vAlign w:val="bottom"/>
          </w:tcPr>
          <w:p w14:paraId="52626998"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0</w:t>
            </w:r>
          </w:p>
        </w:tc>
      </w:tr>
      <w:tr w:rsidR="00B811EF" w:rsidRPr="00B811EF" w14:paraId="35326A16" w14:textId="77777777" w:rsidTr="00E45843">
        <w:trPr>
          <w:cantSplit/>
        </w:trPr>
        <w:tc>
          <w:tcPr>
            <w:tcW w:w="993" w:type="dxa"/>
            <w:shd w:val="clear" w:color="auto" w:fill="auto"/>
          </w:tcPr>
          <w:p w14:paraId="716D5F90" w14:textId="77777777" w:rsidR="001D75D7" w:rsidRPr="00B811EF" w:rsidRDefault="001D75D7" w:rsidP="00B811EF">
            <w:pPr>
              <w:pStyle w:val="SingleTxtG"/>
              <w:suppressAutoHyphens w:val="0"/>
              <w:spacing w:before="40" w:after="40" w:line="220" w:lineRule="exact"/>
              <w:ind w:left="0" w:right="113"/>
              <w:jc w:val="left"/>
              <w:rPr>
                <w:sz w:val="18"/>
              </w:rPr>
            </w:pPr>
            <w:r w:rsidRPr="00B811EF">
              <w:rPr>
                <w:sz w:val="18"/>
              </w:rPr>
              <w:t>2015</w:t>
            </w:r>
          </w:p>
        </w:tc>
        <w:tc>
          <w:tcPr>
            <w:tcW w:w="993" w:type="dxa"/>
            <w:shd w:val="clear" w:color="auto" w:fill="auto"/>
            <w:vAlign w:val="bottom"/>
          </w:tcPr>
          <w:p w14:paraId="0BF80EFA"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2</w:t>
            </w:r>
          </w:p>
        </w:tc>
        <w:tc>
          <w:tcPr>
            <w:tcW w:w="1133" w:type="dxa"/>
            <w:shd w:val="clear" w:color="auto" w:fill="auto"/>
            <w:vAlign w:val="bottom"/>
          </w:tcPr>
          <w:p w14:paraId="46634371"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2</w:t>
            </w:r>
          </w:p>
        </w:tc>
        <w:tc>
          <w:tcPr>
            <w:tcW w:w="855" w:type="dxa"/>
            <w:shd w:val="clear" w:color="auto" w:fill="auto"/>
            <w:vAlign w:val="bottom"/>
          </w:tcPr>
          <w:p w14:paraId="691F2FD9"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F</w:t>
            </w:r>
          </w:p>
        </w:tc>
        <w:tc>
          <w:tcPr>
            <w:tcW w:w="848" w:type="dxa"/>
            <w:shd w:val="clear" w:color="auto" w:fill="auto"/>
            <w:vAlign w:val="bottom"/>
          </w:tcPr>
          <w:p w14:paraId="6C7B83F3"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2</w:t>
            </w:r>
          </w:p>
        </w:tc>
        <w:tc>
          <w:tcPr>
            <w:tcW w:w="848" w:type="dxa"/>
            <w:shd w:val="clear" w:color="auto" w:fill="auto"/>
            <w:vAlign w:val="bottom"/>
          </w:tcPr>
          <w:p w14:paraId="59820599"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0</w:t>
            </w:r>
          </w:p>
        </w:tc>
        <w:tc>
          <w:tcPr>
            <w:tcW w:w="850" w:type="dxa"/>
            <w:shd w:val="clear" w:color="auto" w:fill="auto"/>
            <w:vAlign w:val="bottom"/>
          </w:tcPr>
          <w:p w14:paraId="6C1DB664"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1</w:t>
            </w:r>
          </w:p>
        </w:tc>
        <w:tc>
          <w:tcPr>
            <w:tcW w:w="850" w:type="dxa"/>
            <w:shd w:val="clear" w:color="auto" w:fill="auto"/>
            <w:vAlign w:val="bottom"/>
          </w:tcPr>
          <w:p w14:paraId="4AEB052D"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1</w:t>
            </w:r>
          </w:p>
        </w:tc>
      </w:tr>
      <w:tr w:rsidR="00B811EF" w:rsidRPr="00B811EF" w14:paraId="5D8DC6D1" w14:textId="77777777" w:rsidTr="00E45843">
        <w:trPr>
          <w:cantSplit/>
        </w:trPr>
        <w:tc>
          <w:tcPr>
            <w:tcW w:w="993" w:type="dxa"/>
            <w:shd w:val="clear" w:color="auto" w:fill="auto"/>
          </w:tcPr>
          <w:p w14:paraId="6A1CA68E" w14:textId="77777777" w:rsidR="001D75D7" w:rsidRPr="00B811EF" w:rsidRDefault="001D75D7" w:rsidP="00B811EF">
            <w:pPr>
              <w:pStyle w:val="SingleTxtG"/>
              <w:suppressAutoHyphens w:val="0"/>
              <w:spacing w:before="40" w:after="40" w:line="220" w:lineRule="exact"/>
              <w:ind w:left="0" w:right="113"/>
              <w:jc w:val="left"/>
              <w:rPr>
                <w:sz w:val="18"/>
              </w:rPr>
            </w:pPr>
            <w:r w:rsidRPr="00B811EF">
              <w:rPr>
                <w:sz w:val="18"/>
              </w:rPr>
              <w:t>2016</w:t>
            </w:r>
          </w:p>
        </w:tc>
        <w:tc>
          <w:tcPr>
            <w:tcW w:w="993" w:type="dxa"/>
            <w:shd w:val="clear" w:color="auto" w:fill="auto"/>
            <w:vAlign w:val="bottom"/>
          </w:tcPr>
          <w:p w14:paraId="682E8A3F"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2</w:t>
            </w:r>
          </w:p>
        </w:tc>
        <w:tc>
          <w:tcPr>
            <w:tcW w:w="1133" w:type="dxa"/>
            <w:shd w:val="clear" w:color="auto" w:fill="auto"/>
            <w:vAlign w:val="bottom"/>
          </w:tcPr>
          <w:p w14:paraId="5C7A8BF8"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2</w:t>
            </w:r>
          </w:p>
        </w:tc>
        <w:tc>
          <w:tcPr>
            <w:tcW w:w="855" w:type="dxa"/>
            <w:shd w:val="clear" w:color="auto" w:fill="auto"/>
            <w:vAlign w:val="bottom"/>
          </w:tcPr>
          <w:p w14:paraId="64589750"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F</w:t>
            </w:r>
          </w:p>
        </w:tc>
        <w:tc>
          <w:tcPr>
            <w:tcW w:w="848" w:type="dxa"/>
            <w:shd w:val="clear" w:color="auto" w:fill="auto"/>
            <w:vAlign w:val="bottom"/>
          </w:tcPr>
          <w:p w14:paraId="35B1B952"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1</w:t>
            </w:r>
          </w:p>
        </w:tc>
        <w:tc>
          <w:tcPr>
            <w:tcW w:w="848" w:type="dxa"/>
            <w:shd w:val="clear" w:color="auto" w:fill="auto"/>
            <w:vAlign w:val="bottom"/>
          </w:tcPr>
          <w:p w14:paraId="7E1F4FC8"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1</w:t>
            </w:r>
          </w:p>
        </w:tc>
        <w:tc>
          <w:tcPr>
            <w:tcW w:w="850" w:type="dxa"/>
            <w:shd w:val="clear" w:color="auto" w:fill="auto"/>
            <w:vAlign w:val="bottom"/>
          </w:tcPr>
          <w:p w14:paraId="1244B96C"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2</w:t>
            </w:r>
          </w:p>
        </w:tc>
        <w:tc>
          <w:tcPr>
            <w:tcW w:w="850" w:type="dxa"/>
            <w:shd w:val="clear" w:color="auto" w:fill="auto"/>
            <w:vAlign w:val="bottom"/>
          </w:tcPr>
          <w:p w14:paraId="718A312F"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0</w:t>
            </w:r>
          </w:p>
        </w:tc>
      </w:tr>
      <w:tr w:rsidR="00B811EF" w:rsidRPr="00B811EF" w14:paraId="71C4C82B" w14:textId="77777777" w:rsidTr="00E45843">
        <w:trPr>
          <w:cantSplit/>
        </w:trPr>
        <w:tc>
          <w:tcPr>
            <w:tcW w:w="993" w:type="dxa"/>
            <w:shd w:val="clear" w:color="auto" w:fill="auto"/>
          </w:tcPr>
          <w:p w14:paraId="23112BC0" w14:textId="77777777" w:rsidR="001D75D7" w:rsidRPr="00B811EF" w:rsidRDefault="001D75D7" w:rsidP="00B811EF">
            <w:pPr>
              <w:pStyle w:val="SingleTxtG"/>
              <w:suppressAutoHyphens w:val="0"/>
              <w:spacing w:before="40" w:after="40" w:line="220" w:lineRule="exact"/>
              <w:ind w:left="0" w:right="113"/>
              <w:jc w:val="left"/>
              <w:rPr>
                <w:sz w:val="18"/>
              </w:rPr>
            </w:pPr>
            <w:r w:rsidRPr="00B811EF">
              <w:rPr>
                <w:sz w:val="18"/>
              </w:rPr>
              <w:t>2017</w:t>
            </w:r>
          </w:p>
        </w:tc>
        <w:tc>
          <w:tcPr>
            <w:tcW w:w="993" w:type="dxa"/>
            <w:shd w:val="clear" w:color="auto" w:fill="auto"/>
            <w:vAlign w:val="bottom"/>
          </w:tcPr>
          <w:p w14:paraId="64C826D6"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2</w:t>
            </w:r>
          </w:p>
        </w:tc>
        <w:tc>
          <w:tcPr>
            <w:tcW w:w="1133" w:type="dxa"/>
            <w:shd w:val="clear" w:color="auto" w:fill="auto"/>
            <w:vAlign w:val="bottom"/>
          </w:tcPr>
          <w:p w14:paraId="6D86C185"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2</w:t>
            </w:r>
          </w:p>
        </w:tc>
        <w:tc>
          <w:tcPr>
            <w:tcW w:w="855" w:type="dxa"/>
            <w:shd w:val="clear" w:color="auto" w:fill="auto"/>
            <w:vAlign w:val="bottom"/>
          </w:tcPr>
          <w:p w14:paraId="65BB0D17"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F</w:t>
            </w:r>
          </w:p>
        </w:tc>
        <w:tc>
          <w:tcPr>
            <w:tcW w:w="848" w:type="dxa"/>
            <w:shd w:val="clear" w:color="auto" w:fill="auto"/>
            <w:vAlign w:val="bottom"/>
          </w:tcPr>
          <w:p w14:paraId="53F21C46"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1</w:t>
            </w:r>
          </w:p>
        </w:tc>
        <w:tc>
          <w:tcPr>
            <w:tcW w:w="848" w:type="dxa"/>
            <w:shd w:val="clear" w:color="auto" w:fill="auto"/>
            <w:vAlign w:val="bottom"/>
          </w:tcPr>
          <w:p w14:paraId="0A337902"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1</w:t>
            </w:r>
          </w:p>
        </w:tc>
        <w:tc>
          <w:tcPr>
            <w:tcW w:w="850" w:type="dxa"/>
            <w:shd w:val="clear" w:color="auto" w:fill="auto"/>
            <w:vAlign w:val="bottom"/>
          </w:tcPr>
          <w:p w14:paraId="73B5F174"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2</w:t>
            </w:r>
          </w:p>
        </w:tc>
        <w:tc>
          <w:tcPr>
            <w:tcW w:w="850" w:type="dxa"/>
            <w:shd w:val="clear" w:color="auto" w:fill="auto"/>
            <w:vAlign w:val="bottom"/>
          </w:tcPr>
          <w:p w14:paraId="25FCE408"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0</w:t>
            </w:r>
          </w:p>
        </w:tc>
      </w:tr>
      <w:tr w:rsidR="00B811EF" w:rsidRPr="00B811EF" w14:paraId="03A7D7DA" w14:textId="77777777" w:rsidTr="00E45843">
        <w:trPr>
          <w:cantSplit/>
        </w:trPr>
        <w:tc>
          <w:tcPr>
            <w:tcW w:w="993" w:type="dxa"/>
            <w:shd w:val="clear" w:color="auto" w:fill="auto"/>
          </w:tcPr>
          <w:p w14:paraId="253FFB7B" w14:textId="77777777" w:rsidR="001D75D7" w:rsidRPr="00B811EF" w:rsidRDefault="001D75D7" w:rsidP="00B811EF">
            <w:pPr>
              <w:pStyle w:val="SingleTxtG"/>
              <w:suppressAutoHyphens w:val="0"/>
              <w:spacing w:before="40" w:after="40" w:line="220" w:lineRule="exact"/>
              <w:ind w:left="0" w:right="113"/>
              <w:jc w:val="left"/>
              <w:rPr>
                <w:sz w:val="18"/>
              </w:rPr>
            </w:pPr>
            <w:r w:rsidRPr="00B811EF">
              <w:rPr>
                <w:sz w:val="18"/>
              </w:rPr>
              <w:t>09/2018</w:t>
            </w:r>
          </w:p>
        </w:tc>
        <w:tc>
          <w:tcPr>
            <w:tcW w:w="993" w:type="dxa"/>
            <w:shd w:val="clear" w:color="auto" w:fill="auto"/>
            <w:vAlign w:val="bottom"/>
          </w:tcPr>
          <w:p w14:paraId="229F59DA"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0</w:t>
            </w:r>
          </w:p>
        </w:tc>
        <w:tc>
          <w:tcPr>
            <w:tcW w:w="1133" w:type="dxa"/>
            <w:shd w:val="clear" w:color="auto" w:fill="auto"/>
            <w:vAlign w:val="bottom"/>
          </w:tcPr>
          <w:p w14:paraId="5646D490"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0</w:t>
            </w:r>
          </w:p>
        </w:tc>
        <w:tc>
          <w:tcPr>
            <w:tcW w:w="855" w:type="dxa"/>
            <w:shd w:val="clear" w:color="auto" w:fill="auto"/>
            <w:vAlign w:val="bottom"/>
          </w:tcPr>
          <w:p w14:paraId="76558661"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0</w:t>
            </w:r>
          </w:p>
        </w:tc>
        <w:tc>
          <w:tcPr>
            <w:tcW w:w="848" w:type="dxa"/>
            <w:shd w:val="clear" w:color="auto" w:fill="auto"/>
            <w:vAlign w:val="bottom"/>
          </w:tcPr>
          <w:p w14:paraId="4A1130EC"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0</w:t>
            </w:r>
          </w:p>
        </w:tc>
        <w:tc>
          <w:tcPr>
            <w:tcW w:w="848" w:type="dxa"/>
            <w:shd w:val="clear" w:color="auto" w:fill="auto"/>
            <w:vAlign w:val="bottom"/>
          </w:tcPr>
          <w:p w14:paraId="108EA6FA"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0</w:t>
            </w:r>
          </w:p>
        </w:tc>
        <w:tc>
          <w:tcPr>
            <w:tcW w:w="850" w:type="dxa"/>
            <w:shd w:val="clear" w:color="auto" w:fill="auto"/>
            <w:vAlign w:val="bottom"/>
          </w:tcPr>
          <w:p w14:paraId="4BA8851C"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0</w:t>
            </w:r>
          </w:p>
        </w:tc>
        <w:tc>
          <w:tcPr>
            <w:tcW w:w="850" w:type="dxa"/>
            <w:shd w:val="clear" w:color="auto" w:fill="auto"/>
            <w:vAlign w:val="bottom"/>
          </w:tcPr>
          <w:p w14:paraId="1B07572B"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0</w:t>
            </w:r>
          </w:p>
        </w:tc>
      </w:tr>
    </w:tbl>
    <w:p w14:paraId="591087C2" w14:textId="59936559" w:rsidR="001D75D7" w:rsidRPr="008E0EE3" w:rsidRDefault="001D75D7" w:rsidP="008E0EE3">
      <w:pPr>
        <w:spacing w:before="120" w:after="240"/>
        <w:ind w:left="1134" w:right="1134" w:firstLine="170"/>
        <w:rPr>
          <w:sz w:val="18"/>
        </w:rPr>
      </w:pPr>
      <w:r w:rsidRPr="008E0EE3">
        <w:rPr>
          <w:i/>
          <w:iCs/>
          <w:sz w:val="18"/>
        </w:rPr>
        <w:t>Source</w:t>
      </w:r>
      <w:r w:rsidRPr="008E0EE3">
        <w:rPr>
          <w:sz w:val="18"/>
        </w:rPr>
        <w:t xml:space="preserve">: </w:t>
      </w:r>
      <w:r w:rsidR="00EB1BB0">
        <w:rPr>
          <w:sz w:val="18"/>
        </w:rPr>
        <w:t xml:space="preserve"> </w:t>
      </w:r>
      <w:r w:rsidRPr="008E0EE3">
        <w:rPr>
          <w:sz w:val="18"/>
        </w:rPr>
        <w:t>OSS.</w:t>
      </w:r>
    </w:p>
    <w:p w14:paraId="6A34F4D7" w14:textId="77777777" w:rsidR="001D75D7" w:rsidRPr="00B47380" w:rsidRDefault="001D75D7" w:rsidP="00D53B5F">
      <w:pPr>
        <w:pStyle w:val="SingleTxtG"/>
      </w:pPr>
      <w:r w:rsidRPr="00B47380">
        <w:t>134.</w:t>
      </w:r>
      <w:r w:rsidRPr="00B47380">
        <w:tab/>
        <w:t xml:space="preserve">As regards cases qualified and tried as TIP under Article 153-A of the MCC, there was 1 case in 2014, where 1 defendant was found not guilty. In 2016, 1 case of 2010 was </w:t>
      </w:r>
      <w:proofErr w:type="gramStart"/>
      <w:r w:rsidRPr="00B47380">
        <w:t>tried</w:t>
      </w:r>
      <w:proofErr w:type="gramEnd"/>
      <w:r w:rsidRPr="00B47380">
        <w:t xml:space="preserve"> and 1 defendant was sentenced to 16 years imprisonment for the crime of TIP together with exploitation of prostitution and forgery crimes. In 2017, 1 case of 2010 was </w:t>
      </w:r>
      <w:proofErr w:type="gramStart"/>
      <w:r w:rsidRPr="00B47380">
        <w:t>tried</w:t>
      </w:r>
      <w:proofErr w:type="gramEnd"/>
      <w:r w:rsidRPr="00B47380">
        <w:t xml:space="preserve"> and 1 defendant was sentenced to 9 years imprisonment for the crime of TIP together with illegal shelter. </w:t>
      </w:r>
    </w:p>
    <w:p w14:paraId="0CA1D45E" w14:textId="77777777" w:rsidR="001D75D7" w:rsidRPr="00B47380" w:rsidRDefault="001D75D7" w:rsidP="00D53B5F">
      <w:pPr>
        <w:pStyle w:val="SingleTxtG"/>
      </w:pPr>
      <w:r w:rsidRPr="00B47380">
        <w:t>135.</w:t>
      </w:r>
      <w:r w:rsidRPr="00B47380">
        <w:tab/>
        <w:t>The SWB continues to provide TIP victims with financial assistance (including living expenses, return transportation expenses, certificates fees), drug treatment services, shelter, medical referral and legal counselling, etc. Victims whose lives are in danger are entitled to receive physical protection (police protection).</w:t>
      </w:r>
    </w:p>
    <w:p w14:paraId="375CE215" w14:textId="77777777" w:rsidR="001D75D7" w:rsidRPr="00B47380" w:rsidRDefault="001D75D7" w:rsidP="008E0EE3">
      <w:pPr>
        <w:pStyle w:val="H23G"/>
      </w:pPr>
      <w:r w:rsidRPr="00B47380">
        <w:tab/>
      </w:r>
      <w:r w:rsidRPr="00B47380">
        <w:tab/>
        <w:t>Services to TIP victims and potential victims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70"/>
        <w:gridCol w:w="679"/>
        <w:gridCol w:w="680"/>
        <w:gridCol w:w="680"/>
        <w:gridCol w:w="680"/>
        <w:gridCol w:w="681"/>
      </w:tblGrid>
      <w:tr w:rsidR="00B811EF" w:rsidRPr="00B811EF" w14:paraId="7133CCDB" w14:textId="77777777" w:rsidTr="00E45843">
        <w:trPr>
          <w:cantSplit/>
          <w:tblHeader/>
        </w:trPr>
        <w:tc>
          <w:tcPr>
            <w:tcW w:w="2693" w:type="pct"/>
            <w:tcBorders>
              <w:top w:val="single" w:sz="4" w:space="0" w:color="auto"/>
              <w:bottom w:val="single" w:sz="12" w:space="0" w:color="auto"/>
            </w:tcBorders>
            <w:shd w:val="clear" w:color="auto" w:fill="auto"/>
            <w:vAlign w:val="bottom"/>
          </w:tcPr>
          <w:p w14:paraId="015A017F" w14:textId="77777777" w:rsidR="001D75D7" w:rsidRPr="00B811EF" w:rsidRDefault="001D75D7" w:rsidP="00B811EF">
            <w:pPr>
              <w:pStyle w:val="SingleTxtG"/>
              <w:suppressAutoHyphens w:val="0"/>
              <w:spacing w:before="80" w:after="80" w:line="200" w:lineRule="exact"/>
              <w:ind w:left="0" w:right="113"/>
              <w:jc w:val="left"/>
              <w:rPr>
                <w:i/>
                <w:sz w:val="16"/>
              </w:rPr>
            </w:pPr>
            <w:r w:rsidRPr="00B811EF">
              <w:rPr>
                <w:i/>
                <w:sz w:val="16"/>
              </w:rPr>
              <w:t>Services/Year</w:t>
            </w:r>
          </w:p>
        </w:tc>
        <w:tc>
          <w:tcPr>
            <w:tcW w:w="461" w:type="pct"/>
            <w:tcBorders>
              <w:top w:val="single" w:sz="4" w:space="0" w:color="auto"/>
              <w:bottom w:val="single" w:sz="12" w:space="0" w:color="auto"/>
            </w:tcBorders>
            <w:shd w:val="clear" w:color="auto" w:fill="auto"/>
            <w:vAlign w:val="bottom"/>
          </w:tcPr>
          <w:p w14:paraId="74F80BA6" w14:textId="77777777" w:rsidR="001D75D7" w:rsidRPr="00B811EF" w:rsidRDefault="001D75D7" w:rsidP="00B811EF">
            <w:pPr>
              <w:pStyle w:val="SingleTxtG"/>
              <w:suppressAutoHyphens w:val="0"/>
              <w:spacing w:before="80" w:after="80" w:line="200" w:lineRule="exact"/>
              <w:ind w:left="0" w:right="113"/>
              <w:jc w:val="right"/>
              <w:rPr>
                <w:i/>
                <w:sz w:val="16"/>
              </w:rPr>
            </w:pPr>
            <w:r w:rsidRPr="00B811EF">
              <w:rPr>
                <w:i/>
                <w:sz w:val="16"/>
              </w:rPr>
              <w:t>2014</w:t>
            </w:r>
          </w:p>
        </w:tc>
        <w:tc>
          <w:tcPr>
            <w:tcW w:w="461" w:type="pct"/>
            <w:tcBorders>
              <w:top w:val="single" w:sz="4" w:space="0" w:color="auto"/>
              <w:bottom w:val="single" w:sz="12" w:space="0" w:color="auto"/>
            </w:tcBorders>
            <w:shd w:val="clear" w:color="auto" w:fill="auto"/>
            <w:vAlign w:val="bottom"/>
          </w:tcPr>
          <w:p w14:paraId="6AE3C714" w14:textId="77777777" w:rsidR="001D75D7" w:rsidRPr="00B811EF" w:rsidRDefault="001D75D7" w:rsidP="00B811EF">
            <w:pPr>
              <w:pStyle w:val="SingleTxtG"/>
              <w:suppressAutoHyphens w:val="0"/>
              <w:spacing w:before="80" w:after="80" w:line="200" w:lineRule="exact"/>
              <w:ind w:left="0" w:right="113"/>
              <w:jc w:val="right"/>
              <w:rPr>
                <w:i/>
                <w:sz w:val="16"/>
              </w:rPr>
            </w:pPr>
            <w:r w:rsidRPr="00B811EF">
              <w:rPr>
                <w:i/>
                <w:sz w:val="16"/>
              </w:rPr>
              <w:t>2015</w:t>
            </w:r>
          </w:p>
        </w:tc>
        <w:tc>
          <w:tcPr>
            <w:tcW w:w="461" w:type="pct"/>
            <w:tcBorders>
              <w:top w:val="single" w:sz="4" w:space="0" w:color="auto"/>
              <w:bottom w:val="single" w:sz="12" w:space="0" w:color="auto"/>
            </w:tcBorders>
            <w:shd w:val="clear" w:color="auto" w:fill="auto"/>
            <w:vAlign w:val="bottom"/>
          </w:tcPr>
          <w:p w14:paraId="3F5945AC" w14:textId="77777777" w:rsidR="001D75D7" w:rsidRPr="00B811EF" w:rsidRDefault="001D75D7" w:rsidP="00B811EF">
            <w:pPr>
              <w:pStyle w:val="SingleTxtG"/>
              <w:suppressAutoHyphens w:val="0"/>
              <w:spacing w:before="80" w:after="80" w:line="200" w:lineRule="exact"/>
              <w:ind w:left="0" w:right="113"/>
              <w:jc w:val="right"/>
              <w:rPr>
                <w:i/>
                <w:sz w:val="16"/>
              </w:rPr>
            </w:pPr>
            <w:r w:rsidRPr="00B811EF">
              <w:rPr>
                <w:i/>
                <w:sz w:val="16"/>
              </w:rPr>
              <w:t>2016</w:t>
            </w:r>
          </w:p>
        </w:tc>
        <w:tc>
          <w:tcPr>
            <w:tcW w:w="461" w:type="pct"/>
            <w:tcBorders>
              <w:top w:val="single" w:sz="4" w:space="0" w:color="auto"/>
              <w:bottom w:val="single" w:sz="12" w:space="0" w:color="auto"/>
            </w:tcBorders>
            <w:shd w:val="clear" w:color="auto" w:fill="auto"/>
            <w:vAlign w:val="bottom"/>
          </w:tcPr>
          <w:p w14:paraId="5ED2B79E" w14:textId="77777777" w:rsidR="001D75D7" w:rsidRPr="00B811EF" w:rsidRDefault="001D75D7" w:rsidP="00B811EF">
            <w:pPr>
              <w:pStyle w:val="SingleTxtG"/>
              <w:suppressAutoHyphens w:val="0"/>
              <w:spacing w:before="80" w:after="80" w:line="200" w:lineRule="exact"/>
              <w:ind w:left="0" w:right="113"/>
              <w:jc w:val="right"/>
              <w:rPr>
                <w:i/>
                <w:sz w:val="16"/>
              </w:rPr>
            </w:pPr>
            <w:r w:rsidRPr="00B811EF">
              <w:rPr>
                <w:i/>
                <w:sz w:val="16"/>
              </w:rPr>
              <w:t>2017</w:t>
            </w:r>
          </w:p>
        </w:tc>
        <w:tc>
          <w:tcPr>
            <w:tcW w:w="462" w:type="pct"/>
            <w:tcBorders>
              <w:top w:val="single" w:sz="4" w:space="0" w:color="auto"/>
              <w:bottom w:val="single" w:sz="12" w:space="0" w:color="auto"/>
            </w:tcBorders>
            <w:shd w:val="clear" w:color="auto" w:fill="auto"/>
            <w:vAlign w:val="bottom"/>
          </w:tcPr>
          <w:p w14:paraId="54DB03F6" w14:textId="77777777" w:rsidR="001D75D7" w:rsidRPr="00B811EF" w:rsidRDefault="001D75D7" w:rsidP="00B811EF">
            <w:pPr>
              <w:pStyle w:val="SingleTxtG"/>
              <w:suppressAutoHyphens w:val="0"/>
              <w:spacing w:before="80" w:after="80" w:line="200" w:lineRule="exact"/>
              <w:ind w:left="0" w:right="113"/>
              <w:jc w:val="right"/>
              <w:rPr>
                <w:i/>
                <w:sz w:val="16"/>
              </w:rPr>
            </w:pPr>
            <w:r w:rsidRPr="00B811EF">
              <w:rPr>
                <w:i/>
                <w:sz w:val="16"/>
              </w:rPr>
              <w:t>09/2018</w:t>
            </w:r>
          </w:p>
        </w:tc>
      </w:tr>
      <w:tr w:rsidR="00B811EF" w:rsidRPr="00B811EF" w14:paraId="76D92181" w14:textId="77777777" w:rsidTr="00E45843">
        <w:trPr>
          <w:cantSplit/>
        </w:trPr>
        <w:tc>
          <w:tcPr>
            <w:tcW w:w="2693" w:type="pct"/>
            <w:tcBorders>
              <w:top w:val="single" w:sz="12" w:space="0" w:color="auto"/>
            </w:tcBorders>
            <w:shd w:val="clear" w:color="auto" w:fill="auto"/>
          </w:tcPr>
          <w:p w14:paraId="6B46DB40" w14:textId="77777777" w:rsidR="001D75D7" w:rsidRPr="00B811EF" w:rsidRDefault="001D75D7" w:rsidP="00B811EF">
            <w:pPr>
              <w:pStyle w:val="SingleTxtG"/>
              <w:suppressAutoHyphens w:val="0"/>
              <w:spacing w:before="40" w:after="40" w:line="220" w:lineRule="exact"/>
              <w:ind w:left="0" w:right="113"/>
              <w:jc w:val="left"/>
              <w:rPr>
                <w:sz w:val="18"/>
              </w:rPr>
            </w:pPr>
            <w:r w:rsidRPr="00B811EF">
              <w:rPr>
                <w:sz w:val="18"/>
              </w:rPr>
              <w:t>Shelter for adults (No. of persons)</w:t>
            </w:r>
          </w:p>
        </w:tc>
        <w:tc>
          <w:tcPr>
            <w:tcW w:w="461" w:type="pct"/>
            <w:tcBorders>
              <w:top w:val="single" w:sz="12" w:space="0" w:color="auto"/>
            </w:tcBorders>
            <w:shd w:val="clear" w:color="auto" w:fill="auto"/>
            <w:vAlign w:val="bottom"/>
          </w:tcPr>
          <w:p w14:paraId="18562375"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2</w:t>
            </w:r>
          </w:p>
        </w:tc>
        <w:tc>
          <w:tcPr>
            <w:tcW w:w="461" w:type="pct"/>
            <w:tcBorders>
              <w:top w:val="single" w:sz="12" w:space="0" w:color="auto"/>
            </w:tcBorders>
            <w:shd w:val="clear" w:color="auto" w:fill="auto"/>
            <w:vAlign w:val="bottom"/>
          </w:tcPr>
          <w:p w14:paraId="3B9B0710"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2</w:t>
            </w:r>
          </w:p>
        </w:tc>
        <w:tc>
          <w:tcPr>
            <w:tcW w:w="461" w:type="pct"/>
            <w:tcBorders>
              <w:top w:val="single" w:sz="12" w:space="0" w:color="auto"/>
            </w:tcBorders>
            <w:shd w:val="clear" w:color="auto" w:fill="auto"/>
            <w:vAlign w:val="bottom"/>
          </w:tcPr>
          <w:p w14:paraId="456AB632"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1</w:t>
            </w:r>
          </w:p>
        </w:tc>
        <w:tc>
          <w:tcPr>
            <w:tcW w:w="461" w:type="pct"/>
            <w:tcBorders>
              <w:top w:val="single" w:sz="12" w:space="0" w:color="auto"/>
            </w:tcBorders>
            <w:shd w:val="clear" w:color="auto" w:fill="auto"/>
            <w:vAlign w:val="bottom"/>
          </w:tcPr>
          <w:p w14:paraId="29DC7DA6"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w:t>
            </w:r>
          </w:p>
        </w:tc>
        <w:tc>
          <w:tcPr>
            <w:tcW w:w="462" w:type="pct"/>
            <w:tcBorders>
              <w:top w:val="single" w:sz="12" w:space="0" w:color="auto"/>
            </w:tcBorders>
            <w:shd w:val="clear" w:color="auto" w:fill="auto"/>
            <w:vAlign w:val="bottom"/>
          </w:tcPr>
          <w:p w14:paraId="0ACD08D9"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w:t>
            </w:r>
          </w:p>
        </w:tc>
      </w:tr>
      <w:tr w:rsidR="00B811EF" w:rsidRPr="00B811EF" w14:paraId="22D007FF" w14:textId="77777777" w:rsidTr="00E45843">
        <w:trPr>
          <w:cantSplit/>
        </w:trPr>
        <w:tc>
          <w:tcPr>
            <w:tcW w:w="2693" w:type="pct"/>
            <w:shd w:val="clear" w:color="auto" w:fill="auto"/>
          </w:tcPr>
          <w:p w14:paraId="02E7464E" w14:textId="77777777" w:rsidR="001D75D7" w:rsidRPr="00B811EF" w:rsidRDefault="001D75D7" w:rsidP="00B811EF">
            <w:pPr>
              <w:pStyle w:val="SingleTxtG"/>
              <w:suppressAutoHyphens w:val="0"/>
              <w:spacing w:before="40" w:after="40" w:line="220" w:lineRule="exact"/>
              <w:ind w:left="0" w:right="113"/>
              <w:jc w:val="left"/>
              <w:rPr>
                <w:sz w:val="18"/>
              </w:rPr>
            </w:pPr>
            <w:r w:rsidRPr="00B811EF">
              <w:rPr>
                <w:sz w:val="18"/>
              </w:rPr>
              <w:t>Shelter for minors (No. of persons)</w:t>
            </w:r>
          </w:p>
        </w:tc>
        <w:tc>
          <w:tcPr>
            <w:tcW w:w="461" w:type="pct"/>
            <w:shd w:val="clear" w:color="auto" w:fill="auto"/>
            <w:vAlign w:val="bottom"/>
          </w:tcPr>
          <w:p w14:paraId="7D80DC4C"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4</w:t>
            </w:r>
          </w:p>
        </w:tc>
        <w:tc>
          <w:tcPr>
            <w:tcW w:w="461" w:type="pct"/>
            <w:shd w:val="clear" w:color="auto" w:fill="auto"/>
            <w:vAlign w:val="bottom"/>
          </w:tcPr>
          <w:p w14:paraId="53905821"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4</w:t>
            </w:r>
          </w:p>
        </w:tc>
        <w:tc>
          <w:tcPr>
            <w:tcW w:w="461" w:type="pct"/>
            <w:shd w:val="clear" w:color="auto" w:fill="auto"/>
            <w:vAlign w:val="bottom"/>
          </w:tcPr>
          <w:p w14:paraId="6391D8F5"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3</w:t>
            </w:r>
          </w:p>
        </w:tc>
        <w:tc>
          <w:tcPr>
            <w:tcW w:w="461" w:type="pct"/>
            <w:shd w:val="clear" w:color="auto" w:fill="auto"/>
            <w:vAlign w:val="bottom"/>
          </w:tcPr>
          <w:p w14:paraId="6D3D0937"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2</w:t>
            </w:r>
          </w:p>
        </w:tc>
        <w:tc>
          <w:tcPr>
            <w:tcW w:w="462" w:type="pct"/>
            <w:shd w:val="clear" w:color="auto" w:fill="auto"/>
            <w:vAlign w:val="bottom"/>
          </w:tcPr>
          <w:p w14:paraId="5997777E"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1</w:t>
            </w:r>
          </w:p>
        </w:tc>
      </w:tr>
      <w:tr w:rsidR="00B811EF" w:rsidRPr="00B811EF" w14:paraId="5BCE9171" w14:textId="77777777" w:rsidTr="00E45843">
        <w:trPr>
          <w:cantSplit/>
        </w:trPr>
        <w:tc>
          <w:tcPr>
            <w:tcW w:w="2693" w:type="pct"/>
            <w:shd w:val="clear" w:color="auto" w:fill="auto"/>
          </w:tcPr>
          <w:p w14:paraId="21CF98B5" w14:textId="77777777" w:rsidR="001D75D7" w:rsidRPr="00B811EF" w:rsidRDefault="001D75D7" w:rsidP="00B811EF">
            <w:pPr>
              <w:pStyle w:val="SingleTxtG"/>
              <w:suppressAutoHyphens w:val="0"/>
              <w:spacing w:before="40" w:after="40" w:line="220" w:lineRule="exact"/>
              <w:ind w:left="0" w:right="113"/>
              <w:jc w:val="left"/>
              <w:rPr>
                <w:sz w:val="18"/>
              </w:rPr>
            </w:pPr>
            <w:r w:rsidRPr="00B811EF">
              <w:rPr>
                <w:sz w:val="18"/>
              </w:rPr>
              <w:t>No. of counselling &amp; follow up</w:t>
            </w:r>
          </w:p>
        </w:tc>
        <w:tc>
          <w:tcPr>
            <w:tcW w:w="461" w:type="pct"/>
            <w:shd w:val="clear" w:color="auto" w:fill="auto"/>
            <w:vAlign w:val="bottom"/>
          </w:tcPr>
          <w:p w14:paraId="34220DC7"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55</w:t>
            </w:r>
          </w:p>
        </w:tc>
        <w:tc>
          <w:tcPr>
            <w:tcW w:w="461" w:type="pct"/>
            <w:shd w:val="clear" w:color="auto" w:fill="auto"/>
            <w:vAlign w:val="bottom"/>
          </w:tcPr>
          <w:p w14:paraId="197763B6"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20</w:t>
            </w:r>
          </w:p>
        </w:tc>
        <w:tc>
          <w:tcPr>
            <w:tcW w:w="461" w:type="pct"/>
            <w:shd w:val="clear" w:color="auto" w:fill="auto"/>
            <w:vAlign w:val="bottom"/>
          </w:tcPr>
          <w:p w14:paraId="1438FD7C"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12</w:t>
            </w:r>
          </w:p>
        </w:tc>
        <w:tc>
          <w:tcPr>
            <w:tcW w:w="461" w:type="pct"/>
            <w:shd w:val="clear" w:color="auto" w:fill="auto"/>
            <w:vAlign w:val="bottom"/>
          </w:tcPr>
          <w:p w14:paraId="696132A5"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5</w:t>
            </w:r>
          </w:p>
        </w:tc>
        <w:tc>
          <w:tcPr>
            <w:tcW w:w="462" w:type="pct"/>
            <w:shd w:val="clear" w:color="auto" w:fill="auto"/>
            <w:vAlign w:val="bottom"/>
          </w:tcPr>
          <w:p w14:paraId="50E0D169"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3</w:t>
            </w:r>
          </w:p>
        </w:tc>
      </w:tr>
      <w:tr w:rsidR="00B811EF" w:rsidRPr="00B811EF" w14:paraId="0D1E0E3D" w14:textId="77777777" w:rsidTr="00E45843">
        <w:trPr>
          <w:cantSplit/>
        </w:trPr>
        <w:tc>
          <w:tcPr>
            <w:tcW w:w="2693" w:type="pct"/>
            <w:shd w:val="clear" w:color="auto" w:fill="auto"/>
          </w:tcPr>
          <w:p w14:paraId="1EAE9643" w14:textId="77777777" w:rsidR="001D75D7" w:rsidRPr="00B811EF" w:rsidRDefault="001D75D7" w:rsidP="00B811EF">
            <w:pPr>
              <w:pStyle w:val="SingleTxtG"/>
              <w:suppressAutoHyphens w:val="0"/>
              <w:spacing w:before="40" w:after="40" w:line="220" w:lineRule="exact"/>
              <w:ind w:left="0" w:right="113"/>
              <w:jc w:val="left"/>
              <w:rPr>
                <w:sz w:val="18"/>
              </w:rPr>
            </w:pPr>
            <w:r w:rsidRPr="00B811EF">
              <w:rPr>
                <w:sz w:val="18"/>
              </w:rPr>
              <w:t>No. of medical and healthcare referrals</w:t>
            </w:r>
          </w:p>
        </w:tc>
        <w:tc>
          <w:tcPr>
            <w:tcW w:w="461" w:type="pct"/>
            <w:shd w:val="clear" w:color="auto" w:fill="auto"/>
            <w:vAlign w:val="bottom"/>
          </w:tcPr>
          <w:p w14:paraId="2AC745A2"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8</w:t>
            </w:r>
          </w:p>
        </w:tc>
        <w:tc>
          <w:tcPr>
            <w:tcW w:w="461" w:type="pct"/>
            <w:shd w:val="clear" w:color="auto" w:fill="auto"/>
            <w:vAlign w:val="bottom"/>
          </w:tcPr>
          <w:p w14:paraId="39C721A8"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7</w:t>
            </w:r>
          </w:p>
        </w:tc>
        <w:tc>
          <w:tcPr>
            <w:tcW w:w="461" w:type="pct"/>
            <w:shd w:val="clear" w:color="auto" w:fill="auto"/>
            <w:vAlign w:val="bottom"/>
          </w:tcPr>
          <w:p w14:paraId="276300A6"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4</w:t>
            </w:r>
          </w:p>
        </w:tc>
        <w:tc>
          <w:tcPr>
            <w:tcW w:w="461" w:type="pct"/>
            <w:shd w:val="clear" w:color="auto" w:fill="auto"/>
            <w:vAlign w:val="bottom"/>
          </w:tcPr>
          <w:p w14:paraId="1C1CB93F"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2</w:t>
            </w:r>
          </w:p>
        </w:tc>
        <w:tc>
          <w:tcPr>
            <w:tcW w:w="462" w:type="pct"/>
            <w:shd w:val="clear" w:color="auto" w:fill="auto"/>
            <w:vAlign w:val="bottom"/>
          </w:tcPr>
          <w:p w14:paraId="14FB70AB"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1</w:t>
            </w:r>
          </w:p>
        </w:tc>
      </w:tr>
      <w:tr w:rsidR="00B811EF" w:rsidRPr="00B811EF" w14:paraId="24271356" w14:textId="77777777" w:rsidTr="00E45843">
        <w:trPr>
          <w:cantSplit/>
        </w:trPr>
        <w:tc>
          <w:tcPr>
            <w:tcW w:w="2693" w:type="pct"/>
            <w:shd w:val="clear" w:color="auto" w:fill="auto"/>
          </w:tcPr>
          <w:p w14:paraId="551503E3" w14:textId="77777777" w:rsidR="001D75D7" w:rsidRPr="00B811EF" w:rsidRDefault="001D75D7" w:rsidP="00B811EF">
            <w:pPr>
              <w:pStyle w:val="SingleTxtG"/>
              <w:suppressAutoHyphens w:val="0"/>
              <w:spacing w:before="40" w:after="40" w:line="220" w:lineRule="exact"/>
              <w:ind w:left="0" w:right="113"/>
              <w:jc w:val="left"/>
              <w:rPr>
                <w:sz w:val="18"/>
              </w:rPr>
            </w:pPr>
            <w:r w:rsidRPr="00B811EF">
              <w:rPr>
                <w:sz w:val="18"/>
              </w:rPr>
              <w:t>No. of skills trainings</w:t>
            </w:r>
          </w:p>
        </w:tc>
        <w:tc>
          <w:tcPr>
            <w:tcW w:w="461" w:type="pct"/>
            <w:shd w:val="clear" w:color="auto" w:fill="auto"/>
            <w:vAlign w:val="bottom"/>
          </w:tcPr>
          <w:p w14:paraId="2243117B"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2</w:t>
            </w:r>
          </w:p>
        </w:tc>
        <w:tc>
          <w:tcPr>
            <w:tcW w:w="461" w:type="pct"/>
            <w:shd w:val="clear" w:color="auto" w:fill="auto"/>
            <w:vAlign w:val="bottom"/>
          </w:tcPr>
          <w:p w14:paraId="02025263"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w:t>
            </w:r>
          </w:p>
        </w:tc>
        <w:tc>
          <w:tcPr>
            <w:tcW w:w="461" w:type="pct"/>
            <w:shd w:val="clear" w:color="auto" w:fill="auto"/>
            <w:vAlign w:val="bottom"/>
          </w:tcPr>
          <w:p w14:paraId="2E1F4402"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w:t>
            </w:r>
          </w:p>
        </w:tc>
        <w:tc>
          <w:tcPr>
            <w:tcW w:w="461" w:type="pct"/>
            <w:shd w:val="clear" w:color="auto" w:fill="auto"/>
            <w:vAlign w:val="bottom"/>
          </w:tcPr>
          <w:p w14:paraId="0080C25F"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w:t>
            </w:r>
          </w:p>
        </w:tc>
        <w:tc>
          <w:tcPr>
            <w:tcW w:w="462" w:type="pct"/>
            <w:shd w:val="clear" w:color="auto" w:fill="auto"/>
            <w:vAlign w:val="bottom"/>
          </w:tcPr>
          <w:p w14:paraId="66AD5F1F"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w:t>
            </w:r>
          </w:p>
        </w:tc>
      </w:tr>
      <w:tr w:rsidR="00B811EF" w:rsidRPr="00B811EF" w14:paraId="1145937D" w14:textId="77777777" w:rsidTr="00E45843">
        <w:trPr>
          <w:cantSplit/>
        </w:trPr>
        <w:tc>
          <w:tcPr>
            <w:tcW w:w="2693" w:type="pct"/>
            <w:shd w:val="clear" w:color="auto" w:fill="auto"/>
          </w:tcPr>
          <w:p w14:paraId="0A1D9ED7" w14:textId="77777777" w:rsidR="001D75D7" w:rsidRPr="00B811EF" w:rsidRDefault="001D75D7" w:rsidP="00B811EF">
            <w:pPr>
              <w:pStyle w:val="SingleTxtG"/>
              <w:suppressAutoHyphens w:val="0"/>
              <w:spacing w:before="40" w:after="40" w:line="220" w:lineRule="exact"/>
              <w:ind w:left="0" w:right="113"/>
              <w:jc w:val="left"/>
              <w:rPr>
                <w:sz w:val="18"/>
              </w:rPr>
            </w:pPr>
            <w:r w:rsidRPr="00B811EF">
              <w:rPr>
                <w:sz w:val="18"/>
              </w:rPr>
              <w:t>Repatriation Service by the International Organisation for Migration (IOM) (No. of persons)</w:t>
            </w:r>
          </w:p>
        </w:tc>
        <w:tc>
          <w:tcPr>
            <w:tcW w:w="461" w:type="pct"/>
            <w:shd w:val="clear" w:color="auto" w:fill="auto"/>
            <w:vAlign w:val="bottom"/>
          </w:tcPr>
          <w:p w14:paraId="2D63545B"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1</w:t>
            </w:r>
          </w:p>
        </w:tc>
        <w:tc>
          <w:tcPr>
            <w:tcW w:w="461" w:type="pct"/>
            <w:shd w:val="clear" w:color="auto" w:fill="auto"/>
            <w:vAlign w:val="bottom"/>
          </w:tcPr>
          <w:p w14:paraId="56A7EE04"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1</w:t>
            </w:r>
          </w:p>
        </w:tc>
        <w:tc>
          <w:tcPr>
            <w:tcW w:w="461" w:type="pct"/>
            <w:shd w:val="clear" w:color="auto" w:fill="auto"/>
            <w:vAlign w:val="bottom"/>
          </w:tcPr>
          <w:p w14:paraId="0362E9D2"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w:t>
            </w:r>
          </w:p>
        </w:tc>
        <w:tc>
          <w:tcPr>
            <w:tcW w:w="461" w:type="pct"/>
            <w:shd w:val="clear" w:color="auto" w:fill="auto"/>
            <w:vAlign w:val="bottom"/>
          </w:tcPr>
          <w:p w14:paraId="04B0D304"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w:t>
            </w:r>
          </w:p>
        </w:tc>
        <w:tc>
          <w:tcPr>
            <w:tcW w:w="462" w:type="pct"/>
            <w:shd w:val="clear" w:color="auto" w:fill="auto"/>
            <w:vAlign w:val="bottom"/>
          </w:tcPr>
          <w:p w14:paraId="0E9BFD00" w14:textId="77777777" w:rsidR="001D75D7" w:rsidRPr="00B811EF" w:rsidRDefault="001D75D7" w:rsidP="00B811EF">
            <w:pPr>
              <w:pStyle w:val="SingleTxtG"/>
              <w:suppressAutoHyphens w:val="0"/>
              <w:spacing w:before="40" w:after="40" w:line="220" w:lineRule="exact"/>
              <w:ind w:left="0" w:right="113"/>
              <w:jc w:val="right"/>
              <w:rPr>
                <w:sz w:val="18"/>
              </w:rPr>
            </w:pPr>
            <w:r w:rsidRPr="00B811EF">
              <w:rPr>
                <w:sz w:val="18"/>
              </w:rPr>
              <w:t>-</w:t>
            </w:r>
          </w:p>
        </w:tc>
      </w:tr>
    </w:tbl>
    <w:p w14:paraId="3537D583" w14:textId="06A3DABB" w:rsidR="001D75D7" w:rsidRPr="008E0EE3" w:rsidRDefault="001D75D7" w:rsidP="008E0EE3">
      <w:pPr>
        <w:spacing w:before="120" w:after="240"/>
        <w:ind w:left="1134" w:right="1134" w:firstLine="170"/>
        <w:rPr>
          <w:sz w:val="18"/>
        </w:rPr>
      </w:pPr>
      <w:r w:rsidRPr="008E0EE3">
        <w:rPr>
          <w:i/>
          <w:iCs/>
          <w:sz w:val="18"/>
        </w:rPr>
        <w:t>Source</w:t>
      </w:r>
      <w:r w:rsidRPr="008E0EE3">
        <w:rPr>
          <w:sz w:val="18"/>
        </w:rPr>
        <w:t xml:space="preserve">: </w:t>
      </w:r>
      <w:r w:rsidR="00EB1BB0">
        <w:rPr>
          <w:sz w:val="18"/>
        </w:rPr>
        <w:t xml:space="preserve"> </w:t>
      </w:r>
      <w:r w:rsidRPr="008E0EE3">
        <w:rPr>
          <w:sz w:val="18"/>
        </w:rPr>
        <w:t>SWB.</w:t>
      </w:r>
    </w:p>
    <w:p w14:paraId="3A06D7C9" w14:textId="77777777" w:rsidR="001D75D7" w:rsidRPr="00B47380" w:rsidRDefault="001D75D7" w:rsidP="00D53B5F">
      <w:pPr>
        <w:pStyle w:val="SingleTxtG"/>
      </w:pPr>
      <w:r w:rsidRPr="00B47380">
        <w:t>136.</w:t>
      </w:r>
      <w:r w:rsidRPr="00B47380">
        <w:tab/>
        <w:t>Law enforcement agencies (Unitary Police Service (UPS), Customs Services, JP and PSPF) continue to counter TIP. Regular raids and targeted operations against TIP for sexual exploitation are undertaken in potential black spots, such as saunas, massage establishments, night clubs and illegal guesthouses; whereas for labour exploitation, they are performed in construction sites, hotels, restaurants and employment agencies.</w:t>
      </w:r>
    </w:p>
    <w:p w14:paraId="339101A7" w14:textId="77777777" w:rsidR="001D75D7" w:rsidRPr="00B47380" w:rsidRDefault="001D75D7" w:rsidP="00D53B5F">
      <w:pPr>
        <w:pStyle w:val="SingleTxtG"/>
      </w:pPr>
      <w:r w:rsidRPr="00B47380">
        <w:t>137.</w:t>
      </w:r>
      <w:r w:rsidRPr="00B47380">
        <w:tab/>
        <w:t xml:space="preserve">Stricter control at the border checkpoints, particularly concerning visitors/non-resident workers from high-risk countries, as well as random checks and questionnaire surveys targeting arriving visitors (females aged between 18 and 35) have been implemented. </w:t>
      </w:r>
    </w:p>
    <w:p w14:paraId="5CF93005" w14:textId="77777777" w:rsidR="001D75D7" w:rsidRPr="00B47380" w:rsidRDefault="001D75D7" w:rsidP="00D53B5F">
      <w:pPr>
        <w:pStyle w:val="SingleTxtG"/>
      </w:pPr>
      <w:r w:rsidRPr="00B47380">
        <w:lastRenderedPageBreak/>
        <w:t>138.</w:t>
      </w:r>
      <w:r w:rsidRPr="00B47380">
        <w:tab/>
        <w:t>HR and TIP are among the topics in the training courses for law enforcement agencies. Training activities in relation to identification of TIP victims and respective assistance were also conducted together with the IOM and NGOs. Outreach activities regarding preventing and combating TIP are also undertaken for students, non-resident workers and in the private sector, such as the gaming industry.</w:t>
      </w:r>
    </w:p>
    <w:p w14:paraId="5EB40D2D" w14:textId="593B4C1B" w:rsidR="001D75D7" w:rsidRPr="00B47380" w:rsidRDefault="001D75D7" w:rsidP="00D53B5F">
      <w:pPr>
        <w:pStyle w:val="SingleTxtG"/>
      </w:pPr>
      <w:r w:rsidRPr="00B47380">
        <w:t>139.</w:t>
      </w:r>
      <w:r w:rsidRPr="00B47380">
        <w:tab/>
        <w:t>To enhance public awareness, considerable efforts have been made to disseminate information on combating and reporting TIP in schools and the community (including at border checkpoints) through posters, leaflets, media in different languages (Traditional Chinese, Simplified Chinese, Portuguese, English, Japanese, Korean, Thai, Filipino, Indonesian, Burmese, Vietnamese and Mongolian). They have also been uploaded on YouTube and on the website of the Legal Affairs Bureau and the Macao Law Portal since 2014.</w:t>
      </w:r>
    </w:p>
    <w:p w14:paraId="3C6A5DA0" w14:textId="77777777" w:rsidR="001D75D7" w:rsidRPr="00B47380" w:rsidRDefault="001D75D7" w:rsidP="00D53B5F">
      <w:pPr>
        <w:pStyle w:val="SingleTxtG"/>
      </w:pPr>
      <w:r w:rsidRPr="00B47380">
        <w:t>140.</w:t>
      </w:r>
      <w:r w:rsidRPr="00B47380">
        <w:tab/>
        <w:t xml:space="preserve">Cooperation with neighbouring jurisdictions has been strengthened, intelligence </w:t>
      </w:r>
      <w:proofErr w:type="gramStart"/>
      <w:r w:rsidRPr="00B47380">
        <w:t>sharing</w:t>
      </w:r>
      <w:proofErr w:type="gramEnd"/>
      <w:r w:rsidRPr="00B47380">
        <w:t xml:space="preserve"> and collection system(s) established and large-scale tripartite anti-crime joint operations organised with the Mainland Chinese and Hong Kong police authorities. The Macao Sub-bureau of the National Central Bureau of China of INTERPOL plays a significant role in strengthening communication with countries/regions to counter TIP. </w:t>
      </w:r>
    </w:p>
    <w:p w14:paraId="57969AA4" w14:textId="77777777" w:rsidR="001D75D7" w:rsidRPr="00B47380" w:rsidRDefault="001D75D7" w:rsidP="008E0EE3">
      <w:pPr>
        <w:pStyle w:val="H23G"/>
      </w:pPr>
      <w:r w:rsidRPr="00B47380">
        <w:tab/>
      </w:r>
      <w:r w:rsidRPr="00B47380">
        <w:tab/>
        <w:t>Child protection</w:t>
      </w:r>
    </w:p>
    <w:p w14:paraId="47B76569" w14:textId="77777777" w:rsidR="001D75D7" w:rsidRPr="00B47380" w:rsidRDefault="001D75D7" w:rsidP="00D53B5F">
      <w:pPr>
        <w:pStyle w:val="SingleTxtG"/>
      </w:pPr>
      <w:r w:rsidRPr="00B47380">
        <w:t>141.</w:t>
      </w:r>
      <w:r w:rsidRPr="00B47380">
        <w:tab/>
        <w:t xml:space="preserve">As stated in previous reports, the paramount principle of the best interests of the child is to be taken into consideration in all decisions, policies and adopted measures concerning children (Article 38 (3) BL). The major changes to the legal framework for the protection of children are the amendments to the MCC by Law 8/2017, broadening the scope of crimes against sexual self-determination related to minors. </w:t>
      </w:r>
    </w:p>
    <w:p w14:paraId="61BA5332" w14:textId="0AC4F318" w:rsidR="001D75D7" w:rsidRPr="00B47380" w:rsidRDefault="001D75D7" w:rsidP="00D53B5F">
      <w:pPr>
        <w:pStyle w:val="SingleTxtG"/>
      </w:pPr>
      <w:r w:rsidRPr="00B47380">
        <w:t>142.</w:t>
      </w:r>
      <w:r w:rsidRPr="00B47380">
        <w:tab/>
        <w:t>The scope of Article 166 (Sexual Abuse of Children) of the MCC was expanded to include whoever entices a minor under 14 to perform upon himself a relevant sexual act and whoever performs oral sex with a minor under 14 or introduces any part of the body or objects into the victim</w:t>
      </w:r>
      <w:r w:rsidR="006266F0">
        <w:t>’</w:t>
      </w:r>
      <w:r w:rsidRPr="00B47380">
        <w:t xml:space="preserve">s vagina or anus. Penalties shall be imprisonment from 3 to 10 years. </w:t>
      </w:r>
    </w:p>
    <w:p w14:paraId="44168E24" w14:textId="1A3FA99A" w:rsidR="001D75D7" w:rsidRPr="00B47380" w:rsidRDefault="001D75D7" w:rsidP="00D53B5F">
      <w:pPr>
        <w:pStyle w:val="SingleTxtG"/>
      </w:pPr>
      <w:r w:rsidRPr="00B47380">
        <w:t>143.</w:t>
      </w:r>
      <w:r w:rsidRPr="00B47380">
        <w:tab/>
        <w:t xml:space="preserve">Child pornography has become an autonomous crime under Article 170-A of the MCC. Regardless of the age of the minor, whoever </w:t>
      </w:r>
      <w:r w:rsidR="008E0EE3">
        <w:t>(</w:t>
      </w:r>
      <w:r w:rsidRPr="00B47380">
        <w:t xml:space="preserve">a) uses or entices a minor for a pornographic performance; </w:t>
      </w:r>
      <w:r w:rsidR="008E0EE3">
        <w:t>(</w:t>
      </w:r>
      <w:r w:rsidRPr="00B47380">
        <w:t xml:space="preserve">b) uses or entices a minor for a pornographic photo, film or recording regardless of its medium; </w:t>
      </w:r>
      <w:r w:rsidR="008E0EE3">
        <w:t>(</w:t>
      </w:r>
      <w:r w:rsidRPr="00B47380">
        <w:t>c) produces, distributes, sells, imports, exports or disseminates in any name or by any means or acquires or detains for those purposes the said material shall be punished with imprisonment from 1 to 5 years.</w:t>
      </w:r>
    </w:p>
    <w:p w14:paraId="3057C0EA" w14:textId="7BF76321" w:rsidR="001D75D7" w:rsidRPr="00B47380" w:rsidRDefault="001D75D7" w:rsidP="00D53B5F">
      <w:pPr>
        <w:pStyle w:val="SingleTxtG"/>
      </w:pPr>
      <w:r w:rsidRPr="00B47380">
        <w:t>144.</w:t>
      </w:r>
      <w:r w:rsidRPr="00B47380">
        <w:tab/>
        <w:t xml:space="preserve">The crime of child prostitution provided for in Article 170 of the MCC (Procurement of a Minor) was also reinforced with Article 169-A </w:t>
      </w:r>
      <w:r w:rsidR="006266F0">
        <w:t>“</w:t>
      </w:r>
      <w:r w:rsidRPr="00B47380">
        <w:t>Recourse to the Procurement of a Minor</w:t>
      </w:r>
      <w:r w:rsidR="006266F0">
        <w:t>”</w:t>
      </w:r>
      <w:r w:rsidRPr="00B47380">
        <w:t>. This provision states that whoever performs a relevant sexual act with a minor aged between 14 and 18 by providing or promising to provide remuneration or other return by himself or by a third person shall be punished with imprisonment of up to 3 years. If the relevant sexual act consists of vaginal, anal or oral intercourse or of the introduction of any parts of the body or objects into the victim</w:t>
      </w:r>
      <w:r w:rsidR="006266F0">
        <w:t>’</w:t>
      </w:r>
      <w:r w:rsidRPr="00B47380">
        <w:t>s vagina or anus, the offender shall be punished with imprisonment of up to 4 years.</w:t>
      </w:r>
    </w:p>
    <w:p w14:paraId="31908F93" w14:textId="77777777" w:rsidR="001D75D7" w:rsidRPr="00B47380" w:rsidRDefault="001D75D7" w:rsidP="00D53B5F">
      <w:pPr>
        <w:pStyle w:val="SingleTxtG"/>
      </w:pPr>
      <w:r w:rsidRPr="00B47380">
        <w:t>145.</w:t>
      </w:r>
      <w:r w:rsidRPr="00B47380">
        <w:tab/>
        <w:t>Penalties may increase by 1/3 in its minimum and maximum limits, inter alia, if the victim is an ascendant, descendent, adopter or adoptee or a relative or has kinship with the offender up to the second degree or is under his guardianship or curatorship (Article 171 (1) (a)). The exercise of parental power, guardianship or curatorship may also be inhibited for a period of 2 to 5 years (Article 173).</w:t>
      </w:r>
    </w:p>
    <w:p w14:paraId="11E0C795" w14:textId="54F78E6A" w:rsidR="001D75D7" w:rsidRPr="00B47380" w:rsidRDefault="001D75D7" w:rsidP="00D53B5F">
      <w:pPr>
        <w:pStyle w:val="SingleTxtG"/>
      </w:pPr>
      <w:r w:rsidRPr="00B47380">
        <w:t>146.</w:t>
      </w:r>
      <w:r w:rsidRPr="00B47380">
        <w:tab/>
        <w:t>The Government continues to adopt targeted measures to protect children</w:t>
      </w:r>
      <w:r w:rsidR="006266F0">
        <w:t>’</w:t>
      </w:r>
      <w:r w:rsidRPr="00B47380">
        <w:t xml:space="preserve">s interests. The Macao Youth Policy and the creation of the CWCA are highlights of such commitment. The Macao Youth Policy aims at: </w:t>
      </w:r>
      <w:r w:rsidR="005B4865">
        <w:t>(</w:t>
      </w:r>
      <w:proofErr w:type="spellStart"/>
      <w:r w:rsidRPr="00B47380">
        <w:t>i</w:t>
      </w:r>
      <w:proofErr w:type="spellEnd"/>
      <w:r w:rsidRPr="00B47380">
        <w:t xml:space="preserve">) promoting the social participation of young people; </w:t>
      </w:r>
      <w:r w:rsidR="005B4865">
        <w:t>(</w:t>
      </w:r>
      <w:r w:rsidRPr="00B47380">
        <w:t xml:space="preserve">ii) stimulating their physical and mental growth; </w:t>
      </w:r>
      <w:r w:rsidR="005B4865">
        <w:t>(</w:t>
      </w:r>
      <w:r w:rsidRPr="00B47380">
        <w:t xml:space="preserve">iii) creating a loving environment; and </w:t>
      </w:r>
      <w:r w:rsidR="005B4865">
        <w:t>(</w:t>
      </w:r>
      <w:r w:rsidRPr="00B47380">
        <w:t>iv) promoting social mobility. The Youth Affairs Committee is the main consultative body to assist the Government.</w:t>
      </w:r>
    </w:p>
    <w:p w14:paraId="7755560C" w14:textId="77777777" w:rsidR="001D75D7" w:rsidRPr="00B47380" w:rsidRDefault="001D75D7" w:rsidP="00D53B5F">
      <w:pPr>
        <w:pStyle w:val="SingleTxtG"/>
      </w:pPr>
      <w:r w:rsidRPr="00B47380">
        <w:t>147.</w:t>
      </w:r>
      <w:r w:rsidRPr="00B47380">
        <w:tab/>
        <w:t xml:space="preserve">The SWB, in cooperation with NGOs and other government departments such as the EYAB, plays an important part in the field of child protection, especially as regards minors </w:t>
      </w:r>
      <w:r w:rsidRPr="00B47380">
        <w:lastRenderedPageBreak/>
        <w:t>deprived of a normal family environment or victims of maltreatment or negligence or domestic violence or other situations which have endangered their well-being, health, moral up-bringing or caused social integration problems. It provides specialised support including activities in the areas of health, education and environment as well as prevention programmes on drugs, alcohol, tobacco, HIV/AIDS and gambling and social rehabilitation programmes.</w:t>
      </w:r>
    </w:p>
    <w:p w14:paraId="1FD31009" w14:textId="26A69AFC" w:rsidR="001D75D7" w:rsidRPr="00B47380" w:rsidRDefault="001D75D7" w:rsidP="00D53B5F">
      <w:pPr>
        <w:pStyle w:val="SingleTxtG"/>
      </w:pPr>
      <w:r w:rsidRPr="00B47380">
        <w:t>148.</w:t>
      </w:r>
      <w:r w:rsidRPr="00B47380">
        <w:tab/>
        <w:t>The SWB, through funded NGOs, provides shelter for orphans, foundlings, children and young people who are abandoned, in crisis or not adequately cared for due to family problems, so that they could live and grow in a healthy and safe environment. These include 9 SWB-funded children</w:t>
      </w:r>
      <w:r w:rsidR="006266F0">
        <w:t>’</w:t>
      </w:r>
      <w:r w:rsidRPr="00B47380">
        <w:t>s homes, covering children and young people aged between 0 and 21.</w:t>
      </w:r>
    </w:p>
    <w:p w14:paraId="7F1ADE8A" w14:textId="77777777" w:rsidR="001D75D7" w:rsidRPr="00B47380" w:rsidRDefault="001D75D7" w:rsidP="00D53B5F">
      <w:pPr>
        <w:pStyle w:val="SingleTxtG"/>
      </w:pPr>
      <w:r w:rsidRPr="00B47380">
        <w:t>149.</w:t>
      </w:r>
      <w:r w:rsidRPr="00B47380">
        <w:tab/>
        <w:t xml:space="preserve">Accommodation, daily care in foster families and community-based accommodation services are also assured to children and young people to help them overcome temporary difficulties. Between 2014 and September 2018, 283, 316, 302, 345 and 333 minors, between 0 and 17, benefited from accommodation and daily care in foster families. </w:t>
      </w:r>
    </w:p>
    <w:p w14:paraId="44D859F4" w14:textId="77777777" w:rsidR="001D75D7" w:rsidRPr="00B47380" w:rsidRDefault="001D75D7" w:rsidP="00D53B5F">
      <w:pPr>
        <w:pStyle w:val="SingleTxtG"/>
      </w:pPr>
      <w:r w:rsidRPr="00B47380">
        <w:t>150.</w:t>
      </w:r>
      <w:r w:rsidRPr="00B47380">
        <w:tab/>
        <w:t xml:space="preserve">Undocumented children, refugee or those who seek the status of refugee are provided with suitable accommodation, appropriate care and development plans for their needs, like education, counselling and health services. From 2014 to September 2018, the SWB </w:t>
      </w:r>
      <w:proofErr w:type="gramStart"/>
      <w:r w:rsidRPr="00B47380">
        <w:t>provided assistance to</w:t>
      </w:r>
      <w:proofErr w:type="gramEnd"/>
      <w:r w:rsidRPr="00B47380">
        <w:t xml:space="preserve"> 40 minors aged between 0 and 17. In academic years 2016/2017 and 2017/2018, 111 and 117 persons, respectively, benefited from the Learning Assistance Programme for New Immigrant Students in Macao.</w:t>
      </w:r>
    </w:p>
    <w:p w14:paraId="3AFFCF5D" w14:textId="77777777" w:rsidR="001D75D7" w:rsidRPr="00B47380" w:rsidRDefault="001D75D7" w:rsidP="00D53B5F">
      <w:pPr>
        <w:pStyle w:val="SingleTxtG"/>
      </w:pPr>
      <w:r w:rsidRPr="00B47380">
        <w:t>151.</w:t>
      </w:r>
      <w:r w:rsidRPr="00B47380">
        <w:tab/>
        <w:t xml:space="preserve">There are also 4 Community-Youth Working Teams providing outreaching service to youth in need. The core services include outreaching work, life and career development of youngsters, support services and prevention of drug abuse for families or children and youth that are at risk, </w:t>
      </w:r>
      <w:r w:rsidRPr="00887160">
        <w:rPr>
          <w:i/>
          <w:iCs/>
        </w:rPr>
        <w:t>inter alia</w:t>
      </w:r>
      <w:r w:rsidRPr="00B47380">
        <w:t>, through counselling, therapies and group developing programmes and activities.</w:t>
      </w:r>
    </w:p>
    <w:p w14:paraId="02C307F1" w14:textId="77777777" w:rsidR="001D75D7" w:rsidRPr="00B47380" w:rsidRDefault="001D75D7" w:rsidP="00BC00A7">
      <w:pPr>
        <w:pStyle w:val="SingleTxtG"/>
        <w:spacing w:after="240"/>
      </w:pPr>
      <w:r w:rsidRPr="00B47380">
        <w:t>152.</w:t>
      </w:r>
      <w:r w:rsidRPr="00B47380">
        <w:tab/>
        <w:t>Awareness-raising activities continue to be promoted through different channels as shown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2835"/>
        <w:gridCol w:w="1701"/>
        <w:gridCol w:w="709"/>
        <w:gridCol w:w="1558"/>
      </w:tblGrid>
      <w:tr w:rsidR="00C559F8" w:rsidRPr="00C559F8" w14:paraId="2B013972" w14:textId="77777777" w:rsidTr="00E45843">
        <w:trPr>
          <w:cantSplit/>
          <w:tblHeader/>
        </w:trPr>
        <w:tc>
          <w:tcPr>
            <w:tcW w:w="567" w:type="dxa"/>
            <w:tcBorders>
              <w:top w:val="single" w:sz="4" w:space="0" w:color="auto"/>
              <w:bottom w:val="single" w:sz="12" w:space="0" w:color="auto"/>
            </w:tcBorders>
            <w:shd w:val="clear" w:color="auto" w:fill="auto"/>
            <w:vAlign w:val="bottom"/>
          </w:tcPr>
          <w:p w14:paraId="0F146446" w14:textId="77777777" w:rsidR="001D75D7" w:rsidRPr="00C559F8" w:rsidRDefault="001D75D7" w:rsidP="00C559F8">
            <w:pPr>
              <w:pStyle w:val="SingleTxtG"/>
              <w:suppressAutoHyphens w:val="0"/>
              <w:spacing w:before="80" w:after="80" w:line="200" w:lineRule="exact"/>
              <w:ind w:left="0" w:right="113"/>
              <w:jc w:val="left"/>
              <w:rPr>
                <w:i/>
                <w:sz w:val="16"/>
              </w:rPr>
            </w:pPr>
            <w:r w:rsidRPr="00C559F8">
              <w:rPr>
                <w:i/>
                <w:sz w:val="16"/>
              </w:rPr>
              <w:t>Year</w:t>
            </w:r>
          </w:p>
        </w:tc>
        <w:tc>
          <w:tcPr>
            <w:tcW w:w="2835" w:type="dxa"/>
            <w:tcBorders>
              <w:top w:val="single" w:sz="4" w:space="0" w:color="auto"/>
              <w:bottom w:val="single" w:sz="12" w:space="0" w:color="auto"/>
            </w:tcBorders>
            <w:shd w:val="clear" w:color="auto" w:fill="auto"/>
            <w:vAlign w:val="bottom"/>
          </w:tcPr>
          <w:p w14:paraId="1C577BFE" w14:textId="77777777" w:rsidR="001D75D7" w:rsidRPr="00C559F8" w:rsidRDefault="001D75D7" w:rsidP="00BC00A7">
            <w:pPr>
              <w:pStyle w:val="SingleTxtG"/>
              <w:suppressAutoHyphens w:val="0"/>
              <w:spacing w:before="80" w:after="80" w:line="200" w:lineRule="exact"/>
              <w:ind w:left="0" w:right="113"/>
              <w:jc w:val="left"/>
              <w:rPr>
                <w:i/>
                <w:sz w:val="16"/>
              </w:rPr>
            </w:pPr>
            <w:r w:rsidRPr="00C559F8">
              <w:rPr>
                <w:i/>
                <w:sz w:val="16"/>
              </w:rPr>
              <w:t>Projects</w:t>
            </w:r>
          </w:p>
        </w:tc>
        <w:tc>
          <w:tcPr>
            <w:tcW w:w="1701" w:type="dxa"/>
            <w:tcBorders>
              <w:top w:val="single" w:sz="4" w:space="0" w:color="auto"/>
              <w:bottom w:val="single" w:sz="12" w:space="0" w:color="auto"/>
            </w:tcBorders>
            <w:shd w:val="clear" w:color="auto" w:fill="auto"/>
            <w:vAlign w:val="bottom"/>
          </w:tcPr>
          <w:p w14:paraId="633C9058" w14:textId="77777777" w:rsidR="001D75D7" w:rsidRPr="00C559F8" w:rsidRDefault="001D75D7" w:rsidP="00BC00A7">
            <w:pPr>
              <w:pStyle w:val="SingleTxtG"/>
              <w:suppressAutoHyphens w:val="0"/>
              <w:spacing w:before="80" w:after="80" w:line="200" w:lineRule="exact"/>
              <w:ind w:left="0" w:right="113"/>
              <w:jc w:val="left"/>
              <w:rPr>
                <w:i/>
                <w:sz w:val="16"/>
              </w:rPr>
            </w:pPr>
            <w:r w:rsidRPr="00C559F8">
              <w:rPr>
                <w:i/>
                <w:sz w:val="16"/>
              </w:rPr>
              <w:t xml:space="preserve">Type </w:t>
            </w:r>
          </w:p>
        </w:tc>
        <w:tc>
          <w:tcPr>
            <w:tcW w:w="709" w:type="dxa"/>
            <w:tcBorders>
              <w:top w:val="single" w:sz="4" w:space="0" w:color="auto"/>
              <w:bottom w:val="single" w:sz="12" w:space="0" w:color="auto"/>
            </w:tcBorders>
            <w:shd w:val="clear" w:color="auto" w:fill="auto"/>
            <w:vAlign w:val="bottom"/>
          </w:tcPr>
          <w:p w14:paraId="257A6E57" w14:textId="77777777" w:rsidR="001D75D7" w:rsidRPr="00C559F8" w:rsidRDefault="001D75D7" w:rsidP="00C559F8">
            <w:pPr>
              <w:pStyle w:val="SingleTxtG"/>
              <w:suppressAutoHyphens w:val="0"/>
              <w:spacing w:before="80" w:after="80" w:line="200" w:lineRule="exact"/>
              <w:ind w:left="0" w:right="113"/>
              <w:jc w:val="right"/>
              <w:rPr>
                <w:i/>
                <w:sz w:val="16"/>
              </w:rPr>
            </w:pPr>
            <w:r w:rsidRPr="00C559F8">
              <w:rPr>
                <w:i/>
                <w:sz w:val="16"/>
              </w:rPr>
              <w:t>Amount</w:t>
            </w:r>
          </w:p>
        </w:tc>
        <w:tc>
          <w:tcPr>
            <w:tcW w:w="1558" w:type="dxa"/>
            <w:tcBorders>
              <w:top w:val="single" w:sz="4" w:space="0" w:color="auto"/>
              <w:bottom w:val="single" w:sz="12" w:space="0" w:color="auto"/>
            </w:tcBorders>
            <w:shd w:val="clear" w:color="auto" w:fill="auto"/>
            <w:vAlign w:val="bottom"/>
          </w:tcPr>
          <w:p w14:paraId="64E7C86F" w14:textId="77777777" w:rsidR="001D75D7" w:rsidRPr="00C559F8" w:rsidRDefault="001D75D7" w:rsidP="00C559F8">
            <w:pPr>
              <w:pStyle w:val="SingleTxtG"/>
              <w:suppressAutoHyphens w:val="0"/>
              <w:spacing w:before="80" w:after="80" w:line="200" w:lineRule="exact"/>
              <w:ind w:left="0" w:right="113"/>
              <w:jc w:val="right"/>
              <w:rPr>
                <w:i/>
                <w:sz w:val="16"/>
              </w:rPr>
            </w:pPr>
            <w:r w:rsidRPr="00C559F8">
              <w:rPr>
                <w:i/>
                <w:sz w:val="16"/>
              </w:rPr>
              <w:t>No. of participants</w:t>
            </w:r>
          </w:p>
        </w:tc>
      </w:tr>
      <w:tr w:rsidR="00C559F8" w:rsidRPr="00C559F8" w14:paraId="1928E7B8" w14:textId="77777777" w:rsidTr="00E45843">
        <w:trPr>
          <w:cantSplit/>
        </w:trPr>
        <w:tc>
          <w:tcPr>
            <w:tcW w:w="567" w:type="dxa"/>
            <w:vMerge w:val="restart"/>
            <w:tcBorders>
              <w:top w:val="single" w:sz="12" w:space="0" w:color="auto"/>
            </w:tcBorders>
            <w:shd w:val="clear" w:color="auto" w:fill="auto"/>
          </w:tcPr>
          <w:p w14:paraId="69058C33" w14:textId="77777777" w:rsidR="001D75D7" w:rsidRPr="00C559F8" w:rsidRDefault="001D75D7" w:rsidP="00C559F8">
            <w:pPr>
              <w:pStyle w:val="SingleTxtG"/>
              <w:suppressAutoHyphens w:val="0"/>
              <w:spacing w:before="40" w:after="40" w:line="220" w:lineRule="exact"/>
              <w:ind w:left="0" w:right="113"/>
              <w:jc w:val="left"/>
              <w:rPr>
                <w:sz w:val="18"/>
              </w:rPr>
            </w:pPr>
            <w:r w:rsidRPr="00C559F8">
              <w:rPr>
                <w:sz w:val="18"/>
              </w:rPr>
              <w:t>2014</w:t>
            </w:r>
          </w:p>
        </w:tc>
        <w:tc>
          <w:tcPr>
            <w:tcW w:w="2835" w:type="dxa"/>
            <w:tcBorders>
              <w:top w:val="single" w:sz="12" w:space="0" w:color="auto"/>
            </w:tcBorders>
            <w:shd w:val="clear" w:color="auto" w:fill="auto"/>
          </w:tcPr>
          <w:p w14:paraId="14E06CCD" w14:textId="77777777" w:rsidR="001D75D7" w:rsidRPr="00C559F8" w:rsidRDefault="001D75D7" w:rsidP="00BC00A7">
            <w:pPr>
              <w:pStyle w:val="SingleTxtG"/>
              <w:suppressAutoHyphens w:val="0"/>
              <w:spacing w:before="40" w:after="40" w:line="220" w:lineRule="exact"/>
              <w:ind w:left="0" w:right="113"/>
              <w:jc w:val="left"/>
              <w:rPr>
                <w:sz w:val="18"/>
              </w:rPr>
            </w:pPr>
            <w:r w:rsidRPr="00C559F8">
              <w:rPr>
                <w:sz w:val="18"/>
              </w:rPr>
              <w:t>The Rights and Protections of Children in Macao</w:t>
            </w:r>
          </w:p>
        </w:tc>
        <w:tc>
          <w:tcPr>
            <w:tcW w:w="1701" w:type="dxa"/>
            <w:tcBorders>
              <w:top w:val="single" w:sz="12" w:space="0" w:color="auto"/>
            </w:tcBorders>
            <w:shd w:val="clear" w:color="auto" w:fill="auto"/>
          </w:tcPr>
          <w:p w14:paraId="00BABA03" w14:textId="77777777" w:rsidR="001D75D7" w:rsidRPr="00C559F8" w:rsidRDefault="001D75D7" w:rsidP="00BC00A7">
            <w:pPr>
              <w:pStyle w:val="SingleTxtG"/>
              <w:suppressAutoHyphens w:val="0"/>
              <w:spacing w:before="40" w:after="40" w:line="220" w:lineRule="exact"/>
              <w:ind w:left="0" w:right="113"/>
              <w:jc w:val="left"/>
              <w:rPr>
                <w:sz w:val="18"/>
              </w:rPr>
            </w:pPr>
            <w:r w:rsidRPr="00C559F8">
              <w:rPr>
                <w:sz w:val="18"/>
              </w:rPr>
              <w:t>Training</w:t>
            </w:r>
          </w:p>
        </w:tc>
        <w:tc>
          <w:tcPr>
            <w:tcW w:w="709" w:type="dxa"/>
            <w:tcBorders>
              <w:top w:val="single" w:sz="12" w:space="0" w:color="auto"/>
            </w:tcBorders>
            <w:shd w:val="clear" w:color="auto" w:fill="auto"/>
            <w:vAlign w:val="bottom"/>
          </w:tcPr>
          <w:p w14:paraId="167EA7C9" w14:textId="77777777" w:rsidR="001D75D7" w:rsidRPr="00C559F8" w:rsidRDefault="001D75D7" w:rsidP="00C559F8">
            <w:pPr>
              <w:pStyle w:val="SingleTxtG"/>
              <w:suppressAutoHyphens w:val="0"/>
              <w:spacing w:before="40" w:after="40" w:line="220" w:lineRule="exact"/>
              <w:ind w:left="0" w:right="113"/>
              <w:jc w:val="right"/>
              <w:rPr>
                <w:sz w:val="18"/>
              </w:rPr>
            </w:pPr>
            <w:r w:rsidRPr="00C559F8">
              <w:rPr>
                <w:sz w:val="18"/>
              </w:rPr>
              <w:t>5</w:t>
            </w:r>
          </w:p>
        </w:tc>
        <w:tc>
          <w:tcPr>
            <w:tcW w:w="1558" w:type="dxa"/>
            <w:tcBorders>
              <w:top w:val="single" w:sz="12" w:space="0" w:color="auto"/>
            </w:tcBorders>
            <w:shd w:val="clear" w:color="auto" w:fill="auto"/>
            <w:vAlign w:val="bottom"/>
          </w:tcPr>
          <w:p w14:paraId="13F78152" w14:textId="77777777" w:rsidR="001D75D7" w:rsidRPr="00C559F8" w:rsidRDefault="001D75D7" w:rsidP="00C559F8">
            <w:pPr>
              <w:pStyle w:val="SingleTxtG"/>
              <w:suppressAutoHyphens w:val="0"/>
              <w:spacing w:before="40" w:after="40" w:line="220" w:lineRule="exact"/>
              <w:ind w:left="0" w:right="113"/>
              <w:jc w:val="right"/>
              <w:rPr>
                <w:sz w:val="18"/>
              </w:rPr>
            </w:pPr>
            <w:r w:rsidRPr="00C559F8">
              <w:rPr>
                <w:sz w:val="18"/>
              </w:rPr>
              <w:t>342</w:t>
            </w:r>
          </w:p>
        </w:tc>
      </w:tr>
      <w:tr w:rsidR="00C559F8" w:rsidRPr="00C559F8" w14:paraId="762E7CB6" w14:textId="77777777" w:rsidTr="00E45843">
        <w:trPr>
          <w:cantSplit/>
        </w:trPr>
        <w:tc>
          <w:tcPr>
            <w:tcW w:w="567" w:type="dxa"/>
            <w:vMerge/>
            <w:shd w:val="clear" w:color="auto" w:fill="auto"/>
          </w:tcPr>
          <w:p w14:paraId="514E2D29" w14:textId="77777777" w:rsidR="001D75D7" w:rsidRPr="00C559F8" w:rsidRDefault="001D75D7" w:rsidP="00C559F8">
            <w:pPr>
              <w:pStyle w:val="SingleTxtG"/>
              <w:suppressAutoHyphens w:val="0"/>
              <w:spacing w:before="40" w:after="40" w:line="220" w:lineRule="exact"/>
              <w:ind w:left="0" w:right="113"/>
              <w:jc w:val="left"/>
              <w:rPr>
                <w:sz w:val="18"/>
              </w:rPr>
            </w:pPr>
          </w:p>
        </w:tc>
        <w:tc>
          <w:tcPr>
            <w:tcW w:w="2835" w:type="dxa"/>
            <w:shd w:val="clear" w:color="auto" w:fill="auto"/>
          </w:tcPr>
          <w:p w14:paraId="3F275FA4" w14:textId="3D8A236E" w:rsidR="001D75D7" w:rsidRPr="00C559F8" w:rsidRDefault="001D75D7" w:rsidP="00BC00A7">
            <w:pPr>
              <w:pStyle w:val="SingleTxtG"/>
              <w:suppressAutoHyphens w:val="0"/>
              <w:spacing w:before="40" w:after="40" w:line="220" w:lineRule="exact"/>
              <w:ind w:left="0" w:right="113"/>
              <w:jc w:val="left"/>
              <w:rPr>
                <w:sz w:val="18"/>
              </w:rPr>
            </w:pPr>
            <w:r w:rsidRPr="00C559F8">
              <w:rPr>
                <w:sz w:val="18"/>
              </w:rPr>
              <w:t>Children</w:t>
            </w:r>
            <w:r w:rsidR="006266F0">
              <w:rPr>
                <w:sz w:val="18"/>
              </w:rPr>
              <w:t>’</w:t>
            </w:r>
            <w:r w:rsidRPr="00C559F8">
              <w:rPr>
                <w:sz w:val="18"/>
              </w:rPr>
              <w:t>s Rights Crossword Puzzle and Lucky Draw</w:t>
            </w:r>
          </w:p>
        </w:tc>
        <w:tc>
          <w:tcPr>
            <w:tcW w:w="1701" w:type="dxa"/>
            <w:shd w:val="clear" w:color="auto" w:fill="auto"/>
          </w:tcPr>
          <w:p w14:paraId="648CDB5C" w14:textId="77777777" w:rsidR="001D75D7" w:rsidRPr="00C559F8" w:rsidRDefault="001D75D7" w:rsidP="00BC00A7">
            <w:pPr>
              <w:pStyle w:val="SingleTxtG"/>
              <w:suppressAutoHyphens w:val="0"/>
              <w:spacing w:before="40" w:after="40" w:line="220" w:lineRule="exact"/>
              <w:ind w:left="0" w:right="113"/>
              <w:jc w:val="left"/>
              <w:rPr>
                <w:sz w:val="18"/>
              </w:rPr>
            </w:pPr>
            <w:r w:rsidRPr="00C559F8">
              <w:rPr>
                <w:sz w:val="18"/>
              </w:rPr>
              <w:t>Competition</w:t>
            </w:r>
          </w:p>
        </w:tc>
        <w:tc>
          <w:tcPr>
            <w:tcW w:w="709" w:type="dxa"/>
            <w:shd w:val="clear" w:color="auto" w:fill="auto"/>
            <w:vAlign w:val="bottom"/>
          </w:tcPr>
          <w:p w14:paraId="0AC84EE3" w14:textId="77777777" w:rsidR="001D75D7" w:rsidRPr="00C559F8" w:rsidRDefault="001D75D7" w:rsidP="00C559F8">
            <w:pPr>
              <w:pStyle w:val="SingleTxtG"/>
              <w:suppressAutoHyphens w:val="0"/>
              <w:spacing w:before="40" w:after="40" w:line="220" w:lineRule="exact"/>
              <w:ind w:left="0" w:right="113"/>
              <w:jc w:val="right"/>
              <w:rPr>
                <w:sz w:val="18"/>
              </w:rPr>
            </w:pPr>
            <w:r w:rsidRPr="00C559F8">
              <w:rPr>
                <w:sz w:val="18"/>
              </w:rPr>
              <w:t>1</w:t>
            </w:r>
          </w:p>
        </w:tc>
        <w:tc>
          <w:tcPr>
            <w:tcW w:w="1558" w:type="dxa"/>
            <w:shd w:val="clear" w:color="auto" w:fill="auto"/>
            <w:vAlign w:val="bottom"/>
          </w:tcPr>
          <w:p w14:paraId="4187149C" w14:textId="0D9191CC" w:rsidR="001D75D7" w:rsidRPr="00C559F8" w:rsidRDefault="001D75D7" w:rsidP="00C559F8">
            <w:pPr>
              <w:pStyle w:val="SingleTxtG"/>
              <w:suppressAutoHyphens w:val="0"/>
              <w:spacing w:before="40" w:after="40" w:line="220" w:lineRule="exact"/>
              <w:ind w:left="0" w:right="113"/>
              <w:jc w:val="right"/>
              <w:rPr>
                <w:sz w:val="18"/>
              </w:rPr>
            </w:pPr>
            <w:r w:rsidRPr="00C559F8">
              <w:rPr>
                <w:sz w:val="18"/>
              </w:rPr>
              <w:t>2</w:t>
            </w:r>
            <w:r w:rsidR="00BC00A7">
              <w:rPr>
                <w:sz w:val="18"/>
              </w:rPr>
              <w:t xml:space="preserve"> </w:t>
            </w:r>
            <w:r w:rsidRPr="00C559F8">
              <w:rPr>
                <w:sz w:val="18"/>
              </w:rPr>
              <w:t>248</w:t>
            </w:r>
          </w:p>
        </w:tc>
      </w:tr>
      <w:tr w:rsidR="00C559F8" w:rsidRPr="00C559F8" w14:paraId="21D2CE46" w14:textId="77777777" w:rsidTr="00E45843">
        <w:trPr>
          <w:cantSplit/>
        </w:trPr>
        <w:tc>
          <w:tcPr>
            <w:tcW w:w="567" w:type="dxa"/>
            <w:vMerge w:val="restart"/>
            <w:shd w:val="clear" w:color="auto" w:fill="auto"/>
          </w:tcPr>
          <w:p w14:paraId="70733C5D" w14:textId="77777777" w:rsidR="001D75D7" w:rsidRPr="00C559F8" w:rsidRDefault="001D75D7" w:rsidP="00C559F8">
            <w:pPr>
              <w:pStyle w:val="SingleTxtG"/>
              <w:suppressAutoHyphens w:val="0"/>
              <w:spacing w:before="40" w:after="40" w:line="220" w:lineRule="exact"/>
              <w:ind w:left="0" w:right="113"/>
              <w:jc w:val="left"/>
              <w:rPr>
                <w:sz w:val="18"/>
              </w:rPr>
            </w:pPr>
            <w:r w:rsidRPr="00C559F8">
              <w:rPr>
                <w:sz w:val="18"/>
              </w:rPr>
              <w:t>2015</w:t>
            </w:r>
          </w:p>
        </w:tc>
        <w:tc>
          <w:tcPr>
            <w:tcW w:w="2835" w:type="dxa"/>
            <w:shd w:val="clear" w:color="auto" w:fill="auto"/>
          </w:tcPr>
          <w:p w14:paraId="0FDFAB82" w14:textId="77777777" w:rsidR="001D75D7" w:rsidRPr="00C559F8" w:rsidRDefault="001D75D7" w:rsidP="00BC00A7">
            <w:pPr>
              <w:pStyle w:val="SingleTxtG"/>
              <w:suppressAutoHyphens w:val="0"/>
              <w:spacing w:before="40" w:after="40" w:line="220" w:lineRule="exact"/>
              <w:ind w:left="0" w:right="113"/>
              <w:jc w:val="left"/>
              <w:rPr>
                <w:sz w:val="18"/>
              </w:rPr>
            </w:pPr>
            <w:r w:rsidRPr="00C559F8">
              <w:rPr>
                <w:sz w:val="18"/>
              </w:rPr>
              <w:t>Certificate Course on Child Sexual Assault Prevention</w:t>
            </w:r>
          </w:p>
        </w:tc>
        <w:tc>
          <w:tcPr>
            <w:tcW w:w="1701" w:type="dxa"/>
            <w:shd w:val="clear" w:color="auto" w:fill="auto"/>
          </w:tcPr>
          <w:p w14:paraId="12C3471D" w14:textId="77777777" w:rsidR="001D75D7" w:rsidRPr="00C559F8" w:rsidRDefault="001D75D7" w:rsidP="00BC00A7">
            <w:pPr>
              <w:pStyle w:val="SingleTxtG"/>
              <w:suppressAutoHyphens w:val="0"/>
              <w:spacing w:before="40" w:after="40" w:line="220" w:lineRule="exact"/>
              <w:ind w:left="0" w:right="113"/>
              <w:jc w:val="left"/>
              <w:rPr>
                <w:sz w:val="18"/>
              </w:rPr>
            </w:pPr>
            <w:r w:rsidRPr="00C559F8">
              <w:rPr>
                <w:sz w:val="18"/>
              </w:rPr>
              <w:t>Training</w:t>
            </w:r>
          </w:p>
        </w:tc>
        <w:tc>
          <w:tcPr>
            <w:tcW w:w="709" w:type="dxa"/>
            <w:shd w:val="clear" w:color="auto" w:fill="auto"/>
            <w:vAlign w:val="bottom"/>
          </w:tcPr>
          <w:p w14:paraId="688BCF71" w14:textId="77777777" w:rsidR="001D75D7" w:rsidRPr="00C559F8" w:rsidRDefault="001D75D7" w:rsidP="00C559F8">
            <w:pPr>
              <w:pStyle w:val="SingleTxtG"/>
              <w:suppressAutoHyphens w:val="0"/>
              <w:spacing w:before="40" w:after="40" w:line="220" w:lineRule="exact"/>
              <w:ind w:left="0" w:right="113"/>
              <w:jc w:val="right"/>
              <w:rPr>
                <w:sz w:val="18"/>
              </w:rPr>
            </w:pPr>
            <w:r w:rsidRPr="00C559F8">
              <w:rPr>
                <w:sz w:val="18"/>
              </w:rPr>
              <w:t>1</w:t>
            </w:r>
          </w:p>
        </w:tc>
        <w:tc>
          <w:tcPr>
            <w:tcW w:w="1558" w:type="dxa"/>
            <w:shd w:val="clear" w:color="auto" w:fill="auto"/>
            <w:vAlign w:val="bottom"/>
          </w:tcPr>
          <w:p w14:paraId="56A20CD3" w14:textId="77777777" w:rsidR="001D75D7" w:rsidRPr="00C559F8" w:rsidRDefault="001D75D7" w:rsidP="00C559F8">
            <w:pPr>
              <w:pStyle w:val="SingleTxtG"/>
              <w:suppressAutoHyphens w:val="0"/>
              <w:spacing w:before="40" w:after="40" w:line="220" w:lineRule="exact"/>
              <w:ind w:left="0" w:right="113"/>
              <w:jc w:val="right"/>
              <w:rPr>
                <w:sz w:val="18"/>
              </w:rPr>
            </w:pPr>
            <w:r w:rsidRPr="00C559F8">
              <w:rPr>
                <w:sz w:val="18"/>
              </w:rPr>
              <w:t>44</w:t>
            </w:r>
          </w:p>
        </w:tc>
      </w:tr>
      <w:tr w:rsidR="00C559F8" w:rsidRPr="00C559F8" w14:paraId="2BCBDBBB" w14:textId="77777777" w:rsidTr="00E45843">
        <w:trPr>
          <w:cantSplit/>
        </w:trPr>
        <w:tc>
          <w:tcPr>
            <w:tcW w:w="567" w:type="dxa"/>
            <w:vMerge/>
            <w:shd w:val="clear" w:color="auto" w:fill="auto"/>
          </w:tcPr>
          <w:p w14:paraId="2F40222E" w14:textId="77777777" w:rsidR="001D75D7" w:rsidRPr="00C559F8" w:rsidRDefault="001D75D7" w:rsidP="00C559F8">
            <w:pPr>
              <w:pStyle w:val="SingleTxtG"/>
              <w:suppressAutoHyphens w:val="0"/>
              <w:spacing w:before="40" w:after="40" w:line="220" w:lineRule="exact"/>
              <w:ind w:left="0" w:right="113"/>
              <w:jc w:val="left"/>
              <w:rPr>
                <w:sz w:val="18"/>
              </w:rPr>
            </w:pPr>
          </w:p>
        </w:tc>
        <w:tc>
          <w:tcPr>
            <w:tcW w:w="2835" w:type="dxa"/>
            <w:shd w:val="clear" w:color="auto" w:fill="auto"/>
          </w:tcPr>
          <w:p w14:paraId="4A6C14E1" w14:textId="77777777" w:rsidR="001D75D7" w:rsidRPr="00C559F8" w:rsidRDefault="001D75D7" w:rsidP="00BC00A7">
            <w:pPr>
              <w:pStyle w:val="SingleTxtG"/>
              <w:suppressAutoHyphens w:val="0"/>
              <w:spacing w:before="40" w:after="40" w:line="220" w:lineRule="exact"/>
              <w:ind w:left="0" w:right="113"/>
              <w:jc w:val="left"/>
              <w:rPr>
                <w:sz w:val="18"/>
              </w:rPr>
            </w:pPr>
            <w:r w:rsidRPr="00C559F8">
              <w:rPr>
                <w:sz w:val="18"/>
              </w:rPr>
              <w:t>Pen Keyrings</w:t>
            </w:r>
          </w:p>
        </w:tc>
        <w:tc>
          <w:tcPr>
            <w:tcW w:w="1701" w:type="dxa"/>
            <w:shd w:val="clear" w:color="auto" w:fill="auto"/>
          </w:tcPr>
          <w:p w14:paraId="2F69D13C" w14:textId="77777777" w:rsidR="001D75D7" w:rsidRPr="00C559F8" w:rsidRDefault="001D75D7" w:rsidP="00BC00A7">
            <w:pPr>
              <w:pStyle w:val="SingleTxtG"/>
              <w:suppressAutoHyphens w:val="0"/>
              <w:spacing w:before="40" w:after="40" w:line="220" w:lineRule="exact"/>
              <w:ind w:left="0" w:right="113"/>
              <w:jc w:val="left"/>
              <w:rPr>
                <w:sz w:val="18"/>
              </w:rPr>
            </w:pPr>
            <w:r w:rsidRPr="00C559F8">
              <w:rPr>
                <w:sz w:val="18"/>
              </w:rPr>
              <w:t>Promotion Materials</w:t>
            </w:r>
          </w:p>
        </w:tc>
        <w:tc>
          <w:tcPr>
            <w:tcW w:w="709" w:type="dxa"/>
            <w:shd w:val="clear" w:color="auto" w:fill="auto"/>
            <w:vAlign w:val="bottom"/>
          </w:tcPr>
          <w:p w14:paraId="098CA7F1" w14:textId="77777777" w:rsidR="001D75D7" w:rsidRPr="00C559F8" w:rsidRDefault="001D75D7" w:rsidP="00C559F8">
            <w:pPr>
              <w:pStyle w:val="SingleTxtG"/>
              <w:suppressAutoHyphens w:val="0"/>
              <w:spacing w:before="40" w:after="40" w:line="220" w:lineRule="exact"/>
              <w:ind w:left="0" w:right="113"/>
              <w:jc w:val="right"/>
              <w:rPr>
                <w:sz w:val="18"/>
              </w:rPr>
            </w:pPr>
            <w:r w:rsidRPr="00C559F8">
              <w:rPr>
                <w:sz w:val="18"/>
              </w:rPr>
              <w:t>1</w:t>
            </w:r>
          </w:p>
        </w:tc>
        <w:tc>
          <w:tcPr>
            <w:tcW w:w="1558" w:type="dxa"/>
            <w:shd w:val="clear" w:color="auto" w:fill="auto"/>
            <w:vAlign w:val="bottom"/>
          </w:tcPr>
          <w:p w14:paraId="7413846A" w14:textId="35E13C9D" w:rsidR="001D75D7" w:rsidRPr="00C559F8" w:rsidRDefault="001D75D7" w:rsidP="00C559F8">
            <w:pPr>
              <w:pStyle w:val="SingleTxtG"/>
              <w:suppressAutoHyphens w:val="0"/>
              <w:spacing w:before="40" w:after="40" w:line="220" w:lineRule="exact"/>
              <w:ind w:left="0" w:right="113"/>
              <w:jc w:val="right"/>
              <w:rPr>
                <w:sz w:val="18"/>
              </w:rPr>
            </w:pPr>
            <w:r w:rsidRPr="00C559F8">
              <w:rPr>
                <w:sz w:val="18"/>
              </w:rPr>
              <w:t>4</w:t>
            </w:r>
            <w:r w:rsidR="00BC00A7">
              <w:rPr>
                <w:sz w:val="18"/>
              </w:rPr>
              <w:t xml:space="preserve"> </w:t>
            </w:r>
            <w:r w:rsidRPr="00C559F8">
              <w:rPr>
                <w:sz w:val="18"/>
              </w:rPr>
              <w:t>000</w:t>
            </w:r>
          </w:p>
        </w:tc>
      </w:tr>
      <w:tr w:rsidR="00C559F8" w:rsidRPr="00C559F8" w14:paraId="6CF7B02E" w14:textId="77777777" w:rsidTr="00E45843">
        <w:trPr>
          <w:cantSplit/>
        </w:trPr>
        <w:tc>
          <w:tcPr>
            <w:tcW w:w="567" w:type="dxa"/>
            <w:vMerge w:val="restart"/>
            <w:shd w:val="clear" w:color="auto" w:fill="auto"/>
          </w:tcPr>
          <w:p w14:paraId="46B96D46" w14:textId="77777777" w:rsidR="001D75D7" w:rsidRPr="00C559F8" w:rsidRDefault="001D75D7" w:rsidP="00C559F8">
            <w:pPr>
              <w:pStyle w:val="SingleTxtG"/>
              <w:suppressAutoHyphens w:val="0"/>
              <w:spacing w:before="40" w:after="40" w:line="220" w:lineRule="exact"/>
              <w:ind w:left="0" w:right="113"/>
              <w:jc w:val="left"/>
              <w:rPr>
                <w:sz w:val="18"/>
              </w:rPr>
            </w:pPr>
            <w:r w:rsidRPr="00C559F8">
              <w:rPr>
                <w:sz w:val="18"/>
              </w:rPr>
              <w:t>2016</w:t>
            </w:r>
          </w:p>
        </w:tc>
        <w:tc>
          <w:tcPr>
            <w:tcW w:w="2835" w:type="dxa"/>
            <w:shd w:val="clear" w:color="auto" w:fill="auto"/>
          </w:tcPr>
          <w:p w14:paraId="52A1F630" w14:textId="42B9175E" w:rsidR="001D75D7" w:rsidRPr="00C559F8" w:rsidRDefault="006266F0" w:rsidP="00BC00A7">
            <w:pPr>
              <w:pStyle w:val="SingleTxtG"/>
              <w:suppressAutoHyphens w:val="0"/>
              <w:spacing w:before="40" w:after="40" w:line="220" w:lineRule="exact"/>
              <w:ind w:left="0" w:right="113"/>
              <w:jc w:val="left"/>
              <w:rPr>
                <w:sz w:val="18"/>
              </w:rPr>
            </w:pPr>
            <w:r>
              <w:rPr>
                <w:sz w:val="18"/>
              </w:rPr>
              <w:t>“</w:t>
            </w:r>
            <w:r w:rsidR="001D75D7" w:rsidRPr="00C559F8">
              <w:rPr>
                <w:sz w:val="18"/>
              </w:rPr>
              <w:t>Enhance Children</w:t>
            </w:r>
            <w:r>
              <w:rPr>
                <w:sz w:val="18"/>
              </w:rPr>
              <w:t>’</w:t>
            </w:r>
            <w:r w:rsidR="001D75D7" w:rsidRPr="00C559F8">
              <w:rPr>
                <w:sz w:val="18"/>
              </w:rPr>
              <w:t>s Awareness on Self-protection</w:t>
            </w:r>
            <w:r>
              <w:rPr>
                <w:sz w:val="18"/>
              </w:rPr>
              <w:t>”</w:t>
            </w:r>
            <w:r w:rsidR="001D75D7" w:rsidRPr="00C559F8">
              <w:rPr>
                <w:sz w:val="18"/>
              </w:rPr>
              <w:t xml:space="preserve"> Subsidy Programmes</w:t>
            </w:r>
          </w:p>
        </w:tc>
        <w:tc>
          <w:tcPr>
            <w:tcW w:w="1701" w:type="dxa"/>
            <w:shd w:val="clear" w:color="auto" w:fill="auto"/>
          </w:tcPr>
          <w:p w14:paraId="2A6E6E86" w14:textId="77777777" w:rsidR="001D75D7" w:rsidRPr="00C559F8" w:rsidRDefault="001D75D7" w:rsidP="00BC00A7">
            <w:pPr>
              <w:pStyle w:val="SingleTxtG"/>
              <w:suppressAutoHyphens w:val="0"/>
              <w:spacing w:before="40" w:after="40" w:line="220" w:lineRule="exact"/>
              <w:ind w:left="0" w:right="113"/>
              <w:jc w:val="left"/>
              <w:rPr>
                <w:sz w:val="18"/>
              </w:rPr>
            </w:pPr>
            <w:r w:rsidRPr="00C559F8">
              <w:rPr>
                <w:sz w:val="18"/>
              </w:rPr>
              <w:t>Subsidy Programmes</w:t>
            </w:r>
          </w:p>
        </w:tc>
        <w:tc>
          <w:tcPr>
            <w:tcW w:w="709" w:type="dxa"/>
            <w:shd w:val="clear" w:color="auto" w:fill="auto"/>
            <w:vAlign w:val="bottom"/>
          </w:tcPr>
          <w:p w14:paraId="6992D169" w14:textId="77777777" w:rsidR="001D75D7" w:rsidRPr="00C559F8" w:rsidRDefault="001D75D7" w:rsidP="00C559F8">
            <w:pPr>
              <w:pStyle w:val="SingleTxtG"/>
              <w:suppressAutoHyphens w:val="0"/>
              <w:spacing w:before="40" w:after="40" w:line="220" w:lineRule="exact"/>
              <w:ind w:left="0" w:right="113"/>
              <w:jc w:val="right"/>
              <w:rPr>
                <w:sz w:val="18"/>
              </w:rPr>
            </w:pPr>
            <w:r w:rsidRPr="00C559F8">
              <w:rPr>
                <w:sz w:val="18"/>
              </w:rPr>
              <w:t>3</w:t>
            </w:r>
          </w:p>
        </w:tc>
        <w:tc>
          <w:tcPr>
            <w:tcW w:w="1558" w:type="dxa"/>
            <w:shd w:val="clear" w:color="auto" w:fill="auto"/>
            <w:vAlign w:val="bottom"/>
          </w:tcPr>
          <w:p w14:paraId="407894F7" w14:textId="38CC3EEB" w:rsidR="001D75D7" w:rsidRPr="00C559F8" w:rsidRDefault="001D75D7" w:rsidP="00C559F8">
            <w:pPr>
              <w:pStyle w:val="SingleTxtG"/>
              <w:suppressAutoHyphens w:val="0"/>
              <w:spacing w:before="40" w:after="40" w:line="220" w:lineRule="exact"/>
              <w:ind w:left="0" w:right="113"/>
              <w:jc w:val="right"/>
              <w:rPr>
                <w:sz w:val="18"/>
              </w:rPr>
            </w:pPr>
            <w:r w:rsidRPr="00C559F8">
              <w:rPr>
                <w:sz w:val="18"/>
              </w:rPr>
              <w:t>1</w:t>
            </w:r>
            <w:r w:rsidR="00BC00A7">
              <w:rPr>
                <w:sz w:val="18"/>
              </w:rPr>
              <w:t xml:space="preserve"> </w:t>
            </w:r>
            <w:r w:rsidRPr="00C559F8">
              <w:rPr>
                <w:sz w:val="18"/>
              </w:rPr>
              <w:t>106</w:t>
            </w:r>
          </w:p>
        </w:tc>
      </w:tr>
      <w:tr w:rsidR="00C559F8" w:rsidRPr="00C559F8" w14:paraId="16DDF532" w14:textId="77777777" w:rsidTr="00E45843">
        <w:trPr>
          <w:cantSplit/>
        </w:trPr>
        <w:tc>
          <w:tcPr>
            <w:tcW w:w="567" w:type="dxa"/>
            <w:vMerge/>
            <w:shd w:val="clear" w:color="auto" w:fill="auto"/>
          </w:tcPr>
          <w:p w14:paraId="752EB67D" w14:textId="77777777" w:rsidR="001D75D7" w:rsidRPr="00C559F8" w:rsidRDefault="001D75D7" w:rsidP="00C559F8">
            <w:pPr>
              <w:pStyle w:val="SingleTxtG"/>
              <w:suppressAutoHyphens w:val="0"/>
              <w:spacing w:before="40" w:after="40" w:line="220" w:lineRule="exact"/>
              <w:ind w:left="0" w:right="113"/>
              <w:jc w:val="left"/>
              <w:rPr>
                <w:sz w:val="18"/>
              </w:rPr>
            </w:pPr>
          </w:p>
        </w:tc>
        <w:tc>
          <w:tcPr>
            <w:tcW w:w="2835" w:type="dxa"/>
            <w:shd w:val="clear" w:color="auto" w:fill="auto"/>
          </w:tcPr>
          <w:p w14:paraId="1C1BDB43" w14:textId="3D51A205" w:rsidR="001D75D7" w:rsidRPr="00C559F8" w:rsidRDefault="001D75D7" w:rsidP="00BC00A7">
            <w:pPr>
              <w:pStyle w:val="SingleTxtG"/>
              <w:suppressAutoHyphens w:val="0"/>
              <w:spacing w:before="40" w:after="40" w:line="220" w:lineRule="exact"/>
              <w:ind w:left="0" w:right="113"/>
              <w:jc w:val="left"/>
              <w:rPr>
                <w:sz w:val="18"/>
              </w:rPr>
            </w:pPr>
            <w:r w:rsidRPr="00C559F8">
              <w:rPr>
                <w:sz w:val="18"/>
              </w:rPr>
              <w:t>Children</w:t>
            </w:r>
            <w:r w:rsidR="006266F0">
              <w:rPr>
                <w:sz w:val="18"/>
              </w:rPr>
              <w:t>’</w:t>
            </w:r>
            <w:r w:rsidRPr="00C559F8">
              <w:rPr>
                <w:sz w:val="18"/>
              </w:rPr>
              <w:t>s Rights and Cyber-crime</w:t>
            </w:r>
          </w:p>
        </w:tc>
        <w:tc>
          <w:tcPr>
            <w:tcW w:w="1701" w:type="dxa"/>
            <w:shd w:val="clear" w:color="auto" w:fill="auto"/>
          </w:tcPr>
          <w:p w14:paraId="73B76AEF" w14:textId="77777777" w:rsidR="001D75D7" w:rsidRPr="00C559F8" w:rsidRDefault="001D75D7" w:rsidP="00BC00A7">
            <w:pPr>
              <w:pStyle w:val="SingleTxtG"/>
              <w:suppressAutoHyphens w:val="0"/>
              <w:spacing w:before="40" w:after="40" w:line="220" w:lineRule="exact"/>
              <w:ind w:left="0" w:right="113"/>
              <w:jc w:val="left"/>
              <w:rPr>
                <w:sz w:val="18"/>
              </w:rPr>
            </w:pPr>
            <w:r w:rsidRPr="00C559F8">
              <w:rPr>
                <w:sz w:val="18"/>
              </w:rPr>
              <w:t>Training</w:t>
            </w:r>
          </w:p>
        </w:tc>
        <w:tc>
          <w:tcPr>
            <w:tcW w:w="709" w:type="dxa"/>
            <w:shd w:val="clear" w:color="auto" w:fill="auto"/>
            <w:vAlign w:val="bottom"/>
          </w:tcPr>
          <w:p w14:paraId="5E8E4B9B" w14:textId="77777777" w:rsidR="001D75D7" w:rsidRPr="00C559F8" w:rsidRDefault="001D75D7" w:rsidP="00C559F8">
            <w:pPr>
              <w:pStyle w:val="SingleTxtG"/>
              <w:suppressAutoHyphens w:val="0"/>
              <w:spacing w:before="40" w:after="40" w:line="220" w:lineRule="exact"/>
              <w:ind w:left="0" w:right="113"/>
              <w:jc w:val="right"/>
              <w:rPr>
                <w:sz w:val="18"/>
              </w:rPr>
            </w:pPr>
            <w:r w:rsidRPr="00C559F8">
              <w:rPr>
                <w:sz w:val="18"/>
              </w:rPr>
              <w:t>4</w:t>
            </w:r>
          </w:p>
        </w:tc>
        <w:tc>
          <w:tcPr>
            <w:tcW w:w="1558" w:type="dxa"/>
            <w:shd w:val="clear" w:color="auto" w:fill="auto"/>
            <w:vAlign w:val="bottom"/>
          </w:tcPr>
          <w:p w14:paraId="13F77205" w14:textId="77777777" w:rsidR="001D75D7" w:rsidRPr="00C559F8" w:rsidRDefault="001D75D7" w:rsidP="00C559F8">
            <w:pPr>
              <w:pStyle w:val="SingleTxtG"/>
              <w:suppressAutoHyphens w:val="0"/>
              <w:spacing w:before="40" w:after="40" w:line="220" w:lineRule="exact"/>
              <w:ind w:left="0" w:right="113"/>
              <w:jc w:val="right"/>
              <w:rPr>
                <w:sz w:val="18"/>
              </w:rPr>
            </w:pPr>
            <w:r w:rsidRPr="00C559F8">
              <w:rPr>
                <w:sz w:val="18"/>
              </w:rPr>
              <w:t>367</w:t>
            </w:r>
          </w:p>
        </w:tc>
      </w:tr>
      <w:tr w:rsidR="00C559F8" w:rsidRPr="00C559F8" w14:paraId="461D05D7" w14:textId="77777777" w:rsidTr="00E45843">
        <w:trPr>
          <w:cantSplit/>
        </w:trPr>
        <w:tc>
          <w:tcPr>
            <w:tcW w:w="567" w:type="dxa"/>
            <w:vMerge w:val="restart"/>
            <w:shd w:val="clear" w:color="auto" w:fill="auto"/>
          </w:tcPr>
          <w:p w14:paraId="5C144EA9" w14:textId="77777777" w:rsidR="001D75D7" w:rsidRPr="00C559F8" w:rsidRDefault="001D75D7" w:rsidP="00C559F8">
            <w:pPr>
              <w:pStyle w:val="SingleTxtG"/>
              <w:suppressAutoHyphens w:val="0"/>
              <w:spacing w:before="40" w:after="40" w:line="220" w:lineRule="exact"/>
              <w:ind w:left="0" w:right="113"/>
              <w:jc w:val="left"/>
              <w:rPr>
                <w:sz w:val="18"/>
              </w:rPr>
            </w:pPr>
            <w:r w:rsidRPr="00C559F8">
              <w:rPr>
                <w:sz w:val="18"/>
              </w:rPr>
              <w:t>2017</w:t>
            </w:r>
          </w:p>
        </w:tc>
        <w:tc>
          <w:tcPr>
            <w:tcW w:w="2835" w:type="dxa"/>
            <w:shd w:val="clear" w:color="auto" w:fill="auto"/>
          </w:tcPr>
          <w:p w14:paraId="121A9EE3" w14:textId="77777777" w:rsidR="001D75D7" w:rsidRPr="00C559F8" w:rsidRDefault="001D75D7" w:rsidP="00BC00A7">
            <w:pPr>
              <w:pStyle w:val="SingleTxtG"/>
              <w:suppressAutoHyphens w:val="0"/>
              <w:spacing w:before="40" w:after="40" w:line="220" w:lineRule="exact"/>
              <w:ind w:left="0" w:right="113"/>
              <w:jc w:val="left"/>
              <w:rPr>
                <w:sz w:val="18"/>
              </w:rPr>
            </w:pPr>
            <w:r w:rsidRPr="00C559F8">
              <w:rPr>
                <w:sz w:val="18"/>
              </w:rPr>
              <w:t>Travel Bottle</w:t>
            </w:r>
          </w:p>
        </w:tc>
        <w:tc>
          <w:tcPr>
            <w:tcW w:w="1701" w:type="dxa"/>
            <w:shd w:val="clear" w:color="auto" w:fill="auto"/>
          </w:tcPr>
          <w:p w14:paraId="224E16C0" w14:textId="77777777" w:rsidR="001D75D7" w:rsidRPr="00C559F8" w:rsidRDefault="001D75D7" w:rsidP="00BC00A7">
            <w:pPr>
              <w:pStyle w:val="SingleTxtG"/>
              <w:suppressAutoHyphens w:val="0"/>
              <w:spacing w:before="40" w:after="40" w:line="220" w:lineRule="exact"/>
              <w:ind w:left="0" w:right="113"/>
              <w:jc w:val="left"/>
              <w:rPr>
                <w:sz w:val="18"/>
              </w:rPr>
            </w:pPr>
            <w:r w:rsidRPr="00C559F8">
              <w:rPr>
                <w:sz w:val="18"/>
              </w:rPr>
              <w:t>Promotion Materials</w:t>
            </w:r>
          </w:p>
        </w:tc>
        <w:tc>
          <w:tcPr>
            <w:tcW w:w="709" w:type="dxa"/>
            <w:shd w:val="clear" w:color="auto" w:fill="auto"/>
            <w:vAlign w:val="bottom"/>
          </w:tcPr>
          <w:p w14:paraId="28CB84A4" w14:textId="77777777" w:rsidR="001D75D7" w:rsidRPr="00C559F8" w:rsidRDefault="001D75D7" w:rsidP="00C559F8">
            <w:pPr>
              <w:pStyle w:val="SingleTxtG"/>
              <w:suppressAutoHyphens w:val="0"/>
              <w:spacing w:before="40" w:after="40" w:line="220" w:lineRule="exact"/>
              <w:ind w:left="0" w:right="113"/>
              <w:jc w:val="right"/>
              <w:rPr>
                <w:sz w:val="18"/>
              </w:rPr>
            </w:pPr>
            <w:r w:rsidRPr="00C559F8">
              <w:rPr>
                <w:sz w:val="18"/>
              </w:rPr>
              <w:t>1</w:t>
            </w:r>
          </w:p>
        </w:tc>
        <w:tc>
          <w:tcPr>
            <w:tcW w:w="1558" w:type="dxa"/>
            <w:shd w:val="clear" w:color="auto" w:fill="auto"/>
            <w:vAlign w:val="bottom"/>
          </w:tcPr>
          <w:p w14:paraId="22AC4698" w14:textId="41846C2E" w:rsidR="001D75D7" w:rsidRPr="00C559F8" w:rsidRDefault="001D75D7" w:rsidP="00C559F8">
            <w:pPr>
              <w:pStyle w:val="SingleTxtG"/>
              <w:suppressAutoHyphens w:val="0"/>
              <w:spacing w:before="40" w:after="40" w:line="220" w:lineRule="exact"/>
              <w:ind w:left="0" w:right="113"/>
              <w:jc w:val="right"/>
              <w:rPr>
                <w:sz w:val="18"/>
              </w:rPr>
            </w:pPr>
            <w:r w:rsidRPr="00C559F8">
              <w:rPr>
                <w:sz w:val="18"/>
              </w:rPr>
              <w:t>4</w:t>
            </w:r>
            <w:r w:rsidR="00BC00A7">
              <w:rPr>
                <w:sz w:val="18"/>
              </w:rPr>
              <w:t xml:space="preserve"> </w:t>
            </w:r>
            <w:r w:rsidRPr="00C559F8">
              <w:rPr>
                <w:sz w:val="18"/>
              </w:rPr>
              <w:t>000</w:t>
            </w:r>
          </w:p>
        </w:tc>
      </w:tr>
      <w:tr w:rsidR="00C559F8" w:rsidRPr="00C559F8" w14:paraId="44B85DB6" w14:textId="77777777" w:rsidTr="00E45843">
        <w:trPr>
          <w:cantSplit/>
        </w:trPr>
        <w:tc>
          <w:tcPr>
            <w:tcW w:w="567" w:type="dxa"/>
            <w:vMerge/>
            <w:shd w:val="clear" w:color="auto" w:fill="auto"/>
          </w:tcPr>
          <w:p w14:paraId="6275F407" w14:textId="77777777" w:rsidR="001D75D7" w:rsidRPr="00C559F8" w:rsidRDefault="001D75D7" w:rsidP="00C559F8">
            <w:pPr>
              <w:pStyle w:val="SingleTxtG"/>
              <w:suppressAutoHyphens w:val="0"/>
              <w:spacing w:before="40" w:after="40" w:line="220" w:lineRule="exact"/>
              <w:ind w:left="0" w:right="113"/>
              <w:jc w:val="left"/>
              <w:rPr>
                <w:sz w:val="18"/>
              </w:rPr>
            </w:pPr>
          </w:p>
        </w:tc>
        <w:tc>
          <w:tcPr>
            <w:tcW w:w="2835" w:type="dxa"/>
            <w:shd w:val="clear" w:color="auto" w:fill="auto"/>
          </w:tcPr>
          <w:p w14:paraId="621F9219" w14:textId="3AB58EC2" w:rsidR="001D75D7" w:rsidRPr="00C559F8" w:rsidRDefault="001D75D7" w:rsidP="00BC00A7">
            <w:pPr>
              <w:pStyle w:val="SingleTxtG"/>
              <w:suppressAutoHyphens w:val="0"/>
              <w:spacing w:before="40" w:after="40" w:line="220" w:lineRule="exact"/>
              <w:ind w:left="0" w:right="113"/>
              <w:jc w:val="left"/>
              <w:rPr>
                <w:sz w:val="18"/>
              </w:rPr>
            </w:pPr>
            <w:r w:rsidRPr="00C559F8">
              <w:rPr>
                <w:sz w:val="18"/>
              </w:rPr>
              <w:t>Game Book of Understanding the Children</w:t>
            </w:r>
            <w:r w:rsidR="006266F0">
              <w:rPr>
                <w:sz w:val="18"/>
              </w:rPr>
              <w:t>’</w:t>
            </w:r>
            <w:r w:rsidRPr="00C559F8">
              <w:rPr>
                <w:sz w:val="18"/>
              </w:rPr>
              <w:t>s Rights Convention</w:t>
            </w:r>
          </w:p>
        </w:tc>
        <w:tc>
          <w:tcPr>
            <w:tcW w:w="1701" w:type="dxa"/>
            <w:shd w:val="clear" w:color="auto" w:fill="auto"/>
          </w:tcPr>
          <w:p w14:paraId="7034B5F3" w14:textId="77777777" w:rsidR="001D75D7" w:rsidRPr="00C559F8" w:rsidRDefault="001D75D7" w:rsidP="00BC00A7">
            <w:pPr>
              <w:pStyle w:val="SingleTxtG"/>
              <w:suppressAutoHyphens w:val="0"/>
              <w:spacing w:before="40" w:after="40" w:line="220" w:lineRule="exact"/>
              <w:ind w:left="0" w:right="113"/>
              <w:jc w:val="left"/>
              <w:rPr>
                <w:sz w:val="18"/>
              </w:rPr>
            </w:pPr>
            <w:r w:rsidRPr="00C559F8">
              <w:rPr>
                <w:sz w:val="18"/>
              </w:rPr>
              <w:t>Promotion Materials</w:t>
            </w:r>
          </w:p>
        </w:tc>
        <w:tc>
          <w:tcPr>
            <w:tcW w:w="709" w:type="dxa"/>
            <w:shd w:val="clear" w:color="auto" w:fill="auto"/>
            <w:vAlign w:val="bottom"/>
          </w:tcPr>
          <w:p w14:paraId="3135288F" w14:textId="77777777" w:rsidR="001D75D7" w:rsidRPr="00C559F8" w:rsidRDefault="001D75D7" w:rsidP="00C559F8">
            <w:pPr>
              <w:pStyle w:val="SingleTxtG"/>
              <w:suppressAutoHyphens w:val="0"/>
              <w:spacing w:before="40" w:after="40" w:line="220" w:lineRule="exact"/>
              <w:ind w:left="0" w:right="113"/>
              <w:jc w:val="right"/>
              <w:rPr>
                <w:sz w:val="18"/>
              </w:rPr>
            </w:pPr>
            <w:r w:rsidRPr="00C559F8">
              <w:rPr>
                <w:sz w:val="18"/>
              </w:rPr>
              <w:t>1</w:t>
            </w:r>
          </w:p>
        </w:tc>
        <w:tc>
          <w:tcPr>
            <w:tcW w:w="1558" w:type="dxa"/>
            <w:shd w:val="clear" w:color="auto" w:fill="auto"/>
            <w:vAlign w:val="bottom"/>
          </w:tcPr>
          <w:p w14:paraId="5F61C466" w14:textId="2593434A" w:rsidR="001D75D7" w:rsidRPr="00C559F8" w:rsidRDefault="001D75D7" w:rsidP="00C559F8">
            <w:pPr>
              <w:pStyle w:val="SingleTxtG"/>
              <w:suppressAutoHyphens w:val="0"/>
              <w:spacing w:before="40" w:after="40" w:line="220" w:lineRule="exact"/>
              <w:ind w:left="0" w:right="113"/>
              <w:jc w:val="right"/>
              <w:rPr>
                <w:sz w:val="18"/>
              </w:rPr>
            </w:pPr>
            <w:r w:rsidRPr="00C559F8">
              <w:rPr>
                <w:sz w:val="18"/>
              </w:rPr>
              <w:t>2</w:t>
            </w:r>
            <w:r w:rsidR="00BC00A7">
              <w:rPr>
                <w:sz w:val="18"/>
              </w:rPr>
              <w:t xml:space="preserve"> </w:t>
            </w:r>
            <w:r w:rsidRPr="00C559F8">
              <w:rPr>
                <w:sz w:val="18"/>
              </w:rPr>
              <w:t>250</w:t>
            </w:r>
          </w:p>
        </w:tc>
      </w:tr>
      <w:tr w:rsidR="00C559F8" w:rsidRPr="00C559F8" w14:paraId="09C6E2AB" w14:textId="77777777" w:rsidTr="00E45843">
        <w:trPr>
          <w:cantSplit/>
        </w:trPr>
        <w:tc>
          <w:tcPr>
            <w:tcW w:w="567" w:type="dxa"/>
            <w:shd w:val="clear" w:color="auto" w:fill="auto"/>
          </w:tcPr>
          <w:p w14:paraId="6FEFF518" w14:textId="77777777" w:rsidR="001D75D7" w:rsidRPr="00C559F8" w:rsidRDefault="001D75D7" w:rsidP="00C559F8">
            <w:pPr>
              <w:pStyle w:val="SingleTxtG"/>
              <w:suppressAutoHyphens w:val="0"/>
              <w:spacing w:before="40" w:after="40" w:line="220" w:lineRule="exact"/>
              <w:ind w:left="0" w:right="113"/>
              <w:jc w:val="left"/>
              <w:rPr>
                <w:sz w:val="18"/>
              </w:rPr>
            </w:pPr>
            <w:r w:rsidRPr="00C559F8">
              <w:rPr>
                <w:sz w:val="18"/>
              </w:rPr>
              <w:t>2018</w:t>
            </w:r>
          </w:p>
        </w:tc>
        <w:tc>
          <w:tcPr>
            <w:tcW w:w="2835" w:type="dxa"/>
            <w:shd w:val="clear" w:color="auto" w:fill="auto"/>
          </w:tcPr>
          <w:p w14:paraId="639A7BB9" w14:textId="43E9CFB0" w:rsidR="001D75D7" w:rsidRPr="00C559F8" w:rsidRDefault="001D75D7" w:rsidP="00BC00A7">
            <w:pPr>
              <w:pStyle w:val="SingleTxtG"/>
              <w:suppressAutoHyphens w:val="0"/>
              <w:spacing w:before="40" w:after="40" w:line="220" w:lineRule="exact"/>
              <w:ind w:left="0" w:right="113"/>
              <w:jc w:val="left"/>
              <w:rPr>
                <w:sz w:val="18"/>
              </w:rPr>
            </w:pPr>
            <w:r w:rsidRPr="00C559F8">
              <w:rPr>
                <w:sz w:val="18"/>
              </w:rPr>
              <w:t>Rubik</w:t>
            </w:r>
            <w:r w:rsidR="006266F0">
              <w:rPr>
                <w:sz w:val="18"/>
              </w:rPr>
              <w:t>’</w:t>
            </w:r>
            <w:r w:rsidRPr="00C559F8">
              <w:rPr>
                <w:sz w:val="18"/>
              </w:rPr>
              <w:t>s Cube Key Chain</w:t>
            </w:r>
          </w:p>
        </w:tc>
        <w:tc>
          <w:tcPr>
            <w:tcW w:w="1701" w:type="dxa"/>
            <w:shd w:val="clear" w:color="auto" w:fill="auto"/>
          </w:tcPr>
          <w:p w14:paraId="38895886" w14:textId="77777777" w:rsidR="001D75D7" w:rsidRPr="00C559F8" w:rsidRDefault="001D75D7" w:rsidP="00BC00A7">
            <w:pPr>
              <w:pStyle w:val="SingleTxtG"/>
              <w:suppressAutoHyphens w:val="0"/>
              <w:spacing w:before="40" w:after="40" w:line="220" w:lineRule="exact"/>
              <w:ind w:left="0" w:right="113"/>
              <w:jc w:val="left"/>
              <w:rPr>
                <w:sz w:val="18"/>
              </w:rPr>
            </w:pPr>
            <w:r w:rsidRPr="00C559F8">
              <w:rPr>
                <w:sz w:val="18"/>
              </w:rPr>
              <w:t>Promotion Materials</w:t>
            </w:r>
          </w:p>
        </w:tc>
        <w:tc>
          <w:tcPr>
            <w:tcW w:w="709" w:type="dxa"/>
            <w:shd w:val="clear" w:color="auto" w:fill="auto"/>
            <w:vAlign w:val="bottom"/>
          </w:tcPr>
          <w:p w14:paraId="0815F13D" w14:textId="77777777" w:rsidR="001D75D7" w:rsidRPr="00C559F8" w:rsidRDefault="001D75D7" w:rsidP="00C559F8">
            <w:pPr>
              <w:pStyle w:val="SingleTxtG"/>
              <w:suppressAutoHyphens w:val="0"/>
              <w:spacing w:before="40" w:after="40" w:line="220" w:lineRule="exact"/>
              <w:ind w:left="0" w:right="113"/>
              <w:jc w:val="right"/>
              <w:rPr>
                <w:sz w:val="18"/>
              </w:rPr>
            </w:pPr>
            <w:r w:rsidRPr="00C559F8">
              <w:rPr>
                <w:sz w:val="18"/>
              </w:rPr>
              <w:t>1</w:t>
            </w:r>
          </w:p>
        </w:tc>
        <w:tc>
          <w:tcPr>
            <w:tcW w:w="1558" w:type="dxa"/>
            <w:shd w:val="clear" w:color="auto" w:fill="auto"/>
            <w:vAlign w:val="bottom"/>
          </w:tcPr>
          <w:p w14:paraId="4CD45B7F" w14:textId="3227A8B5" w:rsidR="001D75D7" w:rsidRPr="00C559F8" w:rsidRDefault="001D75D7" w:rsidP="00C559F8">
            <w:pPr>
              <w:pStyle w:val="SingleTxtG"/>
              <w:suppressAutoHyphens w:val="0"/>
              <w:spacing w:before="40" w:after="40" w:line="220" w:lineRule="exact"/>
              <w:ind w:left="0" w:right="113"/>
              <w:jc w:val="right"/>
              <w:rPr>
                <w:sz w:val="18"/>
              </w:rPr>
            </w:pPr>
            <w:r w:rsidRPr="00C559F8">
              <w:rPr>
                <w:sz w:val="18"/>
              </w:rPr>
              <w:t>4</w:t>
            </w:r>
            <w:r w:rsidR="00BC00A7">
              <w:rPr>
                <w:sz w:val="18"/>
              </w:rPr>
              <w:t xml:space="preserve"> </w:t>
            </w:r>
            <w:r w:rsidRPr="00C559F8">
              <w:rPr>
                <w:sz w:val="18"/>
              </w:rPr>
              <w:t>000</w:t>
            </w:r>
          </w:p>
        </w:tc>
      </w:tr>
    </w:tbl>
    <w:p w14:paraId="2DF27132" w14:textId="46F7116D" w:rsidR="001D75D7" w:rsidRPr="00BC00A7" w:rsidRDefault="001D75D7" w:rsidP="00BC00A7">
      <w:pPr>
        <w:spacing w:before="120" w:after="240"/>
        <w:ind w:left="1134" w:right="1134" w:firstLine="170"/>
        <w:rPr>
          <w:sz w:val="18"/>
        </w:rPr>
      </w:pPr>
      <w:r w:rsidRPr="00BC00A7">
        <w:rPr>
          <w:i/>
          <w:iCs/>
          <w:sz w:val="18"/>
        </w:rPr>
        <w:t>Source</w:t>
      </w:r>
      <w:r w:rsidRPr="00BC00A7">
        <w:rPr>
          <w:sz w:val="18"/>
        </w:rPr>
        <w:t xml:space="preserve">: </w:t>
      </w:r>
      <w:r w:rsidR="00EB1BB0">
        <w:rPr>
          <w:sz w:val="18"/>
        </w:rPr>
        <w:t xml:space="preserve"> </w:t>
      </w:r>
      <w:r w:rsidRPr="00BC00A7">
        <w:rPr>
          <w:sz w:val="18"/>
        </w:rPr>
        <w:t>SWB.</w:t>
      </w:r>
    </w:p>
    <w:p w14:paraId="48ED520C" w14:textId="77777777" w:rsidR="001D75D7" w:rsidRPr="00B47380" w:rsidRDefault="001D75D7" w:rsidP="00D53B5F">
      <w:pPr>
        <w:pStyle w:val="SingleTxtG"/>
      </w:pPr>
      <w:r w:rsidRPr="00B47380">
        <w:t>153.</w:t>
      </w:r>
      <w:r w:rsidRPr="00B47380">
        <w:tab/>
        <w:t>Regarding young offenders, it should be mentioned that the information provided in previous reports remains accurate. The Youth Correctional Institution (YCI) is responsible for the teaching, education and re-education, vocational guidance and training of young offenders (Law 2/2007). Young offenders aged 16 are housed in the correctional facility (Article 7(2) of Decree-law 40/94/M). The EYAB assists the YCI by providing basic education. Presently, 17 male young offenders are receiving assistance.</w:t>
      </w:r>
    </w:p>
    <w:p w14:paraId="537169C1" w14:textId="77777777" w:rsidR="001D75D7" w:rsidRPr="00B47380" w:rsidRDefault="001D75D7" w:rsidP="00484FA9">
      <w:pPr>
        <w:pStyle w:val="H23G"/>
      </w:pPr>
      <w:r w:rsidRPr="00B47380">
        <w:lastRenderedPageBreak/>
        <w:tab/>
      </w:r>
      <w:r w:rsidRPr="00B47380">
        <w:tab/>
        <w:t>Protection for older persons</w:t>
      </w:r>
    </w:p>
    <w:p w14:paraId="40F2F152" w14:textId="77777777" w:rsidR="001D75D7" w:rsidRPr="00B47380" w:rsidRDefault="001D75D7" w:rsidP="00D53B5F">
      <w:pPr>
        <w:pStyle w:val="SingleTxtG"/>
      </w:pPr>
      <w:r w:rsidRPr="00B47380">
        <w:t>154.</w:t>
      </w:r>
      <w:r w:rsidRPr="00B47380">
        <w:tab/>
        <w:t>The ageing population and their well-being are primary concerns of the Government (Article 38(3) of the BL). A specific law was adopted, Law 12/2018 on the Rights and Interests of Older Persons, aiming at promoting an inclusive society that devotes support and respect for the elderly and fosters the sense of belonging and usefulness in the old age.</w:t>
      </w:r>
    </w:p>
    <w:p w14:paraId="4320B952" w14:textId="77777777" w:rsidR="001D75D7" w:rsidRPr="00B47380" w:rsidRDefault="001D75D7" w:rsidP="00D53B5F">
      <w:pPr>
        <w:pStyle w:val="SingleTxtG"/>
      </w:pPr>
      <w:r w:rsidRPr="00B47380">
        <w:t>155.</w:t>
      </w:r>
      <w:r w:rsidRPr="00B47380">
        <w:tab/>
        <w:t>Law 12/2018 strives an holistic approach covering, inter alia, support and care, basic living needs (e.g. financial aid, social benefits and social security), health (e.g. development geriatric services and provision of pain relief and palliative care services), accessibility to infrastructures and services (e.g. transport, town planning, residential buildings and public access areas and facilities), work and professional occupation (re-employment), preferable treatment, continuing education, social activities and social participation (e.g. voluntary and solidarity activities, cultural, recreational and sports activities) (Articles 6 to 19).</w:t>
      </w:r>
    </w:p>
    <w:p w14:paraId="59725328" w14:textId="77777777" w:rsidR="001D75D7" w:rsidRPr="00B47380" w:rsidRDefault="001D75D7" w:rsidP="00D53B5F">
      <w:pPr>
        <w:pStyle w:val="SingleTxtG"/>
      </w:pPr>
      <w:r w:rsidRPr="00B47380">
        <w:t>156.</w:t>
      </w:r>
      <w:r w:rsidRPr="00B47380">
        <w:tab/>
        <w:t>The protection of the rights and interests of older persons (residents aged 65 or above) lies not only with the Government but also with the whole society, which is the underlying concept of the Law. An elderly care system was established to help maintain and reinforce their capacity to live with autonomy, with family care, as complemented by household support services (Articles 21 to 23).</w:t>
      </w:r>
    </w:p>
    <w:p w14:paraId="11ED139B" w14:textId="77777777" w:rsidR="001D75D7" w:rsidRPr="00B47380" w:rsidRDefault="001D75D7" w:rsidP="00D53B5F">
      <w:pPr>
        <w:pStyle w:val="SingleTxtG"/>
      </w:pPr>
      <w:r w:rsidRPr="00B47380">
        <w:t>157.</w:t>
      </w:r>
      <w:r w:rsidRPr="00B47380">
        <w:tab/>
        <w:t xml:space="preserve">It should also be noted that family members, persons or entities that are responsible for paying maintenance to older persons and for taking care of them must comply strictly with their duties or they may be held civilly or criminally accountable. </w:t>
      </w:r>
    </w:p>
    <w:p w14:paraId="4F15CE44" w14:textId="77777777" w:rsidR="001D75D7" w:rsidRPr="00B47380" w:rsidRDefault="001D75D7" w:rsidP="00D53B5F">
      <w:pPr>
        <w:pStyle w:val="SingleTxtG"/>
      </w:pPr>
      <w:r w:rsidRPr="00B47380">
        <w:t>158.</w:t>
      </w:r>
      <w:r w:rsidRPr="00B47380">
        <w:tab/>
        <w:t xml:space="preserve">In the case of non-compliance, older persons with the right to maintenance may take legal action before the court, as well as request for legal aid (Article 6). Adequate administrative intervention measures may apply. And, in case of civil disputes, counselling and mediation may be provided (Article 27). </w:t>
      </w:r>
    </w:p>
    <w:p w14:paraId="1296DFF2" w14:textId="77777777" w:rsidR="001D75D7" w:rsidRPr="00B47380" w:rsidRDefault="001D75D7" w:rsidP="00D53B5F">
      <w:pPr>
        <w:pStyle w:val="SingleTxtG"/>
      </w:pPr>
      <w:r w:rsidRPr="00B47380">
        <w:t>159.</w:t>
      </w:r>
      <w:r w:rsidRPr="00B47380">
        <w:tab/>
        <w:t>Protective measures, whenever there is an imminent need (e.g. temporary accommodation), are also assured (Article 28), as well as assistance to older persons with insufficient economic resources (Article 7).</w:t>
      </w:r>
    </w:p>
    <w:p w14:paraId="411A0734" w14:textId="77777777" w:rsidR="001D75D7" w:rsidRPr="00B47380" w:rsidRDefault="001D75D7" w:rsidP="00D53B5F">
      <w:pPr>
        <w:pStyle w:val="SingleTxtG"/>
      </w:pPr>
      <w:r w:rsidRPr="00B47380">
        <w:t>160.</w:t>
      </w:r>
      <w:r w:rsidRPr="00B47380">
        <w:tab/>
        <w:t>The SWB is responsible for coordinating the implementation of the Law, including studies and assessments regarding the phenomenon of population ageing (Articles 25 and 26). In cooperation with other government departments or NGOs, it provides support at the financial and technical levels according to the needs of older persons who live alone or who live in poor conditions, or families with older persons.</w:t>
      </w:r>
    </w:p>
    <w:p w14:paraId="1E9329E3" w14:textId="2C9D1C16" w:rsidR="001D75D7" w:rsidRPr="00B47380" w:rsidRDefault="001D75D7" w:rsidP="00D53B5F">
      <w:pPr>
        <w:pStyle w:val="SingleTxtG"/>
      </w:pPr>
      <w:r w:rsidRPr="00B47380">
        <w:t>161.</w:t>
      </w:r>
      <w:r w:rsidRPr="00B47380">
        <w:tab/>
        <w:t>The SCAC assists the Government in implementing and monitoring the social policies for the elderly, particularly the drafting of the Older Persons Plan and Law 12/2018. An Inter-departmental Directive Group on Macao</w:t>
      </w:r>
      <w:r w:rsidR="006266F0">
        <w:t>’</w:t>
      </w:r>
      <w:r w:rsidRPr="00B47380">
        <w:t>s Old Age Security Mechanism (Order of the CE 109/2016) was established to coordinate and facilitate the implementation of the short, medium and long-term policies and measures of the Older Persons Plan.</w:t>
      </w:r>
    </w:p>
    <w:p w14:paraId="0EBAB4B2" w14:textId="77777777" w:rsidR="001D75D7" w:rsidRPr="00B47380" w:rsidRDefault="001D75D7" w:rsidP="00D53B5F">
      <w:pPr>
        <w:pStyle w:val="SingleTxtG"/>
      </w:pPr>
      <w:r w:rsidRPr="00B47380">
        <w:t>162.</w:t>
      </w:r>
      <w:r w:rsidRPr="00B47380">
        <w:tab/>
        <w:t xml:space="preserve">In relation to long-term care facilities for older persons, there are currently </w:t>
      </w:r>
      <w:proofErr w:type="gramStart"/>
      <w:r w:rsidRPr="00B47380">
        <w:t>6 day</w:t>
      </w:r>
      <w:proofErr w:type="gramEnd"/>
      <w:r w:rsidRPr="00B47380">
        <w:t xml:space="preserve"> care centres and 21 homes providing comprehensive and integrated services like personal care, nursing rehabilitation, social activities and service referrals. </w:t>
      </w:r>
    </w:p>
    <w:p w14:paraId="2BB2D23A" w14:textId="77777777" w:rsidR="001D75D7" w:rsidRPr="00B47380" w:rsidRDefault="001D75D7" w:rsidP="00484FA9">
      <w:pPr>
        <w:pStyle w:val="H23G"/>
      </w:pPr>
      <w:r w:rsidRPr="00B47380">
        <w:tab/>
      </w:r>
      <w:r w:rsidRPr="00B47380">
        <w:tab/>
        <w:t>Social services/facilities for the elderly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52"/>
        <w:gridCol w:w="963"/>
        <w:gridCol w:w="964"/>
        <w:gridCol w:w="963"/>
        <w:gridCol w:w="964"/>
        <w:gridCol w:w="964"/>
      </w:tblGrid>
      <w:tr w:rsidR="00B4060E" w:rsidRPr="00B4060E" w14:paraId="0FA45DE8" w14:textId="77777777" w:rsidTr="00E45843">
        <w:trPr>
          <w:cantSplit/>
          <w:tblHeader/>
        </w:trPr>
        <w:tc>
          <w:tcPr>
            <w:tcW w:w="1731" w:type="pct"/>
            <w:tcBorders>
              <w:top w:val="single" w:sz="4" w:space="0" w:color="auto"/>
              <w:bottom w:val="single" w:sz="12" w:space="0" w:color="auto"/>
            </w:tcBorders>
            <w:shd w:val="clear" w:color="auto" w:fill="auto"/>
            <w:vAlign w:val="bottom"/>
          </w:tcPr>
          <w:p w14:paraId="0637D271" w14:textId="77777777" w:rsidR="001D75D7" w:rsidRPr="00B4060E" w:rsidRDefault="001D75D7" w:rsidP="00B4060E">
            <w:pPr>
              <w:pStyle w:val="SingleTxtG"/>
              <w:suppressAutoHyphens w:val="0"/>
              <w:spacing w:before="80" w:after="80" w:line="200" w:lineRule="exact"/>
              <w:ind w:left="0" w:right="113"/>
              <w:jc w:val="left"/>
              <w:rPr>
                <w:i/>
                <w:sz w:val="16"/>
              </w:rPr>
            </w:pPr>
            <w:r w:rsidRPr="00B4060E">
              <w:rPr>
                <w:i/>
                <w:sz w:val="16"/>
              </w:rPr>
              <w:t>Services/facilities/Year</w:t>
            </w:r>
          </w:p>
        </w:tc>
        <w:tc>
          <w:tcPr>
            <w:tcW w:w="653" w:type="pct"/>
            <w:tcBorders>
              <w:top w:val="single" w:sz="4" w:space="0" w:color="auto"/>
              <w:bottom w:val="single" w:sz="12" w:space="0" w:color="auto"/>
            </w:tcBorders>
            <w:shd w:val="clear" w:color="auto" w:fill="auto"/>
            <w:vAlign w:val="bottom"/>
          </w:tcPr>
          <w:p w14:paraId="2690E496"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2014</w:t>
            </w:r>
          </w:p>
        </w:tc>
        <w:tc>
          <w:tcPr>
            <w:tcW w:w="654" w:type="pct"/>
            <w:tcBorders>
              <w:top w:val="single" w:sz="4" w:space="0" w:color="auto"/>
              <w:bottom w:val="single" w:sz="12" w:space="0" w:color="auto"/>
            </w:tcBorders>
            <w:shd w:val="clear" w:color="auto" w:fill="auto"/>
            <w:vAlign w:val="bottom"/>
          </w:tcPr>
          <w:p w14:paraId="1F9E166D"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2015</w:t>
            </w:r>
          </w:p>
        </w:tc>
        <w:tc>
          <w:tcPr>
            <w:tcW w:w="653" w:type="pct"/>
            <w:tcBorders>
              <w:top w:val="single" w:sz="4" w:space="0" w:color="auto"/>
              <w:bottom w:val="single" w:sz="12" w:space="0" w:color="auto"/>
            </w:tcBorders>
            <w:shd w:val="clear" w:color="auto" w:fill="auto"/>
            <w:vAlign w:val="bottom"/>
          </w:tcPr>
          <w:p w14:paraId="0ECF1577"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2016</w:t>
            </w:r>
          </w:p>
        </w:tc>
        <w:tc>
          <w:tcPr>
            <w:tcW w:w="654" w:type="pct"/>
            <w:tcBorders>
              <w:top w:val="single" w:sz="4" w:space="0" w:color="auto"/>
              <w:bottom w:val="single" w:sz="12" w:space="0" w:color="auto"/>
            </w:tcBorders>
            <w:shd w:val="clear" w:color="auto" w:fill="auto"/>
            <w:vAlign w:val="bottom"/>
          </w:tcPr>
          <w:p w14:paraId="39771CBF"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2017</w:t>
            </w:r>
          </w:p>
        </w:tc>
        <w:tc>
          <w:tcPr>
            <w:tcW w:w="654" w:type="pct"/>
            <w:tcBorders>
              <w:top w:val="single" w:sz="4" w:space="0" w:color="auto"/>
              <w:bottom w:val="single" w:sz="12" w:space="0" w:color="auto"/>
            </w:tcBorders>
            <w:shd w:val="clear" w:color="auto" w:fill="auto"/>
            <w:vAlign w:val="bottom"/>
          </w:tcPr>
          <w:p w14:paraId="29968CCD"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09/2018</w:t>
            </w:r>
          </w:p>
        </w:tc>
      </w:tr>
      <w:tr w:rsidR="00B4060E" w:rsidRPr="00B4060E" w14:paraId="220EFBF6" w14:textId="77777777" w:rsidTr="00E45843">
        <w:trPr>
          <w:cantSplit/>
        </w:trPr>
        <w:tc>
          <w:tcPr>
            <w:tcW w:w="1731" w:type="pct"/>
            <w:tcBorders>
              <w:top w:val="single" w:sz="12" w:space="0" w:color="auto"/>
            </w:tcBorders>
            <w:shd w:val="clear" w:color="auto" w:fill="auto"/>
          </w:tcPr>
          <w:p w14:paraId="2FB3410F"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Homes*</w:t>
            </w:r>
          </w:p>
        </w:tc>
        <w:tc>
          <w:tcPr>
            <w:tcW w:w="653" w:type="pct"/>
            <w:tcBorders>
              <w:top w:val="single" w:sz="12" w:space="0" w:color="auto"/>
            </w:tcBorders>
            <w:shd w:val="clear" w:color="auto" w:fill="auto"/>
            <w:vAlign w:val="bottom"/>
          </w:tcPr>
          <w:p w14:paraId="0AD3A3A2" w14:textId="48D0DB1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484FA9">
              <w:rPr>
                <w:sz w:val="18"/>
              </w:rPr>
              <w:t xml:space="preserve"> </w:t>
            </w:r>
            <w:r w:rsidRPr="00B4060E">
              <w:rPr>
                <w:sz w:val="18"/>
              </w:rPr>
              <w:t>374</w:t>
            </w:r>
          </w:p>
        </w:tc>
        <w:tc>
          <w:tcPr>
            <w:tcW w:w="654" w:type="pct"/>
            <w:tcBorders>
              <w:top w:val="single" w:sz="12" w:space="0" w:color="auto"/>
            </w:tcBorders>
            <w:shd w:val="clear" w:color="auto" w:fill="auto"/>
            <w:vAlign w:val="bottom"/>
          </w:tcPr>
          <w:p w14:paraId="743946C1" w14:textId="1DB3A1AF"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484FA9">
              <w:rPr>
                <w:sz w:val="18"/>
              </w:rPr>
              <w:t xml:space="preserve"> </w:t>
            </w:r>
            <w:r w:rsidRPr="00B4060E">
              <w:rPr>
                <w:sz w:val="18"/>
              </w:rPr>
              <w:t>469</w:t>
            </w:r>
          </w:p>
        </w:tc>
        <w:tc>
          <w:tcPr>
            <w:tcW w:w="653" w:type="pct"/>
            <w:tcBorders>
              <w:top w:val="single" w:sz="12" w:space="0" w:color="auto"/>
            </w:tcBorders>
            <w:shd w:val="clear" w:color="auto" w:fill="auto"/>
            <w:vAlign w:val="bottom"/>
          </w:tcPr>
          <w:p w14:paraId="545C5033" w14:textId="504CAF1D"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484FA9">
              <w:rPr>
                <w:sz w:val="18"/>
              </w:rPr>
              <w:t xml:space="preserve"> </w:t>
            </w:r>
            <w:r w:rsidRPr="00B4060E">
              <w:rPr>
                <w:sz w:val="18"/>
              </w:rPr>
              <w:t>501</w:t>
            </w:r>
          </w:p>
        </w:tc>
        <w:tc>
          <w:tcPr>
            <w:tcW w:w="654" w:type="pct"/>
            <w:tcBorders>
              <w:top w:val="single" w:sz="12" w:space="0" w:color="auto"/>
            </w:tcBorders>
            <w:shd w:val="clear" w:color="auto" w:fill="auto"/>
            <w:vAlign w:val="bottom"/>
          </w:tcPr>
          <w:p w14:paraId="747D988E" w14:textId="3BEEDA5A"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484FA9">
              <w:rPr>
                <w:sz w:val="18"/>
              </w:rPr>
              <w:t xml:space="preserve"> </w:t>
            </w:r>
            <w:r w:rsidRPr="00B4060E">
              <w:rPr>
                <w:sz w:val="18"/>
              </w:rPr>
              <w:t>523</w:t>
            </w:r>
          </w:p>
        </w:tc>
        <w:tc>
          <w:tcPr>
            <w:tcW w:w="654" w:type="pct"/>
            <w:tcBorders>
              <w:top w:val="single" w:sz="12" w:space="0" w:color="auto"/>
            </w:tcBorders>
            <w:shd w:val="clear" w:color="auto" w:fill="auto"/>
            <w:vAlign w:val="bottom"/>
          </w:tcPr>
          <w:p w14:paraId="11526C3C" w14:textId="6892BA32"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484FA9">
              <w:rPr>
                <w:sz w:val="18"/>
              </w:rPr>
              <w:t xml:space="preserve"> </w:t>
            </w:r>
            <w:r w:rsidRPr="00B4060E">
              <w:rPr>
                <w:sz w:val="18"/>
              </w:rPr>
              <w:t>603</w:t>
            </w:r>
          </w:p>
        </w:tc>
      </w:tr>
      <w:tr w:rsidR="00B4060E" w:rsidRPr="00B4060E" w14:paraId="1162A314" w14:textId="77777777" w:rsidTr="00E45843">
        <w:trPr>
          <w:cantSplit/>
        </w:trPr>
        <w:tc>
          <w:tcPr>
            <w:tcW w:w="1731" w:type="pct"/>
            <w:shd w:val="clear" w:color="auto" w:fill="auto"/>
          </w:tcPr>
          <w:p w14:paraId="33E4CEC1"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Day centres**</w:t>
            </w:r>
          </w:p>
        </w:tc>
        <w:tc>
          <w:tcPr>
            <w:tcW w:w="653" w:type="pct"/>
            <w:shd w:val="clear" w:color="auto" w:fill="auto"/>
            <w:vAlign w:val="bottom"/>
          </w:tcPr>
          <w:p w14:paraId="6BDC9967" w14:textId="309E79A2"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w:t>
            </w:r>
            <w:r w:rsidR="00484FA9">
              <w:rPr>
                <w:sz w:val="18"/>
              </w:rPr>
              <w:t xml:space="preserve"> </w:t>
            </w:r>
            <w:r w:rsidRPr="00B4060E">
              <w:rPr>
                <w:sz w:val="18"/>
              </w:rPr>
              <w:t>826</w:t>
            </w:r>
          </w:p>
        </w:tc>
        <w:tc>
          <w:tcPr>
            <w:tcW w:w="654" w:type="pct"/>
            <w:shd w:val="clear" w:color="auto" w:fill="auto"/>
            <w:vAlign w:val="bottom"/>
          </w:tcPr>
          <w:p w14:paraId="08F5F5B7" w14:textId="6A3A9A98"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w:t>
            </w:r>
            <w:r w:rsidR="00484FA9">
              <w:rPr>
                <w:sz w:val="18"/>
              </w:rPr>
              <w:t xml:space="preserve"> </w:t>
            </w:r>
            <w:r w:rsidRPr="00B4060E">
              <w:rPr>
                <w:sz w:val="18"/>
              </w:rPr>
              <w:t>851</w:t>
            </w:r>
          </w:p>
        </w:tc>
        <w:tc>
          <w:tcPr>
            <w:tcW w:w="653" w:type="pct"/>
            <w:shd w:val="clear" w:color="auto" w:fill="auto"/>
            <w:vAlign w:val="bottom"/>
          </w:tcPr>
          <w:p w14:paraId="5EE0132B" w14:textId="57E27B56"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w:t>
            </w:r>
            <w:r w:rsidR="00484FA9">
              <w:rPr>
                <w:sz w:val="18"/>
              </w:rPr>
              <w:t xml:space="preserve"> </w:t>
            </w:r>
            <w:r w:rsidRPr="00B4060E">
              <w:rPr>
                <w:sz w:val="18"/>
              </w:rPr>
              <w:t>604</w:t>
            </w:r>
          </w:p>
        </w:tc>
        <w:tc>
          <w:tcPr>
            <w:tcW w:w="654" w:type="pct"/>
            <w:shd w:val="clear" w:color="auto" w:fill="auto"/>
            <w:vAlign w:val="bottom"/>
          </w:tcPr>
          <w:p w14:paraId="554C4079" w14:textId="42F91232"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w:t>
            </w:r>
            <w:r w:rsidR="00484FA9">
              <w:rPr>
                <w:sz w:val="18"/>
              </w:rPr>
              <w:t xml:space="preserve"> </w:t>
            </w:r>
            <w:r w:rsidRPr="00B4060E">
              <w:rPr>
                <w:sz w:val="18"/>
              </w:rPr>
              <w:t>846</w:t>
            </w:r>
          </w:p>
        </w:tc>
        <w:tc>
          <w:tcPr>
            <w:tcW w:w="654" w:type="pct"/>
            <w:shd w:val="clear" w:color="auto" w:fill="auto"/>
            <w:vAlign w:val="bottom"/>
          </w:tcPr>
          <w:p w14:paraId="6952325A" w14:textId="5968F3EB"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w:t>
            </w:r>
            <w:r w:rsidR="00484FA9">
              <w:rPr>
                <w:sz w:val="18"/>
              </w:rPr>
              <w:t xml:space="preserve"> </w:t>
            </w:r>
            <w:r w:rsidRPr="00B4060E">
              <w:rPr>
                <w:sz w:val="18"/>
              </w:rPr>
              <w:t>110</w:t>
            </w:r>
          </w:p>
        </w:tc>
      </w:tr>
      <w:tr w:rsidR="00B4060E" w:rsidRPr="00B4060E" w14:paraId="0D696533" w14:textId="77777777" w:rsidTr="00E45843">
        <w:trPr>
          <w:cantSplit/>
        </w:trPr>
        <w:tc>
          <w:tcPr>
            <w:tcW w:w="1731" w:type="pct"/>
            <w:shd w:val="clear" w:color="auto" w:fill="auto"/>
          </w:tcPr>
          <w:p w14:paraId="1016FDD3"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Day care centres*</w:t>
            </w:r>
          </w:p>
        </w:tc>
        <w:tc>
          <w:tcPr>
            <w:tcW w:w="653" w:type="pct"/>
            <w:shd w:val="clear" w:color="auto" w:fill="auto"/>
            <w:vAlign w:val="bottom"/>
          </w:tcPr>
          <w:p w14:paraId="5D144D0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161</w:t>
            </w:r>
          </w:p>
        </w:tc>
        <w:tc>
          <w:tcPr>
            <w:tcW w:w="654" w:type="pct"/>
            <w:shd w:val="clear" w:color="auto" w:fill="auto"/>
            <w:vAlign w:val="bottom"/>
          </w:tcPr>
          <w:p w14:paraId="6EDC33C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191</w:t>
            </w:r>
          </w:p>
        </w:tc>
        <w:tc>
          <w:tcPr>
            <w:tcW w:w="653" w:type="pct"/>
            <w:shd w:val="clear" w:color="auto" w:fill="auto"/>
            <w:vAlign w:val="bottom"/>
          </w:tcPr>
          <w:p w14:paraId="10BA32A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201</w:t>
            </w:r>
          </w:p>
        </w:tc>
        <w:tc>
          <w:tcPr>
            <w:tcW w:w="654" w:type="pct"/>
            <w:shd w:val="clear" w:color="auto" w:fill="auto"/>
            <w:vAlign w:val="bottom"/>
          </w:tcPr>
          <w:p w14:paraId="52360BB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230</w:t>
            </w:r>
          </w:p>
        </w:tc>
        <w:tc>
          <w:tcPr>
            <w:tcW w:w="654" w:type="pct"/>
            <w:shd w:val="clear" w:color="auto" w:fill="auto"/>
            <w:vAlign w:val="bottom"/>
          </w:tcPr>
          <w:p w14:paraId="7E6BECD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241</w:t>
            </w:r>
          </w:p>
        </w:tc>
      </w:tr>
      <w:tr w:rsidR="00B4060E" w:rsidRPr="00B4060E" w14:paraId="68A62DE9" w14:textId="77777777" w:rsidTr="00E45843">
        <w:trPr>
          <w:cantSplit/>
        </w:trPr>
        <w:tc>
          <w:tcPr>
            <w:tcW w:w="1731" w:type="pct"/>
            <w:shd w:val="clear" w:color="auto" w:fill="auto"/>
          </w:tcPr>
          <w:p w14:paraId="1F5C0376"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Activity centres**</w:t>
            </w:r>
          </w:p>
        </w:tc>
        <w:tc>
          <w:tcPr>
            <w:tcW w:w="653" w:type="pct"/>
            <w:shd w:val="clear" w:color="auto" w:fill="auto"/>
            <w:vAlign w:val="bottom"/>
          </w:tcPr>
          <w:p w14:paraId="27FD869B" w14:textId="1AA2587F"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w:t>
            </w:r>
            <w:r w:rsidR="00484FA9">
              <w:rPr>
                <w:sz w:val="18"/>
              </w:rPr>
              <w:t xml:space="preserve"> </w:t>
            </w:r>
            <w:r w:rsidRPr="00B4060E">
              <w:rPr>
                <w:sz w:val="18"/>
              </w:rPr>
              <w:t>196</w:t>
            </w:r>
          </w:p>
        </w:tc>
        <w:tc>
          <w:tcPr>
            <w:tcW w:w="654" w:type="pct"/>
            <w:shd w:val="clear" w:color="auto" w:fill="auto"/>
            <w:vAlign w:val="bottom"/>
          </w:tcPr>
          <w:p w14:paraId="4421BFC0" w14:textId="1BCA7272"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w:t>
            </w:r>
            <w:r w:rsidR="00484FA9">
              <w:rPr>
                <w:sz w:val="18"/>
              </w:rPr>
              <w:t xml:space="preserve"> </w:t>
            </w:r>
            <w:r w:rsidRPr="00B4060E">
              <w:rPr>
                <w:sz w:val="18"/>
              </w:rPr>
              <w:t>466</w:t>
            </w:r>
          </w:p>
        </w:tc>
        <w:tc>
          <w:tcPr>
            <w:tcW w:w="653" w:type="pct"/>
            <w:shd w:val="clear" w:color="auto" w:fill="auto"/>
            <w:vAlign w:val="bottom"/>
          </w:tcPr>
          <w:p w14:paraId="5DC6019D" w14:textId="390D0CA3"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w:t>
            </w:r>
            <w:r w:rsidR="00484FA9">
              <w:rPr>
                <w:sz w:val="18"/>
              </w:rPr>
              <w:t xml:space="preserve"> </w:t>
            </w:r>
            <w:r w:rsidRPr="00B4060E">
              <w:rPr>
                <w:sz w:val="18"/>
              </w:rPr>
              <w:t>358</w:t>
            </w:r>
          </w:p>
        </w:tc>
        <w:tc>
          <w:tcPr>
            <w:tcW w:w="654" w:type="pct"/>
            <w:shd w:val="clear" w:color="auto" w:fill="auto"/>
            <w:vAlign w:val="bottom"/>
          </w:tcPr>
          <w:p w14:paraId="1038CE36" w14:textId="5E64029B"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w:t>
            </w:r>
            <w:r w:rsidR="00484FA9">
              <w:rPr>
                <w:sz w:val="18"/>
              </w:rPr>
              <w:t xml:space="preserve"> </w:t>
            </w:r>
            <w:r w:rsidRPr="00B4060E">
              <w:rPr>
                <w:sz w:val="18"/>
              </w:rPr>
              <w:t>931</w:t>
            </w:r>
          </w:p>
        </w:tc>
        <w:tc>
          <w:tcPr>
            <w:tcW w:w="654" w:type="pct"/>
            <w:shd w:val="clear" w:color="auto" w:fill="auto"/>
            <w:vAlign w:val="bottom"/>
          </w:tcPr>
          <w:p w14:paraId="6E4BAFDA" w14:textId="43B7C75F"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w:t>
            </w:r>
            <w:r w:rsidR="00484FA9">
              <w:rPr>
                <w:sz w:val="18"/>
              </w:rPr>
              <w:t xml:space="preserve"> </w:t>
            </w:r>
            <w:r w:rsidRPr="00B4060E">
              <w:rPr>
                <w:sz w:val="18"/>
              </w:rPr>
              <w:t>264</w:t>
            </w:r>
          </w:p>
        </w:tc>
      </w:tr>
      <w:tr w:rsidR="00B4060E" w:rsidRPr="00B4060E" w14:paraId="3F70EAFF" w14:textId="77777777" w:rsidTr="00E45843">
        <w:trPr>
          <w:cantSplit/>
        </w:trPr>
        <w:tc>
          <w:tcPr>
            <w:tcW w:w="1731" w:type="pct"/>
            <w:shd w:val="clear" w:color="auto" w:fill="auto"/>
          </w:tcPr>
          <w:p w14:paraId="4A3C3D41"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Home help services*</w:t>
            </w:r>
          </w:p>
        </w:tc>
        <w:tc>
          <w:tcPr>
            <w:tcW w:w="653" w:type="pct"/>
            <w:shd w:val="clear" w:color="auto" w:fill="auto"/>
            <w:vAlign w:val="bottom"/>
          </w:tcPr>
          <w:p w14:paraId="0406B8E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643</w:t>
            </w:r>
          </w:p>
        </w:tc>
        <w:tc>
          <w:tcPr>
            <w:tcW w:w="654" w:type="pct"/>
            <w:shd w:val="clear" w:color="auto" w:fill="auto"/>
            <w:vAlign w:val="bottom"/>
          </w:tcPr>
          <w:p w14:paraId="10EFA0E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638</w:t>
            </w:r>
          </w:p>
        </w:tc>
        <w:tc>
          <w:tcPr>
            <w:tcW w:w="653" w:type="pct"/>
            <w:shd w:val="clear" w:color="auto" w:fill="auto"/>
            <w:vAlign w:val="bottom"/>
          </w:tcPr>
          <w:p w14:paraId="53FB84FE"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742</w:t>
            </w:r>
          </w:p>
        </w:tc>
        <w:tc>
          <w:tcPr>
            <w:tcW w:w="654" w:type="pct"/>
            <w:shd w:val="clear" w:color="auto" w:fill="auto"/>
            <w:vAlign w:val="bottom"/>
          </w:tcPr>
          <w:p w14:paraId="7329F96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761</w:t>
            </w:r>
          </w:p>
        </w:tc>
        <w:tc>
          <w:tcPr>
            <w:tcW w:w="654" w:type="pct"/>
            <w:shd w:val="clear" w:color="auto" w:fill="auto"/>
            <w:vAlign w:val="bottom"/>
          </w:tcPr>
          <w:p w14:paraId="2C51212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771</w:t>
            </w:r>
          </w:p>
        </w:tc>
      </w:tr>
      <w:tr w:rsidR="00B4060E" w:rsidRPr="00B4060E" w14:paraId="6E1BD778" w14:textId="77777777" w:rsidTr="00E45843">
        <w:trPr>
          <w:cantSplit/>
        </w:trPr>
        <w:tc>
          <w:tcPr>
            <w:tcW w:w="1731" w:type="pct"/>
            <w:shd w:val="clear" w:color="auto" w:fill="auto"/>
          </w:tcPr>
          <w:p w14:paraId="69F403B6"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Services for those living alone**</w:t>
            </w:r>
          </w:p>
        </w:tc>
        <w:tc>
          <w:tcPr>
            <w:tcW w:w="653" w:type="pct"/>
            <w:shd w:val="clear" w:color="auto" w:fill="auto"/>
            <w:vAlign w:val="bottom"/>
          </w:tcPr>
          <w:p w14:paraId="513F5D78" w14:textId="4B20CEBB"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w:t>
            </w:r>
            <w:r w:rsidR="00484FA9">
              <w:rPr>
                <w:sz w:val="18"/>
              </w:rPr>
              <w:t xml:space="preserve"> </w:t>
            </w:r>
            <w:r w:rsidRPr="00B4060E">
              <w:rPr>
                <w:sz w:val="18"/>
              </w:rPr>
              <w:t>911</w:t>
            </w:r>
          </w:p>
        </w:tc>
        <w:tc>
          <w:tcPr>
            <w:tcW w:w="654" w:type="pct"/>
            <w:shd w:val="clear" w:color="auto" w:fill="auto"/>
            <w:vAlign w:val="bottom"/>
          </w:tcPr>
          <w:p w14:paraId="06F1A435" w14:textId="6FB34D15"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w:t>
            </w:r>
            <w:r w:rsidR="00484FA9">
              <w:rPr>
                <w:sz w:val="18"/>
              </w:rPr>
              <w:t xml:space="preserve"> </w:t>
            </w:r>
            <w:r w:rsidRPr="00B4060E">
              <w:rPr>
                <w:sz w:val="18"/>
              </w:rPr>
              <w:t>267</w:t>
            </w:r>
          </w:p>
        </w:tc>
        <w:tc>
          <w:tcPr>
            <w:tcW w:w="653" w:type="pct"/>
            <w:shd w:val="clear" w:color="auto" w:fill="auto"/>
            <w:vAlign w:val="bottom"/>
          </w:tcPr>
          <w:p w14:paraId="7F353009" w14:textId="5C4561D5"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w:t>
            </w:r>
            <w:r w:rsidR="00484FA9">
              <w:rPr>
                <w:sz w:val="18"/>
              </w:rPr>
              <w:t xml:space="preserve"> </w:t>
            </w:r>
            <w:r w:rsidRPr="00B4060E">
              <w:rPr>
                <w:sz w:val="18"/>
              </w:rPr>
              <w:t>700</w:t>
            </w:r>
          </w:p>
        </w:tc>
        <w:tc>
          <w:tcPr>
            <w:tcW w:w="654" w:type="pct"/>
            <w:shd w:val="clear" w:color="auto" w:fill="auto"/>
            <w:vAlign w:val="bottom"/>
          </w:tcPr>
          <w:p w14:paraId="3680BE9C" w14:textId="2A39C9AE"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w:t>
            </w:r>
            <w:r w:rsidR="00484FA9">
              <w:rPr>
                <w:sz w:val="18"/>
              </w:rPr>
              <w:t xml:space="preserve"> </w:t>
            </w:r>
            <w:r w:rsidRPr="00B4060E">
              <w:rPr>
                <w:sz w:val="18"/>
              </w:rPr>
              <w:t>957</w:t>
            </w:r>
          </w:p>
        </w:tc>
        <w:tc>
          <w:tcPr>
            <w:tcW w:w="654" w:type="pct"/>
            <w:shd w:val="clear" w:color="auto" w:fill="auto"/>
            <w:vAlign w:val="bottom"/>
          </w:tcPr>
          <w:p w14:paraId="041D2B89" w14:textId="05924081"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w:t>
            </w:r>
            <w:r w:rsidR="00484FA9">
              <w:rPr>
                <w:sz w:val="18"/>
              </w:rPr>
              <w:t xml:space="preserve"> </w:t>
            </w:r>
            <w:r w:rsidRPr="00B4060E">
              <w:rPr>
                <w:sz w:val="18"/>
              </w:rPr>
              <w:t>319</w:t>
            </w:r>
          </w:p>
        </w:tc>
      </w:tr>
    </w:tbl>
    <w:p w14:paraId="3D261958" w14:textId="301F4671" w:rsidR="001D75D7" w:rsidRPr="00484FA9" w:rsidRDefault="001D75D7" w:rsidP="00484FA9">
      <w:pPr>
        <w:spacing w:before="120"/>
        <w:ind w:left="1134" w:right="1134" w:firstLine="170"/>
        <w:rPr>
          <w:sz w:val="18"/>
        </w:rPr>
      </w:pPr>
      <w:r w:rsidRPr="00484FA9">
        <w:rPr>
          <w:i/>
          <w:iCs/>
          <w:sz w:val="18"/>
        </w:rPr>
        <w:t>Source</w:t>
      </w:r>
      <w:r w:rsidRPr="00484FA9">
        <w:rPr>
          <w:sz w:val="18"/>
        </w:rPr>
        <w:t xml:space="preserve">: </w:t>
      </w:r>
      <w:r w:rsidR="002300CF">
        <w:rPr>
          <w:sz w:val="18"/>
        </w:rPr>
        <w:t xml:space="preserve"> </w:t>
      </w:r>
      <w:r w:rsidRPr="00484FA9">
        <w:rPr>
          <w:sz w:val="18"/>
        </w:rPr>
        <w:t>SWB.</w:t>
      </w:r>
    </w:p>
    <w:p w14:paraId="79A71D75" w14:textId="77777777" w:rsidR="001D75D7" w:rsidRPr="00484FA9" w:rsidRDefault="001D75D7" w:rsidP="004D6325">
      <w:pPr>
        <w:keepNext/>
        <w:ind w:left="1134" w:right="1134" w:firstLine="170"/>
        <w:rPr>
          <w:sz w:val="18"/>
        </w:rPr>
      </w:pPr>
      <w:r w:rsidRPr="00484FA9">
        <w:rPr>
          <w:i/>
          <w:iCs/>
          <w:sz w:val="18"/>
        </w:rPr>
        <w:lastRenderedPageBreak/>
        <w:t>Note</w:t>
      </w:r>
      <w:r w:rsidRPr="00484FA9">
        <w:rPr>
          <w:sz w:val="18"/>
        </w:rPr>
        <w:t>:</w:t>
      </w:r>
    </w:p>
    <w:p w14:paraId="1B21FF34" w14:textId="27922287" w:rsidR="001D75D7" w:rsidRPr="00484FA9" w:rsidRDefault="001D75D7" w:rsidP="004D6325">
      <w:pPr>
        <w:keepNext/>
        <w:ind w:left="1134" w:right="1134" w:firstLine="170"/>
        <w:rPr>
          <w:sz w:val="18"/>
        </w:rPr>
      </w:pPr>
      <w:r w:rsidRPr="00484FA9">
        <w:rPr>
          <w:sz w:val="18"/>
        </w:rPr>
        <w:t>*</w:t>
      </w:r>
      <w:r w:rsidR="00484FA9">
        <w:rPr>
          <w:sz w:val="18"/>
        </w:rPr>
        <w:t xml:space="preserve">  </w:t>
      </w:r>
      <w:r w:rsidRPr="00484FA9">
        <w:rPr>
          <w:sz w:val="18"/>
        </w:rPr>
        <w:t>No. of persons.</w:t>
      </w:r>
    </w:p>
    <w:p w14:paraId="02481E60" w14:textId="37881C33" w:rsidR="001D75D7" w:rsidRPr="00484FA9" w:rsidRDefault="001D75D7" w:rsidP="00484FA9">
      <w:pPr>
        <w:spacing w:after="240"/>
        <w:ind w:left="1134" w:right="1134" w:firstLine="170"/>
        <w:rPr>
          <w:sz w:val="18"/>
        </w:rPr>
      </w:pPr>
      <w:r w:rsidRPr="00484FA9">
        <w:rPr>
          <w:sz w:val="18"/>
        </w:rPr>
        <w:t>*</w:t>
      </w:r>
      <w:proofErr w:type="gramStart"/>
      <w:r w:rsidRPr="00484FA9">
        <w:rPr>
          <w:sz w:val="18"/>
        </w:rPr>
        <w:t>*</w:t>
      </w:r>
      <w:r w:rsidR="00484FA9">
        <w:rPr>
          <w:sz w:val="18"/>
        </w:rPr>
        <w:t xml:space="preserve">  </w:t>
      </w:r>
      <w:r w:rsidRPr="00484FA9">
        <w:rPr>
          <w:sz w:val="18"/>
        </w:rPr>
        <w:t>No.</w:t>
      </w:r>
      <w:proofErr w:type="gramEnd"/>
      <w:r w:rsidRPr="00484FA9">
        <w:rPr>
          <w:sz w:val="18"/>
        </w:rPr>
        <w:t xml:space="preserve"> of times.</w:t>
      </w:r>
    </w:p>
    <w:p w14:paraId="23C1E9FF" w14:textId="564DB929" w:rsidR="001D75D7" w:rsidRPr="00B47380" w:rsidRDefault="001D75D7" w:rsidP="00D53B5F">
      <w:pPr>
        <w:pStyle w:val="SingleTxtG"/>
      </w:pPr>
      <w:r w:rsidRPr="00B47380">
        <w:t>163.</w:t>
      </w:r>
      <w:r w:rsidRPr="00B47380">
        <w:tab/>
        <w:t xml:space="preserve">In addition, there are 6 home care service teams and programmes such as the </w:t>
      </w:r>
      <w:r w:rsidR="006266F0">
        <w:t>“</w:t>
      </w:r>
      <w:r w:rsidRPr="00B47380">
        <w:t>Home Safety Assessment and Equipment Funding Scheme for Older Persons</w:t>
      </w:r>
      <w:r w:rsidR="006266F0">
        <w:t>”</w:t>
      </w:r>
      <w:r w:rsidRPr="00B47380">
        <w:t xml:space="preserve">, </w:t>
      </w:r>
      <w:r w:rsidR="006266F0">
        <w:t>“</w:t>
      </w:r>
      <w:r w:rsidRPr="00B47380">
        <w:t>Network Support Scheme for Older Persons Leaving Alone</w:t>
      </w:r>
      <w:r w:rsidR="006266F0">
        <w:t>”</w:t>
      </w:r>
      <w:r w:rsidRPr="00B47380">
        <w:t xml:space="preserve">, </w:t>
      </w:r>
      <w:r w:rsidR="006266F0">
        <w:t>“</w:t>
      </w:r>
      <w:r w:rsidRPr="00B47380">
        <w:t>Care for Older Persons Service Network</w:t>
      </w:r>
      <w:r w:rsidR="006266F0">
        <w:t>”</w:t>
      </w:r>
      <w:r w:rsidRPr="00B47380">
        <w:t xml:space="preserve"> and </w:t>
      </w:r>
      <w:r w:rsidR="006266F0">
        <w:t>“</w:t>
      </w:r>
      <w:r w:rsidRPr="00B47380">
        <w:t>24-hour Emergency and Assistance Hotline</w:t>
      </w:r>
      <w:r w:rsidR="006266F0">
        <w:t>”</w:t>
      </w:r>
      <w:r w:rsidRPr="00B47380">
        <w:t xml:space="preserve"> for older persons and those living alone. Besides, an </w:t>
      </w:r>
      <w:r w:rsidR="006266F0">
        <w:t>“</w:t>
      </w:r>
      <w:r w:rsidRPr="00B47380">
        <w:t>Outdoor Emergency Call Service</w:t>
      </w:r>
      <w:r w:rsidR="006266F0">
        <w:t>”</w:t>
      </w:r>
      <w:r w:rsidRPr="00B47380">
        <w:t xml:space="preserve"> which helps locate older persons in outdoor areas, especially those with dementia, was launched in 2018. </w:t>
      </w:r>
    </w:p>
    <w:p w14:paraId="613A9A0D" w14:textId="3D363992" w:rsidR="001D75D7" w:rsidRPr="00B47380" w:rsidRDefault="001D75D7" w:rsidP="00D53B5F">
      <w:pPr>
        <w:pStyle w:val="SingleTxtG"/>
      </w:pPr>
      <w:r w:rsidRPr="00B47380">
        <w:t>164.</w:t>
      </w:r>
      <w:r w:rsidRPr="00B47380">
        <w:tab/>
        <w:t>It should be referred that holders of the SWB</w:t>
      </w:r>
      <w:r w:rsidR="006266F0">
        <w:t>’</w:t>
      </w:r>
      <w:r w:rsidRPr="00B47380">
        <w:t>s Senior Citizen Card (for permanent residents aged 65 or above) are entitled to enjoy discounts, fee concessions or special benefits offered by government departments and other public or private organisations that have joined the project (e.g. supermarkets, theatres, hotels, medical centres and banks).</w:t>
      </w:r>
    </w:p>
    <w:p w14:paraId="2034E155" w14:textId="77777777" w:rsidR="001D75D7" w:rsidRPr="00B47380" w:rsidRDefault="001D75D7" w:rsidP="00D53B5F">
      <w:pPr>
        <w:pStyle w:val="SingleTxtG"/>
      </w:pPr>
      <w:r w:rsidRPr="00B47380">
        <w:t>165.</w:t>
      </w:r>
      <w:r w:rsidRPr="00B47380">
        <w:tab/>
        <w:t>Between 2014 and 2018, the annual subsidy for older persons increased from MOP$7,000 to MOP$9,000. The number of beneficiaries increased from 63,735 (MOP$445,412,600) to 82,901 (MOP$746,109,000).</w:t>
      </w:r>
    </w:p>
    <w:p w14:paraId="27B52FFB" w14:textId="20F9C5BE" w:rsidR="001D75D7" w:rsidRPr="00B47380" w:rsidRDefault="001D75D7" w:rsidP="00D53B5F">
      <w:pPr>
        <w:pStyle w:val="SingleTxtG"/>
      </w:pPr>
      <w:r w:rsidRPr="00B47380">
        <w:t>166.</w:t>
      </w:r>
      <w:r w:rsidRPr="00B47380">
        <w:tab/>
        <w:t>Another key element of the Government</w:t>
      </w:r>
      <w:r w:rsidR="006266F0">
        <w:t>’</w:t>
      </w:r>
      <w:r w:rsidRPr="00B47380">
        <w:t>s policy (</w:t>
      </w:r>
      <w:r w:rsidR="006266F0">
        <w:t>“</w:t>
      </w:r>
      <w:r w:rsidRPr="00B47380">
        <w:t>Family Care, Ageing in Place, Participation and Active Ageing</w:t>
      </w:r>
      <w:r w:rsidR="006266F0">
        <w:t>”</w:t>
      </w:r>
      <w:r w:rsidRPr="00B47380">
        <w:t xml:space="preserve">) is to outreach the community by promoting joint recreational, cultural and occupational activities wherein family values, self-esteem and care are encouraged. Such activities are jointly carried out with NGOs and community centres, such as the </w:t>
      </w:r>
      <w:r w:rsidR="006266F0">
        <w:t>“</w:t>
      </w:r>
      <w:r w:rsidRPr="00B47380">
        <w:t>Day of Older Persons of the MSAR</w:t>
      </w:r>
      <w:r w:rsidR="006266F0">
        <w:t>”</w:t>
      </w:r>
      <w:r w:rsidRPr="00B47380">
        <w:t>.</w:t>
      </w:r>
    </w:p>
    <w:p w14:paraId="6CFE6934" w14:textId="77777777" w:rsidR="001D75D7" w:rsidRPr="00B47380" w:rsidRDefault="001D75D7" w:rsidP="00240C35">
      <w:pPr>
        <w:pStyle w:val="H23G"/>
      </w:pPr>
      <w:r w:rsidRPr="00B47380">
        <w:tab/>
      </w:r>
      <w:r w:rsidRPr="00B47380">
        <w:tab/>
        <w:t xml:space="preserve">Refugee status/protection of asylum seekers </w:t>
      </w:r>
    </w:p>
    <w:p w14:paraId="7716D27E" w14:textId="77777777" w:rsidR="001D75D7" w:rsidRPr="00B47380" w:rsidRDefault="001D75D7" w:rsidP="00D53B5F">
      <w:pPr>
        <w:pStyle w:val="SingleTxtG"/>
      </w:pPr>
      <w:r w:rsidRPr="00B47380">
        <w:t>167.</w:t>
      </w:r>
      <w:r w:rsidRPr="00B47380">
        <w:tab/>
        <w:t>The Legal Framework on the Recognition and Loss of Refugee Status (Law 1/2004) remains unchanged. The applicant must always be informed of his/her rights, including the rights to contact the Office of the UN High Commissioner for Refugees, to interpreters, legal protection, confidentiality, free legal consultation, to extend his/her application to the spouse, children and other dependent family members, basic living conditions (e.g. food, accommodation and monthly economic assistance) and special support (e.g. medical services, school for minors).</w:t>
      </w:r>
    </w:p>
    <w:p w14:paraId="41962D79" w14:textId="77777777" w:rsidR="001D75D7" w:rsidRPr="00B47380" w:rsidRDefault="001D75D7" w:rsidP="00240C35">
      <w:pPr>
        <w:pStyle w:val="SingleTxtG"/>
        <w:spacing w:after="240"/>
      </w:pPr>
      <w:r w:rsidRPr="00B47380">
        <w:t>168.</w:t>
      </w:r>
      <w:r w:rsidRPr="00B47380">
        <w:tab/>
        <w:t>Between 2014 and 2018, the Commission for Refugees handled 3 new applications involving 3 persons; the applications were withdrawn as the applicants voluntarily returned to their countries of origin. There are 2 other applications still pending.</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03"/>
        <w:gridCol w:w="1316"/>
        <w:gridCol w:w="1984"/>
        <w:gridCol w:w="2267"/>
      </w:tblGrid>
      <w:tr w:rsidR="00B4060E" w:rsidRPr="00B4060E" w14:paraId="6A386BF3" w14:textId="77777777" w:rsidTr="00B4060E">
        <w:trPr>
          <w:cantSplit/>
          <w:tblHeader/>
        </w:trPr>
        <w:tc>
          <w:tcPr>
            <w:tcW w:w="1803" w:type="dxa"/>
            <w:tcBorders>
              <w:top w:val="single" w:sz="4" w:space="0" w:color="auto"/>
              <w:bottom w:val="single" w:sz="12" w:space="0" w:color="auto"/>
            </w:tcBorders>
            <w:shd w:val="clear" w:color="auto" w:fill="auto"/>
            <w:vAlign w:val="bottom"/>
            <w:hideMark/>
          </w:tcPr>
          <w:p w14:paraId="395B64FB" w14:textId="77777777" w:rsidR="001D75D7" w:rsidRPr="00B4060E" w:rsidRDefault="001D75D7" w:rsidP="00B4060E">
            <w:pPr>
              <w:pStyle w:val="SingleTxtG"/>
              <w:suppressAutoHyphens w:val="0"/>
              <w:spacing w:before="80" w:after="80" w:line="200" w:lineRule="exact"/>
              <w:ind w:left="0" w:right="113"/>
              <w:jc w:val="left"/>
              <w:rPr>
                <w:i/>
                <w:sz w:val="16"/>
              </w:rPr>
            </w:pPr>
            <w:r w:rsidRPr="00B4060E">
              <w:rPr>
                <w:i/>
                <w:sz w:val="16"/>
              </w:rPr>
              <w:t>Year</w:t>
            </w:r>
          </w:p>
        </w:tc>
        <w:tc>
          <w:tcPr>
            <w:tcW w:w="1316" w:type="dxa"/>
            <w:tcBorders>
              <w:top w:val="single" w:sz="4" w:space="0" w:color="auto"/>
              <w:bottom w:val="single" w:sz="12" w:space="0" w:color="auto"/>
            </w:tcBorders>
            <w:shd w:val="clear" w:color="auto" w:fill="auto"/>
            <w:vAlign w:val="bottom"/>
            <w:hideMark/>
          </w:tcPr>
          <w:p w14:paraId="023DCBDA"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Family</w:t>
            </w:r>
          </w:p>
        </w:tc>
        <w:tc>
          <w:tcPr>
            <w:tcW w:w="1984" w:type="dxa"/>
            <w:tcBorders>
              <w:top w:val="single" w:sz="4" w:space="0" w:color="auto"/>
              <w:bottom w:val="single" w:sz="12" w:space="0" w:color="auto"/>
            </w:tcBorders>
            <w:shd w:val="clear" w:color="auto" w:fill="auto"/>
            <w:vAlign w:val="bottom"/>
            <w:hideMark/>
          </w:tcPr>
          <w:p w14:paraId="17C2156F"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Number of persons</w:t>
            </w:r>
          </w:p>
        </w:tc>
        <w:tc>
          <w:tcPr>
            <w:tcW w:w="2267" w:type="dxa"/>
            <w:tcBorders>
              <w:top w:val="single" w:sz="4" w:space="0" w:color="auto"/>
              <w:bottom w:val="single" w:sz="12" w:space="0" w:color="auto"/>
            </w:tcBorders>
            <w:shd w:val="clear" w:color="auto" w:fill="auto"/>
            <w:vAlign w:val="bottom"/>
            <w:hideMark/>
          </w:tcPr>
          <w:p w14:paraId="0BBCEF63"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Total amount for assistance</w:t>
            </w:r>
          </w:p>
        </w:tc>
      </w:tr>
      <w:tr w:rsidR="00B4060E" w:rsidRPr="00B4060E" w14:paraId="27EA9F41" w14:textId="77777777" w:rsidTr="00B4060E">
        <w:trPr>
          <w:cantSplit/>
        </w:trPr>
        <w:tc>
          <w:tcPr>
            <w:tcW w:w="1803" w:type="dxa"/>
            <w:tcBorders>
              <w:top w:val="single" w:sz="12" w:space="0" w:color="auto"/>
            </w:tcBorders>
            <w:shd w:val="clear" w:color="auto" w:fill="auto"/>
            <w:hideMark/>
          </w:tcPr>
          <w:p w14:paraId="119231F5"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2014</w:t>
            </w:r>
          </w:p>
        </w:tc>
        <w:tc>
          <w:tcPr>
            <w:tcW w:w="1316" w:type="dxa"/>
            <w:tcBorders>
              <w:top w:val="single" w:sz="12" w:space="0" w:color="auto"/>
            </w:tcBorders>
            <w:shd w:val="clear" w:color="auto" w:fill="auto"/>
            <w:vAlign w:val="bottom"/>
            <w:hideMark/>
          </w:tcPr>
          <w:p w14:paraId="30932DF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w:t>
            </w:r>
          </w:p>
        </w:tc>
        <w:tc>
          <w:tcPr>
            <w:tcW w:w="1984" w:type="dxa"/>
            <w:tcBorders>
              <w:top w:val="single" w:sz="12" w:space="0" w:color="auto"/>
            </w:tcBorders>
            <w:shd w:val="clear" w:color="auto" w:fill="auto"/>
            <w:vAlign w:val="bottom"/>
            <w:hideMark/>
          </w:tcPr>
          <w:p w14:paraId="19572BC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w:t>
            </w:r>
          </w:p>
        </w:tc>
        <w:tc>
          <w:tcPr>
            <w:tcW w:w="2267" w:type="dxa"/>
            <w:tcBorders>
              <w:top w:val="single" w:sz="12" w:space="0" w:color="auto"/>
            </w:tcBorders>
            <w:shd w:val="clear" w:color="auto" w:fill="auto"/>
            <w:vAlign w:val="bottom"/>
            <w:hideMark/>
          </w:tcPr>
          <w:p w14:paraId="40376356" w14:textId="44DA9256"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MOP$271</w:t>
            </w:r>
            <w:r w:rsidR="00240C35">
              <w:rPr>
                <w:sz w:val="18"/>
              </w:rPr>
              <w:t xml:space="preserve"> </w:t>
            </w:r>
            <w:r w:rsidRPr="00B4060E">
              <w:rPr>
                <w:sz w:val="18"/>
              </w:rPr>
              <w:t>290</w:t>
            </w:r>
          </w:p>
        </w:tc>
      </w:tr>
      <w:tr w:rsidR="00B4060E" w:rsidRPr="00B4060E" w14:paraId="3866BA38" w14:textId="77777777" w:rsidTr="00B4060E">
        <w:trPr>
          <w:cantSplit/>
        </w:trPr>
        <w:tc>
          <w:tcPr>
            <w:tcW w:w="1803" w:type="dxa"/>
            <w:shd w:val="clear" w:color="auto" w:fill="auto"/>
            <w:hideMark/>
          </w:tcPr>
          <w:p w14:paraId="6EEC3F40"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2015</w:t>
            </w:r>
          </w:p>
        </w:tc>
        <w:tc>
          <w:tcPr>
            <w:tcW w:w="1316" w:type="dxa"/>
            <w:shd w:val="clear" w:color="auto" w:fill="auto"/>
            <w:vAlign w:val="bottom"/>
          </w:tcPr>
          <w:p w14:paraId="784374C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w:t>
            </w:r>
          </w:p>
        </w:tc>
        <w:tc>
          <w:tcPr>
            <w:tcW w:w="1984" w:type="dxa"/>
            <w:shd w:val="clear" w:color="auto" w:fill="auto"/>
            <w:vAlign w:val="bottom"/>
          </w:tcPr>
          <w:p w14:paraId="4EE30FB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w:t>
            </w:r>
          </w:p>
        </w:tc>
        <w:tc>
          <w:tcPr>
            <w:tcW w:w="2267" w:type="dxa"/>
            <w:shd w:val="clear" w:color="auto" w:fill="auto"/>
            <w:vAlign w:val="bottom"/>
          </w:tcPr>
          <w:p w14:paraId="77DEC634" w14:textId="21F235E3"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MOP$240</w:t>
            </w:r>
            <w:r w:rsidR="00240C35">
              <w:rPr>
                <w:sz w:val="18"/>
              </w:rPr>
              <w:t xml:space="preserve"> </w:t>
            </w:r>
            <w:r w:rsidRPr="00B4060E">
              <w:rPr>
                <w:sz w:val="18"/>
              </w:rPr>
              <w:t>940</w:t>
            </w:r>
          </w:p>
        </w:tc>
      </w:tr>
      <w:tr w:rsidR="00B4060E" w:rsidRPr="00B4060E" w14:paraId="35F56A81" w14:textId="77777777" w:rsidTr="00B4060E">
        <w:trPr>
          <w:cantSplit/>
        </w:trPr>
        <w:tc>
          <w:tcPr>
            <w:tcW w:w="1803" w:type="dxa"/>
            <w:shd w:val="clear" w:color="auto" w:fill="auto"/>
            <w:hideMark/>
          </w:tcPr>
          <w:p w14:paraId="5802BD99"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2016</w:t>
            </w:r>
          </w:p>
        </w:tc>
        <w:tc>
          <w:tcPr>
            <w:tcW w:w="1316" w:type="dxa"/>
            <w:shd w:val="clear" w:color="auto" w:fill="auto"/>
            <w:vAlign w:val="bottom"/>
          </w:tcPr>
          <w:p w14:paraId="7C308CD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w:t>
            </w:r>
          </w:p>
        </w:tc>
        <w:tc>
          <w:tcPr>
            <w:tcW w:w="1984" w:type="dxa"/>
            <w:shd w:val="clear" w:color="auto" w:fill="auto"/>
            <w:vAlign w:val="bottom"/>
          </w:tcPr>
          <w:p w14:paraId="6D971FE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w:t>
            </w:r>
          </w:p>
        </w:tc>
        <w:tc>
          <w:tcPr>
            <w:tcW w:w="2267" w:type="dxa"/>
            <w:shd w:val="clear" w:color="auto" w:fill="auto"/>
            <w:vAlign w:val="bottom"/>
          </w:tcPr>
          <w:p w14:paraId="59AF524E" w14:textId="71829A79"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MOP$256</w:t>
            </w:r>
            <w:r w:rsidR="00240C35">
              <w:rPr>
                <w:sz w:val="18"/>
              </w:rPr>
              <w:t xml:space="preserve"> </w:t>
            </w:r>
            <w:r w:rsidRPr="00B4060E">
              <w:rPr>
                <w:sz w:val="18"/>
              </w:rPr>
              <w:t>650</w:t>
            </w:r>
          </w:p>
        </w:tc>
      </w:tr>
      <w:tr w:rsidR="00B4060E" w:rsidRPr="00B4060E" w14:paraId="65EBD0C8" w14:textId="77777777" w:rsidTr="00B4060E">
        <w:trPr>
          <w:cantSplit/>
        </w:trPr>
        <w:tc>
          <w:tcPr>
            <w:tcW w:w="1803" w:type="dxa"/>
            <w:shd w:val="clear" w:color="auto" w:fill="auto"/>
            <w:hideMark/>
          </w:tcPr>
          <w:p w14:paraId="2303AD7C"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2017</w:t>
            </w:r>
          </w:p>
        </w:tc>
        <w:tc>
          <w:tcPr>
            <w:tcW w:w="1316" w:type="dxa"/>
            <w:shd w:val="clear" w:color="auto" w:fill="auto"/>
            <w:vAlign w:val="bottom"/>
          </w:tcPr>
          <w:p w14:paraId="5F23209F"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w:t>
            </w:r>
          </w:p>
        </w:tc>
        <w:tc>
          <w:tcPr>
            <w:tcW w:w="1984" w:type="dxa"/>
            <w:shd w:val="clear" w:color="auto" w:fill="auto"/>
            <w:vAlign w:val="bottom"/>
          </w:tcPr>
          <w:p w14:paraId="61A764E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w:t>
            </w:r>
          </w:p>
        </w:tc>
        <w:tc>
          <w:tcPr>
            <w:tcW w:w="2267" w:type="dxa"/>
            <w:shd w:val="clear" w:color="auto" w:fill="auto"/>
            <w:vAlign w:val="bottom"/>
          </w:tcPr>
          <w:p w14:paraId="6DD6D665" w14:textId="04A2C68B"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MOP$220</w:t>
            </w:r>
            <w:r w:rsidR="00240C35">
              <w:rPr>
                <w:sz w:val="18"/>
              </w:rPr>
              <w:t xml:space="preserve"> </w:t>
            </w:r>
            <w:r w:rsidRPr="00B4060E">
              <w:rPr>
                <w:sz w:val="18"/>
              </w:rPr>
              <w:t>200</w:t>
            </w:r>
          </w:p>
        </w:tc>
      </w:tr>
      <w:tr w:rsidR="00B4060E" w:rsidRPr="00B4060E" w14:paraId="24A72420" w14:textId="77777777" w:rsidTr="00B4060E">
        <w:trPr>
          <w:cantSplit/>
        </w:trPr>
        <w:tc>
          <w:tcPr>
            <w:tcW w:w="1803" w:type="dxa"/>
            <w:shd w:val="clear" w:color="auto" w:fill="auto"/>
          </w:tcPr>
          <w:p w14:paraId="22B57EAC"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09/2018</w:t>
            </w:r>
          </w:p>
        </w:tc>
        <w:tc>
          <w:tcPr>
            <w:tcW w:w="1316" w:type="dxa"/>
            <w:shd w:val="clear" w:color="auto" w:fill="auto"/>
            <w:vAlign w:val="bottom"/>
          </w:tcPr>
          <w:p w14:paraId="27C9432F"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w:t>
            </w:r>
          </w:p>
        </w:tc>
        <w:tc>
          <w:tcPr>
            <w:tcW w:w="1984" w:type="dxa"/>
            <w:shd w:val="clear" w:color="auto" w:fill="auto"/>
            <w:vAlign w:val="bottom"/>
          </w:tcPr>
          <w:p w14:paraId="6F232C7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w:t>
            </w:r>
          </w:p>
        </w:tc>
        <w:tc>
          <w:tcPr>
            <w:tcW w:w="2267" w:type="dxa"/>
            <w:shd w:val="clear" w:color="auto" w:fill="auto"/>
            <w:vAlign w:val="bottom"/>
          </w:tcPr>
          <w:p w14:paraId="336E2C52" w14:textId="7AB33FA2"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MOP$165</w:t>
            </w:r>
            <w:r w:rsidR="00240C35">
              <w:rPr>
                <w:sz w:val="18"/>
              </w:rPr>
              <w:t xml:space="preserve"> </w:t>
            </w:r>
            <w:r w:rsidRPr="00B4060E">
              <w:rPr>
                <w:sz w:val="18"/>
              </w:rPr>
              <w:t>150</w:t>
            </w:r>
          </w:p>
        </w:tc>
      </w:tr>
    </w:tbl>
    <w:p w14:paraId="3B21AD67" w14:textId="77777777" w:rsidR="001D75D7" w:rsidRPr="00240C35" w:rsidRDefault="001D75D7" w:rsidP="00240C35">
      <w:pPr>
        <w:spacing w:before="120"/>
        <w:ind w:left="1134" w:right="1134" w:firstLine="170"/>
        <w:rPr>
          <w:sz w:val="18"/>
        </w:rPr>
      </w:pPr>
      <w:r w:rsidRPr="00240C35">
        <w:rPr>
          <w:i/>
          <w:iCs/>
          <w:sz w:val="18"/>
        </w:rPr>
        <w:t>Source</w:t>
      </w:r>
      <w:r w:rsidRPr="00240C35">
        <w:rPr>
          <w:sz w:val="18"/>
        </w:rPr>
        <w:t>: SWB.</w:t>
      </w:r>
    </w:p>
    <w:p w14:paraId="160610BA" w14:textId="77777777" w:rsidR="001D75D7" w:rsidRPr="00B47380" w:rsidRDefault="001D75D7" w:rsidP="00240C35">
      <w:pPr>
        <w:pStyle w:val="H23G"/>
      </w:pPr>
      <w:r w:rsidRPr="00B47380">
        <w:tab/>
      </w:r>
      <w:r w:rsidRPr="00B47380">
        <w:tab/>
        <w:t>Persons with disabilities</w:t>
      </w:r>
    </w:p>
    <w:p w14:paraId="01BC6DEA" w14:textId="77777777" w:rsidR="001D75D7" w:rsidRPr="00B47380" w:rsidRDefault="001D75D7" w:rsidP="00D53B5F">
      <w:pPr>
        <w:pStyle w:val="SingleTxtG"/>
      </w:pPr>
      <w:r w:rsidRPr="00B47380">
        <w:t>169.</w:t>
      </w:r>
      <w:r w:rsidRPr="00B47380">
        <w:tab/>
        <w:t>By the same token, persons with disabilities shall be taken care of and protected by the MSAR (Article 38(3) of the BL and Decree-law 33/99/M). Law 9/2011 on the Regime of Disability Allowance and Free Health Care Services, Law 8/2018, AR 3/2011 on Assessment System of the Type and Degree of Disability, Registration and Issuance of the Disability Card, and the Rehabilitation Plan should be emphasized.</w:t>
      </w:r>
    </w:p>
    <w:p w14:paraId="34D16248" w14:textId="77777777" w:rsidR="001D75D7" w:rsidRPr="00B47380" w:rsidRDefault="001D75D7" w:rsidP="00D53B5F">
      <w:pPr>
        <w:pStyle w:val="SingleTxtG"/>
      </w:pPr>
      <w:r w:rsidRPr="00B47380">
        <w:t>170.</w:t>
      </w:r>
      <w:r w:rsidRPr="00B47380">
        <w:tab/>
        <w:t xml:space="preserve">A person with disability is defined as a person who, by reasons of, congenital or acquired, loss or anomalism of psychological, intellectual, physical or anatomical structure or function susceptible of causing capability restrictions, may be in a disadvantaged </w:t>
      </w:r>
      <w:r w:rsidRPr="00B47380">
        <w:lastRenderedPageBreak/>
        <w:t>situation that hinders his/her participation in normal activities, taking into account the age, gender and main social indicators (Article 2 of Decree-law 33/99/M).</w:t>
      </w:r>
    </w:p>
    <w:p w14:paraId="5FB42771" w14:textId="77777777" w:rsidR="001D75D7" w:rsidRPr="00B47380" w:rsidRDefault="001D75D7" w:rsidP="00D53B5F">
      <w:pPr>
        <w:pStyle w:val="SingleTxtG"/>
      </w:pPr>
      <w:r w:rsidRPr="00B47380">
        <w:t>171.</w:t>
      </w:r>
      <w:r w:rsidRPr="00B47380">
        <w:tab/>
        <w:t>Disability is classified into 6 types: physical disability, visual impairment, hearing impairment, intellectual disability, mental disability and speech impairment, and 4 degrees according to its severity: mild disability, moderate disability, severe disability and extremely severe disability (Article 2 of AR 3/2011). A Disability Assessment Registration Card is issued by the SWB with a 5-year validity (Articles 7(2) and 8 of AR 3/2011).</w:t>
      </w:r>
    </w:p>
    <w:p w14:paraId="1D5A0F3E" w14:textId="77777777" w:rsidR="001D75D7" w:rsidRPr="00B47380" w:rsidRDefault="001D75D7" w:rsidP="00240C35">
      <w:pPr>
        <w:pStyle w:val="H23G"/>
      </w:pPr>
      <w:r w:rsidRPr="00B47380">
        <w:tab/>
      </w:r>
      <w:r w:rsidRPr="00B47380">
        <w:tab/>
        <w:t>Holders of Disability Assessment Registration Card (09/2018)</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9"/>
        <w:gridCol w:w="848"/>
        <w:gridCol w:w="850"/>
        <w:gridCol w:w="850"/>
        <w:gridCol w:w="850"/>
        <w:gridCol w:w="1367"/>
        <w:gridCol w:w="906"/>
        <w:gridCol w:w="906"/>
        <w:gridCol w:w="1213"/>
      </w:tblGrid>
      <w:tr w:rsidR="00240C35" w:rsidRPr="00B4060E" w14:paraId="654737EB" w14:textId="77777777" w:rsidTr="00E45843">
        <w:trPr>
          <w:cantSplit/>
          <w:tblHeader/>
        </w:trPr>
        <w:tc>
          <w:tcPr>
            <w:tcW w:w="959" w:type="pct"/>
            <w:tcBorders>
              <w:top w:val="single" w:sz="4" w:space="0" w:color="auto"/>
              <w:bottom w:val="single" w:sz="12" w:space="0" w:color="auto"/>
            </w:tcBorders>
            <w:shd w:val="clear" w:color="auto" w:fill="auto"/>
            <w:vAlign w:val="bottom"/>
          </w:tcPr>
          <w:p w14:paraId="2307744C" w14:textId="77777777" w:rsidR="001D75D7" w:rsidRPr="00B4060E" w:rsidRDefault="001D75D7" w:rsidP="00B4060E">
            <w:pPr>
              <w:pStyle w:val="SingleTxtG"/>
              <w:suppressAutoHyphens w:val="0"/>
              <w:spacing w:before="80" w:after="80" w:line="200" w:lineRule="exact"/>
              <w:ind w:left="0" w:right="113"/>
              <w:jc w:val="left"/>
              <w:rPr>
                <w:i/>
                <w:sz w:val="16"/>
              </w:rPr>
            </w:pPr>
            <w:r w:rsidRPr="00B4060E">
              <w:rPr>
                <w:i/>
                <w:sz w:val="16"/>
              </w:rPr>
              <w:t>Type/Degree of Disability</w:t>
            </w:r>
          </w:p>
        </w:tc>
        <w:tc>
          <w:tcPr>
            <w:tcW w:w="440" w:type="pct"/>
            <w:tcBorders>
              <w:top w:val="single" w:sz="4" w:space="0" w:color="auto"/>
              <w:bottom w:val="single" w:sz="12" w:space="0" w:color="auto"/>
            </w:tcBorders>
            <w:shd w:val="clear" w:color="auto" w:fill="auto"/>
            <w:vAlign w:val="bottom"/>
          </w:tcPr>
          <w:p w14:paraId="700558FB"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Type*</w:t>
            </w:r>
          </w:p>
        </w:tc>
        <w:tc>
          <w:tcPr>
            <w:tcW w:w="441" w:type="pct"/>
            <w:tcBorders>
              <w:top w:val="single" w:sz="4" w:space="0" w:color="auto"/>
              <w:bottom w:val="single" w:sz="12" w:space="0" w:color="auto"/>
            </w:tcBorders>
            <w:shd w:val="clear" w:color="auto" w:fill="auto"/>
            <w:vAlign w:val="bottom"/>
          </w:tcPr>
          <w:p w14:paraId="18337911"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Mild</w:t>
            </w:r>
          </w:p>
        </w:tc>
        <w:tc>
          <w:tcPr>
            <w:tcW w:w="441" w:type="pct"/>
            <w:tcBorders>
              <w:top w:val="single" w:sz="4" w:space="0" w:color="auto"/>
              <w:bottom w:val="single" w:sz="12" w:space="0" w:color="auto"/>
            </w:tcBorders>
            <w:shd w:val="clear" w:color="auto" w:fill="auto"/>
            <w:vAlign w:val="bottom"/>
          </w:tcPr>
          <w:p w14:paraId="09B8399A"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Moderate</w:t>
            </w:r>
          </w:p>
        </w:tc>
        <w:tc>
          <w:tcPr>
            <w:tcW w:w="441" w:type="pct"/>
            <w:tcBorders>
              <w:top w:val="single" w:sz="4" w:space="0" w:color="auto"/>
              <w:bottom w:val="single" w:sz="12" w:space="0" w:color="auto"/>
            </w:tcBorders>
            <w:shd w:val="clear" w:color="auto" w:fill="auto"/>
            <w:vAlign w:val="bottom"/>
          </w:tcPr>
          <w:p w14:paraId="7B8673CD"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Severe</w:t>
            </w:r>
          </w:p>
        </w:tc>
        <w:tc>
          <w:tcPr>
            <w:tcW w:w="709" w:type="pct"/>
            <w:tcBorders>
              <w:top w:val="single" w:sz="4" w:space="0" w:color="auto"/>
              <w:bottom w:val="single" w:sz="12" w:space="0" w:color="auto"/>
            </w:tcBorders>
            <w:shd w:val="clear" w:color="auto" w:fill="auto"/>
            <w:vAlign w:val="bottom"/>
          </w:tcPr>
          <w:p w14:paraId="70157BC7"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Extremely Severe</w:t>
            </w:r>
          </w:p>
        </w:tc>
        <w:tc>
          <w:tcPr>
            <w:tcW w:w="470" w:type="pct"/>
            <w:tcBorders>
              <w:top w:val="single" w:sz="4" w:space="0" w:color="auto"/>
              <w:bottom w:val="single" w:sz="12" w:space="0" w:color="auto"/>
            </w:tcBorders>
            <w:shd w:val="clear" w:color="auto" w:fill="auto"/>
            <w:vAlign w:val="bottom"/>
          </w:tcPr>
          <w:p w14:paraId="033A6853"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M</w:t>
            </w:r>
          </w:p>
        </w:tc>
        <w:tc>
          <w:tcPr>
            <w:tcW w:w="470" w:type="pct"/>
            <w:tcBorders>
              <w:top w:val="single" w:sz="4" w:space="0" w:color="auto"/>
              <w:bottom w:val="single" w:sz="12" w:space="0" w:color="auto"/>
            </w:tcBorders>
            <w:shd w:val="clear" w:color="auto" w:fill="auto"/>
            <w:vAlign w:val="bottom"/>
          </w:tcPr>
          <w:p w14:paraId="72C0E256"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F</w:t>
            </w:r>
          </w:p>
        </w:tc>
        <w:tc>
          <w:tcPr>
            <w:tcW w:w="629" w:type="pct"/>
            <w:tcBorders>
              <w:top w:val="single" w:sz="4" w:space="0" w:color="auto"/>
              <w:bottom w:val="single" w:sz="12" w:space="0" w:color="auto"/>
            </w:tcBorders>
            <w:shd w:val="clear" w:color="auto" w:fill="auto"/>
            <w:vAlign w:val="bottom"/>
          </w:tcPr>
          <w:p w14:paraId="6CB7E132"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No.</w:t>
            </w:r>
            <w:r w:rsidRPr="00B4060E">
              <w:rPr>
                <w:rFonts w:hint="eastAsia"/>
                <w:i/>
                <w:sz w:val="16"/>
              </w:rPr>
              <w:t xml:space="preserve"> </w:t>
            </w:r>
            <w:r w:rsidRPr="00B4060E">
              <w:rPr>
                <w:i/>
                <w:sz w:val="16"/>
              </w:rPr>
              <w:t>of Persons</w:t>
            </w:r>
          </w:p>
        </w:tc>
      </w:tr>
      <w:tr w:rsidR="00240C35" w:rsidRPr="00B4060E" w14:paraId="0EA6AC96" w14:textId="77777777" w:rsidTr="00E45843">
        <w:trPr>
          <w:cantSplit/>
        </w:trPr>
        <w:tc>
          <w:tcPr>
            <w:tcW w:w="959" w:type="pct"/>
            <w:tcBorders>
              <w:top w:val="single" w:sz="12" w:space="0" w:color="auto"/>
            </w:tcBorders>
            <w:shd w:val="clear" w:color="auto" w:fill="auto"/>
          </w:tcPr>
          <w:p w14:paraId="78391CD7"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Physical Disability</w:t>
            </w:r>
          </w:p>
        </w:tc>
        <w:tc>
          <w:tcPr>
            <w:tcW w:w="440" w:type="pct"/>
            <w:tcBorders>
              <w:top w:val="single" w:sz="12" w:space="0" w:color="auto"/>
            </w:tcBorders>
            <w:shd w:val="clear" w:color="auto" w:fill="auto"/>
            <w:vAlign w:val="bottom"/>
          </w:tcPr>
          <w:p w14:paraId="4214689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w:t>
            </w:r>
          </w:p>
        </w:tc>
        <w:tc>
          <w:tcPr>
            <w:tcW w:w="441" w:type="pct"/>
            <w:tcBorders>
              <w:top w:val="single" w:sz="12" w:space="0" w:color="auto"/>
            </w:tcBorders>
            <w:shd w:val="clear" w:color="auto" w:fill="auto"/>
            <w:vAlign w:val="bottom"/>
          </w:tcPr>
          <w:p w14:paraId="23FCD500" w14:textId="4A4A462B"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w:t>
            </w:r>
            <w:r w:rsidR="00240C35">
              <w:rPr>
                <w:sz w:val="18"/>
              </w:rPr>
              <w:t xml:space="preserve"> </w:t>
            </w:r>
            <w:r w:rsidRPr="00B4060E">
              <w:rPr>
                <w:sz w:val="18"/>
              </w:rPr>
              <w:t>277</w:t>
            </w:r>
          </w:p>
        </w:tc>
        <w:tc>
          <w:tcPr>
            <w:tcW w:w="441" w:type="pct"/>
            <w:tcBorders>
              <w:top w:val="single" w:sz="12" w:space="0" w:color="auto"/>
            </w:tcBorders>
            <w:shd w:val="clear" w:color="auto" w:fill="auto"/>
            <w:vAlign w:val="bottom"/>
          </w:tcPr>
          <w:p w14:paraId="358435AC" w14:textId="3183FE13"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240C35">
              <w:rPr>
                <w:sz w:val="18"/>
              </w:rPr>
              <w:t xml:space="preserve"> </w:t>
            </w:r>
            <w:r w:rsidRPr="00B4060E">
              <w:rPr>
                <w:sz w:val="18"/>
              </w:rPr>
              <w:t>146</w:t>
            </w:r>
          </w:p>
        </w:tc>
        <w:tc>
          <w:tcPr>
            <w:tcW w:w="441" w:type="pct"/>
            <w:tcBorders>
              <w:top w:val="single" w:sz="12" w:space="0" w:color="auto"/>
            </w:tcBorders>
            <w:shd w:val="clear" w:color="auto" w:fill="auto"/>
            <w:vAlign w:val="bottom"/>
          </w:tcPr>
          <w:p w14:paraId="2C0BC4B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867</w:t>
            </w:r>
          </w:p>
        </w:tc>
        <w:tc>
          <w:tcPr>
            <w:tcW w:w="709" w:type="pct"/>
            <w:tcBorders>
              <w:top w:val="single" w:sz="12" w:space="0" w:color="auto"/>
            </w:tcBorders>
            <w:shd w:val="clear" w:color="auto" w:fill="auto"/>
            <w:vAlign w:val="bottom"/>
          </w:tcPr>
          <w:p w14:paraId="5A85F03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201</w:t>
            </w:r>
          </w:p>
        </w:tc>
        <w:tc>
          <w:tcPr>
            <w:tcW w:w="470" w:type="pct"/>
            <w:tcBorders>
              <w:top w:val="single" w:sz="12" w:space="0" w:color="auto"/>
            </w:tcBorders>
            <w:shd w:val="clear" w:color="auto" w:fill="auto"/>
            <w:vAlign w:val="bottom"/>
          </w:tcPr>
          <w:p w14:paraId="5F5DBBCF" w14:textId="19E45D86"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w:t>
            </w:r>
            <w:r w:rsidR="00240C35">
              <w:rPr>
                <w:sz w:val="18"/>
              </w:rPr>
              <w:t xml:space="preserve"> </w:t>
            </w:r>
            <w:r w:rsidRPr="00B4060E">
              <w:rPr>
                <w:sz w:val="18"/>
              </w:rPr>
              <w:t>100</w:t>
            </w:r>
          </w:p>
        </w:tc>
        <w:tc>
          <w:tcPr>
            <w:tcW w:w="470" w:type="pct"/>
            <w:tcBorders>
              <w:top w:val="single" w:sz="12" w:space="0" w:color="auto"/>
            </w:tcBorders>
            <w:shd w:val="clear" w:color="auto" w:fill="auto"/>
            <w:vAlign w:val="bottom"/>
          </w:tcPr>
          <w:p w14:paraId="29FACCC4" w14:textId="279B0F6C"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w:t>
            </w:r>
            <w:r w:rsidR="00240C35">
              <w:rPr>
                <w:sz w:val="18"/>
              </w:rPr>
              <w:t xml:space="preserve"> </w:t>
            </w:r>
            <w:r w:rsidRPr="00B4060E">
              <w:rPr>
                <w:sz w:val="18"/>
              </w:rPr>
              <w:t>399</w:t>
            </w:r>
          </w:p>
        </w:tc>
        <w:tc>
          <w:tcPr>
            <w:tcW w:w="629" w:type="pct"/>
            <w:tcBorders>
              <w:top w:val="single" w:sz="12" w:space="0" w:color="auto"/>
            </w:tcBorders>
            <w:shd w:val="clear" w:color="auto" w:fill="auto"/>
            <w:vAlign w:val="bottom"/>
          </w:tcPr>
          <w:p w14:paraId="158E4982" w14:textId="078A392A"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w:t>
            </w:r>
            <w:r w:rsidR="00240C35">
              <w:rPr>
                <w:sz w:val="18"/>
              </w:rPr>
              <w:t xml:space="preserve"> </w:t>
            </w:r>
            <w:r w:rsidRPr="00B4060E">
              <w:rPr>
                <w:sz w:val="18"/>
              </w:rPr>
              <w:t>499</w:t>
            </w:r>
          </w:p>
        </w:tc>
      </w:tr>
      <w:tr w:rsidR="00240C35" w:rsidRPr="00B4060E" w14:paraId="6E68D414" w14:textId="77777777" w:rsidTr="00E45843">
        <w:trPr>
          <w:cantSplit/>
        </w:trPr>
        <w:tc>
          <w:tcPr>
            <w:tcW w:w="959" w:type="pct"/>
            <w:shd w:val="clear" w:color="auto" w:fill="auto"/>
          </w:tcPr>
          <w:p w14:paraId="2B37BE5A"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Visual Impairment</w:t>
            </w:r>
          </w:p>
        </w:tc>
        <w:tc>
          <w:tcPr>
            <w:tcW w:w="440" w:type="pct"/>
            <w:shd w:val="clear" w:color="auto" w:fill="auto"/>
            <w:vAlign w:val="bottom"/>
          </w:tcPr>
          <w:p w14:paraId="148E3D9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p>
        </w:tc>
        <w:tc>
          <w:tcPr>
            <w:tcW w:w="441" w:type="pct"/>
            <w:shd w:val="clear" w:color="auto" w:fill="auto"/>
            <w:vAlign w:val="bottom"/>
          </w:tcPr>
          <w:p w14:paraId="2FDD9ADB"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142</w:t>
            </w:r>
          </w:p>
        </w:tc>
        <w:tc>
          <w:tcPr>
            <w:tcW w:w="441" w:type="pct"/>
            <w:shd w:val="clear" w:color="auto" w:fill="auto"/>
            <w:vAlign w:val="bottom"/>
          </w:tcPr>
          <w:p w14:paraId="638A849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23</w:t>
            </w:r>
          </w:p>
        </w:tc>
        <w:tc>
          <w:tcPr>
            <w:tcW w:w="441" w:type="pct"/>
            <w:shd w:val="clear" w:color="auto" w:fill="auto"/>
            <w:vAlign w:val="bottom"/>
          </w:tcPr>
          <w:p w14:paraId="540DAE8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180</w:t>
            </w:r>
          </w:p>
        </w:tc>
        <w:tc>
          <w:tcPr>
            <w:tcW w:w="709" w:type="pct"/>
            <w:shd w:val="clear" w:color="auto" w:fill="auto"/>
            <w:vAlign w:val="bottom"/>
          </w:tcPr>
          <w:p w14:paraId="2BED862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295</w:t>
            </w:r>
          </w:p>
        </w:tc>
        <w:tc>
          <w:tcPr>
            <w:tcW w:w="470" w:type="pct"/>
            <w:shd w:val="clear" w:color="auto" w:fill="auto"/>
            <w:vAlign w:val="bottom"/>
          </w:tcPr>
          <w:p w14:paraId="52404B7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313</w:t>
            </w:r>
          </w:p>
        </w:tc>
        <w:tc>
          <w:tcPr>
            <w:tcW w:w="470" w:type="pct"/>
            <w:shd w:val="clear" w:color="auto" w:fill="auto"/>
            <w:vAlign w:val="bottom"/>
          </w:tcPr>
          <w:p w14:paraId="079C61D6"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328</w:t>
            </w:r>
          </w:p>
        </w:tc>
        <w:tc>
          <w:tcPr>
            <w:tcW w:w="629" w:type="pct"/>
            <w:shd w:val="clear" w:color="auto" w:fill="auto"/>
            <w:vAlign w:val="bottom"/>
          </w:tcPr>
          <w:p w14:paraId="1562126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641</w:t>
            </w:r>
          </w:p>
        </w:tc>
      </w:tr>
      <w:tr w:rsidR="00240C35" w:rsidRPr="00B4060E" w14:paraId="0AEE2FA5" w14:textId="77777777" w:rsidTr="00E45843">
        <w:trPr>
          <w:cantSplit/>
        </w:trPr>
        <w:tc>
          <w:tcPr>
            <w:tcW w:w="959" w:type="pct"/>
            <w:shd w:val="clear" w:color="auto" w:fill="auto"/>
          </w:tcPr>
          <w:p w14:paraId="469CFB3A"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Hearing Impairment</w:t>
            </w:r>
          </w:p>
        </w:tc>
        <w:tc>
          <w:tcPr>
            <w:tcW w:w="440" w:type="pct"/>
            <w:shd w:val="clear" w:color="auto" w:fill="auto"/>
            <w:vAlign w:val="bottom"/>
          </w:tcPr>
          <w:p w14:paraId="0F5EB29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17</w:t>
            </w:r>
          </w:p>
        </w:tc>
        <w:tc>
          <w:tcPr>
            <w:tcW w:w="441" w:type="pct"/>
            <w:shd w:val="clear" w:color="auto" w:fill="auto"/>
            <w:vAlign w:val="bottom"/>
          </w:tcPr>
          <w:p w14:paraId="3EF53DFE"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852</w:t>
            </w:r>
          </w:p>
        </w:tc>
        <w:tc>
          <w:tcPr>
            <w:tcW w:w="441" w:type="pct"/>
            <w:shd w:val="clear" w:color="auto" w:fill="auto"/>
            <w:vAlign w:val="bottom"/>
          </w:tcPr>
          <w:p w14:paraId="61580087" w14:textId="422852E9"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240C35">
              <w:rPr>
                <w:sz w:val="18"/>
              </w:rPr>
              <w:t xml:space="preserve"> </w:t>
            </w:r>
            <w:r w:rsidRPr="00B4060E">
              <w:rPr>
                <w:sz w:val="18"/>
              </w:rPr>
              <w:t>104</w:t>
            </w:r>
          </w:p>
        </w:tc>
        <w:tc>
          <w:tcPr>
            <w:tcW w:w="441" w:type="pct"/>
            <w:shd w:val="clear" w:color="auto" w:fill="auto"/>
            <w:vAlign w:val="bottom"/>
          </w:tcPr>
          <w:p w14:paraId="0819314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259</w:t>
            </w:r>
          </w:p>
        </w:tc>
        <w:tc>
          <w:tcPr>
            <w:tcW w:w="709" w:type="pct"/>
            <w:shd w:val="clear" w:color="auto" w:fill="auto"/>
            <w:vAlign w:val="bottom"/>
          </w:tcPr>
          <w:p w14:paraId="498462C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587</w:t>
            </w:r>
          </w:p>
        </w:tc>
        <w:tc>
          <w:tcPr>
            <w:tcW w:w="470" w:type="pct"/>
            <w:shd w:val="clear" w:color="auto" w:fill="auto"/>
            <w:vAlign w:val="bottom"/>
          </w:tcPr>
          <w:p w14:paraId="76CD90E1" w14:textId="75CFA7B5"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240C35">
              <w:rPr>
                <w:sz w:val="18"/>
              </w:rPr>
              <w:t xml:space="preserve"> </w:t>
            </w:r>
            <w:r w:rsidRPr="00B4060E">
              <w:rPr>
                <w:sz w:val="18"/>
              </w:rPr>
              <w:t>354</w:t>
            </w:r>
          </w:p>
        </w:tc>
        <w:tc>
          <w:tcPr>
            <w:tcW w:w="470" w:type="pct"/>
            <w:shd w:val="clear" w:color="auto" w:fill="auto"/>
            <w:vAlign w:val="bottom"/>
          </w:tcPr>
          <w:p w14:paraId="473BF0DD" w14:textId="556342C9"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240C35">
              <w:rPr>
                <w:sz w:val="18"/>
              </w:rPr>
              <w:t xml:space="preserve"> </w:t>
            </w:r>
            <w:r w:rsidRPr="00B4060E">
              <w:rPr>
                <w:sz w:val="18"/>
              </w:rPr>
              <w:t>465</w:t>
            </w:r>
          </w:p>
        </w:tc>
        <w:tc>
          <w:tcPr>
            <w:tcW w:w="629" w:type="pct"/>
            <w:shd w:val="clear" w:color="auto" w:fill="auto"/>
            <w:vAlign w:val="bottom"/>
          </w:tcPr>
          <w:p w14:paraId="61942221" w14:textId="6DC3B6C0"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w:t>
            </w:r>
            <w:r w:rsidR="00240C35">
              <w:rPr>
                <w:sz w:val="18"/>
              </w:rPr>
              <w:t xml:space="preserve"> </w:t>
            </w:r>
            <w:r w:rsidRPr="00B4060E">
              <w:rPr>
                <w:sz w:val="18"/>
              </w:rPr>
              <w:t>819</w:t>
            </w:r>
          </w:p>
        </w:tc>
      </w:tr>
      <w:tr w:rsidR="00240C35" w:rsidRPr="00B4060E" w14:paraId="775F9697" w14:textId="77777777" w:rsidTr="00E45843">
        <w:trPr>
          <w:cantSplit/>
        </w:trPr>
        <w:tc>
          <w:tcPr>
            <w:tcW w:w="959" w:type="pct"/>
            <w:shd w:val="clear" w:color="auto" w:fill="auto"/>
          </w:tcPr>
          <w:p w14:paraId="6EA696BE"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Intellectual Disability</w:t>
            </w:r>
          </w:p>
        </w:tc>
        <w:tc>
          <w:tcPr>
            <w:tcW w:w="440" w:type="pct"/>
            <w:shd w:val="clear" w:color="auto" w:fill="auto"/>
            <w:vAlign w:val="bottom"/>
          </w:tcPr>
          <w:p w14:paraId="07F1F40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47</w:t>
            </w:r>
          </w:p>
        </w:tc>
        <w:tc>
          <w:tcPr>
            <w:tcW w:w="441" w:type="pct"/>
            <w:shd w:val="clear" w:color="auto" w:fill="auto"/>
            <w:vAlign w:val="bottom"/>
          </w:tcPr>
          <w:p w14:paraId="682AA34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401</w:t>
            </w:r>
          </w:p>
        </w:tc>
        <w:tc>
          <w:tcPr>
            <w:tcW w:w="441" w:type="pct"/>
            <w:shd w:val="clear" w:color="auto" w:fill="auto"/>
            <w:vAlign w:val="bottom"/>
          </w:tcPr>
          <w:p w14:paraId="46C7B21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381</w:t>
            </w:r>
          </w:p>
        </w:tc>
        <w:tc>
          <w:tcPr>
            <w:tcW w:w="441" w:type="pct"/>
            <w:shd w:val="clear" w:color="auto" w:fill="auto"/>
            <w:vAlign w:val="bottom"/>
          </w:tcPr>
          <w:p w14:paraId="7608E70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243</w:t>
            </w:r>
          </w:p>
        </w:tc>
        <w:tc>
          <w:tcPr>
            <w:tcW w:w="709" w:type="pct"/>
            <w:shd w:val="clear" w:color="auto" w:fill="auto"/>
            <w:vAlign w:val="bottom"/>
          </w:tcPr>
          <w:p w14:paraId="4E934E2F"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104</w:t>
            </w:r>
          </w:p>
        </w:tc>
        <w:tc>
          <w:tcPr>
            <w:tcW w:w="470" w:type="pct"/>
            <w:shd w:val="clear" w:color="auto" w:fill="auto"/>
            <w:vAlign w:val="bottom"/>
          </w:tcPr>
          <w:p w14:paraId="042B30B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520</w:t>
            </w:r>
          </w:p>
        </w:tc>
        <w:tc>
          <w:tcPr>
            <w:tcW w:w="470" w:type="pct"/>
            <w:shd w:val="clear" w:color="auto" w:fill="auto"/>
            <w:vAlign w:val="bottom"/>
          </w:tcPr>
          <w:p w14:paraId="07F90646"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656</w:t>
            </w:r>
          </w:p>
        </w:tc>
        <w:tc>
          <w:tcPr>
            <w:tcW w:w="629" w:type="pct"/>
            <w:shd w:val="clear" w:color="auto" w:fill="auto"/>
            <w:vAlign w:val="bottom"/>
          </w:tcPr>
          <w:p w14:paraId="77724F78" w14:textId="22D4B71E"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240C35">
              <w:rPr>
                <w:sz w:val="18"/>
              </w:rPr>
              <w:t xml:space="preserve"> </w:t>
            </w:r>
            <w:r w:rsidRPr="00B4060E">
              <w:rPr>
                <w:sz w:val="18"/>
              </w:rPr>
              <w:t>176</w:t>
            </w:r>
          </w:p>
        </w:tc>
      </w:tr>
      <w:tr w:rsidR="00240C35" w:rsidRPr="00B4060E" w14:paraId="5BAAB9A2" w14:textId="77777777" w:rsidTr="00E45843">
        <w:trPr>
          <w:cantSplit/>
        </w:trPr>
        <w:tc>
          <w:tcPr>
            <w:tcW w:w="959" w:type="pct"/>
            <w:shd w:val="clear" w:color="auto" w:fill="auto"/>
          </w:tcPr>
          <w:p w14:paraId="2921238E"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Mental Disability</w:t>
            </w:r>
          </w:p>
        </w:tc>
        <w:tc>
          <w:tcPr>
            <w:tcW w:w="440" w:type="pct"/>
            <w:shd w:val="clear" w:color="auto" w:fill="auto"/>
            <w:vAlign w:val="bottom"/>
          </w:tcPr>
          <w:p w14:paraId="775DCC6F"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28</w:t>
            </w:r>
          </w:p>
        </w:tc>
        <w:tc>
          <w:tcPr>
            <w:tcW w:w="441" w:type="pct"/>
            <w:shd w:val="clear" w:color="auto" w:fill="auto"/>
            <w:vAlign w:val="bottom"/>
          </w:tcPr>
          <w:p w14:paraId="6478B3F6"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867</w:t>
            </w:r>
          </w:p>
        </w:tc>
        <w:tc>
          <w:tcPr>
            <w:tcW w:w="441" w:type="pct"/>
            <w:shd w:val="clear" w:color="auto" w:fill="auto"/>
            <w:vAlign w:val="bottom"/>
          </w:tcPr>
          <w:p w14:paraId="059CC51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604</w:t>
            </w:r>
          </w:p>
        </w:tc>
        <w:tc>
          <w:tcPr>
            <w:tcW w:w="441" w:type="pct"/>
            <w:shd w:val="clear" w:color="auto" w:fill="auto"/>
            <w:vAlign w:val="bottom"/>
          </w:tcPr>
          <w:p w14:paraId="6A423D0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941</w:t>
            </w:r>
          </w:p>
        </w:tc>
        <w:tc>
          <w:tcPr>
            <w:tcW w:w="709" w:type="pct"/>
            <w:shd w:val="clear" w:color="auto" w:fill="auto"/>
            <w:vAlign w:val="bottom"/>
          </w:tcPr>
          <w:p w14:paraId="0A2C136F"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96</w:t>
            </w:r>
          </w:p>
        </w:tc>
        <w:tc>
          <w:tcPr>
            <w:tcW w:w="470" w:type="pct"/>
            <w:shd w:val="clear" w:color="auto" w:fill="auto"/>
            <w:vAlign w:val="bottom"/>
          </w:tcPr>
          <w:p w14:paraId="57F22D4A" w14:textId="6BD3A2CF"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240C35">
              <w:rPr>
                <w:sz w:val="18"/>
              </w:rPr>
              <w:t xml:space="preserve"> </w:t>
            </w:r>
            <w:r w:rsidRPr="00B4060E">
              <w:rPr>
                <w:sz w:val="18"/>
              </w:rPr>
              <w:t>389</w:t>
            </w:r>
          </w:p>
        </w:tc>
        <w:tc>
          <w:tcPr>
            <w:tcW w:w="470" w:type="pct"/>
            <w:shd w:val="clear" w:color="auto" w:fill="auto"/>
            <w:vAlign w:val="bottom"/>
          </w:tcPr>
          <w:p w14:paraId="00C050EB" w14:textId="49069F4E"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240C35">
              <w:rPr>
                <w:sz w:val="18"/>
              </w:rPr>
              <w:t xml:space="preserve"> </w:t>
            </w:r>
            <w:r w:rsidRPr="00B4060E">
              <w:rPr>
                <w:sz w:val="18"/>
              </w:rPr>
              <w:t>147</w:t>
            </w:r>
          </w:p>
        </w:tc>
        <w:tc>
          <w:tcPr>
            <w:tcW w:w="629" w:type="pct"/>
            <w:shd w:val="clear" w:color="auto" w:fill="auto"/>
            <w:vAlign w:val="bottom"/>
          </w:tcPr>
          <w:p w14:paraId="6CED0376" w14:textId="7223A81D"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w:t>
            </w:r>
            <w:r w:rsidR="00240C35">
              <w:rPr>
                <w:sz w:val="18"/>
              </w:rPr>
              <w:t xml:space="preserve"> </w:t>
            </w:r>
            <w:r w:rsidRPr="00B4060E">
              <w:rPr>
                <w:sz w:val="18"/>
              </w:rPr>
              <w:t>536</w:t>
            </w:r>
          </w:p>
        </w:tc>
      </w:tr>
      <w:tr w:rsidR="00240C35" w:rsidRPr="00B4060E" w14:paraId="532AB4E3" w14:textId="77777777" w:rsidTr="00E45843">
        <w:trPr>
          <w:cantSplit/>
        </w:trPr>
        <w:tc>
          <w:tcPr>
            <w:tcW w:w="959" w:type="pct"/>
            <w:shd w:val="clear" w:color="auto" w:fill="auto"/>
          </w:tcPr>
          <w:p w14:paraId="3FA0534B"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Speech Impairment</w:t>
            </w:r>
          </w:p>
        </w:tc>
        <w:tc>
          <w:tcPr>
            <w:tcW w:w="440" w:type="pct"/>
            <w:shd w:val="clear" w:color="auto" w:fill="auto"/>
            <w:vAlign w:val="bottom"/>
          </w:tcPr>
          <w:p w14:paraId="04A83D1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c>
          <w:tcPr>
            <w:tcW w:w="441" w:type="pct"/>
            <w:shd w:val="clear" w:color="auto" w:fill="auto"/>
            <w:vAlign w:val="bottom"/>
          </w:tcPr>
          <w:p w14:paraId="453D455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13</w:t>
            </w:r>
          </w:p>
        </w:tc>
        <w:tc>
          <w:tcPr>
            <w:tcW w:w="441" w:type="pct"/>
            <w:shd w:val="clear" w:color="auto" w:fill="auto"/>
            <w:vAlign w:val="bottom"/>
          </w:tcPr>
          <w:p w14:paraId="5A9A299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w:t>
            </w:r>
          </w:p>
        </w:tc>
        <w:tc>
          <w:tcPr>
            <w:tcW w:w="441" w:type="pct"/>
            <w:shd w:val="clear" w:color="auto" w:fill="auto"/>
            <w:vAlign w:val="bottom"/>
          </w:tcPr>
          <w:p w14:paraId="67398F6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26</w:t>
            </w:r>
          </w:p>
        </w:tc>
        <w:tc>
          <w:tcPr>
            <w:tcW w:w="709" w:type="pct"/>
            <w:shd w:val="clear" w:color="auto" w:fill="auto"/>
            <w:vAlign w:val="bottom"/>
          </w:tcPr>
          <w:p w14:paraId="263EE8D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c>
          <w:tcPr>
            <w:tcW w:w="470" w:type="pct"/>
            <w:shd w:val="clear" w:color="auto" w:fill="auto"/>
            <w:vAlign w:val="bottom"/>
          </w:tcPr>
          <w:p w14:paraId="56783196"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w:t>
            </w:r>
          </w:p>
        </w:tc>
        <w:tc>
          <w:tcPr>
            <w:tcW w:w="470" w:type="pct"/>
            <w:shd w:val="clear" w:color="auto" w:fill="auto"/>
            <w:vAlign w:val="bottom"/>
          </w:tcPr>
          <w:p w14:paraId="5C13366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41</w:t>
            </w:r>
          </w:p>
        </w:tc>
        <w:tc>
          <w:tcPr>
            <w:tcW w:w="629" w:type="pct"/>
            <w:shd w:val="clear" w:color="auto" w:fill="auto"/>
            <w:vAlign w:val="bottom"/>
          </w:tcPr>
          <w:p w14:paraId="681A473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45</w:t>
            </w:r>
          </w:p>
        </w:tc>
      </w:tr>
      <w:tr w:rsidR="00240C35" w:rsidRPr="00B4060E" w14:paraId="1B438835" w14:textId="77777777" w:rsidTr="00E45843">
        <w:trPr>
          <w:cantSplit/>
        </w:trPr>
        <w:tc>
          <w:tcPr>
            <w:tcW w:w="959" w:type="pct"/>
            <w:tcBorders>
              <w:bottom w:val="single" w:sz="4" w:space="0" w:color="auto"/>
            </w:tcBorders>
            <w:shd w:val="clear" w:color="auto" w:fill="auto"/>
          </w:tcPr>
          <w:p w14:paraId="286A533D"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 xml:space="preserve">Multiple Disabilities </w:t>
            </w:r>
          </w:p>
        </w:tc>
        <w:tc>
          <w:tcPr>
            <w:tcW w:w="440" w:type="pct"/>
            <w:tcBorders>
              <w:bottom w:val="single" w:sz="4" w:space="0" w:color="auto"/>
            </w:tcBorders>
            <w:shd w:val="clear" w:color="auto" w:fill="auto"/>
            <w:vAlign w:val="bottom"/>
          </w:tcPr>
          <w:p w14:paraId="12081EC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w:t>
            </w:r>
          </w:p>
        </w:tc>
        <w:tc>
          <w:tcPr>
            <w:tcW w:w="441" w:type="pct"/>
            <w:tcBorders>
              <w:bottom w:val="single" w:sz="4" w:space="0" w:color="auto"/>
            </w:tcBorders>
            <w:shd w:val="clear" w:color="auto" w:fill="auto"/>
            <w:vAlign w:val="bottom"/>
          </w:tcPr>
          <w:p w14:paraId="5C91AD6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129</w:t>
            </w:r>
          </w:p>
        </w:tc>
        <w:tc>
          <w:tcPr>
            <w:tcW w:w="441" w:type="pct"/>
            <w:tcBorders>
              <w:bottom w:val="single" w:sz="4" w:space="0" w:color="auto"/>
            </w:tcBorders>
            <w:shd w:val="clear" w:color="auto" w:fill="auto"/>
            <w:vAlign w:val="bottom"/>
          </w:tcPr>
          <w:p w14:paraId="5BB644F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194</w:t>
            </w:r>
          </w:p>
        </w:tc>
        <w:tc>
          <w:tcPr>
            <w:tcW w:w="441" w:type="pct"/>
            <w:tcBorders>
              <w:bottom w:val="single" w:sz="4" w:space="0" w:color="auto"/>
            </w:tcBorders>
            <w:shd w:val="clear" w:color="auto" w:fill="auto"/>
            <w:vAlign w:val="bottom"/>
          </w:tcPr>
          <w:p w14:paraId="7A7FF3C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333</w:t>
            </w:r>
          </w:p>
        </w:tc>
        <w:tc>
          <w:tcPr>
            <w:tcW w:w="709" w:type="pct"/>
            <w:tcBorders>
              <w:bottom w:val="single" w:sz="4" w:space="0" w:color="auto"/>
            </w:tcBorders>
            <w:shd w:val="clear" w:color="auto" w:fill="auto"/>
            <w:vAlign w:val="bottom"/>
          </w:tcPr>
          <w:p w14:paraId="19B7B01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272</w:t>
            </w:r>
          </w:p>
        </w:tc>
        <w:tc>
          <w:tcPr>
            <w:tcW w:w="470" w:type="pct"/>
            <w:tcBorders>
              <w:bottom w:val="single" w:sz="4" w:space="0" w:color="auto"/>
            </w:tcBorders>
            <w:shd w:val="clear" w:color="auto" w:fill="auto"/>
            <w:vAlign w:val="bottom"/>
          </w:tcPr>
          <w:p w14:paraId="36EA84C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419</w:t>
            </w:r>
          </w:p>
        </w:tc>
        <w:tc>
          <w:tcPr>
            <w:tcW w:w="470" w:type="pct"/>
            <w:tcBorders>
              <w:bottom w:val="single" w:sz="4" w:space="0" w:color="auto"/>
            </w:tcBorders>
            <w:shd w:val="clear" w:color="auto" w:fill="auto"/>
            <w:vAlign w:val="bottom"/>
          </w:tcPr>
          <w:p w14:paraId="5DF4586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511</w:t>
            </w:r>
          </w:p>
        </w:tc>
        <w:tc>
          <w:tcPr>
            <w:tcW w:w="629" w:type="pct"/>
            <w:tcBorders>
              <w:bottom w:val="single" w:sz="4" w:space="0" w:color="auto"/>
            </w:tcBorders>
            <w:shd w:val="clear" w:color="auto" w:fill="auto"/>
            <w:vAlign w:val="bottom"/>
          </w:tcPr>
          <w:p w14:paraId="01F125CB"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930</w:t>
            </w:r>
          </w:p>
        </w:tc>
      </w:tr>
      <w:tr w:rsidR="00240C35" w:rsidRPr="00240C35" w14:paraId="6308ED7D" w14:textId="77777777" w:rsidTr="00E45843">
        <w:trPr>
          <w:cantSplit/>
        </w:trPr>
        <w:tc>
          <w:tcPr>
            <w:tcW w:w="959" w:type="pct"/>
            <w:tcBorders>
              <w:top w:val="single" w:sz="4" w:space="0" w:color="auto"/>
              <w:bottom w:val="single" w:sz="12" w:space="0" w:color="auto"/>
            </w:tcBorders>
            <w:shd w:val="clear" w:color="auto" w:fill="auto"/>
          </w:tcPr>
          <w:p w14:paraId="08CD1A39" w14:textId="77777777" w:rsidR="001D75D7" w:rsidRPr="00240C35" w:rsidRDefault="001D75D7" w:rsidP="00240C35">
            <w:pPr>
              <w:pStyle w:val="SingleTxtG"/>
              <w:suppressAutoHyphens w:val="0"/>
              <w:spacing w:before="80" w:after="80" w:line="220" w:lineRule="exact"/>
              <w:ind w:left="283" w:right="0"/>
              <w:jc w:val="left"/>
              <w:rPr>
                <w:b/>
                <w:sz w:val="18"/>
              </w:rPr>
            </w:pPr>
            <w:r w:rsidRPr="00240C35">
              <w:rPr>
                <w:b/>
                <w:sz w:val="18"/>
              </w:rPr>
              <w:t>Total</w:t>
            </w:r>
          </w:p>
        </w:tc>
        <w:tc>
          <w:tcPr>
            <w:tcW w:w="440" w:type="pct"/>
            <w:tcBorders>
              <w:top w:val="single" w:sz="4" w:space="0" w:color="auto"/>
              <w:bottom w:val="single" w:sz="12" w:space="0" w:color="auto"/>
            </w:tcBorders>
            <w:shd w:val="clear" w:color="auto" w:fill="auto"/>
            <w:vAlign w:val="bottom"/>
          </w:tcPr>
          <w:p w14:paraId="3F73B355" w14:textId="77777777" w:rsidR="001D75D7" w:rsidRPr="00240C35" w:rsidRDefault="001D75D7" w:rsidP="00240C35">
            <w:pPr>
              <w:pStyle w:val="SingleTxtG"/>
              <w:suppressAutoHyphens w:val="0"/>
              <w:spacing w:before="80" w:after="80" w:line="220" w:lineRule="exact"/>
              <w:ind w:left="0" w:right="113"/>
              <w:jc w:val="right"/>
              <w:rPr>
                <w:b/>
                <w:sz w:val="18"/>
              </w:rPr>
            </w:pPr>
            <w:r w:rsidRPr="00240C35">
              <w:rPr>
                <w:b/>
                <w:sz w:val="18"/>
              </w:rPr>
              <w:t>103</w:t>
            </w:r>
          </w:p>
        </w:tc>
        <w:tc>
          <w:tcPr>
            <w:tcW w:w="441" w:type="pct"/>
            <w:tcBorders>
              <w:top w:val="single" w:sz="4" w:space="0" w:color="auto"/>
              <w:bottom w:val="single" w:sz="12" w:space="0" w:color="auto"/>
            </w:tcBorders>
            <w:shd w:val="clear" w:color="auto" w:fill="auto"/>
            <w:vAlign w:val="bottom"/>
          </w:tcPr>
          <w:p w14:paraId="54B38750" w14:textId="482916E6" w:rsidR="001D75D7" w:rsidRPr="00240C35" w:rsidRDefault="001D75D7" w:rsidP="00240C35">
            <w:pPr>
              <w:pStyle w:val="SingleTxtG"/>
              <w:suppressAutoHyphens w:val="0"/>
              <w:spacing w:before="80" w:after="80" w:line="220" w:lineRule="exact"/>
              <w:ind w:left="0" w:right="113"/>
              <w:jc w:val="right"/>
              <w:rPr>
                <w:b/>
                <w:sz w:val="18"/>
              </w:rPr>
            </w:pPr>
            <w:r w:rsidRPr="00240C35">
              <w:rPr>
                <w:b/>
                <w:sz w:val="18"/>
              </w:rPr>
              <w:t>4</w:t>
            </w:r>
            <w:r w:rsidR="00240C35" w:rsidRPr="00240C35">
              <w:rPr>
                <w:b/>
                <w:sz w:val="18"/>
              </w:rPr>
              <w:t xml:space="preserve"> </w:t>
            </w:r>
            <w:r w:rsidRPr="00240C35">
              <w:rPr>
                <w:b/>
                <w:sz w:val="18"/>
              </w:rPr>
              <w:t>681</w:t>
            </w:r>
          </w:p>
        </w:tc>
        <w:tc>
          <w:tcPr>
            <w:tcW w:w="441" w:type="pct"/>
            <w:tcBorders>
              <w:top w:val="single" w:sz="4" w:space="0" w:color="auto"/>
              <w:bottom w:val="single" w:sz="12" w:space="0" w:color="auto"/>
            </w:tcBorders>
            <w:shd w:val="clear" w:color="auto" w:fill="auto"/>
            <w:vAlign w:val="bottom"/>
          </w:tcPr>
          <w:p w14:paraId="065AF430" w14:textId="68C44802" w:rsidR="001D75D7" w:rsidRPr="00240C35" w:rsidRDefault="001D75D7" w:rsidP="00240C35">
            <w:pPr>
              <w:pStyle w:val="SingleTxtG"/>
              <w:suppressAutoHyphens w:val="0"/>
              <w:spacing w:before="80" w:after="80" w:line="220" w:lineRule="exact"/>
              <w:ind w:left="0" w:right="113"/>
              <w:jc w:val="right"/>
              <w:rPr>
                <w:b/>
                <w:sz w:val="18"/>
              </w:rPr>
            </w:pPr>
            <w:r w:rsidRPr="00240C35">
              <w:rPr>
                <w:b/>
                <w:sz w:val="18"/>
              </w:rPr>
              <w:t>3</w:t>
            </w:r>
            <w:r w:rsidR="00240C35" w:rsidRPr="00240C35">
              <w:rPr>
                <w:b/>
                <w:sz w:val="18"/>
              </w:rPr>
              <w:t xml:space="preserve"> </w:t>
            </w:r>
            <w:r w:rsidRPr="00240C35">
              <w:rPr>
                <w:b/>
                <w:sz w:val="18"/>
              </w:rPr>
              <w:t>458</w:t>
            </w:r>
          </w:p>
        </w:tc>
        <w:tc>
          <w:tcPr>
            <w:tcW w:w="441" w:type="pct"/>
            <w:tcBorders>
              <w:top w:val="single" w:sz="4" w:space="0" w:color="auto"/>
              <w:bottom w:val="single" w:sz="12" w:space="0" w:color="auto"/>
            </w:tcBorders>
            <w:shd w:val="clear" w:color="auto" w:fill="auto"/>
            <w:vAlign w:val="bottom"/>
          </w:tcPr>
          <w:p w14:paraId="6A568D08" w14:textId="48D9FF6E" w:rsidR="001D75D7" w:rsidRPr="00240C35" w:rsidRDefault="001D75D7" w:rsidP="00240C35">
            <w:pPr>
              <w:pStyle w:val="SingleTxtG"/>
              <w:suppressAutoHyphens w:val="0"/>
              <w:spacing w:before="80" w:after="80" w:line="220" w:lineRule="exact"/>
              <w:ind w:left="0" w:right="113"/>
              <w:jc w:val="right"/>
              <w:rPr>
                <w:b/>
                <w:sz w:val="18"/>
              </w:rPr>
            </w:pPr>
            <w:r w:rsidRPr="00240C35">
              <w:rPr>
                <w:b/>
                <w:sz w:val="18"/>
              </w:rPr>
              <w:t>2</w:t>
            </w:r>
            <w:r w:rsidR="00240C35" w:rsidRPr="00240C35">
              <w:rPr>
                <w:b/>
                <w:sz w:val="18"/>
              </w:rPr>
              <w:t xml:space="preserve"> </w:t>
            </w:r>
            <w:r w:rsidRPr="00240C35">
              <w:rPr>
                <w:b/>
                <w:sz w:val="18"/>
              </w:rPr>
              <w:t>849</w:t>
            </w:r>
          </w:p>
        </w:tc>
        <w:tc>
          <w:tcPr>
            <w:tcW w:w="709" w:type="pct"/>
            <w:tcBorders>
              <w:top w:val="single" w:sz="4" w:space="0" w:color="auto"/>
              <w:bottom w:val="single" w:sz="12" w:space="0" w:color="auto"/>
            </w:tcBorders>
            <w:shd w:val="clear" w:color="auto" w:fill="auto"/>
            <w:vAlign w:val="bottom"/>
          </w:tcPr>
          <w:p w14:paraId="156D6392" w14:textId="34C6A32E" w:rsidR="001D75D7" w:rsidRPr="00240C35" w:rsidRDefault="001D75D7" w:rsidP="00240C35">
            <w:pPr>
              <w:pStyle w:val="SingleTxtG"/>
              <w:suppressAutoHyphens w:val="0"/>
              <w:spacing w:before="80" w:after="80" w:line="220" w:lineRule="exact"/>
              <w:ind w:left="0" w:right="113"/>
              <w:jc w:val="right"/>
              <w:rPr>
                <w:b/>
                <w:sz w:val="18"/>
              </w:rPr>
            </w:pPr>
            <w:r w:rsidRPr="00240C35">
              <w:rPr>
                <w:b/>
                <w:sz w:val="18"/>
              </w:rPr>
              <w:t>1</w:t>
            </w:r>
            <w:r w:rsidR="00240C35" w:rsidRPr="00240C35">
              <w:rPr>
                <w:b/>
                <w:sz w:val="18"/>
              </w:rPr>
              <w:t xml:space="preserve"> </w:t>
            </w:r>
            <w:r w:rsidRPr="00240C35">
              <w:rPr>
                <w:b/>
                <w:sz w:val="18"/>
              </w:rPr>
              <w:t>555</w:t>
            </w:r>
          </w:p>
        </w:tc>
        <w:tc>
          <w:tcPr>
            <w:tcW w:w="470" w:type="pct"/>
            <w:tcBorders>
              <w:top w:val="single" w:sz="4" w:space="0" w:color="auto"/>
              <w:bottom w:val="single" w:sz="12" w:space="0" w:color="auto"/>
            </w:tcBorders>
            <w:shd w:val="clear" w:color="auto" w:fill="auto"/>
            <w:vAlign w:val="bottom"/>
          </w:tcPr>
          <w:p w14:paraId="20918E97" w14:textId="11F47DBA" w:rsidR="001D75D7" w:rsidRPr="00240C35" w:rsidRDefault="001D75D7" w:rsidP="00240C35">
            <w:pPr>
              <w:pStyle w:val="SingleTxtG"/>
              <w:suppressAutoHyphens w:val="0"/>
              <w:spacing w:before="80" w:after="80" w:line="220" w:lineRule="exact"/>
              <w:ind w:left="0" w:right="113"/>
              <w:jc w:val="right"/>
              <w:rPr>
                <w:b/>
                <w:sz w:val="18"/>
              </w:rPr>
            </w:pPr>
            <w:r w:rsidRPr="00240C35">
              <w:rPr>
                <w:b/>
                <w:sz w:val="18"/>
              </w:rPr>
              <w:t>6</w:t>
            </w:r>
            <w:r w:rsidR="00240C35" w:rsidRPr="00240C35">
              <w:rPr>
                <w:b/>
                <w:sz w:val="18"/>
              </w:rPr>
              <w:t xml:space="preserve"> </w:t>
            </w:r>
            <w:r w:rsidRPr="00240C35">
              <w:rPr>
                <w:b/>
                <w:sz w:val="18"/>
              </w:rPr>
              <w:t>099</w:t>
            </w:r>
          </w:p>
        </w:tc>
        <w:tc>
          <w:tcPr>
            <w:tcW w:w="470" w:type="pct"/>
            <w:tcBorders>
              <w:top w:val="single" w:sz="4" w:space="0" w:color="auto"/>
              <w:bottom w:val="single" w:sz="12" w:space="0" w:color="auto"/>
            </w:tcBorders>
            <w:shd w:val="clear" w:color="auto" w:fill="auto"/>
            <w:vAlign w:val="bottom"/>
          </w:tcPr>
          <w:p w14:paraId="0B17F353" w14:textId="5BBD5FF1" w:rsidR="001D75D7" w:rsidRPr="00240C35" w:rsidRDefault="001D75D7" w:rsidP="00240C35">
            <w:pPr>
              <w:pStyle w:val="SingleTxtG"/>
              <w:suppressAutoHyphens w:val="0"/>
              <w:spacing w:before="80" w:after="80" w:line="220" w:lineRule="exact"/>
              <w:ind w:left="0" w:right="113"/>
              <w:jc w:val="right"/>
              <w:rPr>
                <w:b/>
                <w:sz w:val="18"/>
              </w:rPr>
            </w:pPr>
            <w:r w:rsidRPr="00240C35">
              <w:rPr>
                <w:b/>
                <w:sz w:val="18"/>
              </w:rPr>
              <w:t>6</w:t>
            </w:r>
            <w:r w:rsidR="00240C35" w:rsidRPr="00240C35">
              <w:rPr>
                <w:b/>
                <w:sz w:val="18"/>
              </w:rPr>
              <w:t xml:space="preserve"> </w:t>
            </w:r>
            <w:r w:rsidRPr="00240C35">
              <w:rPr>
                <w:b/>
                <w:sz w:val="18"/>
              </w:rPr>
              <w:t>547</w:t>
            </w:r>
          </w:p>
        </w:tc>
        <w:tc>
          <w:tcPr>
            <w:tcW w:w="629" w:type="pct"/>
            <w:tcBorders>
              <w:top w:val="single" w:sz="4" w:space="0" w:color="auto"/>
              <w:bottom w:val="single" w:sz="12" w:space="0" w:color="auto"/>
            </w:tcBorders>
            <w:shd w:val="clear" w:color="auto" w:fill="auto"/>
            <w:vAlign w:val="bottom"/>
          </w:tcPr>
          <w:p w14:paraId="30DE8108" w14:textId="7BE2F7A6" w:rsidR="001D75D7" w:rsidRPr="00240C35" w:rsidRDefault="001D75D7" w:rsidP="00240C35">
            <w:pPr>
              <w:pStyle w:val="SingleTxtG"/>
              <w:suppressAutoHyphens w:val="0"/>
              <w:spacing w:before="80" w:after="80" w:line="220" w:lineRule="exact"/>
              <w:ind w:left="0" w:right="113"/>
              <w:jc w:val="right"/>
              <w:rPr>
                <w:b/>
                <w:sz w:val="18"/>
              </w:rPr>
            </w:pPr>
            <w:r w:rsidRPr="00240C35">
              <w:rPr>
                <w:b/>
                <w:sz w:val="18"/>
              </w:rPr>
              <w:t>12</w:t>
            </w:r>
            <w:r w:rsidR="00240C35" w:rsidRPr="00240C35">
              <w:rPr>
                <w:b/>
                <w:sz w:val="18"/>
              </w:rPr>
              <w:t xml:space="preserve"> </w:t>
            </w:r>
            <w:r w:rsidRPr="00240C35">
              <w:rPr>
                <w:b/>
                <w:sz w:val="18"/>
              </w:rPr>
              <w:t>646</w:t>
            </w:r>
          </w:p>
        </w:tc>
      </w:tr>
    </w:tbl>
    <w:p w14:paraId="688BCF97" w14:textId="1A01DB1E" w:rsidR="001D75D7" w:rsidRPr="004D6325" w:rsidRDefault="001D75D7" w:rsidP="004D6325">
      <w:pPr>
        <w:spacing w:before="120"/>
        <w:ind w:left="1134" w:right="1134" w:firstLine="170"/>
        <w:rPr>
          <w:sz w:val="18"/>
        </w:rPr>
      </w:pPr>
      <w:r w:rsidRPr="004D6325">
        <w:rPr>
          <w:i/>
          <w:iCs/>
          <w:sz w:val="18"/>
        </w:rPr>
        <w:t>Source</w:t>
      </w:r>
      <w:r w:rsidRPr="004D6325">
        <w:rPr>
          <w:sz w:val="18"/>
        </w:rPr>
        <w:t xml:space="preserve">: </w:t>
      </w:r>
      <w:r w:rsidR="002300CF">
        <w:rPr>
          <w:sz w:val="18"/>
        </w:rPr>
        <w:t xml:space="preserve"> </w:t>
      </w:r>
      <w:r w:rsidRPr="004D6325">
        <w:rPr>
          <w:sz w:val="18"/>
        </w:rPr>
        <w:t>SWB.</w:t>
      </w:r>
    </w:p>
    <w:p w14:paraId="56A7C55F" w14:textId="77777777" w:rsidR="001D75D7" w:rsidRPr="004D6325" w:rsidRDefault="001D75D7" w:rsidP="004D6325">
      <w:pPr>
        <w:spacing w:before="120"/>
        <w:ind w:left="1134" w:right="1134" w:firstLine="170"/>
        <w:rPr>
          <w:i/>
          <w:iCs/>
          <w:sz w:val="18"/>
        </w:rPr>
      </w:pPr>
      <w:r w:rsidRPr="00240C35">
        <w:rPr>
          <w:i/>
          <w:iCs/>
          <w:sz w:val="18"/>
        </w:rPr>
        <w:t>Note</w:t>
      </w:r>
      <w:r w:rsidRPr="004D6325">
        <w:rPr>
          <w:i/>
          <w:iCs/>
          <w:sz w:val="18"/>
        </w:rPr>
        <w:t>:</w:t>
      </w:r>
    </w:p>
    <w:p w14:paraId="7D4BAE77" w14:textId="6CA9FE9A" w:rsidR="001D75D7" w:rsidRPr="00240C35" w:rsidRDefault="001D75D7" w:rsidP="004D6325">
      <w:pPr>
        <w:spacing w:after="240"/>
        <w:ind w:left="1134" w:right="1134" w:firstLine="170"/>
        <w:rPr>
          <w:sz w:val="18"/>
        </w:rPr>
      </w:pPr>
      <w:r w:rsidRPr="00240C35">
        <w:rPr>
          <w:sz w:val="18"/>
        </w:rPr>
        <w:t>*</w:t>
      </w:r>
      <w:r w:rsidR="00240C35">
        <w:rPr>
          <w:sz w:val="18"/>
        </w:rPr>
        <w:t xml:space="preserve">  </w:t>
      </w:r>
      <w:r w:rsidRPr="00240C35">
        <w:rPr>
          <w:sz w:val="18"/>
        </w:rPr>
        <w:t>Not by level (below 4 years old).</w:t>
      </w:r>
    </w:p>
    <w:p w14:paraId="5B710D14" w14:textId="77777777" w:rsidR="001D75D7" w:rsidRPr="00B47380" w:rsidRDefault="001D75D7" w:rsidP="00D53B5F">
      <w:pPr>
        <w:pStyle w:val="SingleTxtG"/>
      </w:pPr>
      <w:r w:rsidRPr="00B47380">
        <w:t>172.</w:t>
      </w:r>
      <w:r w:rsidRPr="00B47380">
        <w:tab/>
        <w:t>Holders may apply for Disability Allowance: regular disability allowance for persons with mild or moderate disabilities and special disability allowance for persons with severe or extremely severe disabilities (Articles 3 and 6(1) of Law 9/2011). Both regular and special disability allowances have increased: the former from MOP$6,000 to MOP$8,000 and the latter from MOP$12,000 to MOP$16,000 (Order of the CE 317/2016).</w:t>
      </w:r>
    </w:p>
    <w:p w14:paraId="1B0FB03A" w14:textId="77777777" w:rsidR="001D75D7" w:rsidRPr="00B47380" w:rsidRDefault="001D75D7" w:rsidP="00D53B5F">
      <w:pPr>
        <w:pStyle w:val="SingleTxtG"/>
      </w:pPr>
      <w:r w:rsidRPr="00B47380">
        <w:t>173.</w:t>
      </w:r>
      <w:r w:rsidRPr="00B47380">
        <w:tab/>
        <w:t xml:space="preserve">The Rehabilitation Plan, aiming at stimulating the social integration of persons with disabilities by promoting the sustainable development of rehabilitation services, covers 13 service areas: disability prevention and diagnosis, medical rehabilitation, pre-school training and nurseries, education, employment and vocational rehabilitation, residential care, community support, social security, the development of self-help organisations for persons with disabilities, accessible construction (passages, facilities and transportation), information and the application of communication technology, recreational and cultural activities and public education. </w:t>
      </w:r>
    </w:p>
    <w:p w14:paraId="43E8737E" w14:textId="77777777" w:rsidR="001D75D7" w:rsidRPr="00B47380" w:rsidRDefault="001D75D7" w:rsidP="00D53B5F">
      <w:pPr>
        <w:pStyle w:val="SingleTxtG"/>
      </w:pPr>
      <w:r w:rsidRPr="00B47380">
        <w:t>174.</w:t>
      </w:r>
      <w:r w:rsidRPr="00B47380">
        <w:tab/>
        <w:t>The implementation of the Rehabilitation Plan is being monitored by the Rehabilitation Commission.</w:t>
      </w:r>
    </w:p>
    <w:p w14:paraId="47A37B1F" w14:textId="77777777" w:rsidR="001D75D7" w:rsidRPr="00B47380" w:rsidRDefault="001D75D7" w:rsidP="00D53B5F">
      <w:pPr>
        <w:pStyle w:val="SingleTxtG"/>
      </w:pPr>
      <w:r w:rsidRPr="00B47380">
        <w:t>175.</w:t>
      </w:r>
      <w:r w:rsidRPr="00B47380">
        <w:tab/>
        <w:t xml:space="preserve">The Comprehensive Assessment Centre for Rehabilitation Service under the SWB provides cross-professional assessment and recommends target appropriate service through several means and supports rehabilitation institutions in their provision of services, including shelters, halfway houses, early education and training centres, respite centres, daytime training centres, vocational rehabilitation and employment services centres, community outreach services, case support and counselling services, non-emergency medical and escort services and shuttle </w:t>
      </w:r>
      <w:proofErr w:type="spellStart"/>
      <w:r w:rsidRPr="00B47380">
        <w:t>rehabus</w:t>
      </w:r>
      <w:proofErr w:type="spellEnd"/>
      <w:r w:rsidRPr="00B47380">
        <w:t xml:space="preserve"> services.</w:t>
      </w:r>
    </w:p>
    <w:p w14:paraId="300AAA22" w14:textId="3F4BD94F" w:rsidR="00144F6F" w:rsidRDefault="001D75D7" w:rsidP="004D6325">
      <w:pPr>
        <w:pStyle w:val="SingleTxtG"/>
      </w:pPr>
      <w:r w:rsidRPr="00B47380">
        <w:t>176.</w:t>
      </w:r>
      <w:r w:rsidRPr="00B47380">
        <w:tab/>
        <w:t xml:space="preserve">There are 11 rehabilitation homes, 10 daytime training centres, 6 vocational rehabilitation centres, 4 early intervention and education centres, 2 </w:t>
      </w:r>
      <w:proofErr w:type="spellStart"/>
      <w:r w:rsidRPr="00B47380">
        <w:t>rehabus</w:t>
      </w:r>
      <w:proofErr w:type="spellEnd"/>
      <w:r w:rsidRPr="00B47380">
        <w:t xml:space="preserve">/escort services and 2 comprehensive service centres. </w:t>
      </w:r>
    </w:p>
    <w:p w14:paraId="3D45A614" w14:textId="77777777" w:rsidR="001D75D7" w:rsidRPr="00B47380" w:rsidRDefault="001D75D7" w:rsidP="004D6325">
      <w:pPr>
        <w:pStyle w:val="H23G"/>
      </w:pPr>
      <w:r w:rsidRPr="00B47380">
        <w:lastRenderedPageBreak/>
        <w:tab/>
      </w:r>
      <w:r w:rsidRPr="00B47380">
        <w:tab/>
        <w:t>Users of rehabilitation services/facilities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26"/>
        <w:gridCol w:w="1089"/>
        <w:gridCol w:w="1089"/>
        <w:gridCol w:w="1089"/>
        <w:gridCol w:w="1089"/>
        <w:gridCol w:w="1088"/>
      </w:tblGrid>
      <w:tr w:rsidR="00B4060E" w:rsidRPr="00B4060E" w14:paraId="442573CC" w14:textId="77777777" w:rsidTr="00E45843">
        <w:trPr>
          <w:cantSplit/>
          <w:tblHeader/>
        </w:trPr>
        <w:tc>
          <w:tcPr>
            <w:tcW w:w="1306" w:type="pct"/>
            <w:tcBorders>
              <w:top w:val="single" w:sz="4" w:space="0" w:color="auto"/>
              <w:bottom w:val="single" w:sz="12" w:space="0" w:color="auto"/>
            </w:tcBorders>
            <w:shd w:val="clear" w:color="auto" w:fill="auto"/>
            <w:vAlign w:val="bottom"/>
          </w:tcPr>
          <w:p w14:paraId="34011C64" w14:textId="77777777" w:rsidR="001D75D7" w:rsidRPr="00B4060E" w:rsidRDefault="001D75D7" w:rsidP="004D6325">
            <w:pPr>
              <w:pStyle w:val="SingleTxtG"/>
              <w:keepNext/>
              <w:keepLines/>
              <w:suppressAutoHyphens w:val="0"/>
              <w:spacing w:before="80" w:after="80" w:line="200" w:lineRule="exact"/>
              <w:ind w:left="0" w:right="113"/>
              <w:jc w:val="left"/>
              <w:rPr>
                <w:i/>
                <w:sz w:val="16"/>
              </w:rPr>
            </w:pPr>
            <w:r w:rsidRPr="00B4060E">
              <w:rPr>
                <w:i/>
                <w:sz w:val="16"/>
              </w:rPr>
              <w:t>Year/Disability type</w:t>
            </w:r>
          </w:p>
        </w:tc>
        <w:tc>
          <w:tcPr>
            <w:tcW w:w="739" w:type="pct"/>
            <w:tcBorders>
              <w:top w:val="single" w:sz="4" w:space="0" w:color="auto"/>
              <w:bottom w:val="single" w:sz="12" w:space="0" w:color="auto"/>
            </w:tcBorders>
            <w:shd w:val="clear" w:color="auto" w:fill="auto"/>
            <w:vAlign w:val="bottom"/>
          </w:tcPr>
          <w:p w14:paraId="29AAFAFA" w14:textId="77777777" w:rsidR="001D75D7" w:rsidRPr="00B4060E" w:rsidRDefault="001D75D7" w:rsidP="004D6325">
            <w:pPr>
              <w:pStyle w:val="SingleTxtG"/>
              <w:keepNext/>
              <w:keepLines/>
              <w:suppressAutoHyphens w:val="0"/>
              <w:spacing w:before="80" w:after="80" w:line="200" w:lineRule="exact"/>
              <w:ind w:left="0" w:right="113"/>
              <w:jc w:val="right"/>
              <w:rPr>
                <w:i/>
                <w:sz w:val="16"/>
              </w:rPr>
            </w:pPr>
            <w:r w:rsidRPr="00B4060E">
              <w:rPr>
                <w:i/>
                <w:sz w:val="16"/>
              </w:rPr>
              <w:t>2014</w:t>
            </w:r>
          </w:p>
        </w:tc>
        <w:tc>
          <w:tcPr>
            <w:tcW w:w="739" w:type="pct"/>
            <w:tcBorders>
              <w:top w:val="single" w:sz="4" w:space="0" w:color="auto"/>
              <w:bottom w:val="single" w:sz="12" w:space="0" w:color="auto"/>
            </w:tcBorders>
            <w:shd w:val="clear" w:color="auto" w:fill="auto"/>
            <w:vAlign w:val="bottom"/>
          </w:tcPr>
          <w:p w14:paraId="1F6B09B6" w14:textId="77777777" w:rsidR="001D75D7" w:rsidRPr="00B4060E" w:rsidRDefault="001D75D7" w:rsidP="004D6325">
            <w:pPr>
              <w:pStyle w:val="SingleTxtG"/>
              <w:keepNext/>
              <w:keepLines/>
              <w:suppressAutoHyphens w:val="0"/>
              <w:spacing w:before="80" w:after="80" w:line="200" w:lineRule="exact"/>
              <w:ind w:left="0" w:right="113"/>
              <w:jc w:val="right"/>
              <w:rPr>
                <w:i/>
                <w:sz w:val="16"/>
              </w:rPr>
            </w:pPr>
            <w:r w:rsidRPr="00B4060E">
              <w:rPr>
                <w:i/>
                <w:sz w:val="16"/>
              </w:rPr>
              <w:t>2015</w:t>
            </w:r>
          </w:p>
        </w:tc>
        <w:tc>
          <w:tcPr>
            <w:tcW w:w="739" w:type="pct"/>
            <w:tcBorders>
              <w:top w:val="single" w:sz="4" w:space="0" w:color="auto"/>
              <w:bottom w:val="single" w:sz="12" w:space="0" w:color="auto"/>
            </w:tcBorders>
            <w:shd w:val="clear" w:color="auto" w:fill="auto"/>
            <w:vAlign w:val="bottom"/>
          </w:tcPr>
          <w:p w14:paraId="68604A21" w14:textId="77777777" w:rsidR="001D75D7" w:rsidRPr="00B4060E" w:rsidRDefault="001D75D7" w:rsidP="004D6325">
            <w:pPr>
              <w:pStyle w:val="SingleTxtG"/>
              <w:keepNext/>
              <w:keepLines/>
              <w:suppressAutoHyphens w:val="0"/>
              <w:spacing w:before="80" w:after="80" w:line="200" w:lineRule="exact"/>
              <w:ind w:left="0" w:right="113"/>
              <w:jc w:val="right"/>
              <w:rPr>
                <w:i/>
                <w:sz w:val="16"/>
              </w:rPr>
            </w:pPr>
            <w:r w:rsidRPr="00B4060E">
              <w:rPr>
                <w:i/>
                <w:sz w:val="16"/>
              </w:rPr>
              <w:t>2016</w:t>
            </w:r>
          </w:p>
        </w:tc>
        <w:tc>
          <w:tcPr>
            <w:tcW w:w="739" w:type="pct"/>
            <w:tcBorders>
              <w:top w:val="single" w:sz="4" w:space="0" w:color="auto"/>
              <w:bottom w:val="single" w:sz="12" w:space="0" w:color="auto"/>
            </w:tcBorders>
            <w:shd w:val="clear" w:color="auto" w:fill="auto"/>
            <w:vAlign w:val="bottom"/>
          </w:tcPr>
          <w:p w14:paraId="5108CAF9" w14:textId="77777777" w:rsidR="001D75D7" w:rsidRPr="00B4060E" w:rsidRDefault="001D75D7" w:rsidP="004D6325">
            <w:pPr>
              <w:pStyle w:val="SingleTxtG"/>
              <w:keepNext/>
              <w:keepLines/>
              <w:suppressAutoHyphens w:val="0"/>
              <w:spacing w:before="80" w:after="80" w:line="200" w:lineRule="exact"/>
              <w:ind w:left="0" w:right="113"/>
              <w:jc w:val="right"/>
              <w:rPr>
                <w:i/>
                <w:sz w:val="16"/>
              </w:rPr>
            </w:pPr>
            <w:r w:rsidRPr="00B4060E">
              <w:rPr>
                <w:i/>
                <w:sz w:val="16"/>
              </w:rPr>
              <w:t>2017</w:t>
            </w:r>
          </w:p>
        </w:tc>
        <w:tc>
          <w:tcPr>
            <w:tcW w:w="739" w:type="pct"/>
            <w:tcBorders>
              <w:top w:val="single" w:sz="4" w:space="0" w:color="auto"/>
              <w:bottom w:val="single" w:sz="12" w:space="0" w:color="auto"/>
            </w:tcBorders>
            <w:shd w:val="clear" w:color="auto" w:fill="auto"/>
            <w:vAlign w:val="bottom"/>
          </w:tcPr>
          <w:p w14:paraId="595F9D61" w14:textId="77777777" w:rsidR="001D75D7" w:rsidRPr="00B4060E" w:rsidRDefault="001D75D7" w:rsidP="004D6325">
            <w:pPr>
              <w:pStyle w:val="SingleTxtG"/>
              <w:keepNext/>
              <w:keepLines/>
              <w:suppressAutoHyphens w:val="0"/>
              <w:spacing w:before="80" w:after="80" w:line="200" w:lineRule="exact"/>
              <w:ind w:left="0" w:right="113"/>
              <w:jc w:val="right"/>
              <w:rPr>
                <w:i/>
                <w:sz w:val="16"/>
              </w:rPr>
            </w:pPr>
            <w:r w:rsidRPr="00B4060E">
              <w:rPr>
                <w:i/>
                <w:sz w:val="16"/>
              </w:rPr>
              <w:t>09/2018</w:t>
            </w:r>
          </w:p>
        </w:tc>
      </w:tr>
      <w:tr w:rsidR="00B4060E" w:rsidRPr="00B4060E" w14:paraId="6EAACA20" w14:textId="77777777" w:rsidTr="00E45843">
        <w:trPr>
          <w:cantSplit/>
        </w:trPr>
        <w:tc>
          <w:tcPr>
            <w:tcW w:w="1306" w:type="pct"/>
            <w:tcBorders>
              <w:top w:val="single" w:sz="12" w:space="0" w:color="auto"/>
              <w:bottom w:val="nil"/>
            </w:tcBorders>
            <w:shd w:val="clear" w:color="auto" w:fill="auto"/>
          </w:tcPr>
          <w:p w14:paraId="6BD81F9D" w14:textId="77777777" w:rsidR="001D75D7" w:rsidRPr="00B4060E" w:rsidRDefault="001D75D7" w:rsidP="004D6325">
            <w:pPr>
              <w:pStyle w:val="SingleTxtG"/>
              <w:keepNext/>
              <w:keepLines/>
              <w:suppressAutoHyphens w:val="0"/>
              <w:spacing w:before="40" w:after="40" w:line="220" w:lineRule="exact"/>
              <w:ind w:left="0" w:right="113"/>
              <w:jc w:val="left"/>
              <w:rPr>
                <w:sz w:val="18"/>
              </w:rPr>
            </w:pPr>
            <w:r w:rsidRPr="00B4060E">
              <w:rPr>
                <w:sz w:val="18"/>
              </w:rPr>
              <w:t>Physical disability</w:t>
            </w:r>
          </w:p>
        </w:tc>
        <w:tc>
          <w:tcPr>
            <w:tcW w:w="739" w:type="pct"/>
            <w:tcBorders>
              <w:top w:val="single" w:sz="12" w:space="0" w:color="auto"/>
              <w:bottom w:val="nil"/>
            </w:tcBorders>
            <w:shd w:val="clear" w:color="auto" w:fill="auto"/>
            <w:vAlign w:val="bottom"/>
          </w:tcPr>
          <w:p w14:paraId="5D41C750" w14:textId="60A0085D" w:rsidR="001D75D7" w:rsidRPr="00B4060E" w:rsidRDefault="001D75D7" w:rsidP="004D6325">
            <w:pPr>
              <w:pStyle w:val="SingleTxtG"/>
              <w:keepNext/>
              <w:keepLines/>
              <w:suppressAutoHyphens w:val="0"/>
              <w:spacing w:before="40" w:after="40" w:line="220" w:lineRule="exact"/>
              <w:ind w:left="0" w:right="113"/>
              <w:jc w:val="right"/>
              <w:rPr>
                <w:sz w:val="18"/>
              </w:rPr>
            </w:pPr>
            <w:r w:rsidRPr="00B4060E">
              <w:rPr>
                <w:sz w:val="18"/>
              </w:rPr>
              <w:t>1</w:t>
            </w:r>
            <w:r w:rsidR="00FC2371">
              <w:rPr>
                <w:sz w:val="18"/>
              </w:rPr>
              <w:t xml:space="preserve"> </w:t>
            </w:r>
            <w:r w:rsidRPr="00B4060E">
              <w:rPr>
                <w:sz w:val="18"/>
              </w:rPr>
              <w:t>730</w:t>
            </w:r>
          </w:p>
        </w:tc>
        <w:tc>
          <w:tcPr>
            <w:tcW w:w="739" w:type="pct"/>
            <w:tcBorders>
              <w:top w:val="single" w:sz="12" w:space="0" w:color="auto"/>
              <w:bottom w:val="nil"/>
            </w:tcBorders>
            <w:shd w:val="clear" w:color="auto" w:fill="auto"/>
            <w:vAlign w:val="bottom"/>
          </w:tcPr>
          <w:p w14:paraId="3F883CE0" w14:textId="77777777" w:rsidR="001D75D7" w:rsidRPr="00B4060E" w:rsidRDefault="001D75D7" w:rsidP="004D6325">
            <w:pPr>
              <w:pStyle w:val="SingleTxtG"/>
              <w:keepNext/>
              <w:keepLines/>
              <w:suppressAutoHyphens w:val="0"/>
              <w:spacing w:before="40" w:after="40" w:line="220" w:lineRule="exact"/>
              <w:ind w:left="0" w:right="113"/>
              <w:jc w:val="right"/>
              <w:rPr>
                <w:sz w:val="18"/>
              </w:rPr>
            </w:pPr>
            <w:r w:rsidRPr="00B4060E">
              <w:rPr>
                <w:sz w:val="18"/>
              </w:rPr>
              <w:t>754</w:t>
            </w:r>
          </w:p>
        </w:tc>
        <w:tc>
          <w:tcPr>
            <w:tcW w:w="739" w:type="pct"/>
            <w:tcBorders>
              <w:top w:val="single" w:sz="12" w:space="0" w:color="auto"/>
              <w:bottom w:val="nil"/>
            </w:tcBorders>
            <w:shd w:val="clear" w:color="auto" w:fill="auto"/>
            <w:vAlign w:val="bottom"/>
          </w:tcPr>
          <w:p w14:paraId="68943E08" w14:textId="6D9C86BF" w:rsidR="001D75D7" w:rsidRPr="00B4060E" w:rsidRDefault="001D75D7" w:rsidP="004D6325">
            <w:pPr>
              <w:pStyle w:val="SingleTxtG"/>
              <w:keepNext/>
              <w:keepLines/>
              <w:suppressAutoHyphens w:val="0"/>
              <w:spacing w:before="40" w:after="40" w:line="220" w:lineRule="exact"/>
              <w:ind w:left="0" w:right="113"/>
              <w:jc w:val="right"/>
              <w:rPr>
                <w:sz w:val="18"/>
              </w:rPr>
            </w:pPr>
            <w:r w:rsidRPr="00B4060E">
              <w:rPr>
                <w:sz w:val="18"/>
              </w:rPr>
              <w:t>1</w:t>
            </w:r>
            <w:r w:rsidR="00FC2371">
              <w:rPr>
                <w:sz w:val="18"/>
              </w:rPr>
              <w:t xml:space="preserve"> </w:t>
            </w:r>
            <w:r w:rsidRPr="00B4060E">
              <w:rPr>
                <w:sz w:val="18"/>
              </w:rPr>
              <w:t>596</w:t>
            </w:r>
          </w:p>
        </w:tc>
        <w:tc>
          <w:tcPr>
            <w:tcW w:w="739" w:type="pct"/>
            <w:tcBorders>
              <w:top w:val="single" w:sz="12" w:space="0" w:color="auto"/>
              <w:bottom w:val="nil"/>
            </w:tcBorders>
            <w:shd w:val="clear" w:color="auto" w:fill="auto"/>
            <w:vAlign w:val="bottom"/>
          </w:tcPr>
          <w:p w14:paraId="1A1C9EE3" w14:textId="77777777" w:rsidR="001D75D7" w:rsidRPr="00B4060E" w:rsidRDefault="001D75D7" w:rsidP="004D6325">
            <w:pPr>
              <w:pStyle w:val="SingleTxtG"/>
              <w:keepNext/>
              <w:keepLines/>
              <w:suppressAutoHyphens w:val="0"/>
              <w:spacing w:before="40" w:after="40" w:line="220" w:lineRule="exact"/>
              <w:ind w:left="0" w:right="113"/>
              <w:jc w:val="right"/>
              <w:rPr>
                <w:sz w:val="18"/>
              </w:rPr>
            </w:pPr>
            <w:r w:rsidRPr="00B4060E">
              <w:rPr>
                <w:sz w:val="18"/>
              </w:rPr>
              <w:t>763</w:t>
            </w:r>
          </w:p>
        </w:tc>
        <w:tc>
          <w:tcPr>
            <w:tcW w:w="739" w:type="pct"/>
            <w:tcBorders>
              <w:top w:val="single" w:sz="12" w:space="0" w:color="auto"/>
              <w:bottom w:val="nil"/>
            </w:tcBorders>
            <w:shd w:val="clear" w:color="auto" w:fill="auto"/>
            <w:vAlign w:val="bottom"/>
          </w:tcPr>
          <w:p w14:paraId="5708261B" w14:textId="77777777" w:rsidR="001D75D7" w:rsidRPr="00B4060E" w:rsidRDefault="001D75D7" w:rsidP="004D6325">
            <w:pPr>
              <w:pStyle w:val="SingleTxtG"/>
              <w:keepNext/>
              <w:keepLines/>
              <w:suppressAutoHyphens w:val="0"/>
              <w:spacing w:before="40" w:after="40" w:line="220" w:lineRule="exact"/>
              <w:ind w:left="0" w:right="113"/>
              <w:jc w:val="right"/>
              <w:rPr>
                <w:sz w:val="18"/>
              </w:rPr>
            </w:pPr>
            <w:r w:rsidRPr="00B4060E">
              <w:rPr>
                <w:sz w:val="18"/>
              </w:rPr>
              <w:t>478*</w:t>
            </w:r>
          </w:p>
        </w:tc>
      </w:tr>
      <w:tr w:rsidR="00B4060E" w:rsidRPr="00B4060E" w14:paraId="0B8C4EC5" w14:textId="77777777" w:rsidTr="00E45843">
        <w:trPr>
          <w:cantSplit/>
        </w:trPr>
        <w:tc>
          <w:tcPr>
            <w:tcW w:w="1306" w:type="pct"/>
            <w:tcBorders>
              <w:top w:val="nil"/>
            </w:tcBorders>
            <w:shd w:val="clear" w:color="auto" w:fill="auto"/>
          </w:tcPr>
          <w:p w14:paraId="2919122E"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Intellectual disability</w:t>
            </w:r>
          </w:p>
        </w:tc>
        <w:tc>
          <w:tcPr>
            <w:tcW w:w="739" w:type="pct"/>
            <w:tcBorders>
              <w:top w:val="nil"/>
            </w:tcBorders>
            <w:shd w:val="clear" w:color="auto" w:fill="auto"/>
            <w:vAlign w:val="bottom"/>
          </w:tcPr>
          <w:p w14:paraId="41DB3F8F"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670</w:t>
            </w:r>
          </w:p>
        </w:tc>
        <w:tc>
          <w:tcPr>
            <w:tcW w:w="739" w:type="pct"/>
            <w:tcBorders>
              <w:top w:val="nil"/>
            </w:tcBorders>
            <w:shd w:val="clear" w:color="auto" w:fill="auto"/>
            <w:vAlign w:val="bottom"/>
          </w:tcPr>
          <w:p w14:paraId="13222A6B"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731</w:t>
            </w:r>
          </w:p>
        </w:tc>
        <w:tc>
          <w:tcPr>
            <w:tcW w:w="739" w:type="pct"/>
            <w:tcBorders>
              <w:top w:val="nil"/>
            </w:tcBorders>
            <w:shd w:val="clear" w:color="auto" w:fill="auto"/>
            <w:vAlign w:val="bottom"/>
          </w:tcPr>
          <w:p w14:paraId="20C1F9B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646</w:t>
            </w:r>
          </w:p>
        </w:tc>
        <w:tc>
          <w:tcPr>
            <w:tcW w:w="739" w:type="pct"/>
            <w:tcBorders>
              <w:top w:val="nil"/>
            </w:tcBorders>
            <w:shd w:val="clear" w:color="auto" w:fill="auto"/>
            <w:vAlign w:val="bottom"/>
          </w:tcPr>
          <w:p w14:paraId="4C953606"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643</w:t>
            </w:r>
          </w:p>
        </w:tc>
        <w:tc>
          <w:tcPr>
            <w:tcW w:w="739" w:type="pct"/>
            <w:tcBorders>
              <w:top w:val="nil"/>
            </w:tcBorders>
            <w:shd w:val="clear" w:color="auto" w:fill="auto"/>
            <w:vAlign w:val="bottom"/>
          </w:tcPr>
          <w:p w14:paraId="1346508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740</w:t>
            </w:r>
          </w:p>
        </w:tc>
      </w:tr>
      <w:tr w:rsidR="00B4060E" w:rsidRPr="00B4060E" w14:paraId="160B89F6" w14:textId="77777777" w:rsidTr="00E45843">
        <w:trPr>
          <w:cantSplit/>
        </w:trPr>
        <w:tc>
          <w:tcPr>
            <w:tcW w:w="1306" w:type="pct"/>
            <w:shd w:val="clear" w:color="auto" w:fill="auto"/>
          </w:tcPr>
          <w:p w14:paraId="20B69B7C"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Mental disability</w:t>
            </w:r>
          </w:p>
        </w:tc>
        <w:tc>
          <w:tcPr>
            <w:tcW w:w="739" w:type="pct"/>
            <w:shd w:val="clear" w:color="auto" w:fill="auto"/>
            <w:vAlign w:val="bottom"/>
          </w:tcPr>
          <w:p w14:paraId="1877953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868</w:t>
            </w:r>
          </w:p>
        </w:tc>
        <w:tc>
          <w:tcPr>
            <w:tcW w:w="739" w:type="pct"/>
            <w:shd w:val="clear" w:color="auto" w:fill="auto"/>
            <w:vAlign w:val="bottom"/>
          </w:tcPr>
          <w:p w14:paraId="3EA3A55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880</w:t>
            </w:r>
          </w:p>
        </w:tc>
        <w:tc>
          <w:tcPr>
            <w:tcW w:w="739" w:type="pct"/>
            <w:shd w:val="clear" w:color="auto" w:fill="auto"/>
            <w:vAlign w:val="bottom"/>
          </w:tcPr>
          <w:p w14:paraId="270BA07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934</w:t>
            </w:r>
          </w:p>
        </w:tc>
        <w:tc>
          <w:tcPr>
            <w:tcW w:w="739" w:type="pct"/>
            <w:shd w:val="clear" w:color="auto" w:fill="auto"/>
            <w:vAlign w:val="bottom"/>
          </w:tcPr>
          <w:p w14:paraId="04182AF0" w14:textId="3C56D224"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FC2371">
              <w:rPr>
                <w:sz w:val="18"/>
              </w:rPr>
              <w:t xml:space="preserve"> </w:t>
            </w:r>
            <w:r w:rsidRPr="00B4060E">
              <w:rPr>
                <w:sz w:val="18"/>
              </w:rPr>
              <w:t>061</w:t>
            </w:r>
          </w:p>
        </w:tc>
        <w:tc>
          <w:tcPr>
            <w:tcW w:w="739" w:type="pct"/>
            <w:shd w:val="clear" w:color="auto" w:fill="auto"/>
            <w:vAlign w:val="bottom"/>
          </w:tcPr>
          <w:p w14:paraId="2E33D8A9" w14:textId="4E44C504"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FC2371">
              <w:rPr>
                <w:sz w:val="18"/>
              </w:rPr>
              <w:t xml:space="preserve"> </w:t>
            </w:r>
            <w:r w:rsidRPr="00B4060E">
              <w:rPr>
                <w:sz w:val="18"/>
              </w:rPr>
              <w:t>110</w:t>
            </w:r>
          </w:p>
        </w:tc>
      </w:tr>
      <w:tr w:rsidR="00B4060E" w:rsidRPr="00B4060E" w14:paraId="40985F65" w14:textId="77777777" w:rsidTr="00E45843">
        <w:trPr>
          <w:cantSplit/>
        </w:trPr>
        <w:tc>
          <w:tcPr>
            <w:tcW w:w="1306" w:type="pct"/>
            <w:shd w:val="clear" w:color="auto" w:fill="auto"/>
          </w:tcPr>
          <w:p w14:paraId="53B86F8B"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Hearing impairment</w:t>
            </w:r>
          </w:p>
        </w:tc>
        <w:tc>
          <w:tcPr>
            <w:tcW w:w="739" w:type="pct"/>
            <w:shd w:val="clear" w:color="auto" w:fill="auto"/>
            <w:vAlign w:val="bottom"/>
          </w:tcPr>
          <w:p w14:paraId="659C04C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385</w:t>
            </w:r>
          </w:p>
        </w:tc>
        <w:tc>
          <w:tcPr>
            <w:tcW w:w="739" w:type="pct"/>
            <w:shd w:val="clear" w:color="auto" w:fill="auto"/>
            <w:vAlign w:val="bottom"/>
          </w:tcPr>
          <w:p w14:paraId="2D704BF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423</w:t>
            </w:r>
          </w:p>
        </w:tc>
        <w:tc>
          <w:tcPr>
            <w:tcW w:w="739" w:type="pct"/>
            <w:shd w:val="clear" w:color="auto" w:fill="auto"/>
            <w:vAlign w:val="bottom"/>
          </w:tcPr>
          <w:p w14:paraId="481F1E5E"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463</w:t>
            </w:r>
          </w:p>
        </w:tc>
        <w:tc>
          <w:tcPr>
            <w:tcW w:w="739" w:type="pct"/>
            <w:shd w:val="clear" w:color="auto" w:fill="auto"/>
            <w:vAlign w:val="bottom"/>
          </w:tcPr>
          <w:p w14:paraId="6CDCDB9B"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546</w:t>
            </w:r>
          </w:p>
        </w:tc>
        <w:tc>
          <w:tcPr>
            <w:tcW w:w="739" w:type="pct"/>
            <w:shd w:val="clear" w:color="auto" w:fill="auto"/>
            <w:vAlign w:val="bottom"/>
          </w:tcPr>
          <w:p w14:paraId="6FE1B2E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836</w:t>
            </w:r>
          </w:p>
        </w:tc>
      </w:tr>
      <w:tr w:rsidR="00B4060E" w:rsidRPr="00B4060E" w14:paraId="41295DF2" w14:textId="77777777" w:rsidTr="00E45843">
        <w:trPr>
          <w:cantSplit/>
        </w:trPr>
        <w:tc>
          <w:tcPr>
            <w:tcW w:w="1306" w:type="pct"/>
            <w:shd w:val="clear" w:color="auto" w:fill="auto"/>
          </w:tcPr>
          <w:p w14:paraId="309070B2"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Speech impairment</w:t>
            </w:r>
          </w:p>
        </w:tc>
        <w:tc>
          <w:tcPr>
            <w:tcW w:w="739" w:type="pct"/>
            <w:shd w:val="clear" w:color="auto" w:fill="auto"/>
            <w:vAlign w:val="bottom"/>
          </w:tcPr>
          <w:p w14:paraId="30402FB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67</w:t>
            </w:r>
          </w:p>
        </w:tc>
        <w:tc>
          <w:tcPr>
            <w:tcW w:w="739" w:type="pct"/>
            <w:shd w:val="clear" w:color="auto" w:fill="auto"/>
            <w:vAlign w:val="bottom"/>
          </w:tcPr>
          <w:p w14:paraId="2972304E"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85</w:t>
            </w:r>
          </w:p>
        </w:tc>
        <w:tc>
          <w:tcPr>
            <w:tcW w:w="739" w:type="pct"/>
            <w:shd w:val="clear" w:color="auto" w:fill="auto"/>
            <w:vAlign w:val="bottom"/>
          </w:tcPr>
          <w:p w14:paraId="1CB3F11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87</w:t>
            </w:r>
          </w:p>
        </w:tc>
        <w:tc>
          <w:tcPr>
            <w:tcW w:w="739" w:type="pct"/>
            <w:shd w:val="clear" w:color="auto" w:fill="auto"/>
            <w:vAlign w:val="bottom"/>
          </w:tcPr>
          <w:p w14:paraId="3E3591AB"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96</w:t>
            </w:r>
          </w:p>
        </w:tc>
        <w:tc>
          <w:tcPr>
            <w:tcW w:w="739" w:type="pct"/>
            <w:shd w:val="clear" w:color="auto" w:fill="auto"/>
            <w:vAlign w:val="bottom"/>
          </w:tcPr>
          <w:p w14:paraId="2822267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53</w:t>
            </w:r>
          </w:p>
        </w:tc>
      </w:tr>
      <w:tr w:rsidR="00B4060E" w:rsidRPr="00B4060E" w14:paraId="2E0163EC" w14:textId="77777777" w:rsidTr="00E45843">
        <w:trPr>
          <w:cantSplit/>
        </w:trPr>
        <w:tc>
          <w:tcPr>
            <w:tcW w:w="1306" w:type="pct"/>
            <w:shd w:val="clear" w:color="auto" w:fill="auto"/>
          </w:tcPr>
          <w:p w14:paraId="6B05DCC9"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Visual impairment</w:t>
            </w:r>
          </w:p>
        </w:tc>
        <w:tc>
          <w:tcPr>
            <w:tcW w:w="739" w:type="pct"/>
            <w:shd w:val="clear" w:color="auto" w:fill="auto"/>
            <w:vAlign w:val="bottom"/>
          </w:tcPr>
          <w:p w14:paraId="5AF3FCF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87</w:t>
            </w:r>
          </w:p>
        </w:tc>
        <w:tc>
          <w:tcPr>
            <w:tcW w:w="739" w:type="pct"/>
            <w:shd w:val="clear" w:color="auto" w:fill="auto"/>
            <w:vAlign w:val="bottom"/>
          </w:tcPr>
          <w:p w14:paraId="5D3D3406"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83</w:t>
            </w:r>
          </w:p>
        </w:tc>
        <w:tc>
          <w:tcPr>
            <w:tcW w:w="739" w:type="pct"/>
            <w:shd w:val="clear" w:color="auto" w:fill="auto"/>
            <w:vAlign w:val="bottom"/>
          </w:tcPr>
          <w:p w14:paraId="1001BA4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88</w:t>
            </w:r>
          </w:p>
        </w:tc>
        <w:tc>
          <w:tcPr>
            <w:tcW w:w="739" w:type="pct"/>
            <w:shd w:val="clear" w:color="auto" w:fill="auto"/>
            <w:vAlign w:val="bottom"/>
          </w:tcPr>
          <w:p w14:paraId="2D53DF1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92</w:t>
            </w:r>
          </w:p>
        </w:tc>
        <w:tc>
          <w:tcPr>
            <w:tcW w:w="739" w:type="pct"/>
            <w:shd w:val="clear" w:color="auto" w:fill="auto"/>
            <w:vAlign w:val="bottom"/>
          </w:tcPr>
          <w:p w14:paraId="05A1DF5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90</w:t>
            </w:r>
          </w:p>
        </w:tc>
      </w:tr>
      <w:tr w:rsidR="00B4060E" w:rsidRPr="00B4060E" w14:paraId="6C8A92B6" w14:textId="77777777" w:rsidTr="00E45843">
        <w:trPr>
          <w:cantSplit/>
        </w:trPr>
        <w:tc>
          <w:tcPr>
            <w:tcW w:w="1306" w:type="pct"/>
            <w:shd w:val="clear" w:color="auto" w:fill="auto"/>
          </w:tcPr>
          <w:p w14:paraId="06631660"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Autism</w:t>
            </w:r>
          </w:p>
        </w:tc>
        <w:tc>
          <w:tcPr>
            <w:tcW w:w="739" w:type="pct"/>
            <w:shd w:val="clear" w:color="auto" w:fill="auto"/>
            <w:vAlign w:val="bottom"/>
          </w:tcPr>
          <w:p w14:paraId="225E18D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33</w:t>
            </w:r>
          </w:p>
        </w:tc>
        <w:tc>
          <w:tcPr>
            <w:tcW w:w="739" w:type="pct"/>
            <w:shd w:val="clear" w:color="auto" w:fill="auto"/>
            <w:vAlign w:val="bottom"/>
          </w:tcPr>
          <w:p w14:paraId="0EEC0A9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28</w:t>
            </w:r>
          </w:p>
        </w:tc>
        <w:tc>
          <w:tcPr>
            <w:tcW w:w="739" w:type="pct"/>
            <w:shd w:val="clear" w:color="auto" w:fill="auto"/>
            <w:vAlign w:val="bottom"/>
          </w:tcPr>
          <w:p w14:paraId="105FCAFB"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23</w:t>
            </w:r>
          </w:p>
        </w:tc>
        <w:tc>
          <w:tcPr>
            <w:tcW w:w="739" w:type="pct"/>
            <w:shd w:val="clear" w:color="auto" w:fill="auto"/>
            <w:vAlign w:val="bottom"/>
          </w:tcPr>
          <w:p w14:paraId="45FABD86"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29</w:t>
            </w:r>
          </w:p>
        </w:tc>
        <w:tc>
          <w:tcPr>
            <w:tcW w:w="739" w:type="pct"/>
            <w:shd w:val="clear" w:color="auto" w:fill="auto"/>
            <w:vAlign w:val="bottom"/>
          </w:tcPr>
          <w:p w14:paraId="3F459C5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24</w:t>
            </w:r>
          </w:p>
        </w:tc>
      </w:tr>
      <w:tr w:rsidR="00B4060E" w:rsidRPr="00B4060E" w14:paraId="1883FD0A" w14:textId="77777777" w:rsidTr="00E45843">
        <w:trPr>
          <w:cantSplit/>
        </w:trPr>
        <w:tc>
          <w:tcPr>
            <w:tcW w:w="1306" w:type="pct"/>
            <w:shd w:val="clear" w:color="auto" w:fill="auto"/>
          </w:tcPr>
          <w:p w14:paraId="1B2B2E4E"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Multiple disabilities</w:t>
            </w:r>
          </w:p>
        </w:tc>
        <w:tc>
          <w:tcPr>
            <w:tcW w:w="739" w:type="pct"/>
            <w:shd w:val="clear" w:color="auto" w:fill="auto"/>
            <w:vAlign w:val="bottom"/>
          </w:tcPr>
          <w:p w14:paraId="629C263F"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398</w:t>
            </w:r>
          </w:p>
        </w:tc>
        <w:tc>
          <w:tcPr>
            <w:tcW w:w="739" w:type="pct"/>
            <w:shd w:val="clear" w:color="auto" w:fill="auto"/>
            <w:vAlign w:val="bottom"/>
          </w:tcPr>
          <w:p w14:paraId="1B743CC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445</w:t>
            </w:r>
          </w:p>
        </w:tc>
        <w:tc>
          <w:tcPr>
            <w:tcW w:w="739" w:type="pct"/>
            <w:shd w:val="clear" w:color="auto" w:fill="auto"/>
            <w:vAlign w:val="bottom"/>
          </w:tcPr>
          <w:p w14:paraId="554C0B0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455</w:t>
            </w:r>
          </w:p>
        </w:tc>
        <w:tc>
          <w:tcPr>
            <w:tcW w:w="739" w:type="pct"/>
            <w:shd w:val="clear" w:color="auto" w:fill="auto"/>
            <w:vAlign w:val="bottom"/>
          </w:tcPr>
          <w:p w14:paraId="61503E5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450</w:t>
            </w:r>
          </w:p>
        </w:tc>
        <w:tc>
          <w:tcPr>
            <w:tcW w:w="739" w:type="pct"/>
            <w:shd w:val="clear" w:color="auto" w:fill="auto"/>
            <w:vAlign w:val="bottom"/>
          </w:tcPr>
          <w:p w14:paraId="5E73B8C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597</w:t>
            </w:r>
          </w:p>
        </w:tc>
      </w:tr>
      <w:tr w:rsidR="00B4060E" w:rsidRPr="00B4060E" w14:paraId="3C671C05" w14:textId="77777777" w:rsidTr="00E45843">
        <w:trPr>
          <w:cantSplit/>
        </w:trPr>
        <w:tc>
          <w:tcPr>
            <w:tcW w:w="1306" w:type="pct"/>
            <w:tcBorders>
              <w:bottom w:val="single" w:sz="4" w:space="0" w:color="auto"/>
            </w:tcBorders>
            <w:shd w:val="clear" w:color="auto" w:fill="auto"/>
          </w:tcPr>
          <w:p w14:paraId="1A8F2733"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Others</w:t>
            </w:r>
          </w:p>
        </w:tc>
        <w:tc>
          <w:tcPr>
            <w:tcW w:w="739" w:type="pct"/>
            <w:tcBorders>
              <w:bottom w:val="single" w:sz="4" w:space="0" w:color="auto"/>
            </w:tcBorders>
            <w:shd w:val="clear" w:color="auto" w:fill="auto"/>
            <w:vAlign w:val="bottom"/>
          </w:tcPr>
          <w:p w14:paraId="00DF9CB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614</w:t>
            </w:r>
          </w:p>
        </w:tc>
        <w:tc>
          <w:tcPr>
            <w:tcW w:w="739" w:type="pct"/>
            <w:tcBorders>
              <w:bottom w:val="single" w:sz="4" w:space="0" w:color="auto"/>
            </w:tcBorders>
            <w:shd w:val="clear" w:color="auto" w:fill="auto"/>
            <w:vAlign w:val="bottom"/>
          </w:tcPr>
          <w:p w14:paraId="1D8B82AE" w14:textId="2279A30D"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FC2371">
              <w:rPr>
                <w:sz w:val="18"/>
              </w:rPr>
              <w:t xml:space="preserve"> </w:t>
            </w:r>
            <w:r w:rsidRPr="00B4060E">
              <w:rPr>
                <w:sz w:val="18"/>
              </w:rPr>
              <w:t>431</w:t>
            </w:r>
          </w:p>
        </w:tc>
        <w:tc>
          <w:tcPr>
            <w:tcW w:w="739" w:type="pct"/>
            <w:tcBorders>
              <w:bottom w:val="single" w:sz="4" w:space="0" w:color="auto"/>
            </w:tcBorders>
            <w:shd w:val="clear" w:color="auto" w:fill="auto"/>
            <w:vAlign w:val="bottom"/>
          </w:tcPr>
          <w:p w14:paraId="0C21062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586</w:t>
            </w:r>
          </w:p>
        </w:tc>
        <w:tc>
          <w:tcPr>
            <w:tcW w:w="739" w:type="pct"/>
            <w:tcBorders>
              <w:bottom w:val="single" w:sz="4" w:space="0" w:color="auto"/>
            </w:tcBorders>
            <w:shd w:val="clear" w:color="auto" w:fill="auto"/>
            <w:vAlign w:val="bottom"/>
          </w:tcPr>
          <w:p w14:paraId="69F613AB" w14:textId="186F98DD"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FC2371">
              <w:rPr>
                <w:sz w:val="18"/>
              </w:rPr>
              <w:t xml:space="preserve"> </w:t>
            </w:r>
            <w:r w:rsidRPr="00B4060E">
              <w:rPr>
                <w:sz w:val="18"/>
              </w:rPr>
              <w:t>266</w:t>
            </w:r>
          </w:p>
        </w:tc>
        <w:tc>
          <w:tcPr>
            <w:tcW w:w="739" w:type="pct"/>
            <w:tcBorders>
              <w:bottom w:val="single" w:sz="4" w:space="0" w:color="auto"/>
            </w:tcBorders>
            <w:shd w:val="clear" w:color="auto" w:fill="auto"/>
            <w:vAlign w:val="bottom"/>
          </w:tcPr>
          <w:p w14:paraId="205D753B" w14:textId="46D5BF88"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FC2371">
              <w:rPr>
                <w:sz w:val="18"/>
              </w:rPr>
              <w:t xml:space="preserve"> </w:t>
            </w:r>
            <w:r w:rsidRPr="00B4060E">
              <w:rPr>
                <w:sz w:val="18"/>
              </w:rPr>
              <w:t>113</w:t>
            </w:r>
          </w:p>
        </w:tc>
      </w:tr>
      <w:tr w:rsidR="00B4060E" w:rsidRPr="008E283F" w14:paraId="6ABB48FC" w14:textId="77777777" w:rsidTr="00E45843">
        <w:trPr>
          <w:cantSplit/>
        </w:trPr>
        <w:tc>
          <w:tcPr>
            <w:tcW w:w="1306" w:type="pct"/>
            <w:tcBorders>
              <w:top w:val="single" w:sz="4" w:space="0" w:color="auto"/>
              <w:bottom w:val="single" w:sz="12" w:space="0" w:color="auto"/>
            </w:tcBorders>
            <w:shd w:val="clear" w:color="auto" w:fill="auto"/>
          </w:tcPr>
          <w:p w14:paraId="5AAABF83" w14:textId="77777777" w:rsidR="001D75D7" w:rsidRPr="008E283F" w:rsidRDefault="001D75D7" w:rsidP="008E283F">
            <w:pPr>
              <w:pStyle w:val="SingleTxtG"/>
              <w:suppressAutoHyphens w:val="0"/>
              <w:spacing w:before="80" w:after="80" w:line="220" w:lineRule="exact"/>
              <w:ind w:left="283" w:right="0"/>
              <w:jc w:val="left"/>
              <w:rPr>
                <w:b/>
                <w:sz w:val="18"/>
              </w:rPr>
            </w:pPr>
            <w:r w:rsidRPr="008E283F">
              <w:rPr>
                <w:b/>
                <w:sz w:val="18"/>
              </w:rPr>
              <w:t>Total</w:t>
            </w:r>
          </w:p>
        </w:tc>
        <w:tc>
          <w:tcPr>
            <w:tcW w:w="739" w:type="pct"/>
            <w:tcBorders>
              <w:top w:val="single" w:sz="4" w:space="0" w:color="auto"/>
              <w:bottom w:val="single" w:sz="12" w:space="0" w:color="auto"/>
            </w:tcBorders>
            <w:shd w:val="clear" w:color="auto" w:fill="auto"/>
            <w:vAlign w:val="bottom"/>
          </w:tcPr>
          <w:p w14:paraId="6381DA4E" w14:textId="5286FFA2" w:rsidR="001D75D7" w:rsidRPr="008E283F" w:rsidRDefault="001D75D7" w:rsidP="008E283F">
            <w:pPr>
              <w:pStyle w:val="SingleTxtG"/>
              <w:suppressAutoHyphens w:val="0"/>
              <w:spacing w:before="80" w:after="80" w:line="220" w:lineRule="exact"/>
              <w:ind w:left="0" w:right="113"/>
              <w:jc w:val="right"/>
              <w:rPr>
                <w:b/>
                <w:sz w:val="18"/>
              </w:rPr>
            </w:pPr>
            <w:r w:rsidRPr="008E283F">
              <w:rPr>
                <w:b/>
                <w:sz w:val="18"/>
              </w:rPr>
              <w:t>4</w:t>
            </w:r>
            <w:r w:rsidR="00FC2371">
              <w:rPr>
                <w:b/>
                <w:sz w:val="18"/>
              </w:rPr>
              <w:t xml:space="preserve"> </w:t>
            </w:r>
            <w:r w:rsidRPr="008E283F">
              <w:rPr>
                <w:b/>
                <w:sz w:val="18"/>
              </w:rPr>
              <w:t>852</w:t>
            </w:r>
          </w:p>
        </w:tc>
        <w:tc>
          <w:tcPr>
            <w:tcW w:w="739" w:type="pct"/>
            <w:tcBorders>
              <w:top w:val="single" w:sz="4" w:space="0" w:color="auto"/>
              <w:bottom w:val="single" w:sz="12" w:space="0" w:color="auto"/>
            </w:tcBorders>
            <w:shd w:val="clear" w:color="auto" w:fill="auto"/>
            <w:vAlign w:val="bottom"/>
          </w:tcPr>
          <w:p w14:paraId="07A0DAC0" w14:textId="34F528D3" w:rsidR="001D75D7" w:rsidRPr="008E283F" w:rsidRDefault="001D75D7" w:rsidP="008E283F">
            <w:pPr>
              <w:pStyle w:val="SingleTxtG"/>
              <w:suppressAutoHyphens w:val="0"/>
              <w:spacing w:before="80" w:after="80" w:line="220" w:lineRule="exact"/>
              <w:ind w:left="0" w:right="113"/>
              <w:jc w:val="right"/>
              <w:rPr>
                <w:b/>
                <w:sz w:val="18"/>
              </w:rPr>
            </w:pPr>
            <w:r w:rsidRPr="008E283F">
              <w:rPr>
                <w:b/>
                <w:sz w:val="18"/>
              </w:rPr>
              <w:t>4</w:t>
            </w:r>
            <w:r w:rsidR="00FC2371">
              <w:rPr>
                <w:b/>
                <w:sz w:val="18"/>
              </w:rPr>
              <w:t xml:space="preserve"> </w:t>
            </w:r>
            <w:r w:rsidRPr="008E283F">
              <w:rPr>
                <w:b/>
                <w:sz w:val="18"/>
              </w:rPr>
              <w:t>860</w:t>
            </w:r>
          </w:p>
        </w:tc>
        <w:tc>
          <w:tcPr>
            <w:tcW w:w="739" w:type="pct"/>
            <w:tcBorders>
              <w:top w:val="single" w:sz="4" w:space="0" w:color="auto"/>
              <w:bottom w:val="single" w:sz="12" w:space="0" w:color="auto"/>
            </w:tcBorders>
            <w:shd w:val="clear" w:color="auto" w:fill="auto"/>
            <w:vAlign w:val="bottom"/>
          </w:tcPr>
          <w:p w14:paraId="40F4A741" w14:textId="7B13C1DF" w:rsidR="001D75D7" w:rsidRPr="008E283F" w:rsidRDefault="001D75D7" w:rsidP="008E283F">
            <w:pPr>
              <w:pStyle w:val="SingleTxtG"/>
              <w:suppressAutoHyphens w:val="0"/>
              <w:spacing w:before="80" w:after="80" w:line="220" w:lineRule="exact"/>
              <w:ind w:left="0" w:right="113"/>
              <w:jc w:val="right"/>
              <w:rPr>
                <w:b/>
                <w:sz w:val="18"/>
              </w:rPr>
            </w:pPr>
            <w:r w:rsidRPr="008E283F">
              <w:rPr>
                <w:b/>
                <w:sz w:val="18"/>
              </w:rPr>
              <w:t>4</w:t>
            </w:r>
            <w:r w:rsidR="00FC2371">
              <w:rPr>
                <w:b/>
                <w:sz w:val="18"/>
              </w:rPr>
              <w:t xml:space="preserve"> </w:t>
            </w:r>
            <w:r w:rsidRPr="008E283F">
              <w:rPr>
                <w:b/>
                <w:sz w:val="18"/>
              </w:rPr>
              <w:t>878</w:t>
            </w:r>
          </w:p>
        </w:tc>
        <w:tc>
          <w:tcPr>
            <w:tcW w:w="739" w:type="pct"/>
            <w:tcBorders>
              <w:top w:val="single" w:sz="4" w:space="0" w:color="auto"/>
              <w:bottom w:val="single" w:sz="12" w:space="0" w:color="auto"/>
            </w:tcBorders>
            <w:shd w:val="clear" w:color="auto" w:fill="auto"/>
            <w:vAlign w:val="bottom"/>
          </w:tcPr>
          <w:p w14:paraId="04C1489A" w14:textId="1341356C" w:rsidR="001D75D7" w:rsidRPr="008E283F" w:rsidRDefault="001D75D7" w:rsidP="008E283F">
            <w:pPr>
              <w:pStyle w:val="SingleTxtG"/>
              <w:suppressAutoHyphens w:val="0"/>
              <w:spacing w:before="80" w:after="80" w:line="220" w:lineRule="exact"/>
              <w:ind w:left="0" w:right="113"/>
              <w:jc w:val="right"/>
              <w:rPr>
                <w:b/>
                <w:sz w:val="18"/>
              </w:rPr>
            </w:pPr>
            <w:r w:rsidRPr="008E283F">
              <w:rPr>
                <w:b/>
                <w:sz w:val="18"/>
              </w:rPr>
              <w:t>4</w:t>
            </w:r>
            <w:r w:rsidR="00FC2371">
              <w:rPr>
                <w:b/>
                <w:sz w:val="18"/>
              </w:rPr>
              <w:t xml:space="preserve"> </w:t>
            </w:r>
            <w:r w:rsidRPr="008E283F">
              <w:rPr>
                <w:b/>
                <w:sz w:val="18"/>
              </w:rPr>
              <w:t>946</w:t>
            </w:r>
          </w:p>
        </w:tc>
        <w:tc>
          <w:tcPr>
            <w:tcW w:w="739" w:type="pct"/>
            <w:tcBorders>
              <w:top w:val="single" w:sz="4" w:space="0" w:color="auto"/>
              <w:bottom w:val="single" w:sz="12" w:space="0" w:color="auto"/>
            </w:tcBorders>
            <w:shd w:val="clear" w:color="auto" w:fill="auto"/>
            <w:vAlign w:val="bottom"/>
          </w:tcPr>
          <w:p w14:paraId="060AE336" w14:textId="0B3DF207" w:rsidR="001D75D7" w:rsidRPr="008E283F" w:rsidRDefault="001D75D7" w:rsidP="008E283F">
            <w:pPr>
              <w:pStyle w:val="SingleTxtG"/>
              <w:suppressAutoHyphens w:val="0"/>
              <w:spacing w:before="80" w:after="80" w:line="220" w:lineRule="exact"/>
              <w:ind w:left="0" w:right="113"/>
              <w:jc w:val="right"/>
              <w:rPr>
                <w:b/>
                <w:sz w:val="18"/>
              </w:rPr>
            </w:pPr>
            <w:r w:rsidRPr="008E283F">
              <w:rPr>
                <w:b/>
                <w:sz w:val="18"/>
              </w:rPr>
              <w:t>5</w:t>
            </w:r>
            <w:r w:rsidR="00FC2371">
              <w:rPr>
                <w:b/>
                <w:sz w:val="18"/>
              </w:rPr>
              <w:t xml:space="preserve"> </w:t>
            </w:r>
            <w:r w:rsidRPr="008E283F">
              <w:rPr>
                <w:b/>
                <w:sz w:val="18"/>
              </w:rPr>
              <w:t>041</w:t>
            </w:r>
          </w:p>
        </w:tc>
      </w:tr>
    </w:tbl>
    <w:p w14:paraId="2DEBD87E" w14:textId="52762001" w:rsidR="001D75D7" w:rsidRPr="008E283F" w:rsidRDefault="001D75D7" w:rsidP="008E283F">
      <w:pPr>
        <w:spacing w:before="120"/>
        <w:ind w:left="1134" w:right="1134" w:firstLine="170"/>
        <w:rPr>
          <w:sz w:val="18"/>
        </w:rPr>
      </w:pPr>
      <w:r w:rsidRPr="008E283F">
        <w:rPr>
          <w:i/>
          <w:iCs/>
          <w:sz w:val="18"/>
        </w:rPr>
        <w:t>Source</w:t>
      </w:r>
      <w:r w:rsidRPr="008E283F">
        <w:rPr>
          <w:sz w:val="18"/>
        </w:rPr>
        <w:t xml:space="preserve">: </w:t>
      </w:r>
      <w:r w:rsidR="00A825E6">
        <w:rPr>
          <w:sz w:val="18"/>
        </w:rPr>
        <w:t xml:space="preserve"> </w:t>
      </w:r>
      <w:r w:rsidRPr="008E283F">
        <w:rPr>
          <w:sz w:val="18"/>
        </w:rPr>
        <w:t>SWB.</w:t>
      </w:r>
    </w:p>
    <w:p w14:paraId="4BDD37A8" w14:textId="77777777" w:rsidR="001D75D7" w:rsidRPr="008E283F" w:rsidRDefault="001D75D7" w:rsidP="00FC2371">
      <w:pPr>
        <w:ind w:left="1134" w:right="1134" w:firstLine="170"/>
        <w:rPr>
          <w:sz w:val="18"/>
        </w:rPr>
      </w:pPr>
      <w:r w:rsidRPr="008E283F">
        <w:rPr>
          <w:i/>
          <w:iCs/>
          <w:sz w:val="18"/>
        </w:rPr>
        <w:t>Remarks</w:t>
      </w:r>
      <w:r w:rsidRPr="008E283F">
        <w:rPr>
          <w:sz w:val="18"/>
        </w:rPr>
        <w:t>:</w:t>
      </w:r>
    </w:p>
    <w:p w14:paraId="00AD18BA" w14:textId="087C1A6A" w:rsidR="001D75D7" w:rsidRPr="00B47380" w:rsidRDefault="001D75D7" w:rsidP="00FC2371">
      <w:pPr>
        <w:pStyle w:val="SingleTxtG"/>
        <w:spacing w:after="240"/>
        <w:ind w:firstLine="170"/>
        <w:jc w:val="left"/>
      </w:pPr>
      <w:r w:rsidRPr="008E283F">
        <w:rPr>
          <w:sz w:val="18"/>
          <w:lang w:eastAsia="en-US"/>
        </w:rPr>
        <w:t>*</w:t>
      </w:r>
      <w:r w:rsidR="00FC2371">
        <w:rPr>
          <w:sz w:val="18"/>
          <w:lang w:eastAsia="en-US"/>
        </w:rPr>
        <w:t xml:space="preserve">  </w:t>
      </w:r>
      <w:r w:rsidRPr="008E283F">
        <w:rPr>
          <w:sz w:val="18"/>
          <w:lang w:eastAsia="en-US"/>
        </w:rPr>
        <w:t xml:space="preserve">Not including the number of </w:t>
      </w:r>
      <w:proofErr w:type="spellStart"/>
      <w:r w:rsidRPr="008E283F">
        <w:rPr>
          <w:sz w:val="18"/>
          <w:lang w:eastAsia="en-US"/>
        </w:rPr>
        <w:t>rehabus</w:t>
      </w:r>
      <w:proofErr w:type="spellEnd"/>
      <w:r w:rsidRPr="008E283F">
        <w:rPr>
          <w:sz w:val="18"/>
          <w:lang w:eastAsia="en-US"/>
        </w:rPr>
        <w:t xml:space="preserve"> services provided by a social service facility, </w:t>
      </w:r>
      <w:r w:rsidRPr="00FC2371">
        <w:rPr>
          <w:sz w:val="18"/>
          <w:lang w:eastAsia="en-US"/>
        </w:rPr>
        <w:t>that is 3,544 person-times of physical disabled people from January to September 2018.</w:t>
      </w:r>
    </w:p>
    <w:p w14:paraId="0B9A523E" w14:textId="77777777" w:rsidR="001D75D7" w:rsidRPr="00B47380" w:rsidRDefault="001D75D7" w:rsidP="00D53B5F">
      <w:pPr>
        <w:pStyle w:val="SingleTxtG"/>
      </w:pPr>
      <w:r w:rsidRPr="00B47380">
        <w:t>177.</w:t>
      </w:r>
      <w:r w:rsidRPr="00B47380">
        <w:tab/>
        <w:t>The creation of the Children Comprehensive Assessment Centre in 2016 by the HB, the EYAB and the SWB is noteworthy. It provides one-stop comprehensive assessment services for children under 6, aiming at achieving the goals of early detection, assessment, diagnosis and treatment. The Centre also supports families with disabled children to overcome difficulties and challenges appeared from the early stage of suspicion to rehabilitation. There were respectively 1,656 and 4,352 visits in 2016 and 2017.</w:t>
      </w:r>
    </w:p>
    <w:p w14:paraId="3A51D09E" w14:textId="77777777" w:rsidR="001D75D7" w:rsidRPr="00B47380" w:rsidRDefault="001D75D7" w:rsidP="00D53B5F">
      <w:pPr>
        <w:pStyle w:val="SingleTxtG"/>
      </w:pPr>
      <w:r w:rsidRPr="00B47380">
        <w:t>178.</w:t>
      </w:r>
      <w:r w:rsidRPr="00B47380">
        <w:tab/>
        <w:t>The construction of a barrier-free environment is a relevant measure by optimising barrier-free facilities at public venues, including accessible bathrooms, lifts, slopes, wheelchair pathways, route for the blind or elevating platform, keypads for the use of wheelchair users in lifts, tactile warning strips along the pathways in public places and low-</w:t>
      </w:r>
      <w:proofErr w:type="spellStart"/>
      <w:r w:rsidRPr="00B47380">
        <w:t>leveled</w:t>
      </w:r>
      <w:proofErr w:type="spellEnd"/>
      <w:r w:rsidRPr="00B47380">
        <w:t xml:space="preserve"> counter top as the design for public reception desks. </w:t>
      </w:r>
    </w:p>
    <w:p w14:paraId="6FBD164C" w14:textId="2B1B0360" w:rsidR="001D75D7" w:rsidRPr="00B47380" w:rsidRDefault="001D75D7" w:rsidP="00D53B5F">
      <w:pPr>
        <w:pStyle w:val="SingleTxtG"/>
      </w:pPr>
      <w:r w:rsidRPr="00B47380">
        <w:t>179.</w:t>
      </w:r>
      <w:r w:rsidRPr="00B47380">
        <w:tab/>
        <w:t xml:space="preserve">The pamphlets </w:t>
      </w:r>
      <w:r w:rsidR="006266F0">
        <w:t>“</w:t>
      </w:r>
      <w:r w:rsidRPr="00B47380">
        <w:t>Knowing about Barrier-Free Facilities</w:t>
      </w:r>
      <w:r w:rsidR="006266F0">
        <w:t>”</w:t>
      </w:r>
      <w:r w:rsidRPr="00B47380">
        <w:t xml:space="preserve"> and the </w:t>
      </w:r>
      <w:r w:rsidR="006266F0">
        <w:t>“</w:t>
      </w:r>
      <w:r w:rsidRPr="00B47380">
        <w:t>Barrier-free Universal Design Building Guidelines</w:t>
      </w:r>
      <w:r w:rsidR="006266F0">
        <w:t>”</w:t>
      </w:r>
      <w:r w:rsidRPr="00B47380">
        <w:t xml:space="preserve"> were produced in 2017 for all new public constructions and government-subsidised projects.</w:t>
      </w:r>
    </w:p>
    <w:p w14:paraId="440D627C" w14:textId="495C4F7F" w:rsidR="001D75D7" w:rsidRPr="00B47380" w:rsidRDefault="001D75D7" w:rsidP="00144F6F">
      <w:pPr>
        <w:pStyle w:val="H1G"/>
      </w:pPr>
      <w:r w:rsidRPr="00B47380">
        <w:tab/>
      </w:r>
      <w:r w:rsidRPr="00B47380">
        <w:tab/>
        <w:t>Article 11</w:t>
      </w:r>
      <w:bookmarkStart w:id="39" w:name="_Toc286998600"/>
      <w:bookmarkStart w:id="40" w:name="_Toc194229830"/>
      <w:bookmarkStart w:id="41" w:name="_Toc194226868"/>
      <w:r w:rsidR="00022E81">
        <w:br/>
      </w:r>
      <w:r w:rsidRPr="00B47380">
        <w:t>Right to an adequate standard of living</w:t>
      </w:r>
      <w:bookmarkEnd w:id="39"/>
      <w:bookmarkEnd w:id="40"/>
      <w:bookmarkEnd w:id="41"/>
    </w:p>
    <w:p w14:paraId="50881912" w14:textId="242DA475" w:rsidR="001D75D7" w:rsidRPr="00B47380" w:rsidRDefault="001D75D7" w:rsidP="00144F6F">
      <w:pPr>
        <w:pStyle w:val="H23G"/>
      </w:pPr>
      <w:bookmarkStart w:id="42" w:name="_Toc286998601"/>
      <w:r w:rsidRPr="00B47380">
        <w:tab/>
      </w:r>
      <w:r w:rsidRPr="00B47380">
        <w:tab/>
        <w:t>General description</w:t>
      </w:r>
      <w:bookmarkEnd w:id="42"/>
    </w:p>
    <w:p w14:paraId="1036A235" w14:textId="2946B2F8" w:rsidR="001D75D7" w:rsidRPr="00B47380" w:rsidRDefault="001D75D7" w:rsidP="00D53B5F">
      <w:pPr>
        <w:pStyle w:val="SingleTxtG"/>
      </w:pPr>
      <w:r w:rsidRPr="00B47380">
        <w:t>180.</w:t>
      </w:r>
      <w:r w:rsidRPr="00B47380">
        <w:tab/>
        <w:t>In 2017, the land area of Macao measured 30.8 km</w:t>
      </w:r>
      <w:r w:rsidRPr="006266F0">
        <w:rPr>
          <w:vertAlign w:val="superscript"/>
        </w:rPr>
        <w:t>2</w:t>
      </w:r>
      <w:r w:rsidRPr="00B47380">
        <w:t>, up by 0.3 km</w:t>
      </w:r>
      <w:r w:rsidRPr="006266F0">
        <w:rPr>
          <w:vertAlign w:val="superscript"/>
        </w:rPr>
        <w:t>2</w:t>
      </w:r>
      <w:r w:rsidR="006266F0">
        <w:t xml:space="preserve"> </w:t>
      </w:r>
      <w:r w:rsidRPr="00B47380">
        <w:t>year-on-year. The population density went down from 21,400 persons per km</w:t>
      </w:r>
      <w:r w:rsidRPr="006266F0">
        <w:rPr>
          <w:vertAlign w:val="superscript"/>
        </w:rPr>
        <w:t>2</w:t>
      </w:r>
      <w:r w:rsidR="006266F0">
        <w:t xml:space="preserve"> </w:t>
      </w:r>
      <w:r w:rsidRPr="00B47380">
        <w:t>in 2016 to 21,100 persons per km</w:t>
      </w:r>
      <w:r w:rsidRPr="006266F0">
        <w:rPr>
          <w:vertAlign w:val="superscript"/>
        </w:rPr>
        <w:t>2</w:t>
      </w:r>
      <w:r w:rsidRPr="00B47380">
        <w:t xml:space="preserve"> in 2017. The GDP per capita was MOP$625,254. General indicators on quality of life, such as water consumption, water quality and air quality are provided on pages 29</w:t>
      </w:r>
      <w:r w:rsidR="006266F0">
        <w:t>–</w:t>
      </w:r>
      <w:r w:rsidRPr="00B47380">
        <w:t>31 and 34</w:t>
      </w:r>
      <w:r w:rsidR="00E32CCC">
        <w:t>–</w:t>
      </w:r>
      <w:r w:rsidRPr="00B47380">
        <w:t>37 of the 2017 Yearbook of Statistics.</w:t>
      </w:r>
    </w:p>
    <w:p w14:paraId="1AF9767D" w14:textId="77777777" w:rsidR="001D75D7" w:rsidRPr="00B47380" w:rsidRDefault="001D75D7" w:rsidP="00D53B5F">
      <w:pPr>
        <w:pStyle w:val="SingleTxtG"/>
      </w:pPr>
      <w:r w:rsidRPr="00B47380">
        <w:t>181.</w:t>
      </w:r>
      <w:r w:rsidRPr="00B47380">
        <w:tab/>
        <w:t>The Government continues to be fully engaged in its ongoing mission to improve the living conditions of its population. Target programmes and special measures were introduced to ensure to all the right to live with dignity and to assist vulnerable persons or families, as explained in Articles 6, 7, 9 and 10.</w:t>
      </w:r>
    </w:p>
    <w:p w14:paraId="6F436BD4" w14:textId="77777777" w:rsidR="001D75D7" w:rsidRPr="00B47380" w:rsidRDefault="001D75D7" w:rsidP="00D53B5F">
      <w:pPr>
        <w:pStyle w:val="SingleTxtG"/>
      </w:pPr>
      <w:r w:rsidRPr="00B47380">
        <w:t>182.</w:t>
      </w:r>
      <w:r w:rsidRPr="00B47380">
        <w:tab/>
        <w:t>The SWB provides a wide-range of social security benefits to strike poverty and social exclusion (AR 28/2015), including financial assistance to those persons/families living below the poverty line (i.e. a monthly income equivalent or less than MOP$4,050 for a person or MOP$7,440 for a couple) in order to ease their economic pressure (Order of the SSAC 18/2003, as amended and AR 6/2007).</w:t>
      </w:r>
    </w:p>
    <w:p w14:paraId="088C9CBB" w14:textId="0C738451" w:rsidR="001D75D7" w:rsidRPr="00B47380" w:rsidRDefault="001D75D7" w:rsidP="00D53B5F">
      <w:pPr>
        <w:pStyle w:val="SingleTxtG"/>
      </w:pPr>
      <w:r w:rsidRPr="00B47380">
        <w:lastRenderedPageBreak/>
        <w:t>183.</w:t>
      </w:r>
      <w:r w:rsidRPr="00B47380">
        <w:tab/>
        <w:t xml:space="preserve">In 2016, in cooperation with a NGO, the SWB established the </w:t>
      </w:r>
      <w:r w:rsidR="006266F0">
        <w:t>“</w:t>
      </w:r>
      <w:proofErr w:type="spellStart"/>
      <w:r w:rsidRPr="00B47380">
        <w:t>WelAnser</w:t>
      </w:r>
      <w:proofErr w:type="spellEnd"/>
      <w:r w:rsidRPr="00B47380">
        <w:t xml:space="preserve"> Centre</w:t>
      </w:r>
      <w:r w:rsidR="006266F0">
        <w:t>”</w:t>
      </w:r>
      <w:r w:rsidRPr="00B47380">
        <w:t xml:space="preserve"> to help the integration of foreign workers and residents and their children into the community by providing psychological counselling, lectures on legislation to increase their knowledge of their rights and duties, training classes to enhance their abilities (e.g. Cantonese classes, baking classes, elderly care classes) and cultural activities, etc.. From 2014 to September 2018, 896 activities and 506 counselling services were provided.</w:t>
      </w:r>
    </w:p>
    <w:p w14:paraId="15655707" w14:textId="1FB3B643" w:rsidR="001D75D7" w:rsidRPr="00B47380" w:rsidRDefault="001D75D7" w:rsidP="00D53B5F">
      <w:pPr>
        <w:pStyle w:val="SingleTxtG"/>
      </w:pPr>
      <w:r w:rsidRPr="00B47380">
        <w:t>184.</w:t>
      </w:r>
      <w:r w:rsidRPr="00B47380">
        <w:tab/>
        <w:t xml:space="preserve">The </w:t>
      </w:r>
      <w:r w:rsidR="006266F0">
        <w:t>“</w:t>
      </w:r>
      <w:r w:rsidRPr="00B47380">
        <w:t>Wealth Partaking Scheme</w:t>
      </w:r>
      <w:r w:rsidR="006266F0">
        <w:t>”</w:t>
      </w:r>
      <w:r w:rsidRPr="00B47380">
        <w:t xml:space="preserve"> launched in 2008 continues to be in force, helping residents with an annual amount of MOP$9,000 (permanent residents) and MOP$5,400 (non-permanent residents) (AR 12/2008, as amended by AR 8/2018). In 2018, the MSAR Government spent MOP$6,178,419,000, reaching 707,081 beneficiaries.</w:t>
      </w:r>
    </w:p>
    <w:p w14:paraId="6BC857A5" w14:textId="060AE8A3" w:rsidR="001D75D7" w:rsidRPr="00B47380" w:rsidRDefault="001D75D7" w:rsidP="00144F6F">
      <w:pPr>
        <w:pStyle w:val="H23G"/>
      </w:pPr>
      <w:bookmarkStart w:id="43" w:name="_Toc286998602"/>
      <w:r w:rsidRPr="00B47380">
        <w:tab/>
      </w:r>
      <w:r w:rsidRPr="00B47380">
        <w:tab/>
        <w:t>Right to adequate food</w:t>
      </w:r>
      <w:bookmarkEnd w:id="43"/>
    </w:p>
    <w:p w14:paraId="7FD7464E" w14:textId="3105C66D" w:rsidR="001D75D7" w:rsidRPr="00B47380" w:rsidRDefault="001D75D7" w:rsidP="00D53B5F">
      <w:pPr>
        <w:pStyle w:val="SingleTxtG"/>
      </w:pPr>
      <w:r w:rsidRPr="00B47380">
        <w:t>185.</w:t>
      </w:r>
      <w:r w:rsidRPr="00B47380">
        <w:tab/>
        <w:t>As mentioned in previous reports, the Government pays key attention to ensure that everyone has access to adequate food and water as well as food quality and safety.</w:t>
      </w:r>
      <w:r w:rsidRPr="00B47380" w:rsidDel="00A17BF6">
        <w:t xml:space="preserve"> </w:t>
      </w:r>
      <w:r w:rsidRPr="00B47380">
        <w:t>Periodic evaluation of growth, nutritional education and instruction as well as supply of multivitamins and other supplements to infants continue to be part of the children</w:t>
      </w:r>
      <w:r w:rsidR="006266F0">
        <w:t>’</w:t>
      </w:r>
      <w:r w:rsidRPr="00B47380">
        <w:t>s healthcare programme. The percentage of low birth weight (&lt;2,500 gram) was 6.5%, 6.8%, 7.2% and 7.6% from 2014 to 2017 and 6.9% from January to September 2018.</w:t>
      </w:r>
    </w:p>
    <w:p w14:paraId="00B117CD" w14:textId="77777777" w:rsidR="001D75D7" w:rsidRPr="00B47380" w:rsidRDefault="001D75D7" w:rsidP="00D53B5F">
      <w:pPr>
        <w:pStyle w:val="SingleTxtG"/>
      </w:pPr>
      <w:r w:rsidRPr="00B47380">
        <w:t>186.</w:t>
      </w:r>
      <w:r w:rsidRPr="00B47380">
        <w:tab/>
        <w:t>Dissemination of information, training and awareness campaigns on food quality and safety, importance of breastfeeding, healthy balanced diet and lifestyles and prevention of chronic diseases and risk behaviours are important tasks, mainly carried out by the SWB at the homes/centres for children/youngsters and the elderly, by the EYAB at nurseries, kindergartens and schools, and by the HB at health centres.</w:t>
      </w:r>
    </w:p>
    <w:p w14:paraId="24EAB185" w14:textId="408B4FD9" w:rsidR="001D75D7" w:rsidRPr="00B47380" w:rsidRDefault="001D75D7" w:rsidP="00D53B5F">
      <w:pPr>
        <w:pStyle w:val="SingleTxtG"/>
      </w:pPr>
      <w:r w:rsidRPr="00B47380">
        <w:t>187.</w:t>
      </w:r>
      <w:r w:rsidRPr="00B47380">
        <w:tab/>
        <w:t>From 2014 to November 2018, there were respectively 21, 21, 24, 22 and 46 homeless persons benefiting from meals provided by the SWB. From academic years 2014/2015 to 2017/2018, the EYAB</w:t>
      </w:r>
      <w:r w:rsidR="006266F0">
        <w:t>’</w:t>
      </w:r>
      <w:r w:rsidRPr="00B47380">
        <w:t xml:space="preserve">s milk programme was implemented in 75, 74, 79 and 85 schools, reaching around 28,000, 31,000, 35,000 and 37,000 students respectively. </w:t>
      </w:r>
    </w:p>
    <w:p w14:paraId="5AA90EF0" w14:textId="4DA745D1" w:rsidR="001D75D7" w:rsidRPr="00B47380" w:rsidRDefault="001D75D7" w:rsidP="00D53B5F">
      <w:pPr>
        <w:pStyle w:val="SingleTxtG"/>
      </w:pPr>
      <w:r w:rsidRPr="00B47380">
        <w:t>188.</w:t>
      </w:r>
      <w:r w:rsidRPr="00B47380">
        <w:tab/>
        <w:t xml:space="preserve">Additionally, the </w:t>
      </w:r>
      <w:r w:rsidR="006266F0">
        <w:t>“</w:t>
      </w:r>
      <w:r w:rsidRPr="00B47380">
        <w:t>Short-Term Food Assistance Service</w:t>
      </w:r>
      <w:r w:rsidR="006266F0">
        <w:t>”</w:t>
      </w:r>
      <w:r w:rsidRPr="00B47380">
        <w:t xml:space="preserve"> provides temporary relief, especially, short-term food assistance, to alleviate persons or families, including migrants, in a precarious economic situation. Between 2014 and September 2018, 3,461, 4,008, 4,099, 4,698 and 3,202 persons benefited respectively.</w:t>
      </w:r>
    </w:p>
    <w:p w14:paraId="22AEE771" w14:textId="674812DB" w:rsidR="001D75D7" w:rsidRPr="00B47380" w:rsidRDefault="001D75D7" w:rsidP="00D53B5F">
      <w:pPr>
        <w:pStyle w:val="SingleTxtG"/>
      </w:pPr>
      <w:r w:rsidRPr="00B47380">
        <w:t>189.</w:t>
      </w:r>
      <w:r w:rsidRPr="00B47380">
        <w:tab/>
        <w:t>The</w:t>
      </w:r>
      <w:r w:rsidRPr="00B47380" w:rsidDel="007C78AD">
        <w:t xml:space="preserve"> </w:t>
      </w:r>
      <w:r w:rsidR="006266F0">
        <w:t>“</w:t>
      </w:r>
      <w:r w:rsidRPr="00B47380" w:rsidDel="007C78AD">
        <w:t xml:space="preserve">Healthy </w:t>
      </w:r>
      <w:r w:rsidRPr="00B47380">
        <w:t>E</w:t>
      </w:r>
      <w:r w:rsidRPr="00B47380" w:rsidDel="007C78AD">
        <w:t xml:space="preserve">ating in </w:t>
      </w:r>
      <w:r w:rsidRPr="00B47380">
        <w:t>S</w:t>
      </w:r>
      <w:r w:rsidRPr="00B47380" w:rsidDel="007C78AD">
        <w:t>chool</w:t>
      </w:r>
      <w:r w:rsidR="006266F0">
        <w:t>”</w:t>
      </w:r>
      <w:r w:rsidRPr="00B47380" w:rsidDel="007C78AD">
        <w:t xml:space="preserve"> programme</w:t>
      </w:r>
      <w:r w:rsidRPr="00B47380">
        <w:t>, jointly organised by the HB and EYAB, continues to be actively in place</w:t>
      </w:r>
      <w:r w:rsidRPr="00B47380" w:rsidDel="007C78AD">
        <w:t xml:space="preserve"> through health education and activities</w:t>
      </w:r>
      <w:r w:rsidRPr="00B47380">
        <w:t>. T</w:t>
      </w:r>
      <w:r w:rsidRPr="00B47380" w:rsidDel="007C78AD">
        <w:t>he EYAB</w:t>
      </w:r>
      <w:r w:rsidR="006266F0">
        <w:t>’</w:t>
      </w:r>
      <w:r w:rsidRPr="00B47380">
        <w:t xml:space="preserve">s </w:t>
      </w:r>
      <w:r w:rsidRPr="00B47380" w:rsidDel="007C78AD">
        <w:t>school guidelines for catering management, food hygiene and safety</w:t>
      </w:r>
      <w:r w:rsidRPr="00B47380">
        <w:t xml:space="preserve"> and</w:t>
      </w:r>
      <w:r w:rsidRPr="00B47380" w:rsidDel="007C78AD">
        <w:t xml:space="preserve"> food nutrition</w:t>
      </w:r>
      <w:r w:rsidRPr="00B47380">
        <w:t xml:space="preserve"> are being implemented.</w:t>
      </w:r>
    </w:p>
    <w:p w14:paraId="2AF1988B" w14:textId="77777777" w:rsidR="001D75D7" w:rsidRPr="00B47380" w:rsidRDefault="001D75D7" w:rsidP="00D53B5F">
      <w:pPr>
        <w:pStyle w:val="SingleTxtG"/>
      </w:pPr>
      <w:r w:rsidRPr="00B47380">
        <w:t>190.</w:t>
      </w:r>
      <w:r w:rsidRPr="00B47380">
        <w:tab/>
        <w:t>Regarding foodborne disease outbreaks, the HB has been monitoring closely and disseminating outbreaks information through various channels and mechanisms. During outbreaks, epidemiological investigations will be immediately conducted, and relevant entities notified. During the covered period, 141 outbreaks occurred, involving 836 persons.</w:t>
      </w:r>
    </w:p>
    <w:p w14:paraId="1175D2B5" w14:textId="77777777" w:rsidR="001D75D7" w:rsidRPr="00B47380" w:rsidRDefault="001D75D7" w:rsidP="00D53B5F">
      <w:pPr>
        <w:pStyle w:val="SingleTxtG"/>
      </w:pPr>
      <w:r w:rsidRPr="00B47380">
        <w:t>191.</w:t>
      </w:r>
      <w:r w:rsidRPr="00B47380">
        <w:tab/>
        <w:t>Law 5/2013, on Food Safety, regulating food safety supervision and management, preventive measures, risk control and treatment is implemented by the Civic and Municipal Affairs Bureau (CMAB), being responsible for coordinating food safety supervision, supervising foodstuff production places, investigating and handling food safety incidents, enforcing preventive and control measures, educational and awareness-raising courses and initiating administrative proceedings (Articles 4 and 21 of Law 5/2013). Entities producing and trading foodstuffs have among other duties to comply with food safety criteria (Article 5).</w:t>
      </w:r>
    </w:p>
    <w:p w14:paraId="702124CB" w14:textId="77777777" w:rsidR="001D75D7" w:rsidRPr="00B47380" w:rsidRDefault="001D75D7" w:rsidP="00D53B5F">
      <w:pPr>
        <w:pStyle w:val="SingleTxtG"/>
      </w:pPr>
      <w:r w:rsidRPr="00B47380">
        <w:t>192.</w:t>
      </w:r>
      <w:r w:rsidRPr="00B47380">
        <w:tab/>
        <w:t xml:space="preserve">The Government strengthened cooperation with its neighbouring authorities in this area while continuing with food monitoring, control and surveillance through regular sanitary inspections, </w:t>
      </w:r>
      <w:r w:rsidRPr="00887160">
        <w:rPr>
          <w:i/>
          <w:iCs/>
        </w:rPr>
        <w:t>inter alia</w:t>
      </w:r>
      <w:r w:rsidRPr="00B47380">
        <w:t xml:space="preserve">, sanitary control of primary fresh products and imported products of animal origin, at the entry ports, </w:t>
      </w:r>
      <w:proofErr w:type="gramStart"/>
      <w:r w:rsidRPr="00B47380">
        <w:t>slaughter houses</w:t>
      </w:r>
      <w:proofErr w:type="gramEnd"/>
      <w:r w:rsidRPr="00B47380">
        <w:t xml:space="preserve"> and food-animal storage facilities. During the covered period, the CMAB conducted averagely over 9,000 inspections per year.</w:t>
      </w:r>
    </w:p>
    <w:p w14:paraId="428D850B" w14:textId="77777777" w:rsidR="001D75D7" w:rsidRPr="00B47380" w:rsidRDefault="001D75D7" w:rsidP="00144F6F">
      <w:pPr>
        <w:pStyle w:val="H23G"/>
      </w:pPr>
      <w:bookmarkStart w:id="44" w:name="_Toc286998603"/>
      <w:bookmarkStart w:id="45" w:name="_Toc41219195"/>
      <w:bookmarkStart w:id="46" w:name="_Toc33444541"/>
      <w:r w:rsidRPr="00B47380">
        <w:lastRenderedPageBreak/>
        <w:tab/>
      </w:r>
      <w:r w:rsidRPr="00B47380">
        <w:tab/>
        <w:t>Right to adequate housing</w:t>
      </w:r>
      <w:bookmarkEnd w:id="44"/>
      <w:bookmarkEnd w:id="45"/>
      <w:bookmarkEnd w:id="46"/>
    </w:p>
    <w:p w14:paraId="4A35D63B" w14:textId="77777777" w:rsidR="001D75D7" w:rsidRPr="00B47380" w:rsidRDefault="001D75D7" w:rsidP="00D53B5F">
      <w:pPr>
        <w:pStyle w:val="SingleTxtG"/>
      </w:pPr>
      <w:r w:rsidRPr="00B47380">
        <w:t>193.</w:t>
      </w:r>
      <w:r w:rsidRPr="00B47380">
        <w:tab/>
        <w:t>Shelters for the homeless, temporary housing or rent allowance for persons in need or with reallocation problems and social housing continue to be provided. From 2014 to September 2018, there were respectively 71, 96, 90, 106 and 60 persons living in shelters and 408, 398, 336, 324 and 301 families receiving rent allowance. The SWB also provides allowances to buy household goods or make basic home improvement, such as electricity rewiring.</w:t>
      </w:r>
    </w:p>
    <w:p w14:paraId="0E686A1B" w14:textId="77777777" w:rsidR="001D75D7" w:rsidRPr="00B47380" w:rsidRDefault="001D75D7" w:rsidP="00D53B5F">
      <w:pPr>
        <w:pStyle w:val="SingleTxtG"/>
      </w:pPr>
      <w:r w:rsidRPr="00B47380">
        <w:t>194.</w:t>
      </w:r>
      <w:r w:rsidRPr="00B47380">
        <w:tab/>
        <w:t>Regarding paragraph 59 of the concluding observations, it should be restated that the MSAR has a public housing allocation scheme, with 2 major categories: economic housing (Law 10/2011, as amended by Law 11/2015) and social housing (AR 25/2009 on the Allocation, Rental and Management of Social Housing and Order of the CE 296/2009 on the Regulation on the Application for the Allocation of Social Housing).</w:t>
      </w:r>
    </w:p>
    <w:p w14:paraId="56BB4B06" w14:textId="77777777" w:rsidR="001D75D7" w:rsidRPr="00B47380" w:rsidRDefault="001D75D7" w:rsidP="00D53B5F">
      <w:pPr>
        <w:pStyle w:val="SingleTxtG"/>
      </w:pPr>
      <w:r w:rsidRPr="00B47380">
        <w:t>195.</w:t>
      </w:r>
      <w:r w:rsidRPr="00B47380">
        <w:tab/>
        <w:t>Law 10/2011 established the regime for the construction and access to economic housing and defined the conditions of use and sale of the houses, aiming at supporting residents with a certain level of income and assets to have access to a house. The 2015 amendments changed the application requirements (Articles 14 and 15), public tender formalities, including preliminary assessment of applications (Articles 21 and 22), and the criteria for the selection, sorting and exclusion of candidates (Articles 23 to 28).</w:t>
      </w:r>
    </w:p>
    <w:p w14:paraId="6A3A0E60" w14:textId="77777777" w:rsidR="001D75D7" w:rsidRPr="00B47380" w:rsidRDefault="001D75D7" w:rsidP="00D53B5F">
      <w:pPr>
        <w:pStyle w:val="SingleTxtG"/>
      </w:pPr>
      <w:r w:rsidRPr="00B47380">
        <w:t>196.</w:t>
      </w:r>
      <w:r w:rsidRPr="00B47380">
        <w:tab/>
        <w:t xml:space="preserve">Article 24-A was added to Law 10/2011 stipulating that following the preliminary assessment, the Housing Bureau draws up a list of all candidates (selected and excluded), which includes the grounds for exclusion. The list is published in the MSAR </w:t>
      </w:r>
      <w:r w:rsidRPr="00144F6F">
        <w:rPr>
          <w:i/>
          <w:iCs/>
        </w:rPr>
        <w:t>Official Gazette</w:t>
      </w:r>
      <w:r w:rsidRPr="00B47380">
        <w:t xml:space="preserve"> and may be subject to appeal.</w:t>
      </w:r>
    </w:p>
    <w:p w14:paraId="504679FA" w14:textId="77777777" w:rsidR="001D75D7" w:rsidRPr="00B47380" w:rsidRDefault="001D75D7" w:rsidP="00D53B5F">
      <w:pPr>
        <w:pStyle w:val="SingleTxtG"/>
      </w:pPr>
      <w:r w:rsidRPr="00B47380">
        <w:t>197.</w:t>
      </w:r>
      <w:r w:rsidRPr="00B47380">
        <w:tab/>
        <w:t>Accordingly, a general public tender undertaken between 18/12/2013 and 17/03/2014, made available 1,900 economic housing units (T1, T2 and T3). As of September 2018, a total of 1,606 housing units were sold.</w:t>
      </w:r>
    </w:p>
    <w:p w14:paraId="3AC24463" w14:textId="77777777" w:rsidR="001D75D7" w:rsidRPr="00B47380" w:rsidRDefault="001D75D7" w:rsidP="00D53B5F">
      <w:pPr>
        <w:pStyle w:val="SingleTxtG"/>
      </w:pPr>
      <w:r w:rsidRPr="00B47380">
        <w:t>198.</w:t>
      </w:r>
      <w:r w:rsidRPr="00B47380">
        <w:tab/>
        <w:t>In relation to social housing, these houses are allocated for renting to families with financial difficulties (AR 25/2009 and Order of the CE 296/2009). Applicants may apply by public tender based on their monthly family income and assets and number of family members. For instance, a household of 3 and 4 members must not have a monthly income more than MOP$23,430 and MOP$25,680 and assets that worth more than MOP$506,100 and MOP$554,700 respectively (Order of the CE 368/2017).</w:t>
      </w:r>
    </w:p>
    <w:p w14:paraId="49C65844" w14:textId="77777777" w:rsidR="001D75D7" w:rsidRPr="00B47380" w:rsidRDefault="001D75D7" w:rsidP="00D53B5F">
      <w:pPr>
        <w:pStyle w:val="SingleTxtG"/>
      </w:pPr>
      <w:r w:rsidRPr="00B47380">
        <w:t>199.</w:t>
      </w:r>
      <w:r w:rsidRPr="00B47380">
        <w:tab/>
        <w:t>Apart from the general conditions, persons or families facing social, physical or mental crisis, or disaster victims may also apply for social housing.</w:t>
      </w:r>
    </w:p>
    <w:p w14:paraId="5934FB6C" w14:textId="77777777" w:rsidR="001D75D7" w:rsidRPr="00B47380" w:rsidRDefault="001D75D7" w:rsidP="00D53B5F">
      <w:pPr>
        <w:pStyle w:val="SingleTxtG"/>
      </w:pPr>
      <w:r w:rsidRPr="00B47380">
        <w:t>200.</w:t>
      </w:r>
      <w:r w:rsidRPr="00B47380">
        <w:tab/>
        <w:t>To shorten the waiting time, the Housing Bureau has enhanced the selection procedures. The definitive list of eligible applications (2013) was announced on 26/12/2014 and the first batch of social housing units was allocated accordingly within 3 months; the allocation was completed in August 2017.</w:t>
      </w:r>
    </w:p>
    <w:p w14:paraId="609E4C74" w14:textId="77777777" w:rsidR="001D75D7" w:rsidRPr="00B47380" w:rsidRDefault="001D75D7" w:rsidP="00D53B5F">
      <w:pPr>
        <w:pStyle w:val="SingleTxtG"/>
      </w:pPr>
      <w:r w:rsidRPr="00B47380">
        <w:t>201.</w:t>
      </w:r>
      <w:r w:rsidRPr="00B47380">
        <w:tab/>
        <w:t>Regarding the general tender of 2017, applications are currently being vetted. From 2014 to September 2018, social housing was allocated to 4,588 households; as of September 2018, the number of social housing tenants reached 12,132 (involving 27,005 persons, with the average household size being 2.23 persons).</w:t>
      </w:r>
    </w:p>
    <w:p w14:paraId="33E7DF66" w14:textId="77777777" w:rsidR="001D75D7" w:rsidRPr="00B47380" w:rsidRDefault="001D75D7" w:rsidP="00D53B5F">
      <w:pPr>
        <w:pStyle w:val="SingleTxtG"/>
      </w:pPr>
      <w:r w:rsidRPr="00B47380">
        <w:t>202.</w:t>
      </w:r>
      <w:r w:rsidRPr="00B47380">
        <w:tab/>
        <w:t xml:space="preserve">In the 2016 By-Census, there were 188,723 households in the </w:t>
      </w:r>
      <w:proofErr w:type="gramStart"/>
      <w:r w:rsidRPr="00B47380">
        <w:t>MSAR</w:t>
      </w:r>
      <w:proofErr w:type="gramEnd"/>
      <w:r w:rsidRPr="00B47380">
        <w:t xml:space="preserve"> and the average household size was 3.07 persons. Households living in owner-occupied units accounted for 66.2% of the total households. As of June 2018, there were 225,457 housing units.</w:t>
      </w:r>
    </w:p>
    <w:p w14:paraId="61721D0D" w14:textId="77777777" w:rsidR="001D75D7" w:rsidRPr="00B47380" w:rsidRDefault="001D75D7" w:rsidP="00144F6F">
      <w:pPr>
        <w:pStyle w:val="H23G"/>
      </w:pPr>
      <w:bookmarkStart w:id="47" w:name="_Toc286998604"/>
      <w:bookmarkStart w:id="48" w:name="_Toc41219198"/>
      <w:bookmarkStart w:id="49" w:name="_Toc33444551"/>
      <w:r w:rsidRPr="00B47380">
        <w:tab/>
      </w:r>
      <w:r w:rsidRPr="00B47380">
        <w:tab/>
        <w:t>Environmental protection and town planning</w:t>
      </w:r>
      <w:bookmarkEnd w:id="47"/>
      <w:bookmarkEnd w:id="48"/>
      <w:bookmarkEnd w:id="49"/>
    </w:p>
    <w:p w14:paraId="71D1631F" w14:textId="77777777" w:rsidR="001D75D7" w:rsidRPr="00B47380" w:rsidRDefault="001D75D7" w:rsidP="00D53B5F">
      <w:pPr>
        <w:pStyle w:val="SingleTxtG"/>
      </w:pPr>
      <w:r w:rsidRPr="00B47380">
        <w:t>203.</w:t>
      </w:r>
      <w:r w:rsidRPr="00B47380">
        <w:tab/>
        <w:t>The Government attaches great importance to environmental protection and town planning. The existing legal framework was complemented by the application to the MSAR of the Paris Agreement and the Minamata Convention on Mercury, respectively in 2016 and 2017. Law 8/2014 on the Prevention and Control of Environmental Noise was also adopted, establishing limits to environmental noise, including that of construction work and daily life.</w:t>
      </w:r>
    </w:p>
    <w:p w14:paraId="08D48F94" w14:textId="5187DB0E" w:rsidR="001D75D7" w:rsidRPr="00B47380" w:rsidRDefault="001D75D7" w:rsidP="00D53B5F">
      <w:pPr>
        <w:pStyle w:val="SingleTxtG"/>
      </w:pPr>
      <w:r w:rsidRPr="00B47380">
        <w:lastRenderedPageBreak/>
        <w:t>204.</w:t>
      </w:r>
      <w:r w:rsidRPr="00B47380">
        <w:tab/>
        <w:t>The Environmental Protection Planning of Macao (2010</w:t>
      </w:r>
      <w:r w:rsidR="00144F6F">
        <w:t>–</w:t>
      </w:r>
      <w:r w:rsidRPr="00B47380">
        <w:t>2020) is being executed whereas specific strategies continue to be adopted to protect the valuable ecological environment and natural resources in the Macao SAR, and also enhance the quality of living environment, such as the Macao Water Resources Management Programme, Green-school and Green-enterprises Partnerships, 2017</w:t>
      </w:r>
      <w:r w:rsidR="00144F6F">
        <w:t>–</w:t>
      </w:r>
      <w:r w:rsidRPr="00B47380">
        <w:t>2026 Macao Solid Waste Resources Management Programme and 2017 Exhaust Emissions Standards for Vehicles.</w:t>
      </w:r>
    </w:p>
    <w:p w14:paraId="5D94E938" w14:textId="77777777" w:rsidR="001D75D7" w:rsidRPr="00B47380" w:rsidRDefault="001D75D7" w:rsidP="00D53B5F">
      <w:pPr>
        <w:pStyle w:val="SingleTxtG"/>
      </w:pPr>
      <w:r w:rsidRPr="00B47380">
        <w:t>205.</w:t>
      </w:r>
      <w:r w:rsidRPr="00B47380">
        <w:tab/>
        <w:t xml:space="preserve">The Environmental Protection Bureau (EPB) plays a key role in this field working actively with the CMAB, Healthy City Commission, EYAB, LAB and other entities, including schools, NGOs and the private sector. </w:t>
      </w:r>
    </w:p>
    <w:p w14:paraId="34C3FBFC" w14:textId="77777777" w:rsidR="001D75D7" w:rsidRPr="00B47380" w:rsidRDefault="001D75D7" w:rsidP="00D53B5F">
      <w:pPr>
        <w:pStyle w:val="SingleTxtG"/>
      </w:pPr>
      <w:r w:rsidRPr="00B47380">
        <w:t>206.</w:t>
      </w:r>
      <w:r w:rsidRPr="00B47380">
        <w:tab/>
        <w:t>Environmental education and sustainable practices for a green society are priorities. Between 2014 and 2017, the EPB and CMAB held 8,049 educational and awareness-raising activities, with an average of 217 participants for each activity, and with respectively 861, 851, 840 and 986 co-organisers. During the same period, there were 111 seminars and courses on the environmental management system with 4,020 participants and 57, 66, 79 and 92 entities were respectively awarded the ISO14001 Certificate on Environmental Management System.</w:t>
      </w:r>
    </w:p>
    <w:p w14:paraId="5DA6C8F0" w14:textId="77777777" w:rsidR="001D75D7" w:rsidRPr="00B47380" w:rsidRDefault="001D75D7" w:rsidP="00D53B5F">
      <w:pPr>
        <w:pStyle w:val="SingleTxtG"/>
      </w:pPr>
      <w:r w:rsidRPr="00B47380">
        <w:t>207.</w:t>
      </w:r>
      <w:r w:rsidRPr="00B47380">
        <w:tab/>
        <w:t>The CMAB also continues to improve the living conditions of the population with ongoing upgrading of the sewage system, adoption of maintenance and mitigation measures to alleviate flooding at black spots, replacement of garbage bins by refuse stations (the number of garbage bins decreased from 291 in 2014 to 167 in 2018), launching of recycling campaigns (with 356 waste recycling stations and 75 glass bottle recycling stations currently) and improvement of environmental hygiene.</w:t>
      </w:r>
    </w:p>
    <w:p w14:paraId="62778995" w14:textId="4E2E78E1" w:rsidR="001D75D7" w:rsidRPr="00B47380" w:rsidRDefault="001D75D7" w:rsidP="00D53B5F">
      <w:pPr>
        <w:pStyle w:val="SingleTxtG"/>
      </w:pPr>
      <w:r w:rsidRPr="00B47380">
        <w:t>208.</w:t>
      </w:r>
      <w:r w:rsidRPr="00B47380">
        <w:tab/>
        <w:t xml:space="preserve">To prevent the transmission of Dengue, Zika and other contagious diseases, the CMAB cooperates with the HB in cleaning hygiene black spots and inspecting construction sites and promoting awareness campaigns, such as </w:t>
      </w:r>
      <w:r w:rsidR="006266F0">
        <w:t>“</w:t>
      </w:r>
      <w:r w:rsidRPr="00B47380">
        <w:t>Stagnant Water Dumping Day</w:t>
      </w:r>
      <w:r w:rsidR="006266F0">
        <w:t>”</w:t>
      </w:r>
      <w:r w:rsidRPr="00B47380">
        <w:t xml:space="preserve"> and </w:t>
      </w:r>
      <w:r w:rsidR="006266F0">
        <w:t>“</w:t>
      </w:r>
      <w:r w:rsidRPr="00B47380">
        <w:t>Preventing Dengue Fever</w:t>
      </w:r>
      <w:r w:rsidR="006266F0">
        <w:t>”</w:t>
      </w:r>
      <w:r w:rsidRPr="00B47380">
        <w:t>.</w:t>
      </w:r>
    </w:p>
    <w:p w14:paraId="1EE616A3" w14:textId="77777777" w:rsidR="001D75D7" w:rsidRPr="00B47380" w:rsidRDefault="001D75D7" w:rsidP="00D53B5F">
      <w:pPr>
        <w:pStyle w:val="SingleTxtG"/>
      </w:pPr>
      <w:r w:rsidRPr="00B47380">
        <w:t>209.</w:t>
      </w:r>
      <w:r w:rsidRPr="00B47380">
        <w:tab/>
        <w:t>Concerning town planning, the implementation of Law 12/2013 on Urban Planning must be emphasised. It establishes norms and criteria for urban and management planning, conditions of land use and exploitation and creates the Urban Planning Council (consultative body comprising individuals from the private sector and government representatives (AR 3/2014)).</w:t>
      </w:r>
    </w:p>
    <w:p w14:paraId="7BFF2834" w14:textId="5CBC194F" w:rsidR="001D75D7" w:rsidRPr="00B47380" w:rsidRDefault="001D75D7" w:rsidP="00D53B5F">
      <w:pPr>
        <w:pStyle w:val="SingleTxtG"/>
      </w:pPr>
      <w:r w:rsidRPr="00B47380">
        <w:t>210.</w:t>
      </w:r>
      <w:r w:rsidR="00D96F66">
        <w:tab/>
      </w:r>
      <w:r w:rsidRPr="00B47380">
        <w:t xml:space="preserve">The renewal of public open areas is also a priority, like the expansion of pedestrian networks, the embellishment of squares and historical areas, and the upgrading of the landscape (e.g. green areas, hiking trails and open areas for leisure). Currently, there are 86 public recreational and leisure areas, with more than 1,280 outdoor fitness </w:t>
      </w:r>
      <w:proofErr w:type="spellStart"/>
      <w:r w:rsidRPr="00B47380">
        <w:t>equipments</w:t>
      </w:r>
      <w:proofErr w:type="spellEnd"/>
      <w:r w:rsidRPr="00B47380">
        <w:t xml:space="preserve">. </w:t>
      </w:r>
    </w:p>
    <w:p w14:paraId="06B64D8D" w14:textId="77777777" w:rsidR="001D75D7" w:rsidRPr="00B47380" w:rsidRDefault="001D75D7" w:rsidP="00D53B5F">
      <w:pPr>
        <w:pStyle w:val="SingleTxtG"/>
      </w:pPr>
      <w:r w:rsidRPr="00B47380">
        <w:t>211.</w:t>
      </w:r>
      <w:r w:rsidRPr="00B47380">
        <w:tab/>
        <w:t>Under the CMAB, 7 activity centres have been set up to provide a variety of cultural, leisure and recreational facilities, such as exhibition areas, auditoriums, libraries, studying and IT areas (with free access to computers and internet service).</w:t>
      </w:r>
    </w:p>
    <w:p w14:paraId="1AC9DB0A" w14:textId="6ADB8327" w:rsidR="001D75D7" w:rsidRPr="00B47380" w:rsidRDefault="001D75D7" w:rsidP="00D53B5F">
      <w:pPr>
        <w:pStyle w:val="SingleTxtG"/>
      </w:pPr>
      <w:r w:rsidRPr="00B47380">
        <w:t>212.</w:t>
      </w:r>
      <w:r w:rsidRPr="00B47380">
        <w:tab/>
        <w:t xml:space="preserve">Regarding the prevention of catastrophes and civil protection, following Typhoon </w:t>
      </w:r>
      <w:proofErr w:type="spellStart"/>
      <w:r w:rsidRPr="00B47380">
        <w:t>Hato</w:t>
      </w:r>
      <w:proofErr w:type="spellEnd"/>
      <w:r w:rsidRPr="00B47380">
        <w:t>, the Government concluded the drafting of the Civil Protection Legal Framework and the Civil Protection and Contingency Coordination Bureau Framework. This Bureau is responsible for the overall civil protection and emergency response coordination. A Ten-Year Plan for Disaster Prevention and Mitigation (2019–2028) is being drafted.</w:t>
      </w:r>
    </w:p>
    <w:p w14:paraId="4CE4C6AE" w14:textId="77777777" w:rsidR="001D75D7" w:rsidRPr="00B47380" w:rsidRDefault="001D75D7" w:rsidP="00D53B5F">
      <w:pPr>
        <w:pStyle w:val="SingleTxtG"/>
      </w:pPr>
      <w:r w:rsidRPr="00B47380">
        <w:t>213.</w:t>
      </w:r>
      <w:r w:rsidRPr="00B47380">
        <w:tab/>
        <w:t>As regards international and inter-regional cooperation, the Government continues to join efforts towards a sustainable regional environment approach with the Hong Kong SAR, Guangzhou, Shenzhen, Zhuhai and other cities of China.</w:t>
      </w:r>
    </w:p>
    <w:p w14:paraId="7FA6D5F4" w14:textId="2CC59B3F" w:rsidR="001D75D7" w:rsidRPr="00B47380" w:rsidRDefault="001D75D7" w:rsidP="00D53B5F">
      <w:pPr>
        <w:pStyle w:val="SingleTxtG"/>
      </w:pPr>
      <w:r w:rsidRPr="00B47380">
        <w:t>214.</w:t>
      </w:r>
      <w:r w:rsidRPr="00B47380">
        <w:tab/>
        <w:t xml:space="preserve">Additionally, the EPB and Macao Trade and Investment Promotion Institute continue to organise the Macao International Environmental Co-operation Forum and Exhibition together with the governments of the provinces of the Pan-Pearl River Delta with the aim to turn the event into an international platform that fosters the development of environmental protection industry co-operation, technology transfer and sustainable development for the countries along the </w:t>
      </w:r>
      <w:r w:rsidR="006266F0">
        <w:t>“</w:t>
      </w:r>
      <w:r w:rsidRPr="00B47380">
        <w:t>Belt and Road</w:t>
      </w:r>
      <w:r w:rsidR="006266F0">
        <w:t>”</w:t>
      </w:r>
      <w:r w:rsidRPr="00B47380">
        <w:t xml:space="preserve">, Pan-Pearl River Delta Region, the Guangdong-Hong Kong-Macau Greater Bay Area, Portuguese-speaking countries, European countries and the rest of the world. The 2018 theme was </w:t>
      </w:r>
      <w:r w:rsidR="006266F0">
        <w:t>“</w:t>
      </w:r>
      <w:r w:rsidRPr="00B47380">
        <w:t xml:space="preserve">Shaping of Eco-Cities </w:t>
      </w:r>
      <w:r w:rsidRPr="00B47380">
        <w:lastRenderedPageBreak/>
        <w:t>for Inclusive Green Economy</w:t>
      </w:r>
      <w:r w:rsidR="006266F0">
        <w:t>”</w:t>
      </w:r>
      <w:r w:rsidRPr="00B47380">
        <w:t>, as a platform to promote solutions for a low carbon future and sustainable city development, in co-operation with the industry (green finance and technology).</w:t>
      </w:r>
    </w:p>
    <w:p w14:paraId="3E6ADC30" w14:textId="5B87E706" w:rsidR="001D75D7" w:rsidRPr="00B47380" w:rsidRDefault="001D75D7" w:rsidP="006A17E2">
      <w:pPr>
        <w:pStyle w:val="H1G"/>
      </w:pPr>
      <w:r w:rsidRPr="00B47380">
        <w:tab/>
      </w:r>
      <w:r w:rsidRPr="00B47380">
        <w:tab/>
        <w:t>Article 12</w:t>
      </w:r>
      <w:bookmarkStart w:id="50" w:name="_Toc194226870"/>
      <w:bookmarkStart w:id="51" w:name="_Toc194229832"/>
      <w:bookmarkStart w:id="52" w:name="_Toc286998606"/>
      <w:r w:rsidR="00022E81">
        <w:br/>
      </w:r>
      <w:r w:rsidRPr="00B47380">
        <w:t>Right to health</w:t>
      </w:r>
      <w:bookmarkEnd w:id="50"/>
      <w:bookmarkEnd w:id="51"/>
      <w:bookmarkEnd w:id="52"/>
    </w:p>
    <w:p w14:paraId="248E02AB" w14:textId="235D8DE1" w:rsidR="001D75D7" w:rsidRPr="00B47380" w:rsidRDefault="001D75D7" w:rsidP="006A17E2">
      <w:pPr>
        <w:pStyle w:val="H23G"/>
      </w:pPr>
      <w:bookmarkStart w:id="53" w:name="_Toc33444554"/>
      <w:bookmarkStart w:id="54" w:name="_Toc41219201"/>
      <w:bookmarkStart w:id="55" w:name="_Toc286998607"/>
      <w:r w:rsidRPr="00B47380">
        <w:tab/>
      </w:r>
      <w:r w:rsidRPr="00B47380">
        <w:tab/>
        <w:t>Population</w:t>
      </w:r>
      <w:r w:rsidR="006266F0">
        <w:t>’</w:t>
      </w:r>
      <w:r w:rsidRPr="00B47380">
        <w:t>s state of physical and mental health</w:t>
      </w:r>
      <w:bookmarkEnd w:id="53"/>
      <w:bookmarkEnd w:id="54"/>
      <w:bookmarkEnd w:id="55"/>
    </w:p>
    <w:p w14:paraId="77091CCE" w14:textId="74CDD4BD" w:rsidR="001D75D7" w:rsidRPr="00B47380" w:rsidRDefault="001D75D7" w:rsidP="00D53B5F">
      <w:pPr>
        <w:pStyle w:val="SingleTxtG"/>
      </w:pPr>
      <w:r w:rsidRPr="00B47380">
        <w:t>215.</w:t>
      </w:r>
      <w:r w:rsidR="00D96F66">
        <w:tab/>
      </w:r>
      <w:r w:rsidRPr="00B47380">
        <w:t>In 2017, the proportion of the youth and elderly population was respectively 12.7 % and 10.5 % of the total population. Between 2014 and 2017, the average life expectancy was 80.3 years for men and 86.4 years for women.</w:t>
      </w:r>
    </w:p>
    <w:p w14:paraId="33A2FE00" w14:textId="70A1E371" w:rsidR="001D75D7" w:rsidRPr="00B47380" w:rsidRDefault="001D75D7" w:rsidP="00D53B5F">
      <w:pPr>
        <w:pStyle w:val="SingleTxtG"/>
      </w:pPr>
      <w:r w:rsidRPr="00B47380">
        <w:t>216.</w:t>
      </w:r>
      <w:r w:rsidR="00D96F66">
        <w:tab/>
      </w:r>
      <w:r w:rsidRPr="00B47380">
        <w:t>In 2018, the top 3 death causes were neoplasms (737), diseases of the circulatory system (524) and diseases of the respiratory system (407). There were 9,929 cases of notifiable diseases, consisting mainly of enterovirus infection (3,398) and influenza (4,110).</w:t>
      </w:r>
    </w:p>
    <w:p w14:paraId="0EF726E3" w14:textId="77777777" w:rsidR="001D75D7" w:rsidRPr="00B47380" w:rsidRDefault="001D75D7" w:rsidP="00D53B5F">
      <w:pPr>
        <w:pStyle w:val="SingleTxtG"/>
      </w:pPr>
      <w:bookmarkStart w:id="56" w:name="_Toc286998608"/>
      <w:r w:rsidRPr="00B47380">
        <w:t>217.</w:t>
      </w:r>
      <w:r w:rsidRPr="00B47380">
        <w:tab/>
        <w:t xml:space="preserve">Concerning mental health, the Psychiatry Department and Psychiatric Centre (Taipa) of the Hospital Centre S. </w:t>
      </w:r>
      <w:proofErr w:type="spellStart"/>
      <w:r w:rsidRPr="00B47380">
        <w:t>Januário</w:t>
      </w:r>
      <w:proofErr w:type="spellEnd"/>
      <w:r w:rsidRPr="00B47380">
        <w:t xml:space="preserve"> (CHCSJ) continue to provide comprehensive psychiatric services. Following the relevant guidelines of the World Health Organisation (WHO), the HB created, in 2015, a joint mechanism, with a referral system, involving community organisations, health centres and the Psychiatry Department.</w:t>
      </w:r>
    </w:p>
    <w:p w14:paraId="3A9B809F" w14:textId="77777777" w:rsidR="001D75D7" w:rsidRPr="00B47380" w:rsidRDefault="001D75D7" w:rsidP="00D53B5F">
      <w:pPr>
        <w:pStyle w:val="SingleTxtG"/>
      </w:pPr>
      <w:r w:rsidRPr="00B47380">
        <w:t>218.</w:t>
      </w:r>
      <w:r w:rsidRPr="00B47380">
        <w:tab/>
        <w:t xml:space="preserve">Apart from the Mental Health Commission and the Macao Psychiatric Association, a Community Psychiatric Service Team was created in 2016 to offer urgent and necessary intervention, evaluation and treatment to potential </w:t>
      </w:r>
      <w:proofErr w:type="gramStart"/>
      <w:r w:rsidRPr="00B47380">
        <w:t>high risk</w:t>
      </w:r>
      <w:proofErr w:type="gramEnd"/>
      <w:r w:rsidRPr="00B47380">
        <w:t xml:space="preserve"> mental health patients. The Government also subsidises NGOs to provide free psychological counselling services.</w:t>
      </w:r>
    </w:p>
    <w:p w14:paraId="7AA22967" w14:textId="77777777" w:rsidR="001D75D7" w:rsidRPr="00B47380" w:rsidRDefault="001D75D7" w:rsidP="00D53B5F">
      <w:pPr>
        <w:pStyle w:val="SingleTxtG"/>
      </w:pPr>
      <w:r w:rsidRPr="00B47380">
        <w:t>219.</w:t>
      </w:r>
      <w:r w:rsidRPr="00B47380">
        <w:tab/>
        <w:t>As of September 2018, there were 1,329 new patients and 27,701 follow-up patients in the Psychiatry Department. Currently, there are 22 persons under compulsory internment under Decree-law 31/99/M.</w:t>
      </w:r>
    </w:p>
    <w:p w14:paraId="3A1B45DC" w14:textId="12186075" w:rsidR="001D75D7" w:rsidRPr="00B47380" w:rsidRDefault="001D75D7" w:rsidP="00D53B5F">
      <w:pPr>
        <w:pStyle w:val="SingleTxtG"/>
      </w:pPr>
      <w:r w:rsidRPr="00B47380">
        <w:t>220.</w:t>
      </w:r>
      <w:r w:rsidRPr="00B47380">
        <w:tab/>
        <w:t>For the major demographic indicators, please see pages 46</w:t>
      </w:r>
      <w:r w:rsidR="006A17E2">
        <w:t>–</w:t>
      </w:r>
      <w:r w:rsidRPr="00B47380">
        <w:t>61 of the 2017 Yearbook of Statistics.</w:t>
      </w:r>
    </w:p>
    <w:p w14:paraId="4353E310" w14:textId="77777777" w:rsidR="001D75D7" w:rsidRPr="00B47380" w:rsidRDefault="001D75D7" w:rsidP="006A17E2">
      <w:pPr>
        <w:pStyle w:val="H23G"/>
      </w:pPr>
      <w:r w:rsidRPr="00B47380">
        <w:tab/>
      </w:r>
      <w:r w:rsidRPr="00B47380">
        <w:tab/>
        <w:t>Health system, main policies and measures adopted to ensure the right to health</w:t>
      </w:r>
      <w:bookmarkEnd w:id="56"/>
    </w:p>
    <w:p w14:paraId="043AA400" w14:textId="77777777" w:rsidR="001D75D7" w:rsidRPr="00B47380" w:rsidRDefault="001D75D7" w:rsidP="00D53B5F">
      <w:pPr>
        <w:pStyle w:val="SingleTxtG"/>
      </w:pPr>
      <w:r w:rsidRPr="00B47380">
        <w:t>221.</w:t>
      </w:r>
      <w:r w:rsidRPr="00B47380">
        <w:tab/>
        <w:t>The information provided in previous reports remains accurate regarding the core legislation on health and the healthcare system, which offers comprehensive preventive, curative and rehabilitative services. The public health facilities comprise 1 hospital (CHCSJ) (with an emergency station in Taipa), 8 health centres and 3 health stations.</w:t>
      </w:r>
    </w:p>
    <w:p w14:paraId="58B2368A" w14:textId="77777777" w:rsidR="001D75D7" w:rsidRPr="00B47380" w:rsidRDefault="001D75D7" w:rsidP="00D53B5F">
      <w:pPr>
        <w:pStyle w:val="SingleTxtG"/>
      </w:pPr>
      <w:r w:rsidRPr="00B47380">
        <w:t>222.</w:t>
      </w:r>
      <w:r w:rsidRPr="00B47380">
        <w:tab/>
        <w:t>The novelty is the adoption of Law 5/2016, on the Legal Regime for Medical Malpractice, to safeguard the rights and interests of the users of healthcare services and those providing such services, both in the public and private sectors. In 2017, the Medical Dispute Mediation Centre and the Medical Malpractice Evaluation Commission were established.</w:t>
      </w:r>
    </w:p>
    <w:p w14:paraId="47E34238" w14:textId="5202F9B5" w:rsidR="001D75D7" w:rsidRPr="00B47380" w:rsidRDefault="001D75D7" w:rsidP="00D53B5F">
      <w:pPr>
        <w:pStyle w:val="SingleTxtG"/>
      </w:pPr>
      <w:r w:rsidRPr="00B47380">
        <w:t>223.</w:t>
      </w:r>
      <w:r w:rsidRPr="00B47380">
        <w:tab/>
        <w:t xml:space="preserve">To pursue the objective of </w:t>
      </w:r>
      <w:r w:rsidR="006266F0">
        <w:t>“</w:t>
      </w:r>
      <w:r w:rsidRPr="00B47380">
        <w:t>Health for All</w:t>
      </w:r>
      <w:r w:rsidR="006266F0">
        <w:t>”</w:t>
      </w:r>
      <w:r w:rsidRPr="00B47380">
        <w:t xml:space="preserve"> advocated by the WHO, the HB has completed a primary healthcare network through the health centres providing prenatal care, family planning, children</w:t>
      </w:r>
      <w:r w:rsidR="006266F0">
        <w:t>’</w:t>
      </w:r>
      <w:r w:rsidRPr="00B47380">
        <w:t>s healthcare, adult healthcare, oral healthcare, student healthcare, health education and Traditional Chinese Medicine (TCM) services.</w:t>
      </w:r>
    </w:p>
    <w:p w14:paraId="7470425F" w14:textId="77777777" w:rsidR="001D75D7" w:rsidRPr="00B47380" w:rsidRDefault="001D75D7" w:rsidP="00D53B5F">
      <w:pPr>
        <w:pStyle w:val="SingleTxtG"/>
      </w:pPr>
      <w:r w:rsidRPr="00B47380">
        <w:t>224.</w:t>
      </w:r>
      <w:r w:rsidRPr="00B47380">
        <w:tab/>
        <w:t>In 2017, there were 678 private healthcare establishments providing primary healthcare services, including polyclinics (346), establishments of western medicine (152), TCM (118), dental (58) and therapy (4) clinics.</w:t>
      </w:r>
    </w:p>
    <w:p w14:paraId="72A78FC3" w14:textId="5BDC7102" w:rsidR="006A17E2" w:rsidRDefault="001D75D7" w:rsidP="004D6325">
      <w:pPr>
        <w:pStyle w:val="SingleTxtG"/>
      </w:pPr>
      <w:r w:rsidRPr="00B47380">
        <w:t>225.</w:t>
      </w:r>
      <w:r w:rsidRPr="00B47380">
        <w:tab/>
        <w:t>Healthcare and healthcare costs mentioned in the previous report remain unchanged while the subsidy to residents under the Healthcare Subsidy Scheme was raised to MOP$600 annually for their medical expenses in private clinics (AR 6/2018).</w:t>
      </w:r>
    </w:p>
    <w:p w14:paraId="06E49E0F" w14:textId="77777777" w:rsidR="001D75D7" w:rsidRPr="00B47380" w:rsidRDefault="001D75D7" w:rsidP="004D6325">
      <w:pPr>
        <w:pStyle w:val="H23G"/>
      </w:pPr>
      <w:r w:rsidRPr="00B47380">
        <w:lastRenderedPageBreak/>
        <w:tab/>
      </w:r>
      <w:r w:rsidRPr="00B47380">
        <w:tab/>
        <w:t>No. of attendances in CHCSJ and health centres</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822"/>
        <w:gridCol w:w="822"/>
        <w:gridCol w:w="822"/>
        <w:gridCol w:w="822"/>
        <w:gridCol w:w="822"/>
        <w:gridCol w:w="822"/>
        <w:gridCol w:w="822"/>
        <w:gridCol w:w="822"/>
        <w:gridCol w:w="822"/>
        <w:gridCol w:w="823"/>
      </w:tblGrid>
      <w:tr w:rsidR="00B4060E" w:rsidRPr="00B4060E" w14:paraId="516EA620" w14:textId="77777777" w:rsidTr="00E45843">
        <w:trPr>
          <w:cantSplit/>
          <w:tblHeader/>
        </w:trPr>
        <w:tc>
          <w:tcPr>
            <w:tcW w:w="1418" w:type="dxa"/>
            <w:vMerge w:val="restart"/>
            <w:tcBorders>
              <w:top w:val="single" w:sz="4" w:space="0" w:color="auto"/>
              <w:bottom w:val="single" w:sz="12" w:space="0" w:color="auto"/>
            </w:tcBorders>
            <w:shd w:val="clear" w:color="auto" w:fill="auto"/>
            <w:vAlign w:val="bottom"/>
          </w:tcPr>
          <w:p w14:paraId="0B9067D7" w14:textId="77777777" w:rsidR="001D75D7" w:rsidRPr="00B4060E" w:rsidRDefault="001D75D7" w:rsidP="004D6325">
            <w:pPr>
              <w:pStyle w:val="SingleTxtG"/>
              <w:keepNext/>
              <w:keepLines/>
              <w:suppressAutoHyphens w:val="0"/>
              <w:spacing w:before="80" w:after="80" w:line="200" w:lineRule="exact"/>
              <w:ind w:left="0" w:right="113"/>
              <w:jc w:val="left"/>
              <w:rPr>
                <w:i/>
                <w:sz w:val="16"/>
              </w:rPr>
            </w:pPr>
          </w:p>
        </w:tc>
        <w:tc>
          <w:tcPr>
            <w:tcW w:w="1644" w:type="dxa"/>
            <w:gridSpan w:val="2"/>
            <w:tcBorders>
              <w:top w:val="single" w:sz="4" w:space="0" w:color="auto"/>
              <w:bottom w:val="single" w:sz="4" w:space="0" w:color="auto"/>
              <w:right w:val="single" w:sz="24" w:space="0" w:color="FFFFFF" w:themeColor="background1"/>
            </w:tcBorders>
            <w:shd w:val="clear" w:color="auto" w:fill="auto"/>
            <w:vAlign w:val="bottom"/>
          </w:tcPr>
          <w:p w14:paraId="3DEC5409" w14:textId="77777777" w:rsidR="001D75D7" w:rsidRPr="004D6325" w:rsidRDefault="001D75D7" w:rsidP="004D6325">
            <w:pPr>
              <w:pStyle w:val="SingleTxtG"/>
              <w:keepNext/>
              <w:keepLines/>
              <w:suppressAutoHyphens w:val="0"/>
              <w:spacing w:before="80" w:after="80" w:line="200" w:lineRule="exact"/>
              <w:ind w:left="0" w:right="113"/>
              <w:jc w:val="center"/>
              <w:rPr>
                <w:i/>
                <w:sz w:val="16"/>
              </w:rPr>
            </w:pPr>
            <w:r w:rsidRPr="004D6325">
              <w:rPr>
                <w:i/>
                <w:sz w:val="16"/>
              </w:rPr>
              <w:t>2014</w:t>
            </w:r>
          </w:p>
        </w:tc>
        <w:tc>
          <w:tcPr>
            <w:tcW w:w="164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E60A833" w14:textId="77777777" w:rsidR="001D75D7" w:rsidRPr="004D6325" w:rsidRDefault="001D75D7" w:rsidP="004D6325">
            <w:pPr>
              <w:pStyle w:val="SingleTxtG"/>
              <w:keepNext/>
              <w:keepLines/>
              <w:suppressAutoHyphens w:val="0"/>
              <w:spacing w:before="80" w:after="80" w:line="200" w:lineRule="exact"/>
              <w:ind w:left="0" w:right="113"/>
              <w:jc w:val="center"/>
              <w:rPr>
                <w:i/>
                <w:sz w:val="16"/>
              </w:rPr>
            </w:pPr>
            <w:r w:rsidRPr="004D6325">
              <w:rPr>
                <w:i/>
                <w:sz w:val="16"/>
              </w:rPr>
              <w:t>2015</w:t>
            </w:r>
          </w:p>
        </w:tc>
        <w:tc>
          <w:tcPr>
            <w:tcW w:w="164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D217894" w14:textId="77777777" w:rsidR="001D75D7" w:rsidRPr="004D6325" w:rsidRDefault="001D75D7" w:rsidP="004D6325">
            <w:pPr>
              <w:pStyle w:val="SingleTxtG"/>
              <w:keepNext/>
              <w:keepLines/>
              <w:suppressAutoHyphens w:val="0"/>
              <w:spacing w:before="80" w:after="80" w:line="200" w:lineRule="exact"/>
              <w:ind w:left="0" w:right="113"/>
              <w:jc w:val="center"/>
              <w:rPr>
                <w:i/>
                <w:sz w:val="16"/>
              </w:rPr>
            </w:pPr>
            <w:r w:rsidRPr="004D6325">
              <w:rPr>
                <w:i/>
                <w:sz w:val="16"/>
              </w:rPr>
              <w:t>2016</w:t>
            </w:r>
          </w:p>
        </w:tc>
        <w:tc>
          <w:tcPr>
            <w:tcW w:w="164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81BAD9E" w14:textId="77777777" w:rsidR="001D75D7" w:rsidRPr="004D6325" w:rsidRDefault="001D75D7" w:rsidP="004D6325">
            <w:pPr>
              <w:pStyle w:val="SingleTxtG"/>
              <w:keepNext/>
              <w:keepLines/>
              <w:suppressAutoHyphens w:val="0"/>
              <w:spacing w:before="80" w:after="80" w:line="200" w:lineRule="exact"/>
              <w:ind w:left="0" w:right="113"/>
              <w:jc w:val="center"/>
              <w:rPr>
                <w:i/>
                <w:sz w:val="16"/>
              </w:rPr>
            </w:pPr>
            <w:r w:rsidRPr="004D6325">
              <w:rPr>
                <w:i/>
                <w:sz w:val="16"/>
              </w:rPr>
              <w:t>2017</w:t>
            </w:r>
          </w:p>
        </w:tc>
        <w:tc>
          <w:tcPr>
            <w:tcW w:w="1645" w:type="dxa"/>
            <w:gridSpan w:val="2"/>
            <w:tcBorders>
              <w:top w:val="single" w:sz="4" w:space="0" w:color="auto"/>
              <w:left w:val="single" w:sz="24" w:space="0" w:color="FFFFFF" w:themeColor="background1"/>
              <w:bottom w:val="single" w:sz="4" w:space="0" w:color="auto"/>
            </w:tcBorders>
            <w:shd w:val="clear" w:color="auto" w:fill="auto"/>
            <w:vAlign w:val="bottom"/>
          </w:tcPr>
          <w:p w14:paraId="78E056CB" w14:textId="77777777" w:rsidR="001D75D7" w:rsidRPr="004D6325" w:rsidRDefault="001D75D7" w:rsidP="004D6325">
            <w:pPr>
              <w:pStyle w:val="SingleTxtG"/>
              <w:keepNext/>
              <w:keepLines/>
              <w:suppressAutoHyphens w:val="0"/>
              <w:spacing w:before="80" w:after="80" w:line="200" w:lineRule="exact"/>
              <w:ind w:left="0" w:right="113"/>
              <w:jc w:val="center"/>
              <w:rPr>
                <w:i/>
                <w:sz w:val="16"/>
              </w:rPr>
            </w:pPr>
            <w:r w:rsidRPr="004D6325">
              <w:rPr>
                <w:i/>
                <w:sz w:val="16"/>
              </w:rPr>
              <w:t>09/2018</w:t>
            </w:r>
          </w:p>
        </w:tc>
      </w:tr>
      <w:tr w:rsidR="00B4060E" w:rsidRPr="00B4060E" w14:paraId="562E60F2" w14:textId="77777777" w:rsidTr="00E45843">
        <w:trPr>
          <w:cantSplit/>
          <w:tblHeader/>
        </w:trPr>
        <w:tc>
          <w:tcPr>
            <w:tcW w:w="1418" w:type="dxa"/>
            <w:vMerge/>
            <w:tcBorders>
              <w:top w:val="single" w:sz="12" w:space="0" w:color="auto"/>
              <w:bottom w:val="single" w:sz="12" w:space="0" w:color="auto"/>
            </w:tcBorders>
            <w:shd w:val="clear" w:color="auto" w:fill="auto"/>
            <w:vAlign w:val="bottom"/>
          </w:tcPr>
          <w:p w14:paraId="1CE8078C" w14:textId="77777777" w:rsidR="001D75D7" w:rsidRPr="00B4060E" w:rsidRDefault="001D75D7" w:rsidP="004D6325">
            <w:pPr>
              <w:pStyle w:val="SingleTxtG"/>
              <w:keepNext/>
              <w:keepLines/>
              <w:suppressAutoHyphens w:val="0"/>
              <w:spacing w:before="40" w:after="40" w:line="220" w:lineRule="exact"/>
              <w:ind w:left="0" w:right="113"/>
              <w:jc w:val="left"/>
              <w:rPr>
                <w:sz w:val="18"/>
              </w:rPr>
            </w:pPr>
          </w:p>
        </w:tc>
        <w:tc>
          <w:tcPr>
            <w:tcW w:w="822" w:type="dxa"/>
            <w:tcBorders>
              <w:top w:val="single" w:sz="4" w:space="0" w:color="auto"/>
              <w:bottom w:val="single" w:sz="12" w:space="0" w:color="auto"/>
            </w:tcBorders>
            <w:shd w:val="clear" w:color="auto" w:fill="auto"/>
            <w:vAlign w:val="bottom"/>
          </w:tcPr>
          <w:p w14:paraId="0C764B3F" w14:textId="77777777" w:rsidR="001D75D7" w:rsidRPr="006A17E2" w:rsidRDefault="001D75D7" w:rsidP="004D6325">
            <w:pPr>
              <w:pStyle w:val="SingleTxtG"/>
              <w:keepNext/>
              <w:keepLines/>
              <w:suppressAutoHyphens w:val="0"/>
              <w:spacing w:before="40" w:after="40" w:line="220" w:lineRule="exact"/>
              <w:ind w:left="0" w:right="113"/>
              <w:jc w:val="right"/>
              <w:rPr>
                <w:i/>
                <w:sz w:val="16"/>
              </w:rPr>
            </w:pPr>
            <w:r w:rsidRPr="006A17E2">
              <w:rPr>
                <w:i/>
                <w:sz w:val="16"/>
              </w:rPr>
              <w:t>M</w:t>
            </w:r>
          </w:p>
        </w:tc>
        <w:tc>
          <w:tcPr>
            <w:tcW w:w="822" w:type="dxa"/>
            <w:tcBorders>
              <w:top w:val="single" w:sz="4" w:space="0" w:color="auto"/>
              <w:bottom w:val="single" w:sz="12" w:space="0" w:color="auto"/>
              <w:right w:val="single" w:sz="24" w:space="0" w:color="FFFFFF" w:themeColor="background1"/>
            </w:tcBorders>
            <w:shd w:val="clear" w:color="auto" w:fill="auto"/>
            <w:vAlign w:val="bottom"/>
          </w:tcPr>
          <w:p w14:paraId="31316B02" w14:textId="77777777" w:rsidR="001D75D7" w:rsidRPr="006A17E2" w:rsidRDefault="001D75D7" w:rsidP="004D6325">
            <w:pPr>
              <w:pStyle w:val="SingleTxtG"/>
              <w:keepNext/>
              <w:keepLines/>
              <w:suppressAutoHyphens w:val="0"/>
              <w:spacing w:before="40" w:after="40" w:line="220" w:lineRule="exact"/>
              <w:ind w:left="0" w:right="113"/>
              <w:jc w:val="right"/>
              <w:rPr>
                <w:i/>
                <w:sz w:val="16"/>
              </w:rPr>
            </w:pPr>
            <w:r w:rsidRPr="006A17E2">
              <w:rPr>
                <w:i/>
                <w:sz w:val="16"/>
              </w:rPr>
              <w:t>F</w:t>
            </w:r>
          </w:p>
        </w:tc>
        <w:tc>
          <w:tcPr>
            <w:tcW w:w="822" w:type="dxa"/>
            <w:tcBorders>
              <w:top w:val="single" w:sz="4" w:space="0" w:color="auto"/>
              <w:left w:val="single" w:sz="24" w:space="0" w:color="FFFFFF" w:themeColor="background1"/>
              <w:bottom w:val="single" w:sz="12" w:space="0" w:color="auto"/>
            </w:tcBorders>
            <w:shd w:val="clear" w:color="auto" w:fill="auto"/>
            <w:vAlign w:val="bottom"/>
          </w:tcPr>
          <w:p w14:paraId="4FE2EB44" w14:textId="77777777" w:rsidR="001D75D7" w:rsidRPr="006A17E2" w:rsidRDefault="001D75D7" w:rsidP="004D6325">
            <w:pPr>
              <w:pStyle w:val="SingleTxtG"/>
              <w:keepNext/>
              <w:keepLines/>
              <w:suppressAutoHyphens w:val="0"/>
              <w:spacing w:before="40" w:after="40" w:line="220" w:lineRule="exact"/>
              <w:ind w:left="0" w:right="113"/>
              <w:jc w:val="right"/>
              <w:rPr>
                <w:i/>
                <w:sz w:val="16"/>
              </w:rPr>
            </w:pPr>
            <w:r w:rsidRPr="006A17E2">
              <w:rPr>
                <w:i/>
                <w:sz w:val="16"/>
              </w:rPr>
              <w:t>M</w:t>
            </w:r>
          </w:p>
        </w:tc>
        <w:tc>
          <w:tcPr>
            <w:tcW w:w="822" w:type="dxa"/>
            <w:tcBorders>
              <w:top w:val="single" w:sz="4" w:space="0" w:color="auto"/>
              <w:bottom w:val="single" w:sz="12" w:space="0" w:color="auto"/>
              <w:right w:val="single" w:sz="24" w:space="0" w:color="FFFFFF" w:themeColor="background1"/>
            </w:tcBorders>
            <w:shd w:val="clear" w:color="auto" w:fill="auto"/>
            <w:vAlign w:val="bottom"/>
          </w:tcPr>
          <w:p w14:paraId="4F686ABE" w14:textId="77777777" w:rsidR="001D75D7" w:rsidRPr="006A17E2" w:rsidRDefault="001D75D7" w:rsidP="004D6325">
            <w:pPr>
              <w:pStyle w:val="SingleTxtG"/>
              <w:keepNext/>
              <w:keepLines/>
              <w:suppressAutoHyphens w:val="0"/>
              <w:spacing w:before="40" w:after="40" w:line="220" w:lineRule="exact"/>
              <w:ind w:left="0" w:right="113"/>
              <w:jc w:val="right"/>
              <w:rPr>
                <w:i/>
                <w:sz w:val="16"/>
              </w:rPr>
            </w:pPr>
            <w:r w:rsidRPr="006A17E2">
              <w:rPr>
                <w:i/>
                <w:sz w:val="16"/>
              </w:rPr>
              <w:t>F</w:t>
            </w:r>
          </w:p>
        </w:tc>
        <w:tc>
          <w:tcPr>
            <w:tcW w:w="822" w:type="dxa"/>
            <w:tcBorders>
              <w:top w:val="single" w:sz="4" w:space="0" w:color="auto"/>
              <w:left w:val="single" w:sz="24" w:space="0" w:color="FFFFFF" w:themeColor="background1"/>
              <w:bottom w:val="single" w:sz="12" w:space="0" w:color="auto"/>
            </w:tcBorders>
            <w:shd w:val="clear" w:color="auto" w:fill="auto"/>
            <w:vAlign w:val="bottom"/>
          </w:tcPr>
          <w:p w14:paraId="73D3C919" w14:textId="77777777" w:rsidR="001D75D7" w:rsidRPr="006A17E2" w:rsidRDefault="001D75D7" w:rsidP="004D6325">
            <w:pPr>
              <w:pStyle w:val="SingleTxtG"/>
              <w:keepNext/>
              <w:keepLines/>
              <w:suppressAutoHyphens w:val="0"/>
              <w:spacing w:before="40" w:after="40" w:line="220" w:lineRule="exact"/>
              <w:ind w:left="0" w:right="113"/>
              <w:jc w:val="right"/>
              <w:rPr>
                <w:i/>
                <w:sz w:val="16"/>
              </w:rPr>
            </w:pPr>
            <w:r w:rsidRPr="006A17E2">
              <w:rPr>
                <w:i/>
                <w:sz w:val="16"/>
              </w:rPr>
              <w:t>M</w:t>
            </w:r>
          </w:p>
        </w:tc>
        <w:tc>
          <w:tcPr>
            <w:tcW w:w="822" w:type="dxa"/>
            <w:tcBorders>
              <w:top w:val="single" w:sz="4" w:space="0" w:color="auto"/>
              <w:bottom w:val="single" w:sz="12" w:space="0" w:color="auto"/>
              <w:right w:val="single" w:sz="24" w:space="0" w:color="FFFFFF" w:themeColor="background1"/>
            </w:tcBorders>
            <w:shd w:val="clear" w:color="auto" w:fill="auto"/>
            <w:vAlign w:val="bottom"/>
          </w:tcPr>
          <w:p w14:paraId="1ED6A843" w14:textId="77777777" w:rsidR="001D75D7" w:rsidRPr="006A17E2" w:rsidRDefault="001D75D7" w:rsidP="004D6325">
            <w:pPr>
              <w:pStyle w:val="SingleTxtG"/>
              <w:keepNext/>
              <w:keepLines/>
              <w:suppressAutoHyphens w:val="0"/>
              <w:spacing w:before="40" w:after="40" w:line="220" w:lineRule="exact"/>
              <w:ind w:left="0" w:right="113"/>
              <w:jc w:val="right"/>
              <w:rPr>
                <w:i/>
                <w:sz w:val="16"/>
              </w:rPr>
            </w:pPr>
            <w:r w:rsidRPr="006A17E2">
              <w:rPr>
                <w:i/>
                <w:sz w:val="16"/>
              </w:rPr>
              <w:t>F</w:t>
            </w:r>
          </w:p>
        </w:tc>
        <w:tc>
          <w:tcPr>
            <w:tcW w:w="822" w:type="dxa"/>
            <w:tcBorders>
              <w:top w:val="single" w:sz="4" w:space="0" w:color="auto"/>
              <w:left w:val="single" w:sz="24" w:space="0" w:color="FFFFFF" w:themeColor="background1"/>
              <w:bottom w:val="single" w:sz="12" w:space="0" w:color="auto"/>
            </w:tcBorders>
            <w:shd w:val="clear" w:color="auto" w:fill="auto"/>
            <w:vAlign w:val="bottom"/>
          </w:tcPr>
          <w:p w14:paraId="2C01E6A3" w14:textId="77777777" w:rsidR="001D75D7" w:rsidRPr="006A17E2" w:rsidRDefault="001D75D7" w:rsidP="004D6325">
            <w:pPr>
              <w:pStyle w:val="SingleTxtG"/>
              <w:keepNext/>
              <w:keepLines/>
              <w:suppressAutoHyphens w:val="0"/>
              <w:spacing w:before="40" w:after="40" w:line="220" w:lineRule="exact"/>
              <w:ind w:left="0" w:right="113"/>
              <w:jc w:val="right"/>
              <w:rPr>
                <w:i/>
                <w:sz w:val="16"/>
              </w:rPr>
            </w:pPr>
            <w:r w:rsidRPr="006A17E2">
              <w:rPr>
                <w:i/>
                <w:sz w:val="16"/>
              </w:rPr>
              <w:t>M</w:t>
            </w:r>
          </w:p>
        </w:tc>
        <w:tc>
          <w:tcPr>
            <w:tcW w:w="822" w:type="dxa"/>
            <w:tcBorders>
              <w:top w:val="single" w:sz="4" w:space="0" w:color="auto"/>
              <w:bottom w:val="single" w:sz="12" w:space="0" w:color="auto"/>
              <w:right w:val="single" w:sz="24" w:space="0" w:color="FFFFFF" w:themeColor="background1"/>
            </w:tcBorders>
            <w:shd w:val="clear" w:color="auto" w:fill="auto"/>
            <w:vAlign w:val="bottom"/>
          </w:tcPr>
          <w:p w14:paraId="5FF9BBF4" w14:textId="77777777" w:rsidR="001D75D7" w:rsidRPr="006A17E2" w:rsidRDefault="001D75D7" w:rsidP="004D6325">
            <w:pPr>
              <w:pStyle w:val="SingleTxtG"/>
              <w:keepNext/>
              <w:keepLines/>
              <w:suppressAutoHyphens w:val="0"/>
              <w:spacing w:before="40" w:after="40" w:line="220" w:lineRule="exact"/>
              <w:ind w:left="0" w:right="113"/>
              <w:jc w:val="right"/>
              <w:rPr>
                <w:i/>
                <w:sz w:val="16"/>
              </w:rPr>
            </w:pPr>
            <w:r w:rsidRPr="006A17E2">
              <w:rPr>
                <w:i/>
                <w:sz w:val="16"/>
              </w:rPr>
              <w:t>F</w:t>
            </w:r>
          </w:p>
        </w:tc>
        <w:tc>
          <w:tcPr>
            <w:tcW w:w="822" w:type="dxa"/>
            <w:tcBorders>
              <w:top w:val="single" w:sz="4" w:space="0" w:color="auto"/>
              <w:left w:val="single" w:sz="24" w:space="0" w:color="FFFFFF" w:themeColor="background1"/>
              <w:bottom w:val="single" w:sz="12" w:space="0" w:color="auto"/>
            </w:tcBorders>
            <w:shd w:val="clear" w:color="auto" w:fill="auto"/>
            <w:vAlign w:val="bottom"/>
          </w:tcPr>
          <w:p w14:paraId="0AAC5716" w14:textId="77777777" w:rsidR="001D75D7" w:rsidRPr="006A17E2" w:rsidRDefault="001D75D7" w:rsidP="004D6325">
            <w:pPr>
              <w:pStyle w:val="SingleTxtG"/>
              <w:keepNext/>
              <w:keepLines/>
              <w:suppressAutoHyphens w:val="0"/>
              <w:spacing w:before="40" w:after="40" w:line="220" w:lineRule="exact"/>
              <w:ind w:left="0" w:right="113"/>
              <w:jc w:val="right"/>
              <w:rPr>
                <w:i/>
                <w:sz w:val="16"/>
              </w:rPr>
            </w:pPr>
            <w:r w:rsidRPr="006A17E2">
              <w:rPr>
                <w:i/>
                <w:sz w:val="16"/>
              </w:rPr>
              <w:t>M</w:t>
            </w:r>
          </w:p>
        </w:tc>
        <w:tc>
          <w:tcPr>
            <w:tcW w:w="823" w:type="dxa"/>
            <w:tcBorders>
              <w:top w:val="single" w:sz="4" w:space="0" w:color="auto"/>
              <w:bottom w:val="single" w:sz="12" w:space="0" w:color="auto"/>
            </w:tcBorders>
            <w:shd w:val="clear" w:color="auto" w:fill="auto"/>
            <w:vAlign w:val="bottom"/>
          </w:tcPr>
          <w:p w14:paraId="1095997F" w14:textId="77777777" w:rsidR="001D75D7" w:rsidRPr="006A17E2" w:rsidRDefault="001D75D7" w:rsidP="004D6325">
            <w:pPr>
              <w:pStyle w:val="SingleTxtG"/>
              <w:keepNext/>
              <w:keepLines/>
              <w:suppressAutoHyphens w:val="0"/>
              <w:spacing w:before="40" w:after="40" w:line="220" w:lineRule="exact"/>
              <w:ind w:left="0" w:right="113"/>
              <w:jc w:val="right"/>
              <w:rPr>
                <w:i/>
                <w:sz w:val="16"/>
              </w:rPr>
            </w:pPr>
            <w:r w:rsidRPr="006A17E2">
              <w:rPr>
                <w:i/>
                <w:sz w:val="16"/>
              </w:rPr>
              <w:t>F</w:t>
            </w:r>
          </w:p>
        </w:tc>
      </w:tr>
      <w:tr w:rsidR="00B4060E" w:rsidRPr="00B4060E" w14:paraId="6785438B" w14:textId="77777777" w:rsidTr="00E45843">
        <w:trPr>
          <w:cantSplit/>
        </w:trPr>
        <w:tc>
          <w:tcPr>
            <w:tcW w:w="1418" w:type="dxa"/>
            <w:tcBorders>
              <w:top w:val="single" w:sz="12" w:space="0" w:color="auto"/>
            </w:tcBorders>
            <w:shd w:val="clear" w:color="auto" w:fill="auto"/>
          </w:tcPr>
          <w:p w14:paraId="4C4A0C83" w14:textId="77777777" w:rsidR="001D75D7" w:rsidRPr="00B4060E" w:rsidRDefault="001D75D7" w:rsidP="004D6325">
            <w:pPr>
              <w:pStyle w:val="SingleTxtG"/>
              <w:keepNext/>
              <w:keepLines/>
              <w:suppressAutoHyphens w:val="0"/>
              <w:spacing w:before="40" w:after="40" w:line="220" w:lineRule="exact"/>
              <w:ind w:left="0" w:right="113"/>
              <w:jc w:val="left"/>
              <w:rPr>
                <w:sz w:val="18"/>
              </w:rPr>
            </w:pPr>
            <w:r w:rsidRPr="00B4060E">
              <w:rPr>
                <w:sz w:val="18"/>
              </w:rPr>
              <w:t>CHCSJ Specialist Outpatient</w:t>
            </w:r>
          </w:p>
        </w:tc>
        <w:tc>
          <w:tcPr>
            <w:tcW w:w="822" w:type="dxa"/>
            <w:tcBorders>
              <w:top w:val="single" w:sz="12" w:space="0" w:color="auto"/>
            </w:tcBorders>
            <w:shd w:val="clear" w:color="auto" w:fill="auto"/>
            <w:vAlign w:val="bottom"/>
          </w:tcPr>
          <w:p w14:paraId="4FCEED4F" w14:textId="562E8065" w:rsidR="001D75D7" w:rsidRPr="00B4060E" w:rsidRDefault="001D75D7" w:rsidP="004D6325">
            <w:pPr>
              <w:pStyle w:val="SingleTxtG"/>
              <w:keepNext/>
              <w:keepLines/>
              <w:suppressAutoHyphens w:val="0"/>
              <w:spacing w:before="40" w:after="40" w:line="220" w:lineRule="exact"/>
              <w:ind w:left="0" w:right="113"/>
              <w:jc w:val="right"/>
              <w:rPr>
                <w:sz w:val="18"/>
              </w:rPr>
            </w:pPr>
            <w:r w:rsidRPr="00B4060E">
              <w:rPr>
                <w:sz w:val="18"/>
              </w:rPr>
              <w:t>165</w:t>
            </w:r>
            <w:r w:rsidR="006A17E2">
              <w:rPr>
                <w:sz w:val="18"/>
              </w:rPr>
              <w:t xml:space="preserve"> </w:t>
            </w:r>
            <w:r w:rsidRPr="00B4060E">
              <w:rPr>
                <w:sz w:val="18"/>
              </w:rPr>
              <w:t>517</w:t>
            </w:r>
          </w:p>
        </w:tc>
        <w:tc>
          <w:tcPr>
            <w:tcW w:w="822" w:type="dxa"/>
            <w:tcBorders>
              <w:top w:val="single" w:sz="12" w:space="0" w:color="auto"/>
            </w:tcBorders>
            <w:shd w:val="clear" w:color="auto" w:fill="auto"/>
            <w:vAlign w:val="bottom"/>
          </w:tcPr>
          <w:p w14:paraId="5072C2DE" w14:textId="19A80B3D" w:rsidR="001D75D7" w:rsidRPr="00B4060E" w:rsidRDefault="001D75D7" w:rsidP="004D6325">
            <w:pPr>
              <w:pStyle w:val="SingleTxtG"/>
              <w:keepNext/>
              <w:keepLines/>
              <w:suppressAutoHyphens w:val="0"/>
              <w:spacing w:before="40" w:after="40" w:line="220" w:lineRule="exact"/>
              <w:ind w:left="0" w:right="113"/>
              <w:jc w:val="right"/>
              <w:rPr>
                <w:sz w:val="18"/>
              </w:rPr>
            </w:pPr>
            <w:r w:rsidRPr="00B4060E">
              <w:rPr>
                <w:sz w:val="18"/>
              </w:rPr>
              <w:t>202</w:t>
            </w:r>
            <w:r w:rsidR="006A17E2">
              <w:rPr>
                <w:sz w:val="18"/>
              </w:rPr>
              <w:t xml:space="preserve"> </w:t>
            </w:r>
            <w:r w:rsidRPr="00B4060E">
              <w:rPr>
                <w:sz w:val="18"/>
              </w:rPr>
              <w:t>487</w:t>
            </w:r>
          </w:p>
        </w:tc>
        <w:tc>
          <w:tcPr>
            <w:tcW w:w="822" w:type="dxa"/>
            <w:tcBorders>
              <w:top w:val="single" w:sz="12" w:space="0" w:color="auto"/>
            </w:tcBorders>
            <w:shd w:val="clear" w:color="auto" w:fill="auto"/>
            <w:vAlign w:val="bottom"/>
          </w:tcPr>
          <w:p w14:paraId="5DAAB050" w14:textId="1A8C7733" w:rsidR="001D75D7" w:rsidRPr="00B4060E" w:rsidRDefault="001D75D7" w:rsidP="004D6325">
            <w:pPr>
              <w:pStyle w:val="SingleTxtG"/>
              <w:keepNext/>
              <w:keepLines/>
              <w:suppressAutoHyphens w:val="0"/>
              <w:spacing w:before="40" w:after="40" w:line="220" w:lineRule="exact"/>
              <w:ind w:left="0" w:right="113"/>
              <w:jc w:val="right"/>
              <w:rPr>
                <w:sz w:val="18"/>
              </w:rPr>
            </w:pPr>
            <w:r w:rsidRPr="00B4060E">
              <w:rPr>
                <w:sz w:val="18"/>
              </w:rPr>
              <w:t>170</w:t>
            </w:r>
            <w:r w:rsidR="006A17E2">
              <w:rPr>
                <w:sz w:val="18"/>
              </w:rPr>
              <w:t xml:space="preserve"> </w:t>
            </w:r>
            <w:r w:rsidRPr="00B4060E">
              <w:rPr>
                <w:sz w:val="18"/>
              </w:rPr>
              <w:t>155</w:t>
            </w:r>
          </w:p>
        </w:tc>
        <w:tc>
          <w:tcPr>
            <w:tcW w:w="822" w:type="dxa"/>
            <w:tcBorders>
              <w:top w:val="single" w:sz="12" w:space="0" w:color="auto"/>
            </w:tcBorders>
            <w:shd w:val="clear" w:color="auto" w:fill="auto"/>
            <w:vAlign w:val="bottom"/>
          </w:tcPr>
          <w:p w14:paraId="783ADBF4" w14:textId="4D268DB4" w:rsidR="001D75D7" w:rsidRPr="00B4060E" w:rsidRDefault="001D75D7" w:rsidP="004D6325">
            <w:pPr>
              <w:pStyle w:val="SingleTxtG"/>
              <w:keepNext/>
              <w:keepLines/>
              <w:suppressAutoHyphens w:val="0"/>
              <w:spacing w:before="40" w:after="40" w:line="220" w:lineRule="exact"/>
              <w:ind w:left="0" w:right="113"/>
              <w:jc w:val="right"/>
              <w:rPr>
                <w:sz w:val="18"/>
              </w:rPr>
            </w:pPr>
            <w:r w:rsidRPr="00B4060E">
              <w:rPr>
                <w:sz w:val="18"/>
              </w:rPr>
              <w:t>204</w:t>
            </w:r>
            <w:r w:rsidR="006A17E2">
              <w:rPr>
                <w:sz w:val="18"/>
              </w:rPr>
              <w:t xml:space="preserve"> </w:t>
            </w:r>
            <w:r w:rsidRPr="00B4060E">
              <w:rPr>
                <w:sz w:val="18"/>
              </w:rPr>
              <w:t>055</w:t>
            </w:r>
          </w:p>
        </w:tc>
        <w:tc>
          <w:tcPr>
            <w:tcW w:w="822" w:type="dxa"/>
            <w:tcBorders>
              <w:top w:val="single" w:sz="12" w:space="0" w:color="auto"/>
            </w:tcBorders>
            <w:shd w:val="clear" w:color="auto" w:fill="auto"/>
            <w:vAlign w:val="bottom"/>
          </w:tcPr>
          <w:p w14:paraId="05151941" w14:textId="21A6DDCB" w:rsidR="001D75D7" w:rsidRPr="00B4060E" w:rsidRDefault="001D75D7" w:rsidP="004D6325">
            <w:pPr>
              <w:pStyle w:val="SingleTxtG"/>
              <w:keepNext/>
              <w:keepLines/>
              <w:suppressAutoHyphens w:val="0"/>
              <w:spacing w:before="40" w:after="40" w:line="220" w:lineRule="exact"/>
              <w:ind w:left="0" w:right="113"/>
              <w:jc w:val="right"/>
              <w:rPr>
                <w:sz w:val="18"/>
              </w:rPr>
            </w:pPr>
            <w:r w:rsidRPr="00B4060E">
              <w:rPr>
                <w:sz w:val="18"/>
              </w:rPr>
              <w:t>179</w:t>
            </w:r>
            <w:r w:rsidR="006A17E2">
              <w:rPr>
                <w:sz w:val="18"/>
              </w:rPr>
              <w:t xml:space="preserve"> </w:t>
            </w:r>
            <w:r w:rsidRPr="00B4060E">
              <w:rPr>
                <w:sz w:val="18"/>
              </w:rPr>
              <w:t>915</w:t>
            </w:r>
          </w:p>
        </w:tc>
        <w:tc>
          <w:tcPr>
            <w:tcW w:w="822" w:type="dxa"/>
            <w:tcBorders>
              <w:top w:val="single" w:sz="12" w:space="0" w:color="auto"/>
            </w:tcBorders>
            <w:shd w:val="clear" w:color="auto" w:fill="auto"/>
            <w:vAlign w:val="bottom"/>
          </w:tcPr>
          <w:p w14:paraId="15767E99" w14:textId="626ECE64" w:rsidR="001D75D7" w:rsidRPr="00B4060E" w:rsidRDefault="001D75D7" w:rsidP="004D6325">
            <w:pPr>
              <w:pStyle w:val="SingleTxtG"/>
              <w:keepNext/>
              <w:keepLines/>
              <w:suppressAutoHyphens w:val="0"/>
              <w:spacing w:before="40" w:after="40" w:line="220" w:lineRule="exact"/>
              <w:ind w:left="0" w:right="113"/>
              <w:jc w:val="right"/>
              <w:rPr>
                <w:sz w:val="18"/>
              </w:rPr>
            </w:pPr>
            <w:r w:rsidRPr="00B4060E">
              <w:rPr>
                <w:sz w:val="18"/>
              </w:rPr>
              <w:t>212</w:t>
            </w:r>
            <w:r w:rsidR="006A17E2">
              <w:rPr>
                <w:sz w:val="18"/>
              </w:rPr>
              <w:t xml:space="preserve"> </w:t>
            </w:r>
            <w:r w:rsidRPr="00B4060E">
              <w:rPr>
                <w:sz w:val="18"/>
              </w:rPr>
              <w:t>516</w:t>
            </w:r>
          </w:p>
        </w:tc>
        <w:tc>
          <w:tcPr>
            <w:tcW w:w="822" w:type="dxa"/>
            <w:tcBorders>
              <w:top w:val="single" w:sz="12" w:space="0" w:color="auto"/>
            </w:tcBorders>
            <w:shd w:val="clear" w:color="auto" w:fill="auto"/>
            <w:vAlign w:val="bottom"/>
          </w:tcPr>
          <w:p w14:paraId="7DE37EF5" w14:textId="63370F2F" w:rsidR="001D75D7" w:rsidRPr="00B4060E" w:rsidRDefault="001D75D7" w:rsidP="004D6325">
            <w:pPr>
              <w:pStyle w:val="SingleTxtG"/>
              <w:keepNext/>
              <w:keepLines/>
              <w:suppressAutoHyphens w:val="0"/>
              <w:spacing w:before="40" w:after="40" w:line="220" w:lineRule="exact"/>
              <w:ind w:left="0" w:right="113"/>
              <w:jc w:val="right"/>
              <w:rPr>
                <w:sz w:val="18"/>
              </w:rPr>
            </w:pPr>
            <w:r w:rsidRPr="00B4060E">
              <w:rPr>
                <w:sz w:val="18"/>
              </w:rPr>
              <w:t>189</w:t>
            </w:r>
            <w:r w:rsidR="006A17E2">
              <w:rPr>
                <w:sz w:val="18"/>
              </w:rPr>
              <w:t xml:space="preserve"> </w:t>
            </w:r>
            <w:r w:rsidRPr="00B4060E">
              <w:rPr>
                <w:sz w:val="18"/>
              </w:rPr>
              <w:t>195</w:t>
            </w:r>
          </w:p>
        </w:tc>
        <w:tc>
          <w:tcPr>
            <w:tcW w:w="822" w:type="dxa"/>
            <w:tcBorders>
              <w:top w:val="single" w:sz="12" w:space="0" w:color="auto"/>
            </w:tcBorders>
            <w:shd w:val="clear" w:color="auto" w:fill="auto"/>
            <w:vAlign w:val="bottom"/>
          </w:tcPr>
          <w:p w14:paraId="1B8A72DE" w14:textId="22B7BBDF" w:rsidR="001D75D7" w:rsidRPr="00B4060E" w:rsidRDefault="001D75D7" w:rsidP="004D6325">
            <w:pPr>
              <w:pStyle w:val="SingleTxtG"/>
              <w:keepNext/>
              <w:keepLines/>
              <w:suppressAutoHyphens w:val="0"/>
              <w:spacing w:before="40" w:after="40" w:line="220" w:lineRule="exact"/>
              <w:ind w:left="0" w:right="113"/>
              <w:jc w:val="right"/>
              <w:rPr>
                <w:sz w:val="18"/>
              </w:rPr>
            </w:pPr>
            <w:r w:rsidRPr="00B4060E">
              <w:rPr>
                <w:sz w:val="18"/>
              </w:rPr>
              <w:t>221</w:t>
            </w:r>
            <w:r w:rsidR="006A17E2">
              <w:rPr>
                <w:sz w:val="18"/>
              </w:rPr>
              <w:t xml:space="preserve"> </w:t>
            </w:r>
            <w:r w:rsidRPr="00B4060E">
              <w:rPr>
                <w:sz w:val="18"/>
              </w:rPr>
              <w:t>279</w:t>
            </w:r>
          </w:p>
        </w:tc>
        <w:tc>
          <w:tcPr>
            <w:tcW w:w="822" w:type="dxa"/>
            <w:tcBorders>
              <w:top w:val="single" w:sz="12" w:space="0" w:color="auto"/>
            </w:tcBorders>
            <w:shd w:val="clear" w:color="auto" w:fill="auto"/>
            <w:vAlign w:val="bottom"/>
          </w:tcPr>
          <w:p w14:paraId="29657DD9" w14:textId="426E2602" w:rsidR="001D75D7" w:rsidRPr="00B4060E" w:rsidRDefault="001D75D7" w:rsidP="004D6325">
            <w:pPr>
              <w:pStyle w:val="SingleTxtG"/>
              <w:keepNext/>
              <w:keepLines/>
              <w:suppressAutoHyphens w:val="0"/>
              <w:spacing w:before="40" w:after="40" w:line="220" w:lineRule="exact"/>
              <w:ind w:left="0" w:right="113"/>
              <w:jc w:val="right"/>
              <w:rPr>
                <w:sz w:val="18"/>
              </w:rPr>
            </w:pPr>
            <w:r w:rsidRPr="00B4060E">
              <w:rPr>
                <w:sz w:val="18"/>
              </w:rPr>
              <w:t>182</w:t>
            </w:r>
            <w:r w:rsidR="006A17E2">
              <w:rPr>
                <w:sz w:val="18"/>
              </w:rPr>
              <w:t xml:space="preserve"> </w:t>
            </w:r>
            <w:r w:rsidRPr="00B4060E">
              <w:rPr>
                <w:sz w:val="18"/>
              </w:rPr>
              <w:t>190</w:t>
            </w:r>
          </w:p>
        </w:tc>
        <w:tc>
          <w:tcPr>
            <w:tcW w:w="823" w:type="dxa"/>
            <w:tcBorders>
              <w:top w:val="single" w:sz="12" w:space="0" w:color="auto"/>
            </w:tcBorders>
            <w:shd w:val="clear" w:color="auto" w:fill="auto"/>
            <w:vAlign w:val="bottom"/>
          </w:tcPr>
          <w:p w14:paraId="3599C772" w14:textId="391C9912" w:rsidR="001D75D7" w:rsidRPr="00B4060E" w:rsidRDefault="001D75D7" w:rsidP="004D6325">
            <w:pPr>
              <w:pStyle w:val="SingleTxtG"/>
              <w:keepNext/>
              <w:keepLines/>
              <w:suppressAutoHyphens w:val="0"/>
              <w:spacing w:before="40" w:after="40" w:line="220" w:lineRule="exact"/>
              <w:ind w:left="0" w:right="113"/>
              <w:jc w:val="right"/>
              <w:rPr>
                <w:sz w:val="18"/>
              </w:rPr>
            </w:pPr>
            <w:r w:rsidRPr="00B4060E">
              <w:rPr>
                <w:sz w:val="18"/>
              </w:rPr>
              <w:t>147</w:t>
            </w:r>
            <w:r w:rsidR="006A17E2">
              <w:rPr>
                <w:sz w:val="18"/>
              </w:rPr>
              <w:t xml:space="preserve"> </w:t>
            </w:r>
            <w:r w:rsidRPr="00B4060E">
              <w:rPr>
                <w:sz w:val="18"/>
              </w:rPr>
              <w:t>640</w:t>
            </w:r>
          </w:p>
        </w:tc>
      </w:tr>
      <w:tr w:rsidR="00B4060E" w:rsidRPr="00B4060E" w14:paraId="04F668DC" w14:textId="77777777" w:rsidTr="00E45843">
        <w:trPr>
          <w:cantSplit/>
        </w:trPr>
        <w:tc>
          <w:tcPr>
            <w:tcW w:w="1418" w:type="dxa"/>
            <w:shd w:val="clear" w:color="auto" w:fill="auto"/>
          </w:tcPr>
          <w:p w14:paraId="7E7D113F"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CHCSJ Accident &amp; Emergency</w:t>
            </w:r>
          </w:p>
        </w:tc>
        <w:tc>
          <w:tcPr>
            <w:tcW w:w="822" w:type="dxa"/>
            <w:shd w:val="clear" w:color="auto" w:fill="auto"/>
            <w:vAlign w:val="bottom"/>
          </w:tcPr>
          <w:p w14:paraId="1F0B915B" w14:textId="57F2AEEE"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136</w:t>
            </w:r>
            <w:r w:rsidR="006A17E2">
              <w:rPr>
                <w:sz w:val="18"/>
              </w:rPr>
              <w:t xml:space="preserve"> </w:t>
            </w:r>
            <w:r w:rsidRPr="00B4060E">
              <w:rPr>
                <w:sz w:val="18"/>
              </w:rPr>
              <w:t>089</w:t>
            </w:r>
          </w:p>
        </w:tc>
        <w:tc>
          <w:tcPr>
            <w:tcW w:w="822" w:type="dxa"/>
            <w:shd w:val="clear" w:color="auto" w:fill="auto"/>
            <w:vAlign w:val="bottom"/>
          </w:tcPr>
          <w:p w14:paraId="19D40017" w14:textId="39F1E66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147</w:t>
            </w:r>
            <w:r w:rsidR="006A17E2">
              <w:rPr>
                <w:sz w:val="18"/>
              </w:rPr>
              <w:t xml:space="preserve"> </w:t>
            </w:r>
            <w:r w:rsidRPr="00B4060E">
              <w:rPr>
                <w:sz w:val="18"/>
              </w:rPr>
              <w:t>323</w:t>
            </w:r>
          </w:p>
        </w:tc>
        <w:tc>
          <w:tcPr>
            <w:tcW w:w="822" w:type="dxa"/>
            <w:shd w:val="clear" w:color="auto" w:fill="auto"/>
            <w:vAlign w:val="bottom"/>
          </w:tcPr>
          <w:p w14:paraId="75143663" w14:textId="56C69275"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139</w:t>
            </w:r>
            <w:r w:rsidR="006A17E2">
              <w:rPr>
                <w:sz w:val="18"/>
              </w:rPr>
              <w:t xml:space="preserve"> </w:t>
            </w:r>
            <w:r w:rsidRPr="00B4060E">
              <w:rPr>
                <w:sz w:val="18"/>
              </w:rPr>
              <w:t>367</w:t>
            </w:r>
          </w:p>
        </w:tc>
        <w:tc>
          <w:tcPr>
            <w:tcW w:w="822" w:type="dxa"/>
            <w:shd w:val="clear" w:color="auto" w:fill="auto"/>
            <w:vAlign w:val="bottom"/>
          </w:tcPr>
          <w:p w14:paraId="23777179" w14:textId="24369D0D"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152</w:t>
            </w:r>
            <w:r w:rsidR="006A17E2">
              <w:rPr>
                <w:sz w:val="18"/>
              </w:rPr>
              <w:t xml:space="preserve"> </w:t>
            </w:r>
            <w:r w:rsidRPr="00B4060E">
              <w:rPr>
                <w:sz w:val="18"/>
              </w:rPr>
              <w:t>970</w:t>
            </w:r>
          </w:p>
        </w:tc>
        <w:tc>
          <w:tcPr>
            <w:tcW w:w="822" w:type="dxa"/>
            <w:shd w:val="clear" w:color="auto" w:fill="auto"/>
            <w:vAlign w:val="bottom"/>
          </w:tcPr>
          <w:p w14:paraId="3848EC06" w14:textId="051C0C6C"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146</w:t>
            </w:r>
            <w:r w:rsidR="006A17E2">
              <w:rPr>
                <w:sz w:val="18"/>
              </w:rPr>
              <w:t xml:space="preserve"> </w:t>
            </w:r>
            <w:r w:rsidRPr="00B4060E">
              <w:rPr>
                <w:sz w:val="18"/>
              </w:rPr>
              <w:t>427</w:t>
            </w:r>
          </w:p>
        </w:tc>
        <w:tc>
          <w:tcPr>
            <w:tcW w:w="822" w:type="dxa"/>
            <w:shd w:val="clear" w:color="auto" w:fill="auto"/>
            <w:vAlign w:val="bottom"/>
          </w:tcPr>
          <w:p w14:paraId="60937D71" w14:textId="6733BEE5"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159</w:t>
            </w:r>
            <w:r w:rsidR="006A17E2">
              <w:rPr>
                <w:sz w:val="18"/>
              </w:rPr>
              <w:t xml:space="preserve"> </w:t>
            </w:r>
            <w:r w:rsidRPr="00B4060E">
              <w:rPr>
                <w:sz w:val="18"/>
              </w:rPr>
              <w:t>085</w:t>
            </w:r>
          </w:p>
        </w:tc>
        <w:tc>
          <w:tcPr>
            <w:tcW w:w="822" w:type="dxa"/>
            <w:shd w:val="clear" w:color="auto" w:fill="auto"/>
            <w:vAlign w:val="bottom"/>
          </w:tcPr>
          <w:p w14:paraId="15403B09" w14:textId="7B47713E"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148</w:t>
            </w:r>
            <w:r w:rsidR="006A17E2">
              <w:rPr>
                <w:sz w:val="18"/>
              </w:rPr>
              <w:t xml:space="preserve"> </w:t>
            </w:r>
            <w:r w:rsidRPr="00B4060E">
              <w:rPr>
                <w:sz w:val="18"/>
              </w:rPr>
              <w:t>929</w:t>
            </w:r>
          </w:p>
        </w:tc>
        <w:tc>
          <w:tcPr>
            <w:tcW w:w="822" w:type="dxa"/>
            <w:shd w:val="clear" w:color="auto" w:fill="auto"/>
            <w:vAlign w:val="bottom"/>
          </w:tcPr>
          <w:p w14:paraId="5C2579B9" w14:textId="1A85C38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162</w:t>
            </w:r>
            <w:r w:rsidR="006A17E2">
              <w:rPr>
                <w:sz w:val="18"/>
              </w:rPr>
              <w:t xml:space="preserve"> </w:t>
            </w:r>
            <w:r w:rsidRPr="00B4060E">
              <w:rPr>
                <w:sz w:val="18"/>
              </w:rPr>
              <w:t>816</w:t>
            </w:r>
          </w:p>
        </w:tc>
        <w:tc>
          <w:tcPr>
            <w:tcW w:w="822" w:type="dxa"/>
            <w:shd w:val="clear" w:color="auto" w:fill="auto"/>
            <w:vAlign w:val="bottom"/>
          </w:tcPr>
          <w:p w14:paraId="24BB838D" w14:textId="69A4D9C8"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109</w:t>
            </w:r>
            <w:r w:rsidR="006A17E2">
              <w:rPr>
                <w:sz w:val="18"/>
              </w:rPr>
              <w:t xml:space="preserve"> </w:t>
            </w:r>
            <w:r w:rsidRPr="00B4060E">
              <w:rPr>
                <w:sz w:val="18"/>
              </w:rPr>
              <w:t>202</w:t>
            </w:r>
          </w:p>
        </w:tc>
        <w:tc>
          <w:tcPr>
            <w:tcW w:w="823" w:type="dxa"/>
            <w:shd w:val="clear" w:color="auto" w:fill="auto"/>
            <w:vAlign w:val="bottom"/>
          </w:tcPr>
          <w:p w14:paraId="48B28DCA" w14:textId="642CB168"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119</w:t>
            </w:r>
            <w:r w:rsidR="006A17E2">
              <w:rPr>
                <w:sz w:val="18"/>
              </w:rPr>
              <w:t xml:space="preserve"> </w:t>
            </w:r>
            <w:r w:rsidRPr="00B4060E">
              <w:rPr>
                <w:sz w:val="18"/>
              </w:rPr>
              <w:t>780</w:t>
            </w:r>
          </w:p>
        </w:tc>
      </w:tr>
      <w:tr w:rsidR="00B4060E" w:rsidRPr="00B4060E" w14:paraId="06C7DAA8" w14:textId="77777777" w:rsidTr="00E45843">
        <w:trPr>
          <w:cantSplit/>
        </w:trPr>
        <w:tc>
          <w:tcPr>
            <w:tcW w:w="1418" w:type="dxa"/>
            <w:shd w:val="clear" w:color="auto" w:fill="auto"/>
          </w:tcPr>
          <w:p w14:paraId="7C2177AA"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CHCSJ Inpatient</w:t>
            </w:r>
          </w:p>
        </w:tc>
        <w:tc>
          <w:tcPr>
            <w:tcW w:w="822" w:type="dxa"/>
            <w:shd w:val="clear" w:color="auto" w:fill="auto"/>
            <w:vAlign w:val="bottom"/>
          </w:tcPr>
          <w:p w14:paraId="2AF8BA5B" w14:textId="66BEB77E"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w:t>
            </w:r>
            <w:r w:rsidR="006A17E2">
              <w:rPr>
                <w:sz w:val="18"/>
              </w:rPr>
              <w:t xml:space="preserve"> </w:t>
            </w:r>
            <w:r w:rsidRPr="00B4060E">
              <w:rPr>
                <w:sz w:val="18"/>
              </w:rPr>
              <w:t>516</w:t>
            </w:r>
          </w:p>
        </w:tc>
        <w:tc>
          <w:tcPr>
            <w:tcW w:w="822" w:type="dxa"/>
            <w:shd w:val="clear" w:color="auto" w:fill="auto"/>
            <w:vAlign w:val="bottom"/>
          </w:tcPr>
          <w:p w14:paraId="231209CE" w14:textId="323C7D8C"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11</w:t>
            </w:r>
            <w:r w:rsidR="006A17E2">
              <w:rPr>
                <w:sz w:val="18"/>
              </w:rPr>
              <w:t xml:space="preserve"> </w:t>
            </w:r>
            <w:r w:rsidRPr="00B4060E">
              <w:rPr>
                <w:sz w:val="18"/>
              </w:rPr>
              <w:t>491</w:t>
            </w:r>
          </w:p>
        </w:tc>
        <w:tc>
          <w:tcPr>
            <w:tcW w:w="822" w:type="dxa"/>
            <w:shd w:val="clear" w:color="auto" w:fill="auto"/>
            <w:vAlign w:val="bottom"/>
          </w:tcPr>
          <w:p w14:paraId="060EE806" w14:textId="55DC6E4A"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w:t>
            </w:r>
            <w:r w:rsidR="006A17E2">
              <w:rPr>
                <w:sz w:val="18"/>
              </w:rPr>
              <w:t xml:space="preserve"> </w:t>
            </w:r>
            <w:r w:rsidRPr="00B4060E">
              <w:rPr>
                <w:sz w:val="18"/>
              </w:rPr>
              <w:t>992</w:t>
            </w:r>
          </w:p>
        </w:tc>
        <w:tc>
          <w:tcPr>
            <w:tcW w:w="822" w:type="dxa"/>
            <w:shd w:val="clear" w:color="auto" w:fill="auto"/>
            <w:vAlign w:val="bottom"/>
          </w:tcPr>
          <w:p w14:paraId="04E7ECE6" w14:textId="3A195500"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11</w:t>
            </w:r>
            <w:r w:rsidR="006A17E2">
              <w:rPr>
                <w:sz w:val="18"/>
              </w:rPr>
              <w:t xml:space="preserve"> </w:t>
            </w:r>
            <w:r w:rsidRPr="00B4060E">
              <w:rPr>
                <w:sz w:val="18"/>
              </w:rPr>
              <w:t>868</w:t>
            </w:r>
          </w:p>
        </w:tc>
        <w:tc>
          <w:tcPr>
            <w:tcW w:w="822" w:type="dxa"/>
            <w:shd w:val="clear" w:color="auto" w:fill="auto"/>
            <w:vAlign w:val="bottom"/>
          </w:tcPr>
          <w:p w14:paraId="5077E84E" w14:textId="1259AB4D"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w:t>
            </w:r>
            <w:r w:rsidR="006A17E2">
              <w:rPr>
                <w:sz w:val="18"/>
              </w:rPr>
              <w:t xml:space="preserve"> </w:t>
            </w:r>
            <w:r w:rsidRPr="00B4060E">
              <w:rPr>
                <w:sz w:val="18"/>
              </w:rPr>
              <w:t>175</w:t>
            </w:r>
          </w:p>
        </w:tc>
        <w:tc>
          <w:tcPr>
            <w:tcW w:w="822" w:type="dxa"/>
            <w:shd w:val="clear" w:color="auto" w:fill="auto"/>
            <w:vAlign w:val="bottom"/>
          </w:tcPr>
          <w:p w14:paraId="2317CD62" w14:textId="3BF40136"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13</w:t>
            </w:r>
            <w:r w:rsidR="006A17E2">
              <w:rPr>
                <w:sz w:val="18"/>
              </w:rPr>
              <w:t xml:space="preserve"> </w:t>
            </w:r>
            <w:r w:rsidRPr="00B4060E">
              <w:rPr>
                <w:sz w:val="18"/>
              </w:rPr>
              <w:t>099</w:t>
            </w:r>
          </w:p>
        </w:tc>
        <w:tc>
          <w:tcPr>
            <w:tcW w:w="822" w:type="dxa"/>
            <w:shd w:val="clear" w:color="auto" w:fill="auto"/>
            <w:vAlign w:val="bottom"/>
          </w:tcPr>
          <w:p w14:paraId="632EE24B" w14:textId="009015AF"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w:t>
            </w:r>
            <w:r w:rsidR="006A17E2">
              <w:rPr>
                <w:sz w:val="18"/>
              </w:rPr>
              <w:t xml:space="preserve"> </w:t>
            </w:r>
            <w:r w:rsidRPr="00B4060E">
              <w:rPr>
                <w:sz w:val="18"/>
              </w:rPr>
              <w:t>622</w:t>
            </w:r>
          </w:p>
        </w:tc>
        <w:tc>
          <w:tcPr>
            <w:tcW w:w="822" w:type="dxa"/>
            <w:shd w:val="clear" w:color="auto" w:fill="auto"/>
            <w:vAlign w:val="bottom"/>
          </w:tcPr>
          <w:p w14:paraId="18AC5235" w14:textId="3BD15116"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12</w:t>
            </w:r>
            <w:r w:rsidR="006A17E2">
              <w:rPr>
                <w:sz w:val="18"/>
              </w:rPr>
              <w:t xml:space="preserve"> </w:t>
            </w:r>
            <w:r w:rsidRPr="00B4060E">
              <w:rPr>
                <w:sz w:val="18"/>
              </w:rPr>
              <w:t>913</w:t>
            </w:r>
          </w:p>
        </w:tc>
        <w:tc>
          <w:tcPr>
            <w:tcW w:w="822" w:type="dxa"/>
            <w:shd w:val="clear" w:color="auto" w:fill="auto"/>
            <w:vAlign w:val="bottom"/>
          </w:tcPr>
          <w:p w14:paraId="25DA7181" w14:textId="421CF4A4"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w:t>
            </w:r>
            <w:r w:rsidR="006A17E2">
              <w:rPr>
                <w:sz w:val="18"/>
              </w:rPr>
              <w:t xml:space="preserve"> </w:t>
            </w:r>
            <w:r w:rsidRPr="00B4060E">
              <w:rPr>
                <w:sz w:val="18"/>
              </w:rPr>
              <w:t>070</w:t>
            </w:r>
          </w:p>
        </w:tc>
        <w:tc>
          <w:tcPr>
            <w:tcW w:w="823" w:type="dxa"/>
            <w:shd w:val="clear" w:color="auto" w:fill="auto"/>
            <w:vAlign w:val="bottom"/>
          </w:tcPr>
          <w:p w14:paraId="484128D2" w14:textId="589B205F"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w:t>
            </w:r>
            <w:r w:rsidR="006A17E2">
              <w:rPr>
                <w:sz w:val="18"/>
              </w:rPr>
              <w:t xml:space="preserve"> </w:t>
            </w:r>
            <w:r w:rsidRPr="00B4060E">
              <w:rPr>
                <w:sz w:val="18"/>
              </w:rPr>
              <w:t>580</w:t>
            </w:r>
          </w:p>
        </w:tc>
      </w:tr>
      <w:tr w:rsidR="00B4060E" w:rsidRPr="00B4060E" w14:paraId="16BA6DCF" w14:textId="77777777" w:rsidTr="00E45843">
        <w:trPr>
          <w:cantSplit/>
        </w:trPr>
        <w:tc>
          <w:tcPr>
            <w:tcW w:w="1418" w:type="dxa"/>
            <w:shd w:val="clear" w:color="auto" w:fill="auto"/>
          </w:tcPr>
          <w:p w14:paraId="3C1C14C1"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Health Centre Outpatient</w:t>
            </w:r>
          </w:p>
        </w:tc>
        <w:tc>
          <w:tcPr>
            <w:tcW w:w="822" w:type="dxa"/>
            <w:shd w:val="clear" w:color="auto" w:fill="auto"/>
            <w:vAlign w:val="bottom"/>
          </w:tcPr>
          <w:p w14:paraId="1C551305" w14:textId="752DC37F"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224</w:t>
            </w:r>
            <w:r w:rsidR="006A17E2">
              <w:rPr>
                <w:sz w:val="18"/>
              </w:rPr>
              <w:t xml:space="preserve"> </w:t>
            </w:r>
            <w:r w:rsidRPr="00B4060E">
              <w:rPr>
                <w:sz w:val="18"/>
              </w:rPr>
              <w:t>391</w:t>
            </w:r>
          </w:p>
        </w:tc>
        <w:tc>
          <w:tcPr>
            <w:tcW w:w="822" w:type="dxa"/>
            <w:shd w:val="clear" w:color="auto" w:fill="auto"/>
            <w:vAlign w:val="bottom"/>
          </w:tcPr>
          <w:p w14:paraId="06C777AB" w14:textId="7E111B81"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392</w:t>
            </w:r>
            <w:r w:rsidR="006A17E2">
              <w:rPr>
                <w:sz w:val="18"/>
              </w:rPr>
              <w:t xml:space="preserve"> </w:t>
            </w:r>
            <w:r w:rsidRPr="00B4060E">
              <w:rPr>
                <w:sz w:val="18"/>
              </w:rPr>
              <w:t>532</w:t>
            </w:r>
          </w:p>
        </w:tc>
        <w:tc>
          <w:tcPr>
            <w:tcW w:w="822" w:type="dxa"/>
            <w:shd w:val="clear" w:color="auto" w:fill="auto"/>
            <w:vAlign w:val="bottom"/>
          </w:tcPr>
          <w:p w14:paraId="2D468E39" w14:textId="02AFBE9A"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252</w:t>
            </w:r>
            <w:r w:rsidR="006A17E2">
              <w:rPr>
                <w:sz w:val="18"/>
              </w:rPr>
              <w:t xml:space="preserve"> </w:t>
            </w:r>
            <w:r w:rsidRPr="00B4060E">
              <w:rPr>
                <w:sz w:val="18"/>
              </w:rPr>
              <w:t>901</w:t>
            </w:r>
          </w:p>
        </w:tc>
        <w:tc>
          <w:tcPr>
            <w:tcW w:w="822" w:type="dxa"/>
            <w:shd w:val="clear" w:color="auto" w:fill="auto"/>
            <w:vAlign w:val="bottom"/>
          </w:tcPr>
          <w:p w14:paraId="06CAF5E8" w14:textId="622DCDD3"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429</w:t>
            </w:r>
            <w:r w:rsidR="006A17E2">
              <w:rPr>
                <w:sz w:val="18"/>
              </w:rPr>
              <w:t xml:space="preserve"> </w:t>
            </w:r>
            <w:r w:rsidRPr="00B4060E">
              <w:rPr>
                <w:sz w:val="18"/>
              </w:rPr>
              <w:t>799</w:t>
            </w:r>
          </w:p>
        </w:tc>
        <w:tc>
          <w:tcPr>
            <w:tcW w:w="822" w:type="dxa"/>
            <w:shd w:val="clear" w:color="auto" w:fill="auto"/>
            <w:vAlign w:val="bottom"/>
          </w:tcPr>
          <w:p w14:paraId="3348668D" w14:textId="6E26D7C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289</w:t>
            </w:r>
            <w:r w:rsidR="006A17E2">
              <w:rPr>
                <w:sz w:val="18"/>
              </w:rPr>
              <w:t xml:space="preserve"> </w:t>
            </w:r>
            <w:r w:rsidRPr="00B4060E">
              <w:rPr>
                <w:sz w:val="18"/>
              </w:rPr>
              <w:t>406</w:t>
            </w:r>
          </w:p>
        </w:tc>
        <w:tc>
          <w:tcPr>
            <w:tcW w:w="822" w:type="dxa"/>
            <w:shd w:val="clear" w:color="auto" w:fill="auto"/>
            <w:vAlign w:val="bottom"/>
          </w:tcPr>
          <w:p w14:paraId="7B92FB92" w14:textId="65E060A5"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477</w:t>
            </w:r>
            <w:r w:rsidR="006A17E2">
              <w:rPr>
                <w:sz w:val="18"/>
              </w:rPr>
              <w:t xml:space="preserve"> </w:t>
            </w:r>
            <w:r w:rsidRPr="00B4060E">
              <w:rPr>
                <w:sz w:val="18"/>
              </w:rPr>
              <w:t>609</w:t>
            </w:r>
          </w:p>
        </w:tc>
        <w:tc>
          <w:tcPr>
            <w:tcW w:w="822" w:type="dxa"/>
            <w:shd w:val="clear" w:color="auto" w:fill="auto"/>
            <w:vAlign w:val="bottom"/>
          </w:tcPr>
          <w:p w14:paraId="50CA13C3" w14:textId="52749162"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311</w:t>
            </w:r>
            <w:r w:rsidR="006A17E2">
              <w:rPr>
                <w:sz w:val="18"/>
              </w:rPr>
              <w:t xml:space="preserve"> </w:t>
            </w:r>
            <w:r w:rsidRPr="00B4060E">
              <w:rPr>
                <w:sz w:val="18"/>
              </w:rPr>
              <w:t>504</w:t>
            </w:r>
          </w:p>
        </w:tc>
        <w:tc>
          <w:tcPr>
            <w:tcW w:w="822" w:type="dxa"/>
            <w:shd w:val="clear" w:color="auto" w:fill="auto"/>
            <w:vAlign w:val="bottom"/>
          </w:tcPr>
          <w:p w14:paraId="73650644" w14:textId="08A800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501</w:t>
            </w:r>
            <w:r w:rsidR="006A17E2">
              <w:rPr>
                <w:sz w:val="18"/>
              </w:rPr>
              <w:t xml:space="preserve"> </w:t>
            </w:r>
            <w:r w:rsidRPr="00B4060E">
              <w:rPr>
                <w:sz w:val="18"/>
              </w:rPr>
              <w:t>033</w:t>
            </w:r>
          </w:p>
        </w:tc>
        <w:tc>
          <w:tcPr>
            <w:tcW w:w="822" w:type="dxa"/>
            <w:shd w:val="clear" w:color="auto" w:fill="auto"/>
            <w:vAlign w:val="bottom"/>
          </w:tcPr>
          <w:p w14:paraId="05AE4429" w14:textId="507CE341"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249</w:t>
            </w:r>
            <w:r w:rsidR="006A17E2">
              <w:rPr>
                <w:sz w:val="18"/>
              </w:rPr>
              <w:t xml:space="preserve"> </w:t>
            </w:r>
            <w:r w:rsidRPr="00B4060E">
              <w:rPr>
                <w:sz w:val="18"/>
              </w:rPr>
              <w:t>825</w:t>
            </w:r>
          </w:p>
        </w:tc>
        <w:tc>
          <w:tcPr>
            <w:tcW w:w="823" w:type="dxa"/>
            <w:shd w:val="clear" w:color="auto" w:fill="auto"/>
            <w:vAlign w:val="bottom"/>
          </w:tcPr>
          <w:p w14:paraId="09798A47" w14:textId="10427FBA"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398</w:t>
            </w:r>
            <w:r w:rsidR="006A17E2">
              <w:rPr>
                <w:sz w:val="18"/>
              </w:rPr>
              <w:t xml:space="preserve"> </w:t>
            </w:r>
            <w:r w:rsidRPr="00B4060E">
              <w:rPr>
                <w:sz w:val="18"/>
              </w:rPr>
              <w:t>669</w:t>
            </w:r>
          </w:p>
        </w:tc>
      </w:tr>
    </w:tbl>
    <w:p w14:paraId="09135187" w14:textId="595FFCE7" w:rsidR="001D75D7" w:rsidRPr="00022E81" w:rsidRDefault="001D75D7" w:rsidP="00022E81">
      <w:pPr>
        <w:spacing w:before="120" w:after="240"/>
        <w:ind w:left="1134" w:right="1134" w:firstLine="170"/>
        <w:rPr>
          <w:sz w:val="18"/>
        </w:rPr>
      </w:pPr>
      <w:r w:rsidRPr="00022E81">
        <w:rPr>
          <w:i/>
          <w:iCs/>
          <w:sz w:val="18"/>
        </w:rPr>
        <w:t>Source:</w:t>
      </w:r>
      <w:r w:rsidRPr="00022E81">
        <w:rPr>
          <w:sz w:val="18"/>
        </w:rPr>
        <w:t xml:space="preserve"> </w:t>
      </w:r>
      <w:r w:rsidR="00A825E6" w:rsidRPr="00022E81">
        <w:rPr>
          <w:sz w:val="18"/>
        </w:rPr>
        <w:t xml:space="preserve"> </w:t>
      </w:r>
      <w:r w:rsidRPr="00022E81">
        <w:rPr>
          <w:sz w:val="18"/>
        </w:rPr>
        <w:t>HB.</w:t>
      </w:r>
    </w:p>
    <w:p w14:paraId="452B6BC7" w14:textId="77777777" w:rsidR="001D75D7" w:rsidRPr="00B47380" w:rsidRDefault="001D75D7" w:rsidP="00D53B5F">
      <w:pPr>
        <w:pStyle w:val="SingleTxtG"/>
      </w:pPr>
      <w:r w:rsidRPr="00B47380">
        <w:t>226.</w:t>
      </w:r>
      <w:r w:rsidRPr="00B47380">
        <w:tab/>
        <w:t>According to the HB, there were 453,425 (residents) and 84,751 (non-residents) outpatient consultations for children in health centres between 2014 and 2017. The number of attendances in private healthcare establishments were respectively 3,485,680, 3,267,422, 3,170,215 and 3,160,200 during the same period.</w:t>
      </w:r>
    </w:p>
    <w:p w14:paraId="2DD292ED" w14:textId="77777777" w:rsidR="001D75D7" w:rsidRPr="00B47380" w:rsidRDefault="001D75D7" w:rsidP="00D53B5F">
      <w:pPr>
        <w:pStyle w:val="SingleTxtG"/>
      </w:pPr>
      <w:r w:rsidRPr="00B47380">
        <w:t>227.</w:t>
      </w:r>
      <w:r w:rsidRPr="00B47380">
        <w:tab/>
        <w:t>TCM plays an important role in the healthcare system. In 2017, outpatient services or acupuncture accounted 65,397 visits in health centres and 1,141,033 visits in private establishments.</w:t>
      </w:r>
    </w:p>
    <w:p w14:paraId="025B5B94" w14:textId="77777777" w:rsidR="001D75D7" w:rsidRPr="00B47380" w:rsidRDefault="001D75D7" w:rsidP="00D53B5F">
      <w:pPr>
        <w:pStyle w:val="SingleTxtG"/>
      </w:pPr>
      <w:r w:rsidRPr="00B47380">
        <w:t>228.</w:t>
      </w:r>
      <w:r w:rsidRPr="00B47380">
        <w:tab/>
        <w:t>In 2014, there were 2.5 doctors, 3.1 nurses and 0.4 TCM doctors per 1,000 persons and hospital bed occupancy rate was at 75.8 %. In 2017, there were 2.6 doctors, 3.7 nurses, 0.4 TCM doctors per 1,000 persons and the hospital bed occupancy rate was at 70.8 %.</w:t>
      </w:r>
    </w:p>
    <w:p w14:paraId="05D4E934" w14:textId="77777777" w:rsidR="001D75D7" w:rsidRPr="00B47380" w:rsidRDefault="001D75D7" w:rsidP="00D53B5F">
      <w:pPr>
        <w:pStyle w:val="SingleTxtG"/>
      </w:pPr>
      <w:r w:rsidRPr="00B47380">
        <w:t>229.</w:t>
      </w:r>
      <w:r w:rsidRPr="00B47380">
        <w:tab/>
        <w:t xml:space="preserve">Regarding elderly healthcare, the HB has undertaken various measures, including the establishment of a geriatrics specialty department with outpatient healthcare, a dementia centre, an inpatient ward and a community rehabilitation ward and of the colorectal cancer screening programme, the improvement of the elderly healthcare in Taipa, the priority of the elderly in consultations as well as the provision of a health support hotline and counselling service on nursing and drug use. </w:t>
      </w:r>
    </w:p>
    <w:p w14:paraId="5403185A" w14:textId="77777777" w:rsidR="001D75D7" w:rsidRPr="00B47380" w:rsidRDefault="001D75D7" w:rsidP="00D53B5F">
      <w:pPr>
        <w:pStyle w:val="SingleTxtG"/>
      </w:pPr>
      <w:r w:rsidRPr="00B47380">
        <w:t>230.</w:t>
      </w:r>
      <w:r w:rsidRPr="00B47380">
        <w:tab/>
        <w:t xml:space="preserve">In relation to maternity and childcare, specific health services, including family planning programmes, free primary healthcare services as well as medication and devices used in family planning continue to be offered (e.g. routine health </w:t>
      </w:r>
      <w:proofErr w:type="spellStart"/>
      <w:r w:rsidRPr="00B47380">
        <w:t>checkups</w:t>
      </w:r>
      <w:proofErr w:type="spellEnd"/>
      <w:r w:rsidRPr="00B47380">
        <w:t>, gynaecological consultations, pap smears screening, neonatal screening, pre-marital and genetic issues counselling, birth control methods, breastfeeding, treatment of infertility and prevention of genetic and sexually transmitted diseases (STDs). Between 2014 and September 2018, there were 15,807 deliveries in the CHCSJ.</w:t>
      </w:r>
    </w:p>
    <w:p w14:paraId="15CA28D4" w14:textId="4AE7113A" w:rsidR="001D75D7" w:rsidRPr="00B47380" w:rsidRDefault="001D75D7" w:rsidP="00FC4AA2">
      <w:pPr>
        <w:pStyle w:val="H23G"/>
      </w:pPr>
      <w:r w:rsidRPr="00B47380">
        <w:tab/>
      </w:r>
      <w:r w:rsidRPr="00B47380">
        <w:tab/>
        <w:t>Maternity and children</w:t>
      </w:r>
      <w:r w:rsidR="006266F0">
        <w:t>’</w:t>
      </w:r>
      <w:r w:rsidRPr="00B47380">
        <w:t>s healthcare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821"/>
        <w:gridCol w:w="822"/>
        <w:gridCol w:w="822"/>
        <w:gridCol w:w="822"/>
        <w:gridCol w:w="822"/>
      </w:tblGrid>
      <w:tr w:rsidR="00B4060E" w:rsidRPr="00B4060E" w14:paraId="3673FFFB" w14:textId="77777777" w:rsidTr="00E45843">
        <w:trPr>
          <w:cantSplit/>
          <w:tblHeader/>
        </w:trPr>
        <w:tc>
          <w:tcPr>
            <w:tcW w:w="3261" w:type="dxa"/>
            <w:tcBorders>
              <w:top w:val="single" w:sz="4" w:space="0" w:color="auto"/>
              <w:bottom w:val="single" w:sz="12" w:space="0" w:color="auto"/>
            </w:tcBorders>
            <w:shd w:val="clear" w:color="auto" w:fill="auto"/>
            <w:vAlign w:val="bottom"/>
          </w:tcPr>
          <w:p w14:paraId="078D060A" w14:textId="77777777" w:rsidR="001D75D7" w:rsidRPr="00B4060E" w:rsidRDefault="001D75D7" w:rsidP="00B4060E">
            <w:pPr>
              <w:pStyle w:val="SingleTxtG"/>
              <w:suppressAutoHyphens w:val="0"/>
              <w:spacing w:before="80" w:after="80" w:line="200" w:lineRule="exact"/>
              <w:ind w:left="0" w:right="113"/>
              <w:jc w:val="left"/>
              <w:rPr>
                <w:i/>
                <w:sz w:val="16"/>
              </w:rPr>
            </w:pPr>
          </w:p>
        </w:tc>
        <w:tc>
          <w:tcPr>
            <w:tcW w:w="821" w:type="dxa"/>
            <w:tcBorders>
              <w:top w:val="single" w:sz="4" w:space="0" w:color="auto"/>
              <w:bottom w:val="single" w:sz="12" w:space="0" w:color="auto"/>
            </w:tcBorders>
            <w:shd w:val="clear" w:color="auto" w:fill="auto"/>
            <w:vAlign w:val="bottom"/>
          </w:tcPr>
          <w:p w14:paraId="482D69E0"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2014</w:t>
            </w:r>
          </w:p>
        </w:tc>
        <w:tc>
          <w:tcPr>
            <w:tcW w:w="822" w:type="dxa"/>
            <w:tcBorders>
              <w:top w:val="single" w:sz="4" w:space="0" w:color="auto"/>
              <w:bottom w:val="single" w:sz="12" w:space="0" w:color="auto"/>
            </w:tcBorders>
            <w:shd w:val="clear" w:color="auto" w:fill="auto"/>
            <w:vAlign w:val="bottom"/>
          </w:tcPr>
          <w:p w14:paraId="114391B7"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2015</w:t>
            </w:r>
          </w:p>
        </w:tc>
        <w:tc>
          <w:tcPr>
            <w:tcW w:w="822" w:type="dxa"/>
            <w:tcBorders>
              <w:top w:val="single" w:sz="4" w:space="0" w:color="auto"/>
              <w:bottom w:val="single" w:sz="12" w:space="0" w:color="auto"/>
            </w:tcBorders>
            <w:shd w:val="clear" w:color="auto" w:fill="auto"/>
            <w:vAlign w:val="bottom"/>
          </w:tcPr>
          <w:p w14:paraId="6839DD10"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2016</w:t>
            </w:r>
          </w:p>
        </w:tc>
        <w:tc>
          <w:tcPr>
            <w:tcW w:w="822" w:type="dxa"/>
            <w:tcBorders>
              <w:top w:val="single" w:sz="4" w:space="0" w:color="auto"/>
              <w:bottom w:val="single" w:sz="12" w:space="0" w:color="auto"/>
            </w:tcBorders>
            <w:shd w:val="clear" w:color="auto" w:fill="auto"/>
            <w:vAlign w:val="bottom"/>
          </w:tcPr>
          <w:p w14:paraId="0EE2A8E0"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2017</w:t>
            </w:r>
          </w:p>
        </w:tc>
        <w:tc>
          <w:tcPr>
            <w:tcW w:w="822" w:type="dxa"/>
            <w:tcBorders>
              <w:top w:val="single" w:sz="4" w:space="0" w:color="auto"/>
              <w:bottom w:val="single" w:sz="12" w:space="0" w:color="auto"/>
            </w:tcBorders>
            <w:shd w:val="clear" w:color="auto" w:fill="auto"/>
            <w:vAlign w:val="bottom"/>
          </w:tcPr>
          <w:p w14:paraId="287548BB"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09/2018</w:t>
            </w:r>
          </w:p>
        </w:tc>
      </w:tr>
      <w:tr w:rsidR="00B4060E" w:rsidRPr="00B4060E" w14:paraId="3A826A63" w14:textId="77777777" w:rsidTr="00E45843">
        <w:trPr>
          <w:cantSplit/>
        </w:trPr>
        <w:tc>
          <w:tcPr>
            <w:tcW w:w="3261" w:type="dxa"/>
            <w:tcBorders>
              <w:top w:val="single" w:sz="12" w:space="0" w:color="auto"/>
            </w:tcBorders>
            <w:shd w:val="clear" w:color="auto" w:fill="auto"/>
          </w:tcPr>
          <w:p w14:paraId="1B30160E"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No. of attendances in pre-natal Care</w:t>
            </w:r>
          </w:p>
        </w:tc>
        <w:tc>
          <w:tcPr>
            <w:tcW w:w="821" w:type="dxa"/>
            <w:tcBorders>
              <w:top w:val="single" w:sz="12" w:space="0" w:color="auto"/>
            </w:tcBorders>
            <w:shd w:val="clear" w:color="auto" w:fill="auto"/>
            <w:vAlign w:val="bottom"/>
          </w:tcPr>
          <w:p w14:paraId="1ECAD0B5" w14:textId="75623C58"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39</w:t>
            </w:r>
            <w:r w:rsidR="00FC4AA2">
              <w:rPr>
                <w:sz w:val="18"/>
              </w:rPr>
              <w:t xml:space="preserve"> </w:t>
            </w:r>
            <w:r w:rsidRPr="00B4060E">
              <w:rPr>
                <w:sz w:val="18"/>
              </w:rPr>
              <w:t>897</w:t>
            </w:r>
          </w:p>
        </w:tc>
        <w:tc>
          <w:tcPr>
            <w:tcW w:w="822" w:type="dxa"/>
            <w:tcBorders>
              <w:top w:val="single" w:sz="12" w:space="0" w:color="auto"/>
            </w:tcBorders>
            <w:shd w:val="clear" w:color="auto" w:fill="auto"/>
            <w:vAlign w:val="bottom"/>
          </w:tcPr>
          <w:p w14:paraId="65B57D61" w14:textId="480A996D"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40</w:t>
            </w:r>
            <w:r w:rsidR="00FC4AA2">
              <w:rPr>
                <w:sz w:val="18"/>
              </w:rPr>
              <w:t xml:space="preserve"> </w:t>
            </w:r>
            <w:r w:rsidRPr="00B4060E">
              <w:rPr>
                <w:sz w:val="18"/>
              </w:rPr>
              <w:t>018</w:t>
            </w:r>
          </w:p>
        </w:tc>
        <w:tc>
          <w:tcPr>
            <w:tcW w:w="822" w:type="dxa"/>
            <w:tcBorders>
              <w:top w:val="single" w:sz="12" w:space="0" w:color="auto"/>
            </w:tcBorders>
            <w:shd w:val="clear" w:color="auto" w:fill="auto"/>
            <w:vAlign w:val="bottom"/>
          </w:tcPr>
          <w:p w14:paraId="7E97D2F8" w14:textId="52ED7A63"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43</w:t>
            </w:r>
            <w:r w:rsidR="00FC4AA2">
              <w:rPr>
                <w:sz w:val="18"/>
              </w:rPr>
              <w:t xml:space="preserve"> </w:t>
            </w:r>
            <w:r w:rsidRPr="00B4060E">
              <w:rPr>
                <w:sz w:val="18"/>
              </w:rPr>
              <w:t>108</w:t>
            </w:r>
          </w:p>
        </w:tc>
        <w:tc>
          <w:tcPr>
            <w:tcW w:w="822" w:type="dxa"/>
            <w:tcBorders>
              <w:top w:val="single" w:sz="12" w:space="0" w:color="auto"/>
            </w:tcBorders>
            <w:shd w:val="clear" w:color="auto" w:fill="auto"/>
            <w:vAlign w:val="bottom"/>
          </w:tcPr>
          <w:p w14:paraId="2185610B" w14:textId="059B6EEF"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38</w:t>
            </w:r>
            <w:r w:rsidR="00FC4AA2">
              <w:rPr>
                <w:sz w:val="18"/>
              </w:rPr>
              <w:t xml:space="preserve"> </w:t>
            </w:r>
            <w:r w:rsidRPr="00B4060E">
              <w:rPr>
                <w:sz w:val="18"/>
              </w:rPr>
              <w:t>918</w:t>
            </w:r>
          </w:p>
        </w:tc>
        <w:tc>
          <w:tcPr>
            <w:tcW w:w="822" w:type="dxa"/>
            <w:tcBorders>
              <w:top w:val="single" w:sz="12" w:space="0" w:color="auto"/>
            </w:tcBorders>
            <w:shd w:val="clear" w:color="auto" w:fill="auto"/>
            <w:vAlign w:val="bottom"/>
          </w:tcPr>
          <w:p w14:paraId="14E89AAC" w14:textId="698CA243"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28</w:t>
            </w:r>
            <w:r w:rsidR="00FC4AA2">
              <w:rPr>
                <w:sz w:val="18"/>
              </w:rPr>
              <w:t xml:space="preserve"> </w:t>
            </w:r>
            <w:r w:rsidRPr="00B4060E">
              <w:rPr>
                <w:sz w:val="18"/>
              </w:rPr>
              <w:t>033</w:t>
            </w:r>
          </w:p>
        </w:tc>
      </w:tr>
      <w:tr w:rsidR="00B4060E" w:rsidRPr="00B4060E" w14:paraId="1EAAC334" w14:textId="77777777" w:rsidTr="00E45843">
        <w:trPr>
          <w:cantSplit/>
        </w:trPr>
        <w:tc>
          <w:tcPr>
            <w:tcW w:w="3261" w:type="dxa"/>
            <w:shd w:val="clear" w:color="auto" w:fill="auto"/>
          </w:tcPr>
          <w:p w14:paraId="383830C1"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No. of attendances in family planning</w:t>
            </w:r>
          </w:p>
        </w:tc>
        <w:tc>
          <w:tcPr>
            <w:tcW w:w="821" w:type="dxa"/>
            <w:shd w:val="clear" w:color="auto" w:fill="auto"/>
            <w:vAlign w:val="bottom"/>
          </w:tcPr>
          <w:p w14:paraId="5EB33F51" w14:textId="6C5558F2"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38</w:t>
            </w:r>
            <w:r w:rsidR="00FC4AA2">
              <w:rPr>
                <w:sz w:val="18"/>
              </w:rPr>
              <w:t xml:space="preserve"> </w:t>
            </w:r>
            <w:r w:rsidRPr="00B4060E">
              <w:rPr>
                <w:sz w:val="18"/>
              </w:rPr>
              <w:t>874</w:t>
            </w:r>
          </w:p>
        </w:tc>
        <w:tc>
          <w:tcPr>
            <w:tcW w:w="822" w:type="dxa"/>
            <w:shd w:val="clear" w:color="auto" w:fill="auto"/>
            <w:vAlign w:val="bottom"/>
          </w:tcPr>
          <w:p w14:paraId="1D90F326" w14:textId="0279BA23"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40</w:t>
            </w:r>
            <w:r w:rsidR="00FC4AA2">
              <w:rPr>
                <w:sz w:val="18"/>
              </w:rPr>
              <w:t xml:space="preserve"> </w:t>
            </w:r>
            <w:r w:rsidRPr="00B4060E">
              <w:rPr>
                <w:sz w:val="18"/>
              </w:rPr>
              <w:t>801</w:t>
            </w:r>
          </w:p>
        </w:tc>
        <w:tc>
          <w:tcPr>
            <w:tcW w:w="822" w:type="dxa"/>
            <w:shd w:val="clear" w:color="auto" w:fill="auto"/>
            <w:vAlign w:val="bottom"/>
          </w:tcPr>
          <w:p w14:paraId="5CCCC1C9" w14:textId="2E78D3DA"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43</w:t>
            </w:r>
            <w:r w:rsidR="00FC4AA2">
              <w:rPr>
                <w:sz w:val="18"/>
              </w:rPr>
              <w:t xml:space="preserve"> </w:t>
            </w:r>
            <w:r w:rsidRPr="00B4060E">
              <w:rPr>
                <w:sz w:val="18"/>
              </w:rPr>
              <w:t>302</w:t>
            </w:r>
          </w:p>
        </w:tc>
        <w:tc>
          <w:tcPr>
            <w:tcW w:w="822" w:type="dxa"/>
            <w:shd w:val="clear" w:color="auto" w:fill="auto"/>
            <w:vAlign w:val="bottom"/>
          </w:tcPr>
          <w:p w14:paraId="363312B6" w14:textId="55375DC6"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45</w:t>
            </w:r>
            <w:r w:rsidR="00FC4AA2">
              <w:rPr>
                <w:sz w:val="18"/>
              </w:rPr>
              <w:t xml:space="preserve"> </w:t>
            </w:r>
            <w:r w:rsidRPr="00B4060E">
              <w:rPr>
                <w:sz w:val="18"/>
              </w:rPr>
              <w:t>149</w:t>
            </w:r>
          </w:p>
        </w:tc>
        <w:tc>
          <w:tcPr>
            <w:tcW w:w="822" w:type="dxa"/>
            <w:shd w:val="clear" w:color="auto" w:fill="auto"/>
            <w:vAlign w:val="bottom"/>
          </w:tcPr>
          <w:p w14:paraId="6061B006" w14:textId="7795098B"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35</w:t>
            </w:r>
            <w:r w:rsidR="00FC4AA2">
              <w:rPr>
                <w:sz w:val="18"/>
              </w:rPr>
              <w:t xml:space="preserve"> </w:t>
            </w:r>
            <w:r w:rsidRPr="00B4060E">
              <w:rPr>
                <w:sz w:val="18"/>
              </w:rPr>
              <w:t>179</w:t>
            </w:r>
          </w:p>
        </w:tc>
      </w:tr>
      <w:tr w:rsidR="00B4060E" w:rsidRPr="00B4060E" w14:paraId="6974D4DF" w14:textId="77777777" w:rsidTr="00E45843">
        <w:trPr>
          <w:cantSplit/>
        </w:trPr>
        <w:tc>
          <w:tcPr>
            <w:tcW w:w="3261" w:type="dxa"/>
            <w:shd w:val="clear" w:color="auto" w:fill="auto"/>
          </w:tcPr>
          <w:p w14:paraId="180F6062" w14:textId="3C0AA536"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No. of attendances in children</w:t>
            </w:r>
            <w:r w:rsidR="006266F0">
              <w:rPr>
                <w:sz w:val="18"/>
              </w:rPr>
              <w:t>’</w:t>
            </w:r>
            <w:r w:rsidRPr="00B4060E">
              <w:rPr>
                <w:sz w:val="18"/>
              </w:rPr>
              <w:t>s healthcare</w:t>
            </w:r>
          </w:p>
        </w:tc>
        <w:tc>
          <w:tcPr>
            <w:tcW w:w="821" w:type="dxa"/>
            <w:shd w:val="clear" w:color="auto" w:fill="auto"/>
            <w:vAlign w:val="bottom"/>
          </w:tcPr>
          <w:p w14:paraId="20F155D0" w14:textId="1AC7257D"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76</w:t>
            </w:r>
            <w:r w:rsidR="00FC4AA2">
              <w:rPr>
                <w:sz w:val="18"/>
              </w:rPr>
              <w:t xml:space="preserve"> </w:t>
            </w:r>
            <w:r w:rsidRPr="00B4060E">
              <w:rPr>
                <w:sz w:val="18"/>
              </w:rPr>
              <w:t>994</w:t>
            </w:r>
          </w:p>
        </w:tc>
        <w:tc>
          <w:tcPr>
            <w:tcW w:w="822" w:type="dxa"/>
            <w:shd w:val="clear" w:color="auto" w:fill="auto"/>
            <w:vAlign w:val="bottom"/>
          </w:tcPr>
          <w:p w14:paraId="6575C79B" w14:textId="4A5B1974"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79</w:t>
            </w:r>
            <w:r w:rsidR="00FC4AA2">
              <w:rPr>
                <w:sz w:val="18"/>
              </w:rPr>
              <w:t xml:space="preserve"> </w:t>
            </w:r>
            <w:r w:rsidRPr="00B4060E">
              <w:rPr>
                <w:sz w:val="18"/>
              </w:rPr>
              <w:t>867</w:t>
            </w:r>
          </w:p>
        </w:tc>
        <w:tc>
          <w:tcPr>
            <w:tcW w:w="822" w:type="dxa"/>
            <w:shd w:val="clear" w:color="auto" w:fill="auto"/>
            <w:vAlign w:val="bottom"/>
          </w:tcPr>
          <w:p w14:paraId="7277643D" w14:textId="3A05B4B6"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86</w:t>
            </w:r>
            <w:r w:rsidR="00FC4AA2">
              <w:rPr>
                <w:sz w:val="18"/>
              </w:rPr>
              <w:t xml:space="preserve"> </w:t>
            </w:r>
            <w:r w:rsidRPr="00B4060E">
              <w:rPr>
                <w:sz w:val="18"/>
              </w:rPr>
              <w:t>511</w:t>
            </w:r>
          </w:p>
        </w:tc>
        <w:tc>
          <w:tcPr>
            <w:tcW w:w="822" w:type="dxa"/>
            <w:shd w:val="clear" w:color="auto" w:fill="auto"/>
            <w:vAlign w:val="bottom"/>
          </w:tcPr>
          <w:p w14:paraId="694D7DAE" w14:textId="7E8EF63B"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84</w:t>
            </w:r>
            <w:r w:rsidR="00FC4AA2">
              <w:rPr>
                <w:sz w:val="18"/>
              </w:rPr>
              <w:t xml:space="preserve"> </w:t>
            </w:r>
            <w:r w:rsidRPr="00B4060E">
              <w:rPr>
                <w:sz w:val="18"/>
              </w:rPr>
              <w:t>689</w:t>
            </w:r>
          </w:p>
        </w:tc>
        <w:tc>
          <w:tcPr>
            <w:tcW w:w="822" w:type="dxa"/>
            <w:shd w:val="clear" w:color="auto" w:fill="auto"/>
            <w:vAlign w:val="bottom"/>
          </w:tcPr>
          <w:p w14:paraId="5CDB706C" w14:textId="24B3165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61</w:t>
            </w:r>
            <w:r w:rsidR="00FC4AA2">
              <w:rPr>
                <w:sz w:val="18"/>
              </w:rPr>
              <w:t xml:space="preserve"> </w:t>
            </w:r>
            <w:r w:rsidRPr="00B4060E">
              <w:rPr>
                <w:sz w:val="18"/>
              </w:rPr>
              <w:t>900</w:t>
            </w:r>
          </w:p>
        </w:tc>
      </w:tr>
    </w:tbl>
    <w:p w14:paraId="42174F98" w14:textId="01C09853" w:rsidR="001D75D7" w:rsidRPr="00FC4AA2" w:rsidRDefault="001D75D7" w:rsidP="00FC4AA2">
      <w:pPr>
        <w:spacing w:before="120" w:after="240"/>
        <w:ind w:left="1134" w:right="1134" w:firstLine="170"/>
        <w:rPr>
          <w:sz w:val="18"/>
        </w:rPr>
      </w:pPr>
      <w:r w:rsidRPr="00FC4AA2">
        <w:rPr>
          <w:i/>
          <w:iCs/>
          <w:sz w:val="18"/>
        </w:rPr>
        <w:t>Source</w:t>
      </w:r>
      <w:r w:rsidRPr="00FC4AA2">
        <w:rPr>
          <w:sz w:val="18"/>
        </w:rPr>
        <w:t xml:space="preserve">: </w:t>
      </w:r>
      <w:r w:rsidR="00404A52">
        <w:rPr>
          <w:sz w:val="18"/>
        </w:rPr>
        <w:t xml:space="preserve"> </w:t>
      </w:r>
      <w:r w:rsidRPr="00FC4AA2">
        <w:rPr>
          <w:sz w:val="18"/>
        </w:rPr>
        <w:t>HB.</w:t>
      </w:r>
    </w:p>
    <w:p w14:paraId="1355593B" w14:textId="77777777" w:rsidR="001D75D7" w:rsidRPr="00B47380" w:rsidRDefault="001D75D7" w:rsidP="00D53B5F">
      <w:pPr>
        <w:pStyle w:val="SingleTxtG"/>
      </w:pPr>
      <w:r w:rsidRPr="00B47380">
        <w:t>231.</w:t>
      </w:r>
      <w:r w:rsidRPr="00B47380">
        <w:tab/>
        <w:t>New vaccines were added to the vaccination programme, such as the Human Papillomavirus in 2013. In 2018, the immunisation coverage rate for infants was high with over 95% for children up to 12 months and over 90% for children up to 13. For data on the vaccination programme, please see the table on page 114 of the 2017 Yearbook of Statistics.</w:t>
      </w:r>
    </w:p>
    <w:p w14:paraId="4C4CEC32" w14:textId="77777777" w:rsidR="001D75D7" w:rsidRPr="00B47380" w:rsidRDefault="001D75D7" w:rsidP="00D53B5F">
      <w:pPr>
        <w:pStyle w:val="SingleTxtG"/>
      </w:pPr>
      <w:r w:rsidRPr="00B47380">
        <w:t>232.</w:t>
      </w:r>
      <w:r w:rsidRPr="00B47380">
        <w:tab/>
        <w:t xml:space="preserve">A positive measure that should be underscored is the considerable efforts undertaken by the HB concerning breastfeeding. Health education is delivered by nurses and volunteers targeting pregnant women, new mothers and their family members, comprising information </w:t>
      </w:r>
      <w:r w:rsidRPr="00B47380">
        <w:lastRenderedPageBreak/>
        <w:t>on breastfeeding and experience sharing (e.g. talks/activities, mobile app, postpartum nursing/breastfeeding follow-up phone calls, breastfeeding support hotline).</w:t>
      </w:r>
    </w:p>
    <w:p w14:paraId="3E0E2A1B" w14:textId="3916879D" w:rsidR="001D75D7" w:rsidRPr="00B47380" w:rsidRDefault="001D75D7" w:rsidP="00D53B5F">
      <w:pPr>
        <w:pStyle w:val="SingleTxtG"/>
      </w:pPr>
      <w:r w:rsidRPr="00B47380">
        <w:t>233.</w:t>
      </w:r>
      <w:r w:rsidRPr="00B47380">
        <w:tab/>
        <w:t xml:space="preserve">In 2016 and 2017, 3,012 activities on </w:t>
      </w:r>
      <w:r w:rsidR="006266F0">
        <w:t>“</w:t>
      </w:r>
      <w:r w:rsidRPr="00B47380">
        <w:t>Family Support towards Breastfeeding</w:t>
      </w:r>
      <w:r w:rsidR="006266F0">
        <w:t>”</w:t>
      </w:r>
      <w:r w:rsidRPr="00B47380">
        <w:t xml:space="preserve">, </w:t>
      </w:r>
      <w:r w:rsidR="006266F0">
        <w:t>“</w:t>
      </w:r>
      <w:r w:rsidRPr="00B47380">
        <w:t>Preparation of Breastfeeding</w:t>
      </w:r>
      <w:r w:rsidR="006266F0">
        <w:t>”</w:t>
      </w:r>
      <w:r w:rsidRPr="00B47380">
        <w:t xml:space="preserve"> and </w:t>
      </w:r>
      <w:r w:rsidR="006266F0">
        <w:t>“</w:t>
      </w:r>
      <w:r w:rsidRPr="00B47380">
        <w:t>Skills of Breastfeeding</w:t>
      </w:r>
      <w:r w:rsidR="006266F0">
        <w:t>”</w:t>
      </w:r>
      <w:r w:rsidRPr="00B47380">
        <w:t xml:space="preserve">, with 33,112 participants, were organised. The breastfeeding rate has risen from 87.3% in 2014 to 92.6% in 2017. During the World Breastfeeding Week, the HB recognises mothers who have breastfed their children for a continuous duration of at least 6 months. </w:t>
      </w:r>
    </w:p>
    <w:p w14:paraId="407235E2" w14:textId="77777777" w:rsidR="001D75D7" w:rsidRPr="00B47380" w:rsidRDefault="001D75D7" w:rsidP="00D53B5F">
      <w:pPr>
        <w:pStyle w:val="SingleTxtG"/>
      </w:pPr>
      <w:r w:rsidRPr="00B47380">
        <w:t>234.</w:t>
      </w:r>
      <w:r w:rsidRPr="00B47380">
        <w:tab/>
        <w:t>To encourage breastfeeding after maternity leave, breastfeeding rooms have been installed in public services since 2016. Presently, there are 207 breastfeeding rooms, of which 147 are in the public sector and 60 in the private sector.</w:t>
      </w:r>
    </w:p>
    <w:p w14:paraId="788A0467" w14:textId="2861B78A" w:rsidR="001D75D7" w:rsidRPr="00B47380" w:rsidRDefault="001D75D7" w:rsidP="00D53B5F">
      <w:pPr>
        <w:pStyle w:val="SingleTxtG"/>
      </w:pPr>
      <w:r w:rsidRPr="00B47380">
        <w:t>235.</w:t>
      </w:r>
      <w:r w:rsidRPr="00B47380">
        <w:tab/>
        <w:t>As stated in previous reports, health education continues to play a key role in the Government</w:t>
      </w:r>
      <w:r w:rsidR="006266F0">
        <w:t>’</w:t>
      </w:r>
      <w:r w:rsidRPr="00B47380">
        <w:t>s health policy. In 2016, the Healthy Life Education Centre was established under the SWB to promote healthy lifestyle and deliver anti-drug messages, especially to children, youngsters and parents through different cultural, sports and arts activities. From January to September 2018, 16,129 students from senior kindergarten to primary six participated in the Healthy Life Education Programme.</w:t>
      </w:r>
    </w:p>
    <w:p w14:paraId="61D7D36F" w14:textId="77777777" w:rsidR="001D75D7" w:rsidRPr="00B47380" w:rsidRDefault="001D75D7" w:rsidP="00D53B5F">
      <w:pPr>
        <w:pStyle w:val="SingleTxtG"/>
      </w:pPr>
      <w:r w:rsidRPr="00B47380">
        <w:t>236.</w:t>
      </w:r>
      <w:r w:rsidRPr="00B47380">
        <w:tab/>
        <w:t>In relation to HIV, the MSAR continues to enjoy a low prevalence. Infected persons and their families are provided with counselling services and support by the SWB. In cooperation with t</w:t>
      </w:r>
      <w:r w:rsidRPr="00B47380" w:rsidDel="00561351">
        <w:t>he Commission on the Fight against HIV/AIDS</w:t>
      </w:r>
      <w:r w:rsidRPr="00B47380">
        <w:t xml:space="preserve">, the Government and NGOs adopted new measures to prevent, control and suppress </w:t>
      </w:r>
      <w:r w:rsidRPr="00B47380" w:rsidDel="00561351">
        <w:t>HIV/AIDS</w:t>
      </w:r>
      <w:r w:rsidRPr="00B47380">
        <w:t xml:space="preserve">. </w:t>
      </w:r>
    </w:p>
    <w:p w14:paraId="2FD73872" w14:textId="77777777" w:rsidR="001D75D7" w:rsidRPr="00B47380" w:rsidRDefault="001D75D7" w:rsidP="00D53B5F">
      <w:pPr>
        <w:pStyle w:val="SingleTxtG"/>
      </w:pPr>
      <w:r w:rsidRPr="00B47380">
        <w:t>237.</w:t>
      </w:r>
      <w:r w:rsidRPr="00B47380">
        <w:tab/>
        <w:t xml:space="preserve">Routine HIV tests have been proactively encouraged during </w:t>
      </w:r>
      <w:proofErr w:type="spellStart"/>
      <w:r w:rsidRPr="00B47380">
        <w:t>checkups</w:t>
      </w:r>
      <w:proofErr w:type="spellEnd"/>
      <w:r w:rsidRPr="00B47380">
        <w:t xml:space="preserve"> in healthcare establishments since 2015 (number of persons tested increased from 2,668 in 2015 to 8,375 in 2017). From 2014 to September 2018, 1,373 counselling services were </w:t>
      </w:r>
      <w:proofErr w:type="gramStart"/>
      <w:r w:rsidRPr="00B47380">
        <w:t>provided</w:t>
      </w:r>
      <w:proofErr w:type="gramEnd"/>
      <w:r w:rsidRPr="00B47380">
        <w:t xml:space="preserve"> and 64 local HIV positive persons were referred to the CHCSJ for follow-up. </w:t>
      </w:r>
    </w:p>
    <w:p w14:paraId="6E9D2F33" w14:textId="77777777" w:rsidR="001D75D7" w:rsidRPr="00B47380" w:rsidRDefault="001D75D7" w:rsidP="00D53B5F">
      <w:pPr>
        <w:pStyle w:val="SingleTxtG"/>
      </w:pPr>
      <w:r w:rsidRPr="00B47380">
        <w:t>238.</w:t>
      </w:r>
      <w:r w:rsidRPr="00B47380">
        <w:tab/>
        <w:t>HIV tests have been advertised on popular dating websites. A HIV/AIDS database and an online outreach service to disseminate information and to make appointments via mobile apps were launched in 2017.</w:t>
      </w:r>
    </w:p>
    <w:p w14:paraId="1F28A3CD" w14:textId="50FBEA9D" w:rsidR="001D75D7" w:rsidRPr="00B47380" w:rsidRDefault="001D75D7" w:rsidP="00D53B5F">
      <w:pPr>
        <w:pStyle w:val="SingleTxtG"/>
      </w:pPr>
      <w:r w:rsidRPr="00B47380">
        <w:t>239.</w:t>
      </w:r>
      <w:r w:rsidRPr="00B47380">
        <w:tab/>
        <w:t>During prenatal check-ups, HIV testing is one of the required blood tests. During the covered period, there were 35,081 pregnant women tested and 4 were found infected of HIV, who were provided with chemical prophylaxis to prevent vertical transmission to safeguard their baby</w:t>
      </w:r>
      <w:r w:rsidR="006266F0">
        <w:t>’</w:t>
      </w:r>
      <w:r w:rsidRPr="00B47380">
        <w:t>s health, as well as therapy and related services. No HIV vertical transmission (mother-to-child) has been reported.</w:t>
      </w:r>
    </w:p>
    <w:p w14:paraId="7520B514" w14:textId="77777777" w:rsidR="001D75D7" w:rsidRPr="00B47380" w:rsidRDefault="001D75D7" w:rsidP="00EA7A43">
      <w:pPr>
        <w:pStyle w:val="H23G"/>
      </w:pPr>
      <w:r w:rsidRPr="00B47380">
        <w:tab/>
      </w:r>
      <w:r w:rsidRPr="00B47380">
        <w:tab/>
        <w:t>HIV samples analysed in target groups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793"/>
        <w:gridCol w:w="794"/>
        <w:gridCol w:w="793"/>
        <w:gridCol w:w="794"/>
        <w:gridCol w:w="794"/>
      </w:tblGrid>
      <w:tr w:rsidR="00B4060E" w:rsidRPr="00B4060E" w14:paraId="474EE813" w14:textId="77777777" w:rsidTr="00E45843">
        <w:trPr>
          <w:cantSplit/>
          <w:tblHeader/>
        </w:trPr>
        <w:tc>
          <w:tcPr>
            <w:tcW w:w="3402" w:type="dxa"/>
            <w:tcBorders>
              <w:top w:val="single" w:sz="4" w:space="0" w:color="auto"/>
              <w:bottom w:val="single" w:sz="12" w:space="0" w:color="auto"/>
            </w:tcBorders>
            <w:shd w:val="clear" w:color="auto" w:fill="auto"/>
            <w:vAlign w:val="bottom"/>
          </w:tcPr>
          <w:p w14:paraId="02CFB6A8" w14:textId="77777777" w:rsidR="001D75D7" w:rsidRPr="00B4060E" w:rsidRDefault="001D75D7" w:rsidP="00B4060E">
            <w:pPr>
              <w:pStyle w:val="SingleTxtG"/>
              <w:suppressAutoHyphens w:val="0"/>
              <w:spacing w:before="80" w:after="80" w:line="200" w:lineRule="exact"/>
              <w:ind w:left="0" w:right="113"/>
              <w:jc w:val="left"/>
              <w:rPr>
                <w:i/>
                <w:sz w:val="16"/>
              </w:rPr>
            </w:pPr>
            <w:r w:rsidRPr="00B4060E">
              <w:rPr>
                <w:i/>
                <w:sz w:val="16"/>
              </w:rPr>
              <w:t>Target group/Year</w:t>
            </w:r>
          </w:p>
        </w:tc>
        <w:tc>
          <w:tcPr>
            <w:tcW w:w="793" w:type="dxa"/>
            <w:tcBorders>
              <w:top w:val="single" w:sz="4" w:space="0" w:color="auto"/>
              <w:bottom w:val="single" w:sz="12" w:space="0" w:color="auto"/>
            </w:tcBorders>
            <w:shd w:val="clear" w:color="auto" w:fill="auto"/>
            <w:vAlign w:val="bottom"/>
          </w:tcPr>
          <w:p w14:paraId="759EFE34"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2014</w:t>
            </w:r>
          </w:p>
        </w:tc>
        <w:tc>
          <w:tcPr>
            <w:tcW w:w="794" w:type="dxa"/>
            <w:tcBorders>
              <w:top w:val="single" w:sz="4" w:space="0" w:color="auto"/>
              <w:bottom w:val="single" w:sz="12" w:space="0" w:color="auto"/>
            </w:tcBorders>
            <w:shd w:val="clear" w:color="auto" w:fill="auto"/>
            <w:vAlign w:val="bottom"/>
          </w:tcPr>
          <w:p w14:paraId="6F8B136A"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2015</w:t>
            </w:r>
          </w:p>
        </w:tc>
        <w:tc>
          <w:tcPr>
            <w:tcW w:w="793" w:type="dxa"/>
            <w:tcBorders>
              <w:top w:val="single" w:sz="4" w:space="0" w:color="auto"/>
              <w:bottom w:val="single" w:sz="12" w:space="0" w:color="auto"/>
            </w:tcBorders>
            <w:shd w:val="clear" w:color="auto" w:fill="auto"/>
            <w:vAlign w:val="bottom"/>
          </w:tcPr>
          <w:p w14:paraId="4574CA76"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2016</w:t>
            </w:r>
          </w:p>
        </w:tc>
        <w:tc>
          <w:tcPr>
            <w:tcW w:w="794" w:type="dxa"/>
            <w:tcBorders>
              <w:top w:val="single" w:sz="4" w:space="0" w:color="auto"/>
              <w:bottom w:val="single" w:sz="12" w:space="0" w:color="auto"/>
            </w:tcBorders>
            <w:shd w:val="clear" w:color="auto" w:fill="auto"/>
            <w:vAlign w:val="bottom"/>
          </w:tcPr>
          <w:p w14:paraId="2C87DB92"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2017</w:t>
            </w:r>
          </w:p>
        </w:tc>
        <w:tc>
          <w:tcPr>
            <w:tcW w:w="794" w:type="dxa"/>
            <w:tcBorders>
              <w:top w:val="single" w:sz="4" w:space="0" w:color="auto"/>
              <w:bottom w:val="single" w:sz="12" w:space="0" w:color="auto"/>
            </w:tcBorders>
            <w:shd w:val="clear" w:color="auto" w:fill="auto"/>
            <w:vAlign w:val="bottom"/>
          </w:tcPr>
          <w:p w14:paraId="72FF4D8C"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09/2018</w:t>
            </w:r>
          </w:p>
        </w:tc>
      </w:tr>
      <w:tr w:rsidR="00B4060E" w:rsidRPr="00B4060E" w14:paraId="3A03CF2D" w14:textId="77777777" w:rsidTr="00E45843">
        <w:trPr>
          <w:cantSplit/>
        </w:trPr>
        <w:tc>
          <w:tcPr>
            <w:tcW w:w="3402" w:type="dxa"/>
            <w:tcBorders>
              <w:top w:val="single" w:sz="12" w:space="0" w:color="auto"/>
            </w:tcBorders>
            <w:shd w:val="clear" w:color="auto" w:fill="auto"/>
          </w:tcPr>
          <w:p w14:paraId="3929F041"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Hospital &amp; Health Centres</w:t>
            </w:r>
          </w:p>
        </w:tc>
        <w:tc>
          <w:tcPr>
            <w:tcW w:w="793" w:type="dxa"/>
            <w:tcBorders>
              <w:top w:val="single" w:sz="12" w:space="0" w:color="auto"/>
            </w:tcBorders>
            <w:shd w:val="clear" w:color="auto" w:fill="auto"/>
            <w:vAlign w:val="bottom"/>
          </w:tcPr>
          <w:p w14:paraId="18F2AECE" w14:textId="28ABDB99"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w:t>
            </w:r>
            <w:r w:rsidR="00EA7A43">
              <w:rPr>
                <w:sz w:val="18"/>
              </w:rPr>
              <w:t xml:space="preserve"> </w:t>
            </w:r>
            <w:r w:rsidRPr="00B4060E">
              <w:rPr>
                <w:sz w:val="18"/>
              </w:rPr>
              <w:t>650</w:t>
            </w:r>
          </w:p>
        </w:tc>
        <w:tc>
          <w:tcPr>
            <w:tcW w:w="794" w:type="dxa"/>
            <w:tcBorders>
              <w:top w:val="single" w:sz="12" w:space="0" w:color="auto"/>
            </w:tcBorders>
            <w:shd w:val="clear" w:color="auto" w:fill="auto"/>
            <w:vAlign w:val="bottom"/>
          </w:tcPr>
          <w:p w14:paraId="3128C95D" w14:textId="7B6F5CF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w:t>
            </w:r>
            <w:r w:rsidR="00EA7A43">
              <w:rPr>
                <w:sz w:val="18"/>
              </w:rPr>
              <w:t xml:space="preserve"> </w:t>
            </w:r>
            <w:r w:rsidRPr="00B4060E">
              <w:rPr>
                <w:sz w:val="18"/>
              </w:rPr>
              <w:t>476</w:t>
            </w:r>
          </w:p>
        </w:tc>
        <w:tc>
          <w:tcPr>
            <w:tcW w:w="793" w:type="dxa"/>
            <w:tcBorders>
              <w:top w:val="single" w:sz="12" w:space="0" w:color="auto"/>
            </w:tcBorders>
            <w:shd w:val="clear" w:color="auto" w:fill="auto"/>
            <w:vAlign w:val="bottom"/>
          </w:tcPr>
          <w:p w14:paraId="04C1B4ED" w14:textId="2A93FEC1"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w:t>
            </w:r>
            <w:r w:rsidR="00EA7A43">
              <w:rPr>
                <w:sz w:val="18"/>
              </w:rPr>
              <w:t xml:space="preserve"> </w:t>
            </w:r>
            <w:r w:rsidRPr="00B4060E">
              <w:rPr>
                <w:sz w:val="18"/>
              </w:rPr>
              <w:t>821</w:t>
            </w:r>
          </w:p>
        </w:tc>
        <w:tc>
          <w:tcPr>
            <w:tcW w:w="794" w:type="dxa"/>
            <w:tcBorders>
              <w:top w:val="single" w:sz="12" w:space="0" w:color="auto"/>
            </w:tcBorders>
            <w:shd w:val="clear" w:color="auto" w:fill="auto"/>
            <w:vAlign w:val="bottom"/>
          </w:tcPr>
          <w:p w14:paraId="1646AE29" w14:textId="5B101274"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w:t>
            </w:r>
            <w:r w:rsidR="00EA7A43">
              <w:rPr>
                <w:sz w:val="18"/>
              </w:rPr>
              <w:t xml:space="preserve"> </w:t>
            </w:r>
            <w:r w:rsidRPr="00B4060E">
              <w:rPr>
                <w:sz w:val="18"/>
              </w:rPr>
              <w:t>751</w:t>
            </w:r>
          </w:p>
        </w:tc>
        <w:tc>
          <w:tcPr>
            <w:tcW w:w="794" w:type="dxa"/>
            <w:tcBorders>
              <w:top w:val="single" w:sz="12" w:space="0" w:color="auto"/>
            </w:tcBorders>
            <w:shd w:val="clear" w:color="auto" w:fill="auto"/>
            <w:vAlign w:val="bottom"/>
          </w:tcPr>
          <w:p w14:paraId="30940801" w14:textId="417E0A51"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w:t>
            </w:r>
            <w:r w:rsidR="00EA7A43">
              <w:rPr>
                <w:sz w:val="18"/>
              </w:rPr>
              <w:t xml:space="preserve"> </w:t>
            </w:r>
            <w:r w:rsidRPr="00B4060E">
              <w:rPr>
                <w:sz w:val="18"/>
              </w:rPr>
              <w:t>962</w:t>
            </w:r>
          </w:p>
        </w:tc>
      </w:tr>
      <w:tr w:rsidR="00B4060E" w:rsidRPr="00B4060E" w14:paraId="5076A95B" w14:textId="77777777" w:rsidTr="00E45843">
        <w:trPr>
          <w:cantSplit/>
        </w:trPr>
        <w:tc>
          <w:tcPr>
            <w:tcW w:w="3402" w:type="dxa"/>
            <w:shd w:val="clear" w:color="auto" w:fill="auto"/>
          </w:tcPr>
          <w:p w14:paraId="3F2FCFC2"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Pre-natal</w:t>
            </w:r>
          </w:p>
        </w:tc>
        <w:tc>
          <w:tcPr>
            <w:tcW w:w="793" w:type="dxa"/>
            <w:shd w:val="clear" w:color="auto" w:fill="auto"/>
            <w:vAlign w:val="bottom"/>
          </w:tcPr>
          <w:p w14:paraId="28421A39" w14:textId="1547E573"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w:t>
            </w:r>
            <w:r w:rsidR="00EA7A43">
              <w:rPr>
                <w:sz w:val="18"/>
              </w:rPr>
              <w:t xml:space="preserve"> </w:t>
            </w:r>
            <w:r w:rsidRPr="00B4060E">
              <w:rPr>
                <w:sz w:val="18"/>
              </w:rPr>
              <w:t>526</w:t>
            </w:r>
          </w:p>
        </w:tc>
        <w:tc>
          <w:tcPr>
            <w:tcW w:w="794" w:type="dxa"/>
            <w:shd w:val="clear" w:color="auto" w:fill="auto"/>
            <w:vAlign w:val="bottom"/>
          </w:tcPr>
          <w:p w14:paraId="0AF4C0E5" w14:textId="0E91C5A5"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w:t>
            </w:r>
            <w:r w:rsidR="00EA7A43">
              <w:rPr>
                <w:sz w:val="18"/>
              </w:rPr>
              <w:t xml:space="preserve"> </w:t>
            </w:r>
            <w:r w:rsidRPr="00B4060E">
              <w:rPr>
                <w:sz w:val="18"/>
              </w:rPr>
              <w:t>378</w:t>
            </w:r>
          </w:p>
        </w:tc>
        <w:tc>
          <w:tcPr>
            <w:tcW w:w="793" w:type="dxa"/>
            <w:shd w:val="clear" w:color="auto" w:fill="auto"/>
            <w:vAlign w:val="bottom"/>
          </w:tcPr>
          <w:p w14:paraId="6A98CFE7" w14:textId="12129D2B"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w:t>
            </w:r>
            <w:r w:rsidR="00EA7A43">
              <w:rPr>
                <w:sz w:val="18"/>
              </w:rPr>
              <w:t xml:space="preserve"> </w:t>
            </w:r>
            <w:r w:rsidRPr="00B4060E">
              <w:rPr>
                <w:sz w:val="18"/>
              </w:rPr>
              <w:t>798</w:t>
            </w:r>
          </w:p>
        </w:tc>
        <w:tc>
          <w:tcPr>
            <w:tcW w:w="794" w:type="dxa"/>
            <w:shd w:val="clear" w:color="auto" w:fill="auto"/>
            <w:vAlign w:val="bottom"/>
          </w:tcPr>
          <w:p w14:paraId="036CD266" w14:textId="591AB17D"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w:t>
            </w:r>
            <w:r w:rsidR="00EA7A43">
              <w:rPr>
                <w:sz w:val="18"/>
              </w:rPr>
              <w:t xml:space="preserve"> </w:t>
            </w:r>
            <w:r w:rsidRPr="00B4060E">
              <w:rPr>
                <w:sz w:val="18"/>
              </w:rPr>
              <w:t>265</w:t>
            </w:r>
          </w:p>
        </w:tc>
        <w:tc>
          <w:tcPr>
            <w:tcW w:w="794" w:type="dxa"/>
            <w:shd w:val="clear" w:color="auto" w:fill="auto"/>
            <w:vAlign w:val="bottom"/>
          </w:tcPr>
          <w:p w14:paraId="00D041BD" w14:textId="5EC58921"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w:t>
            </w:r>
            <w:r w:rsidR="00EA7A43">
              <w:rPr>
                <w:sz w:val="18"/>
              </w:rPr>
              <w:t xml:space="preserve"> </w:t>
            </w:r>
            <w:r w:rsidRPr="00B4060E">
              <w:rPr>
                <w:sz w:val="18"/>
              </w:rPr>
              <w:t>114</w:t>
            </w:r>
          </w:p>
        </w:tc>
      </w:tr>
      <w:tr w:rsidR="00B4060E" w:rsidRPr="00B4060E" w14:paraId="5E5740F3" w14:textId="77777777" w:rsidTr="00E45843">
        <w:trPr>
          <w:cantSplit/>
        </w:trPr>
        <w:tc>
          <w:tcPr>
            <w:tcW w:w="3402" w:type="dxa"/>
            <w:shd w:val="clear" w:color="auto" w:fill="auto"/>
          </w:tcPr>
          <w:p w14:paraId="734BDCA7"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Injecting Drug Users</w:t>
            </w:r>
          </w:p>
        </w:tc>
        <w:tc>
          <w:tcPr>
            <w:tcW w:w="793" w:type="dxa"/>
            <w:shd w:val="clear" w:color="auto" w:fill="auto"/>
            <w:vAlign w:val="bottom"/>
          </w:tcPr>
          <w:p w14:paraId="405CDABE"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140</w:t>
            </w:r>
          </w:p>
        </w:tc>
        <w:tc>
          <w:tcPr>
            <w:tcW w:w="794" w:type="dxa"/>
            <w:shd w:val="clear" w:color="auto" w:fill="auto"/>
            <w:vAlign w:val="bottom"/>
          </w:tcPr>
          <w:p w14:paraId="4540906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94</w:t>
            </w:r>
          </w:p>
        </w:tc>
        <w:tc>
          <w:tcPr>
            <w:tcW w:w="793" w:type="dxa"/>
            <w:shd w:val="clear" w:color="auto" w:fill="auto"/>
            <w:vAlign w:val="bottom"/>
          </w:tcPr>
          <w:p w14:paraId="58F0900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165</w:t>
            </w:r>
          </w:p>
        </w:tc>
        <w:tc>
          <w:tcPr>
            <w:tcW w:w="794" w:type="dxa"/>
            <w:shd w:val="clear" w:color="auto" w:fill="auto"/>
            <w:vAlign w:val="bottom"/>
          </w:tcPr>
          <w:p w14:paraId="1FD2BA8F"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94</w:t>
            </w:r>
          </w:p>
        </w:tc>
        <w:tc>
          <w:tcPr>
            <w:tcW w:w="794" w:type="dxa"/>
            <w:shd w:val="clear" w:color="auto" w:fill="auto"/>
            <w:vAlign w:val="bottom"/>
          </w:tcPr>
          <w:p w14:paraId="724BBB2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59</w:t>
            </w:r>
          </w:p>
        </w:tc>
      </w:tr>
      <w:tr w:rsidR="00B4060E" w:rsidRPr="00B4060E" w14:paraId="0B64C94F" w14:textId="77777777" w:rsidTr="00E45843">
        <w:trPr>
          <w:cantSplit/>
        </w:trPr>
        <w:tc>
          <w:tcPr>
            <w:tcW w:w="3402" w:type="dxa"/>
            <w:shd w:val="clear" w:color="auto" w:fill="auto"/>
          </w:tcPr>
          <w:p w14:paraId="54638145"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Prisoners</w:t>
            </w:r>
          </w:p>
        </w:tc>
        <w:tc>
          <w:tcPr>
            <w:tcW w:w="793" w:type="dxa"/>
            <w:shd w:val="clear" w:color="auto" w:fill="auto"/>
            <w:vAlign w:val="bottom"/>
          </w:tcPr>
          <w:p w14:paraId="0863097D" w14:textId="0BDD5CDD"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EA7A43">
              <w:rPr>
                <w:sz w:val="18"/>
              </w:rPr>
              <w:t xml:space="preserve"> </w:t>
            </w:r>
            <w:r w:rsidRPr="00B4060E">
              <w:rPr>
                <w:sz w:val="18"/>
              </w:rPr>
              <w:t>033</w:t>
            </w:r>
          </w:p>
        </w:tc>
        <w:tc>
          <w:tcPr>
            <w:tcW w:w="794" w:type="dxa"/>
            <w:shd w:val="clear" w:color="auto" w:fill="auto"/>
            <w:vAlign w:val="bottom"/>
          </w:tcPr>
          <w:p w14:paraId="5A6FB695" w14:textId="288B7F2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EA7A43">
              <w:rPr>
                <w:sz w:val="18"/>
              </w:rPr>
              <w:t xml:space="preserve"> </w:t>
            </w:r>
            <w:r w:rsidRPr="00B4060E">
              <w:rPr>
                <w:sz w:val="18"/>
              </w:rPr>
              <w:t>158</w:t>
            </w:r>
          </w:p>
        </w:tc>
        <w:tc>
          <w:tcPr>
            <w:tcW w:w="793" w:type="dxa"/>
            <w:shd w:val="clear" w:color="auto" w:fill="auto"/>
            <w:vAlign w:val="bottom"/>
          </w:tcPr>
          <w:p w14:paraId="0ABC587C" w14:textId="48939629"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EA7A43">
              <w:rPr>
                <w:sz w:val="18"/>
              </w:rPr>
              <w:t xml:space="preserve"> </w:t>
            </w:r>
            <w:r w:rsidRPr="00B4060E">
              <w:rPr>
                <w:sz w:val="18"/>
              </w:rPr>
              <w:t>084</w:t>
            </w:r>
          </w:p>
        </w:tc>
        <w:tc>
          <w:tcPr>
            <w:tcW w:w="794" w:type="dxa"/>
            <w:shd w:val="clear" w:color="auto" w:fill="auto"/>
            <w:vAlign w:val="bottom"/>
          </w:tcPr>
          <w:p w14:paraId="769B452A" w14:textId="1DC6D0F4"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r w:rsidR="00EA7A43">
              <w:rPr>
                <w:sz w:val="18"/>
              </w:rPr>
              <w:t xml:space="preserve"> </w:t>
            </w:r>
            <w:r w:rsidRPr="00B4060E">
              <w:rPr>
                <w:sz w:val="18"/>
              </w:rPr>
              <w:t>011</w:t>
            </w:r>
          </w:p>
        </w:tc>
        <w:tc>
          <w:tcPr>
            <w:tcW w:w="794" w:type="dxa"/>
            <w:shd w:val="clear" w:color="auto" w:fill="auto"/>
            <w:vAlign w:val="bottom"/>
          </w:tcPr>
          <w:p w14:paraId="3DB95E5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810</w:t>
            </w:r>
          </w:p>
        </w:tc>
      </w:tr>
      <w:tr w:rsidR="00B4060E" w:rsidRPr="00B4060E" w14:paraId="75BA0295" w14:textId="77777777" w:rsidTr="00E45843">
        <w:trPr>
          <w:cantSplit/>
        </w:trPr>
        <w:tc>
          <w:tcPr>
            <w:tcW w:w="3402" w:type="dxa"/>
            <w:shd w:val="clear" w:color="auto" w:fill="auto"/>
          </w:tcPr>
          <w:p w14:paraId="348B9ACA"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 xml:space="preserve">Non-resident workers in establishments such as saunas, karaoke bars and night clubs </w:t>
            </w:r>
          </w:p>
        </w:tc>
        <w:tc>
          <w:tcPr>
            <w:tcW w:w="793" w:type="dxa"/>
            <w:shd w:val="clear" w:color="auto" w:fill="auto"/>
            <w:vAlign w:val="bottom"/>
          </w:tcPr>
          <w:p w14:paraId="6ABE0EF9" w14:textId="2941A053"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w:t>
            </w:r>
            <w:r w:rsidR="00EA7A43">
              <w:rPr>
                <w:sz w:val="18"/>
              </w:rPr>
              <w:t xml:space="preserve"> </w:t>
            </w:r>
            <w:r w:rsidRPr="00B4060E">
              <w:rPr>
                <w:sz w:val="18"/>
              </w:rPr>
              <w:t>644</w:t>
            </w:r>
          </w:p>
        </w:tc>
        <w:tc>
          <w:tcPr>
            <w:tcW w:w="794" w:type="dxa"/>
            <w:shd w:val="clear" w:color="auto" w:fill="auto"/>
            <w:vAlign w:val="bottom"/>
          </w:tcPr>
          <w:p w14:paraId="18514D43" w14:textId="698921D8"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w:t>
            </w:r>
            <w:r w:rsidR="00EA7A43">
              <w:rPr>
                <w:sz w:val="18"/>
              </w:rPr>
              <w:t xml:space="preserve"> </w:t>
            </w:r>
            <w:r w:rsidRPr="00B4060E">
              <w:rPr>
                <w:sz w:val="18"/>
              </w:rPr>
              <w:t>654</w:t>
            </w:r>
          </w:p>
        </w:tc>
        <w:tc>
          <w:tcPr>
            <w:tcW w:w="793" w:type="dxa"/>
            <w:shd w:val="clear" w:color="auto" w:fill="auto"/>
            <w:vAlign w:val="bottom"/>
          </w:tcPr>
          <w:p w14:paraId="020DBEE9" w14:textId="6BC69362"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w:t>
            </w:r>
            <w:r w:rsidR="00EA7A43">
              <w:rPr>
                <w:sz w:val="18"/>
              </w:rPr>
              <w:t xml:space="preserve"> </w:t>
            </w:r>
            <w:r w:rsidRPr="00B4060E">
              <w:rPr>
                <w:sz w:val="18"/>
              </w:rPr>
              <w:t>105</w:t>
            </w:r>
          </w:p>
        </w:tc>
        <w:tc>
          <w:tcPr>
            <w:tcW w:w="794" w:type="dxa"/>
            <w:shd w:val="clear" w:color="auto" w:fill="auto"/>
            <w:vAlign w:val="bottom"/>
          </w:tcPr>
          <w:p w14:paraId="6461B3A1" w14:textId="751240AF"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w:t>
            </w:r>
            <w:r w:rsidR="00EA7A43">
              <w:rPr>
                <w:sz w:val="18"/>
              </w:rPr>
              <w:t xml:space="preserve"> </w:t>
            </w:r>
            <w:r w:rsidRPr="00B4060E">
              <w:rPr>
                <w:sz w:val="18"/>
              </w:rPr>
              <w:t>828</w:t>
            </w:r>
          </w:p>
        </w:tc>
        <w:tc>
          <w:tcPr>
            <w:tcW w:w="794" w:type="dxa"/>
            <w:shd w:val="clear" w:color="auto" w:fill="auto"/>
            <w:vAlign w:val="bottom"/>
          </w:tcPr>
          <w:p w14:paraId="1335102B" w14:textId="70A82B46"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w:t>
            </w:r>
            <w:r w:rsidR="00EA7A43">
              <w:rPr>
                <w:sz w:val="18"/>
              </w:rPr>
              <w:t xml:space="preserve"> </w:t>
            </w:r>
            <w:r w:rsidRPr="00B4060E">
              <w:rPr>
                <w:sz w:val="18"/>
              </w:rPr>
              <w:t>506</w:t>
            </w:r>
          </w:p>
        </w:tc>
      </w:tr>
      <w:tr w:rsidR="00B4060E" w:rsidRPr="00B4060E" w14:paraId="4259ACE4" w14:textId="77777777" w:rsidTr="00E45843">
        <w:trPr>
          <w:cantSplit/>
        </w:trPr>
        <w:tc>
          <w:tcPr>
            <w:tcW w:w="3402" w:type="dxa"/>
            <w:shd w:val="clear" w:color="auto" w:fill="auto"/>
          </w:tcPr>
          <w:p w14:paraId="7C01FA79"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People suspected to be infected tuberculosis</w:t>
            </w:r>
          </w:p>
        </w:tc>
        <w:tc>
          <w:tcPr>
            <w:tcW w:w="793" w:type="dxa"/>
            <w:shd w:val="clear" w:color="auto" w:fill="auto"/>
            <w:vAlign w:val="bottom"/>
          </w:tcPr>
          <w:p w14:paraId="72F2E6F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976</w:t>
            </w:r>
          </w:p>
        </w:tc>
        <w:tc>
          <w:tcPr>
            <w:tcW w:w="794" w:type="dxa"/>
            <w:shd w:val="clear" w:color="auto" w:fill="auto"/>
            <w:vAlign w:val="bottom"/>
          </w:tcPr>
          <w:p w14:paraId="6B93B166"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914</w:t>
            </w:r>
          </w:p>
        </w:tc>
        <w:tc>
          <w:tcPr>
            <w:tcW w:w="793" w:type="dxa"/>
            <w:shd w:val="clear" w:color="auto" w:fill="auto"/>
            <w:vAlign w:val="bottom"/>
          </w:tcPr>
          <w:p w14:paraId="1C09994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883</w:t>
            </w:r>
          </w:p>
        </w:tc>
        <w:tc>
          <w:tcPr>
            <w:tcW w:w="794" w:type="dxa"/>
            <w:shd w:val="clear" w:color="auto" w:fill="auto"/>
            <w:vAlign w:val="bottom"/>
          </w:tcPr>
          <w:p w14:paraId="37492E8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764</w:t>
            </w:r>
          </w:p>
        </w:tc>
        <w:tc>
          <w:tcPr>
            <w:tcW w:w="794" w:type="dxa"/>
            <w:shd w:val="clear" w:color="auto" w:fill="auto"/>
            <w:vAlign w:val="bottom"/>
          </w:tcPr>
          <w:p w14:paraId="0D8BAC3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570</w:t>
            </w:r>
          </w:p>
        </w:tc>
      </w:tr>
      <w:tr w:rsidR="00B4060E" w:rsidRPr="00B4060E" w14:paraId="1F4446B5" w14:textId="77777777" w:rsidTr="00E45843">
        <w:trPr>
          <w:cantSplit/>
        </w:trPr>
        <w:tc>
          <w:tcPr>
            <w:tcW w:w="3402" w:type="dxa"/>
            <w:shd w:val="clear" w:color="auto" w:fill="auto"/>
          </w:tcPr>
          <w:p w14:paraId="054A7F8C"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Unlinked anonymous surveillance</w:t>
            </w:r>
          </w:p>
        </w:tc>
        <w:tc>
          <w:tcPr>
            <w:tcW w:w="793" w:type="dxa"/>
            <w:shd w:val="clear" w:color="auto" w:fill="auto"/>
            <w:vAlign w:val="bottom"/>
          </w:tcPr>
          <w:p w14:paraId="160BD3BC" w14:textId="1F326E1E"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11</w:t>
            </w:r>
            <w:r w:rsidR="00EA7A43">
              <w:rPr>
                <w:sz w:val="18"/>
              </w:rPr>
              <w:t xml:space="preserve"> </w:t>
            </w:r>
            <w:r w:rsidRPr="00B4060E">
              <w:rPr>
                <w:sz w:val="18"/>
              </w:rPr>
              <w:t>285</w:t>
            </w:r>
          </w:p>
        </w:tc>
        <w:tc>
          <w:tcPr>
            <w:tcW w:w="794" w:type="dxa"/>
            <w:shd w:val="clear" w:color="auto" w:fill="auto"/>
            <w:vAlign w:val="bottom"/>
          </w:tcPr>
          <w:p w14:paraId="5EC69DC6" w14:textId="4AB42F9D"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10</w:t>
            </w:r>
            <w:r w:rsidR="00EA7A43">
              <w:rPr>
                <w:sz w:val="18"/>
              </w:rPr>
              <w:t xml:space="preserve"> </w:t>
            </w:r>
            <w:r w:rsidRPr="00B4060E">
              <w:rPr>
                <w:sz w:val="18"/>
              </w:rPr>
              <w:t>937</w:t>
            </w:r>
          </w:p>
        </w:tc>
        <w:tc>
          <w:tcPr>
            <w:tcW w:w="793" w:type="dxa"/>
            <w:shd w:val="clear" w:color="auto" w:fill="auto"/>
            <w:vAlign w:val="bottom"/>
          </w:tcPr>
          <w:p w14:paraId="049FA3E7" w14:textId="1E41197F"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w:t>
            </w:r>
            <w:r w:rsidR="00EA7A43">
              <w:rPr>
                <w:sz w:val="18"/>
              </w:rPr>
              <w:t xml:space="preserve"> </w:t>
            </w:r>
            <w:r w:rsidRPr="00B4060E">
              <w:rPr>
                <w:sz w:val="18"/>
              </w:rPr>
              <w:t>043</w:t>
            </w:r>
          </w:p>
        </w:tc>
        <w:tc>
          <w:tcPr>
            <w:tcW w:w="794" w:type="dxa"/>
            <w:shd w:val="clear" w:color="auto" w:fill="auto"/>
            <w:vAlign w:val="bottom"/>
          </w:tcPr>
          <w:p w14:paraId="7B5F88C4" w14:textId="246358AC"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w:t>
            </w:r>
            <w:r w:rsidR="00EA7A43">
              <w:rPr>
                <w:sz w:val="18"/>
              </w:rPr>
              <w:t xml:space="preserve"> </w:t>
            </w:r>
            <w:r w:rsidRPr="00B4060E">
              <w:rPr>
                <w:sz w:val="18"/>
              </w:rPr>
              <w:t>865</w:t>
            </w:r>
          </w:p>
        </w:tc>
        <w:tc>
          <w:tcPr>
            <w:tcW w:w="794" w:type="dxa"/>
            <w:shd w:val="clear" w:color="auto" w:fill="auto"/>
            <w:vAlign w:val="bottom"/>
          </w:tcPr>
          <w:p w14:paraId="1B0EBBB8" w14:textId="43F0CFCF"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w:t>
            </w:r>
            <w:r w:rsidR="00EA7A43">
              <w:rPr>
                <w:sz w:val="18"/>
              </w:rPr>
              <w:t xml:space="preserve"> </w:t>
            </w:r>
            <w:r w:rsidRPr="00B4060E">
              <w:rPr>
                <w:sz w:val="18"/>
              </w:rPr>
              <w:t>774</w:t>
            </w:r>
          </w:p>
        </w:tc>
      </w:tr>
      <w:tr w:rsidR="00B4060E" w:rsidRPr="00B4060E" w14:paraId="4831914B" w14:textId="77777777" w:rsidTr="00E45843">
        <w:trPr>
          <w:cantSplit/>
        </w:trPr>
        <w:tc>
          <w:tcPr>
            <w:tcW w:w="3402" w:type="dxa"/>
            <w:shd w:val="clear" w:color="auto" w:fill="auto"/>
          </w:tcPr>
          <w:p w14:paraId="19593E76"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Voluntary testing service</w:t>
            </w:r>
          </w:p>
        </w:tc>
        <w:tc>
          <w:tcPr>
            <w:tcW w:w="793" w:type="dxa"/>
            <w:shd w:val="clear" w:color="auto" w:fill="auto"/>
            <w:vAlign w:val="bottom"/>
          </w:tcPr>
          <w:p w14:paraId="0FBDEAE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157</w:t>
            </w:r>
          </w:p>
        </w:tc>
        <w:tc>
          <w:tcPr>
            <w:tcW w:w="794" w:type="dxa"/>
            <w:shd w:val="clear" w:color="auto" w:fill="auto"/>
            <w:vAlign w:val="bottom"/>
          </w:tcPr>
          <w:p w14:paraId="03E9053F"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168</w:t>
            </w:r>
          </w:p>
        </w:tc>
        <w:tc>
          <w:tcPr>
            <w:tcW w:w="793" w:type="dxa"/>
            <w:shd w:val="clear" w:color="auto" w:fill="auto"/>
            <w:vAlign w:val="bottom"/>
          </w:tcPr>
          <w:p w14:paraId="1D7B024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243</w:t>
            </w:r>
          </w:p>
        </w:tc>
        <w:tc>
          <w:tcPr>
            <w:tcW w:w="794" w:type="dxa"/>
            <w:shd w:val="clear" w:color="auto" w:fill="auto"/>
            <w:vAlign w:val="bottom"/>
          </w:tcPr>
          <w:p w14:paraId="13122C3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403</w:t>
            </w:r>
          </w:p>
        </w:tc>
        <w:tc>
          <w:tcPr>
            <w:tcW w:w="794" w:type="dxa"/>
            <w:shd w:val="clear" w:color="auto" w:fill="auto"/>
            <w:vAlign w:val="bottom"/>
          </w:tcPr>
          <w:p w14:paraId="3B37011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294</w:t>
            </w:r>
          </w:p>
        </w:tc>
      </w:tr>
    </w:tbl>
    <w:p w14:paraId="309FBE18" w14:textId="18B6AA65" w:rsidR="001D75D7" w:rsidRPr="00EA7A43" w:rsidRDefault="001D75D7" w:rsidP="00EA7A43">
      <w:pPr>
        <w:spacing w:before="120" w:after="240"/>
        <w:ind w:left="1134" w:right="1134" w:firstLine="170"/>
        <w:rPr>
          <w:sz w:val="18"/>
        </w:rPr>
      </w:pPr>
      <w:r w:rsidRPr="00EA7A43">
        <w:rPr>
          <w:i/>
          <w:iCs/>
          <w:sz w:val="18"/>
        </w:rPr>
        <w:t>Source</w:t>
      </w:r>
      <w:r w:rsidRPr="00EA7A43">
        <w:rPr>
          <w:sz w:val="18"/>
        </w:rPr>
        <w:t xml:space="preserve">: </w:t>
      </w:r>
      <w:r w:rsidR="00A825E6">
        <w:rPr>
          <w:sz w:val="18"/>
        </w:rPr>
        <w:t xml:space="preserve"> </w:t>
      </w:r>
      <w:r w:rsidRPr="00EA7A43">
        <w:rPr>
          <w:sz w:val="18"/>
        </w:rPr>
        <w:t>HB.</w:t>
      </w:r>
    </w:p>
    <w:p w14:paraId="7B4C5C02" w14:textId="77777777" w:rsidR="001D75D7" w:rsidRPr="00B47380" w:rsidRDefault="001D75D7" w:rsidP="00D53B5F">
      <w:pPr>
        <w:pStyle w:val="SingleTxtG"/>
      </w:pPr>
      <w:r w:rsidRPr="00B47380">
        <w:t>240.</w:t>
      </w:r>
      <w:r w:rsidRPr="00B47380">
        <w:tab/>
        <w:t>The Methadone Maintenance Programme to control HIV/AIDS transmission on high-risk groups and the HIV Surveillance Strategy continue to be executed, especially the outreach services to sex workers, providing health education, nursing care, social support, free condoms and lubricants as well as free clean syringes and recycling boxes of used syringes for drug users.</w:t>
      </w:r>
    </w:p>
    <w:p w14:paraId="3B72A8E5" w14:textId="3792B864" w:rsidR="001D75D7" w:rsidRPr="00B47380" w:rsidRDefault="001D75D7" w:rsidP="00D53B5F">
      <w:pPr>
        <w:pStyle w:val="SingleTxtG"/>
      </w:pPr>
      <w:r w:rsidRPr="00B47380">
        <w:lastRenderedPageBreak/>
        <w:t>241.</w:t>
      </w:r>
      <w:r w:rsidR="00D96F66">
        <w:tab/>
      </w:r>
      <w:r w:rsidRPr="00B47380">
        <w:t xml:space="preserve">From 2014 to September 2018, 79,452 syringes were </w:t>
      </w:r>
      <w:proofErr w:type="gramStart"/>
      <w:r w:rsidRPr="00B47380">
        <w:t>distributed</w:t>
      </w:r>
      <w:proofErr w:type="gramEnd"/>
      <w:r w:rsidRPr="00B47380">
        <w:t xml:space="preserve"> and 62,052 syringes collected; 86,525 persons, including sex workers and other sexually active persons, were contacted during outreach visits, of which 1,760 persons received free rapid HIV and syphilis tests.</w:t>
      </w:r>
    </w:p>
    <w:p w14:paraId="38C62FE2" w14:textId="77777777" w:rsidR="001D75D7" w:rsidRPr="00B47380" w:rsidRDefault="001D75D7" w:rsidP="00D53B5F">
      <w:pPr>
        <w:pStyle w:val="SingleTxtG"/>
      </w:pPr>
      <w:r w:rsidRPr="00B47380">
        <w:t>242.</w:t>
      </w:r>
      <w:r w:rsidRPr="00B47380">
        <w:tab/>
        <w:t>Information about HIV/AIDS prevention among non-resident workers, educational programmes on STD prevention, including HIV,</w:t>
      </w:r>
      <w:r w:rsidRPr="00B47380" w:rsidDel="00592437">
        <w:t xml:space="preserve"> </w:t>
      </w:r>
      <w:r w:rsidRPr="00B47380">
        <w:t xml:space="preserve">was disseminated, including occasional health counselling activities in hotels and casinos. Promotional leaflets and posters were </w:t>
      </w:r>
      <w:proofErr w:type="gramStart"/>
      <w:r w:rsidRPr="00B47380">
        <w:t>distributed</w:t>
      </w:r>
      <w:proofErr w:type="gramEnd"/>
      <w:r w:rsidRPr="00B47380">
        <w:t xml:space="preserve"> and free rapid HIV and syphilis tests were offered. Between 2014 and September 2018, a total of 34,737 HIV tests targeting non-resident workers of saunas and nightclubs were conducted.</w:t>
      </w:r>
    </w:p>
    <w:p w14:paraId="2627D103" w14:textId="25E30E18" w:rsidR="001D75D7" w:rsidRPr="00B47380" w:rsidRDefault="001D75D7" w:rsidP="00D53B5F">
      <w:pPr>
        <w:pStyle w:val="SingleTxtG"/>
      </w:pPr>
      <w:r w:rsidRPr="00B47380">
        <w:t>243.</w:t>
      </w:r>
      <w:r w:rsidRPr="00B47380">
        <w:tab/>
        <w:t>Likewise, awareness campaigns on sexual and infectious diseases continue to be conducted, e.g. the World AIDS</w:t>
      </w:r>
      <w:r w:rsidR="006266F0">
        <w:t>’</w:t>
      </w:r>
      <w:r w:rsidRPr="00B47380">
        <w:t xml:space="preserve"> Day and the </w:t>
      </w:r>
      <w:r w:rsidR="006266F0">
        <w:t>“</w:t>
      </w:r>
      <w:r w:rsidRPr="00B47380">
        <w:t>Community Red Ribbon Action-AIDS Education Funding Scheme</w:t>
      </w:r>
      <w:r w:rsidR="006266F0">
        <w:t>”</w:t>
      </w:r>
      <w:r w:rsidRPr="00B47380">
        <w:t xml:space="preserve">. From 2014 to September 2018, 77 programmes were </w:t>
      </w:r>
      <w:proofErr w:type="gramStart"/>
      <w:r w:rsidRPr="00B47380">
        <w:t>subsidised</w:t>
      </w:r>
      <w:proofErr w:type="gramEnd"/>
      <w:r w:rsidRPr="00B47380">
        <w:t xml:space="preserve"> and 240 community-based activities were held, with 18,295 participants.</w:t>
      </w:r>
    </w:p>
    <w:p w14:paraId="608A26BF" w14:textId="77777777" w:rsidR="001D75D7" w:rsidRPr="00B47380" w:rsidRDefault="001D75D7" w:rsidP="00D53B5F">
      <w:pPr>
        <w:pStyle w:val="SingleTxtG"/>
      </w:pPr>
      <w:r w:rsidRPr="00B47380">
        <w:t>244.</w:t>
      </w:r>
      <w:r w:rsidRPr="00B47380">
        <w:tab/>
        <w:t xml:space="preserve">Different activities were also organised at the tertiary education level (e.g. HIV/AIDS week, HIV tests, booth games, roadshows and seminars) and sex education was integrated into the primary and secondary school curricula. Meanwhile, preventive education on HIV/AIDS and drug abuse targeting high-risk adolescents who had dropped out school was conducted. </w:t>
      </w:r>
    </w:p>
    <w:p w14:paraId="2EFD523E" w14:textId="7BFD4C00" w:rsidR="001D75D7" w:rsidRPr="00B47380" w:rsidRDefault="001D75D7" w:rsidP="00D53B5F">
      <w:pPr>
        <w:pStyle w:val="SingleTxtG"/>
      </w:pPr>
      <w:r w:rsidRPr="00B47380">
        <w:t>245.</w:t>
      </w:r>
      <w:r w:rsidRPr="00B47380">
        <w:tab/>
        <w:t>Regarding Law 17/2009 on the Prohibition of Illegal Production, Trafficking and Abuse of Narcotic Drugs and Psychotropic Substances (as amended by Law 4/2014 and Law 10/2016), its list has been regularly updated. The HB</w:t>
      </w:r>
      <w:r w:rsidR="006266F0">
        <w:t>’</w:t>
      </w:r>
      <w:r w:rsidRPr="00B47380">
        <w:t xml:space="preserve">s licensing and monitoring over the importation of medicines as explained in the previous report are still in effect. The HB also provides services for the destruction of substandard drugs on a regular basis. </w:t>
      </w:r>
    </w:p>
    <w:p w14:paraId="4748DABB" w14:textId="77777777" w:rsidR="001D75D7" w:rsidRPr="00B47380" w:rsidRDefault="001D75D7" w:rsidP="00D53B5F">
      <w:pPr>
        <w:pStyle w:val="SingleTxtG"/>
      </w:pPr>
      <w:r w:rsidRPr="00B47380">
        <w:t>246.</w:t>
      </w:r>
      <w:r w:rsidRPr="00B47380">
        <w:tab/>
        <w:t>In respect of drugs registered by the HB from 2014 to September 2018, there were respectively 28,026, 28,822, 29,825, 30,798 and 31,641 western medicines and 6,015, 6,811, 7,445, 7,597 and 6,623 TCMs.</w:t>
      </w:r>
    </w:p>
    <w:p w14:paraId="50FC1957" w14:textId="77777777" w:rsidR="001D75D7" w:rsidRPr="00B47380" w:rsidRDefault="001D75D7" w:rsidP="00D53B5F">
      <w:pPr>
        <w:pStyle w:val="SingleTxtG"/>
      </w:pPr>
      <w:r w:rsidRPr="00B47380">
        <w:t>247.</w:t>
      </w:r>
      <w:r w:rsidRPr="00B47380">
        <w:tab/>
        <w:t>The HB is also responsible for regular assessment and inspection of medical establishments and monitor of diagnostic systems/equipment (e.g. MRI and X-ray equipment and other sensitive or radioactive devices), their installation or disposal.</w:t>
      </w:r>
    </w:p>
    <w:p w14:paraId="7264FD89" w14:textId="77777777" w:rsidR="001D75D7" w:rsidRPr="00B47380" w:rsidRDefault="001D75D7" w:rsidP="00D53B5F">
      <w:pPr>
        <w:pStyle w:val="SingleTxtG"/>
      </w:pPr>
      <w:r w:rsidRPr="00B47380">
        <w:t>248.</w:t>
      </w:r>
      <w:r w:rsidRPr="00B47380">
        <w:tab/>
        <w:t>As of September 2018, there were 565 pharmaceutical firms operating in the MSAR. During the covered period, 1,718, 1,955, 1,893, 1,973 and 1,353 routine inspections to pharmaceutical firms were respectively carried out by the HB.</w:t>
      </w:r>
    </w:p>
    <w:p w14:paraId="275F764B" w14:textId="77777777" w:rsidR="001D75D7" w:rsidRPr="00B47380" w:rsidRDefault="001D75D7" w:rsidP="00D53B5F">
      <w:pPr>
        <w:pStyle w:val="SingleTxtG"/>
      </w:pPr>
      <w:r w:rsidRPr="00B47380">
        <w:t>249.</w:t>
      </w:r>
      <w:r w:rsidRPr="00B47380">
        <w:tab/>
        <w:t>The Government, together with the Commission on the Fight against Drugs and NGOs, continues to counter drug problems by preventive education, risk/harm reduction measures and free treatment programmes for drug addicts, including medical check-ups (infectious diseases, e.g. HIV, hepatitis B and C, TB, and other biochemistry check-ups, e.g. blood and urine), counselling and rehabilitation programmes provided through outreach-working teams.</w:t>
      </w:r>
    </w:p>
    <w:p w14:paraId="1449E919" w14:textId="77777777" w:rsidR="001D75D7" w:rsidRPr="00B47380" w:rsidRDefault="001D75D7" w:rsidP="00D53B5F">
      <w:pPr>
        <w:pStyle w:val="SingleTxtG"/>
      </w:pPr>
      <w:r w:rsidRPr="00B47380">
        <w:t>250.</w:t>
      </w:r>
      <w:r w:rsidRPr="00B47380">
        <w:tab/>
        <w:t xml:space="preserve">A Central Registration System for Drug Addicts is updated by the SWB with the support of other government departments and entities. Between 2014 and 2017, the number of drug addicts registered was 568, 617, 548 and 462 respectively. </w:t>
      </w:r>
    </w:p>
    <w:p w14:paraId="7280335A" w14:textId="77777777" w:rsidR="001D75D7" w:rsidRPr="00B47380" w:rsidRDefault="001D75D7" w:rsidP="00D53B5F">
      <w:pPr>
        <w:pStyle w:val="SingleTxtG"/>
      </w:pPr>
      <w:r w:rsidRPr="00B47380">
        <w:t>251.</w:t>
      </w:r>
      <w:r w:rsidRPr="00B47380">
        <w:tab/>
        <w:t>Regarding drug treatment in the outpatient centre between 2014 and 2017, there were respectively 111, 92, 69 and 24 new cases, and as of December 2018, there were 356 (301 males and 55 females) drug addicts receiving treatment, of which 26 were new cases. They were aged 14 to 60, being the majority aged 45–59.</w:t>
      </w:r>
    </w:p>
    <w:p w14:paraId="3B3F0AA4" w14:textId="32E8343E" w:rsidR="001D75D7" w:rsidRPr="00B47380" w:rsidRDefault="001D75D7" w:rsidP="00D53B5F">
      <w:pPr>
        <w:pStyle w:val="SingleTxtG"/>
      </w:pPr>
      <w:r w:rsidRPr="00B47380">
        <w:t>252.</w:t>
      </w:r>
      <w:r w:rsidRPr="00B47380">
        <w:tab/>
        <w:t xml:space="preserve">As to the consumption of tobacco, Law 5/2011, on the Regime of Tobacco Prevention and Control was amended by Law 9/2017, following WHO standards, to strengthen restrictive measures such as the prohibition of smoking in certain places, or of </w:t>
      </w:r>
      <w:r w:rsidR="00A825E6" w:rsidRPr="00B47380">
        <w:t>t</w:t>
      </w:r>
      <w:r w:rsidR="00A825E6">
        <w:t>o</w:t>
      </w:r>
      <w:r w:rsidR="00A825E6" w:rsidRPr="00B47380">
        <w:t xml:space="preserve">bacco </w:t>
      </w:r>
      <w:r w:rsidRPr="00B47380">
        <w:t>advertisement as well as restrictions to the use of electronic cigarettes.</w:t>
      </w:r>
    </w:p>
    <w:p w14:paraId="7C8814A9" w14:textId="77777777" w:rsidR="001D75D7" w:rsidRPr="00B47380" w:rsidRDefault="001D75D7" w:rsidP="00D53B5F">
      <w:pPr>
        <w:pStyle w:val="SingleTxtG"/>
      </w:pPr>
      <w:r w:rsidRPr="00B47380">
        <w:t>253.</w:t>
      </w:r>
      <w:r w:rsidRPr="00B47380">
        <w:tab/>
        <w:t xml:space="preserve">The Government proactively promotes a smoke-free culture through </w:t>
      </w:r>
      <w:proofErr w:type="gramStart"/>
      <w:r w:rsidRPr="00B47380">
        <w:t>a number of</w:t>
      </w:r>
      <w:proofErr w:type="gramEnd"/>
      <w:r w:rsidRPr="00B47380">
        <w:t xml:space="preserve"> anti-smoking programmes and actions. From 2014 to September 2018, the HB conducted </w:t>
      </w:r>
      <w:r w:rsidRPr="00B47380">
        <w:lastRenderedPageBreak/>
        <w:t>271,069, 289,300, 315,020, 326,977 and 259,445 anti-tobacco inspections respectively while there were respectively 7,820, 6,992, 6,803, 6,757 and 4,148 prosecutions.</w:t>
      </w:r>
    </w:p>
    <w:p w14:paraId="0B8D847E" w14:textId="62DF2803" w:rsidR="001D75D7" w:rsidRPr="00B47380" w:rsidRDefault="001D75D7" w:rsidP="00D53B5F">
      <w:pPr>
        <w:pStyle w:val="SingleTxtG"/>
      </w:pPr>
      <w:r w:rsidRPr="00B47380">
        <w:t>254.</w:t>
      </w:r>
      <w:r w:rsidRPr="00B47380">
        <w:tab/>
        <w:t xml:space="preserve">Awareness campaigns through the media, billboard advertising, webpages, mobile apps, educational props and interactive multi-media games and other promotional activities were executed. NGOs were also subsidised to promote a smoke-free environment. The MSAR celebrates annually the </w:t>
      </w:r>
      <w:r w:rsidR="006266F0">
        <w:t>“</w:t>
      </w:r>
      <w:r w:rsidRPr="00B47380">
        <w:t>World No Tobacco Day</w:t>
      </w:r>
      <w:r w:rsidR="006266F0">
        <w:t>”</w:t>
      </w:r>
      <w:r w:rsidRPr="00B47380">
        <w:t>.</w:t>
      </w:r>
    </w:p>
    <w:p w14:paraId="4F209B3B" w14:textId="77777777" w:rsidR="001D75D7" w:rsidRPr="00B47380" w:rsidRDefault="001D75D7" w:rsidP="00D53B5F">
      <w:pPr>
        <w:pStyle w:val="SingleTxtG"/>
      </w:pPr>
      <w:r w:rsidRPr="00B47380">
        <w:t>255.</w:t>
      </w:r>
      <w:r w:rsidRPr="00B47380">
        <w:tab/>
        <w:t>The overall tobacco consumption rate among the residents has gradually decreased from 16.9% in 2011 to 12.2% in 2017. According to the HB, during the covered period, there were 8,186 persons attending smoking cessation consultations, of which 1,188 were women.</w:t>
      </w:r>
    </w:p>
    <w:p w14:paraId="30F00EE3" w14:textId="31A9C0E5" w:rsidR="001D75D7" w:rsidRPr="00B47380" w:rsidRDefault="001D75D7" w:rsidP="00D53B5F">
      <w:pPr>
        <w:pStyle w:val="SingleTxtG"/>
      </w:pPr>
      <w:r w:rsidRPr="00B47380">
        <w:t>256.</w:t>
      </w:r>
      <w:r w:rsidRPr="00B47380">
        <w:tab/>
        <w:t xml:space="preserve">The HB also organises seminars in schools on </w:t>
      </w:r>
      <w:r w:rsidR="006266F0">
        <w:t>“</w:t>
      </w:r>
      <w:r w:rsidRPr="00B47380">
        <w:t>Hazards of Tobacco</w:t>
      </w:r>
      <w:r w:rsidR="006266F0">
        <w:t>”</w:t>
      </w:r>
      <w:r w:rsidRPr="00B47380">
        <w:t>, to promote a healthy, tobacco-free lifestyle. From 2015 to 2017, the HB held 82 lectures, with the participation of over 5,400 students and anti-tobacco groups held 187 lectures, attracting over 8,400 students.</w:t>
      </w:r>
    </w:p>
    <w:p w14:paraId="0477D5E3" w14:textId="77777777" w:rsidR="001D75D7" w:rsidRPr="00B47380" w:rsidRDefault="001D75D7" w:rsidP="00D53B5F">
      <w:pPr>
        <w:pStyle w:val="SingleTxtG"/>
      </w:pPr>
      <w:r w:rsidRPr="00B47380">
        <w:t>257.</w:t>
      </w:r>
      <w:r w:rsidRPr="00B47380">
        <w:tab/>
        <w:t xml:space="preserve">As regards contagious diseases, the information provided in the previous report is still valid. The list of contagious diseases of Law 2/2004 on the Prevention, Control and Treatment of Contagious Diseases, was last updated by Law 1/2016. To reduce the spread of diseases, the Government continues to promote awareness campaigns, distribute free protection masks and handwash disinfectant at healthcare establishments and conduct body temperature check at public places. </w:t>
      </w:r>
    </w:p>
    <w:p w14:paraId="04551A85" w14:textId="77777777" w:rsidR="001D75D7" w:rsidRPr="00B47380" w:rsidRDefault="001D75D7" w:rsidP="00D53B5F">
      <w:pPr>
        <w:pStyle w:val="SingleTxtG"/>
      </w:pPr>
      <w:r w:rsidRPr="00B47380">
        <w:t>258.</w:t>
      </w:r>
      <w:r w:rsidRPr="00B47380">
        <w:tab/>
        <w:t>The Government spent MOP$5,103,300,000 in public health in 2014 and MOP$6,872,100,000 in 2017, representing respectively 7.61% and 8.45% of the total public expenditure.</w:t>
      </w:r>
    </w:p>
    <w:p w14:paraId="4FE70482" w14:textId="77777777" w:rsidR="001D75D7" w:rsidRPr="00B47380" w:rsidRDefault="001D75D7" w:rsidP="002F0693">
      <w:pPr>
        <w:pStyle w:val="H23G"/>
      </w:pPr>
      <w:r w:rsidRPr="00B47380">
        <w:tab/>
      </w:r>
      <w:r w:rsidRPr="00B47380">
        <w:tab/>
        <w:t>International cooperation</w:t>
      </w:r>
    </w:p>
    <w:p w14:paraId="6CA4BECC" w14:textId="77777777" w:rsidR="001D75D7" w:rsidRPr="00B47380" w:rsidRDefault="001D75D7" w:rsidP="00D53B5F">
      <w:pPr>
        <w:pStyle w:val="SingleTxtG"/>
      </w:pPr>
      <w:r w:rsidRPr="00B47380">
        <w:t>259.</w:t>
      </w:r>
      <w:r w:rsidRPr="00B47380">
        <w:tab/>
        <w:t>During the covered period, the Government strengthened cooperation with other countries/regions, such as the Hong Kong SAR, Mainland China, Singapore, Portugal and the United Kingdom (UK), as well as with international organisations like the WHO, in health services, pharmaceutics, technical support, professional training and academic research.</w:t>
      </w:r>
    </w:p>
    <w:p w14:paraId="07389492" w14:textId="77777777" w:rsidR="001D75D7" w:rsidRPr="00B47380" w:rsidRDefault="001D75D7" w:rsidP="00D53B5F">
      <w:pPr>
        <w:pStyle w:val="SingleTxtG"/>
      </w:pPr>
      <w:r w:rsidRPr="00B47380">
        <w:t>260.</w:t>
      </w:r>
      <w:r w:rsidRPr="00B47380">
        <w:tab/>
        <w:t>Between 2014 and September 2018, 13,008 trainees attended 271 training programmes, involving different spectrums like personnel management, humanitarian aid, medical knowledge and techniques.</w:t>
      </w:r>
    </w:p>
    <w:p w14:paraId="20A84D47" w14:textId="26A02466" w:rsidR="001D75D7" w:rsidRPr="00B47380" w:rsidRDefault="001D75D7" w:rsidP="002F0693">
      <w:pPr>
        <w:pStyle w:val="H1G"/>
      </w:pPr>
      <w:r w:rsidRPr="00B47380">
        <w:tab/>
      </w:r>
      <w:r w:rsidRPr="00B47380">
        <w:tab/>
        <w:t>Articles 13 and 14</w:t>
      </w:r>
      <w:bookmarkStart w:id="57" w:name="_Toc194226872"/>
      <w:bookmarkStart w:id="58" w:name="_Toc194229838"/>
      <w:bookmarkStart w:id="59" w:name="_Toc286998610"/>
      <w:r w:rsidR="00404A52">
        <w:br/>
      </w:r>
      <w:r w:rsidRPr="00B47380">
        <w:t>Right to education</w:t>
      </w:r>
      <w:bookmarkEnd w:id="57"/>
      <w:bookmarkEnd w:id="58"/>
      <w:bookmarkEnd w:id="59"/>
    </w:p>
    <w:p w14:paraId="73A96505" w14:textId="77777777" w:rsidR="001D75D7" w:rsidRPr="00B47380" w:rsidRDefault="001D75D7" w:rsidP="00D53B5F">
      <w:pPr>
        <w:pStyle w:val="SingleTxtG"/>
      </w:pPr>
      <w:r w:rsidRPr="00B47380">
        <w:t>261.</w:t>
      </w:r>
      <w:r w:rsidRPr="00B47380">
        <w:tab/>
        <w:t>The right to education without discrimination as well as the autonomy, teaching and academic freedom of educational institutions is guaranteed under Articles 37 and 121 (2) of the BL. The information contained in the previous report is basically valid, especially the part related to non-tertiary education (Law 9/2006). A new law for tertiary education was adopted (Law 10/2017) replacing Decree-law 11/91/M. The 2 laws currently form the MSAR legal framework for education.</w:t>
      </w:r>
    </w:p>
    <w:p w14:paraId="449574EA" w14:textId="77777777" w:rsidR="001D75D7" w:rsidRPr="00B47380" w:rsidRDefault="001D75D7" w:rsidP="00D53B5F">
      <w:pPr>
        <w:pStyle w:val="SingleTxtG"/>
      </w:pPr>
      <w:r w:rsidRPr="00B47380">
        <w:t>262.</w:t>
      </w:r>
      <w:r w:rsidRPr="00B47380">
        <w:tab/>
        <w:t>In non-tertiary education, it should be stressed that compulsory, universal and free education to all is a continuous policy (Decree-law 42/99/M and Articles 20 and 21 of Law 9/2006).</w:t>
      </w:r>
    </w:p>
    <w:p w14:paraId="34B317D7" w14:textId="77777777" w:rsidR="001D75D7" w:rsidRPr="00B47380" w:rsidRDefault="001D75D7" w:rsidP="00D53B5F">
      <w:pPr>
        <w:pStyle w:val="SingleTxtG"/>
      </w:pPr>
      <w:r w:rsidRPr="00B47380">
        <w:t>263.</w:t>
      </w:r>
      <w:r w:rsidRPr="00B47380">
        <w:tab/>
        <w:t>According to the EYAB and the 2011 Census and the 2016 By-census, the literacy rate of 2016 was 96.5%, 0.9% higher than that of 2011. The public education expenses were MOP$10,787,500,000 (MOP$7,346,500,000 in non-tertiary education) in 2017, being 13.3% of the public expenditure.</w:t>
      </w:r>
    </w:p>
    <w:p w14:paraId="55A65CFC" w14:textId="4EED9030" w:rsidR="001D75D7" w:rsidRPr="00B47380" w:rsidRDefault="001D75D7" w:rsidP="00D53B5F">
      <w:pPr>
        <w:pStyle w:val="SingleTxtG"/>
      </w:pPr>
      <w:r w:rsidRPr="00B47380">
        <w:t>264.</w:t>
      </w:r>
      <w:r w:rsidRPr="00B47380">
        <w:tab/>
        <w:t>A Ten-Year Non-Tertiary Education Development Plan (2011</w:t>
      </w:r>
      <w:r w:rsidR="00E32CCC">
        <w:t>–</w:t>
      </w:r>
      <w:r w:rsidRPr="00B47380">
        <w:t xml:space="preserve">2020) has been implemented aiming at improving the quality of education in a comprehensive and inclusive manner, covering from kindergarten to secondary education, from special </w:t>
      </w:r>
      <w:r w:rsidRPr="00B47380">
        <w:lastRenderedPageBreak/>
        <w:t>education and recurrent education to professional education, focusing on the healthy development of students at the physical, psychological and social levels.</w:t>
      </w:r>
    </w:p>
    <w:p w14:paraId="6A4A0D21" w14:textId="77777777" w:rsidR="001D75D7" w:rsidRPr="00B47380" w:rsidRDefault="001D75D7" w:rsidP="002F0693">
      <w:pPr>
        <w:pStyle w:val="SingleTxtG"/>
        <w:spacing w:after="240"/>
      </w:pPr>
      <w:r w:rsidRPr="00B47380">
        <w:t>265.</w:t>
      </w:r>
      <w:r w:rsidRPr="00B47380">
        <w:tab/>
        <w:t>Presently, 74 schools provide formal education, including pre-primary, primary, secondary and special education. Among them, 10 are public schools and 64 are private schools (57 within the free education network) while the total number of students and teaching staff are respectively 76,346 (39,726 males and 36,620 females) and 6,784 (1,718 males and 5,066 females).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851"/>
        <w:gridCol w:w="850"/>
        <w:gridCol w:w="993"/>
        <w:gridCol w:w="850"/>
        <w:gridCol w:w="921"/>
        <w:gridCol w:w="885"/>
        <w:gridCol w:w="886"/>
      </w:tblGrid>
      <w:tr w:rsidR="00B4060E" w:rsidRPr="00B4060E" w14:paraId="4B142AB8" w14:textId="77777777" w:rsidTr="00E45843">
        <w:trPr>
          <w:cantSplit/>
          <w:tblHeader/>
        </w:trPr>
        <w:tc>
          <w:tcPr>
            <w:tcW w:w="1134" w:type="dxa"/>
            <w:vMerge w:val="restart"/>
            <w:tcBorders>
              <w:top w:val="single" w:sz="4" w:space="0" w:color="auto"/>
              <w:bottom w:val="single" w:sz="12" w:space="0" w:color="auto"/>
            </w:tcBorders>
            <w:shd w:val="clear" w:color="auto" w:fill="auto"/>
            <w:vAlign w:val="bottom"/>
          </w:tcPr>
          <w:p w14:paraId="35E6A62C" w14:textId="77777777" w:rsidR="001D75D7" w:rsidRPr="00B4060E" w:rsidRDefault="001D75D7" w:rsidP="00B4060E">
            <w:pPr>
              <w:pStyle w:val="SingleTxtG"/>
              <w:suppressAutoHyphens w:val="0"/>
              <w:spacing w:before="80" w:after="80" w:line="200" w:lineRule="exact"/>
              <w:ind w:left="0" w:right="113"/>
              <w:jc w:val="left"/>
              <w:rPr>
                <w:i/>
                <w:sz w:val="16"/>
              </w:rPr>
            </w:pPr>
            <w:r w:rsidRPr="00B4060E">
              <w:rPr>
                <w:i/>
                <w:sz w:val="16"/>
              </w:rPr>
              <w:t>Academic year</w:t>
            </w:r>
          </w:p>
        </w:tc>
        <w:tc>
          <w:tcPr>
            <w:tcW w:w="851" w:type="dxa"/>
            <w:vMerge w:val="restart"/>
            <w:tcBorders>
              <w:top w:val="single" w:sz="4" w:space="0" w:color="auto"/>
              <w:bottom w:val="single" w:sz="12" w:space="0" w:color="auto"/>
            </w:tcBorders>
            <w:shd w:val="clear" w:color="auto" w:fill="auto"/>
            <w:vAlign w:val="bottom"/>
          </w:tcPr>
          <w:p w14:paraId="6C81B123"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Type of education</w:t>
            </w:r>
          </w:p>
        </w:tc>
        <w:tc>
          <w:tcPr>
            <w:tcW w:w="1843" w:type="dxa"/>
            <w:gridSpan w:val="2"/>
            <w:tcBorders>
              <w:top w:val="single" w:sz="4" w:space="0" w:color="auto"/>
              <w:bottom w:val="single" w:sz="4" w:space="0" w:color="auto"/>
              <w:right w:val="single" w:sz="24" w:space="0" w:color="FFFFFF" w:themeColor="background1"/>
            </w:tcBorders>
            <w:shd w:val="clear" w:color="auto" w:fill="auto"/>
            <w:vAlign w:val="bottom"/>
          </w:tcPr>
          <w:p w14:paraId="46756CAC" w14:textId="77777777" w:rsidR="001D75D7" w:rsidRPr="00B4060E" w:rsidRDefault="001D75D7" w:rsidP="00FD5D28">
            <w:pPr>
              <w:pStyle w:val="SingleTxtG"/>
              <w:suppressAutoHyphens w:val="0"/>
              <w:spacing w:before="80" w:after="80" w:line="200" w:lineRule="exact"/>
              <w:ind w:left="0" w:right="113"/>
              <w:jc w:val="center"/>
              <w:rPr>
                <w:i/>
                <w:sz w:val="16"/>
              </w:rPr>
            </w:pPr>
            <w:r w:rsidRPr="00B4060E">
              <w:rPr>
                <w:i/>
                <w:sz w:val="16"/>
              </w:rPr>
              <w:t>Public School</w:t>
            </w:r>
          </w:p>
        </w:tc>
        <w:tc>
          <w:tcPr>
            <w:tcW w:w="3542" w:type="dxa"/>
            <w:gridSpan w:val="4"/>
            <w:tcBorders>
              <w:top w:val="single" w:sz="4" w:space="0" w:color="auto"/>
              <w:left w:val="single" w:sz="24" w:space="0" w:color="FFFFFF" w:themeColor="background1"/>
              <w:bottom w:val="single" w:sz="4" w:space="0" w:color="auto"/>
            </w:tcBorders>
            <w:shd w:val="clear" w:color="auto" w:fill="auto"/>
            <w:vAlign w:val="bottom"/>
          </w:tcPr>
          <w:p w14:paraId="21D6DE20" w14:textId="77777777" w:rsidR="001D75D7" w:rsidRPr="00B4060E" w:rsidRDefault="001D75D7" w:rsidP="00FD5D28">
            <w:pPr>
              <w:pStyle w:val="SingleTxtG"/>
              <w:suppressAutoHyphens w:val="0"/>
              <w:spacing w:before="80" w:after="80" w:line="200" w:lineRule="exact"/>
              <w:ind w:left="0" w:right="113"/>
              <w:jc w:val="center"/>
              <w:rPr>
                <w:i/>
                <w:sz w:val="16"/>
              </w:rPr>
            </w:pPr>
            <w:r w:rsidRPr="00B4060E">
              <w:rPr>
                <w:i/>
                <w:sz w:val="16"/>
              </w:rPr>
              <w:t>Private school</w:t>
            </w:r>
          </w:p>
        </w:tc>
      </w:tr>
      <w:tr w:rsidR="00B4060E" w:rsidRPr="00B4060E" w14:paraId="31E3000F" w14:textId="77777777" w:rsidTr="00E45843">
        <w:trPr>
          <w:cantSplit/>
          <w:tblHeader/>
        </w:trPr>
        <w:tc>
          <w:tcPr>
            <w:tcW w:w="1134" w:type="dxa"/>
            <w:vMerge/>
            <w:tcBorders>
              <w:top w:val="nil"/>
              <w:bottom w:val="single" w:sz="12" w:space="0" w:color="auto"/>
            </w:tcBorders>
            <w:shd w:val="clear" w:color="auto" w:fill="auto"/>
            <w:vAlign w:val="bottom"/>
          </w:tcPr>
          <w:p w14:paraId="5FB7BE6B"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851" w:type="dxa"/>
            <w:vMerge/>
            <w:tcBorders>
              <w:top w:val="nil"/>
              <w:bottom w:val="single" w:sz="12" w:space="0" w:color="auto"/>
            </w:tcBorders>
            <w:shd w:val="clear" w:color="auto" w:fill="auto"/>
            <w:vAlign w:val="bottom"/>
          </w:tcPr>
          <w:p w14:paraId="2710E617" w14:textId="77777777" w:rsidR="001D75D7" w:rsidRPr="00B4060E" w:rsidRDefault="001D75D7" w:rsidP="00B4060E">
            <w:pPr>
              <w:pStyle w:val="SingleTxtG"/>
              <w:suppressAutoHyphens w:val="0"/>
              <w:spacing w:before="40" w:after="40" w:line="220" w:lineRule="exact"/>
              <w:ind w:left="0" w:right="113"/>
              <w:jc w:val="right"/>
              <w:rPr>
                <w:sz w:val="18"/>
              </w:rPr>
            </w:pPr>
          </w:p>
        </w:tc>
        <w:tc>
          <w:tcPr>
            <w:tcW w:w="1843" w:type="dxa"/>
            <w:gridSpan w:val="2"/>
            <w:tcBorders>
              <w:top w:val="single" w:sz="4" w:space="0" w:color="auto"/>
              <w:bottom w:val="single" w:sz="4" w:space="0" w:color="auto"/>
              <w:right w:val="single" w:sz="24" w:space="0" w:color="FFFFFF" w:themeColor="background1"/>
            </w:tcBorders>
            <w:shd w:val="clear" w:color="auto" w:fill="auto"/>
            <w:vAlign w:val="bottom"/>
          </w:tcPr>
          <w:p w14:paraId="4E57C451" w14:textId="77777777" w:rsidR="001D75D7" w:rsidRPr="00FD5D28" w:rsidRDefault="001D75D7" w:rsidP="00FD5D28">
            <w:pPr>
              <w:pStyle w:val="SingleTxtG"/>
              <w:suppressAutoHyphens w:val="0"/>
              <w:spacing w:before="40" w:after="40" w:line="220" w:lineRule="exact"/>
              <w:ind w:left="0" w:right="113"/>
              <w:jc w:val="center"/>
              <w:rPr>
                <w:i/>
                <w:sz w:val="16"/>
              </w:rPr>
            </w:pPr>
            <w:r w:rsidRPr="00FD5D28">
              <w:rPr>
                <w:i/>
                <w:sz w:val="16"/>
              </w:rPr>
              <w:t>Medium of instruction</w:t>
            </w:r>
          </w:p>
        </w:tc>
        <w:tc>
          <w:tcPr>
            <w:tcW w:w="3542" w:type="dxa"/>
            <w:gridSpan w:val="4"/>
            <w:tcBorders>
              <w:top w:val="single" w:sz="4" w:space="0" w:color="auto"/>
              <w:left w:val="single" w:sz="24" w:space="0" w:color="FFFFFF" w:themeColor="background1"/>
              <w:bottom w:val="single" w:sz="4" w:space="0" w:color="auto"/>
            </w:tcBorders>
            <w:shd w:val="clear" w:color="auto" w:fill="auto"/>
            <w:vAlign w:val="bottom"/>
          </w:tcPr>
          <w:p w14:paraId="1813279A" w14:textId="77777777" w:rsidR="001D75D7" w:rsidRPr="00FD5D28" w:rsidRDefault="001D75D7" w:rsidP="00FD5D28">
            <w:pPr>
              <w:pStyle w:val="SingleTxtG"/>
              <w:suppressAutoHyphens w:val="0"/>
              <w:spacing w:before="40" w:after="40" w:line="220" w:lineRule="exact"/>
              <w:ind w:left="0" w:right="113"/>
              <w:jc w:val="center"/>
              <w:rPr>
                <w:i/>
                <w:sz w:val="16"/>
              </w:rPr>
            </w:pPr>
            <w:r w:rsidRPr="00FD5D28">
              <w:rPr>
                <w:i/>
                <w:sz w:val="16"/>
              </w:rPr>
              <w:t>Medium of instruction</w:t>
            </w:r>
          </w:p>
        </w:tc>
      </w:tr>
      <w:tr w:rsidR="00B4060E" w:rsidRPr="00B4060E" w14:paraId="534134FF" w14:textId="77777777" w:rsidTr="00E45843">
        <w:trPr>
          <w:cantSplit/>
          <w:tblHeader/>
        </w:trPr>
        <w:tc>
          <w:tcPr>
            <w:tcW w:w="1134" w:type="dxa"/>
            <w:vMerge/>
            <w:tcBorders>
              <w:top w:val="nil"/>
              <w:bottom w:val="single" w:sz="12" w:space="0" w:color="auto"/>
            </w:tcBorders>
            <w:shd w:val="clear" w:color="auto" w:fill="auto"/>
            <w:vAlign w:val="bottom"/>
          </w:tcPr>
          <w:p w14:paraId="6C86135E"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851" w:type="dxa"/>
            <w:vMerge/>
            <w:tcBorders>
              <w:top w:val="nil"/>
              <w:bottom w:val="single" w:sz="12" w:space="0" w:color="auto"/>
            </w:tcBorders>
            <w:shd w:val="clear" w:color="auto" w:fill="auto"/>
            <w:vAlign w:val="bottom"/>
          </w:tcPr>
          <w:p w14:paraId="6EA1E7C5" w14:textId="77777777" w:rsidR="001D75D7" w:rsidRPr="00B4060E" w:rsidRDefault="001D75D7" w:rsidP="00B4060E">
            <w:pPr>
              <w:pStyle w:val="SingleTxtG"/>
              <w:suppressAutoHyphens w:val="0"/>
              <w:spacing w:before="40" w:after="40" w:line="220" w:lineRule="exact"/>
              <w:ind w:left="0" w:right="113"/>
              <w:jc w:val="right"/>
              <w:rPr>
                <w:sz w:val="18"/>
              </w:rPr>
            </w:pPr>
          </w:p>
        </w:tc>
        <w:tc>
          <w:tcPr>
            <w:tcW w:w="850" w:type="dxa"/>
            <w:tcBorders>
              <w:top w:val="single" w:sz="4" w:space="0" w:color="auto"/>
              <w:bottom w:val="single" w:sz="12" w:space="0" w:color="auto"/>
            </w:tcBorders>
            <w:shd w:val="clear" w:color="auto" w:fill="auto"/>
            <w:vAlign w:val="bottom"/>
          </w:tcPr>
          <w:p w14:paraId="54455CB0" w14:textId="77777777" w:rsidR="001D75D7" w:rsidRPr="00FD5D28" w:rsidRDefault="001D75D7" w:rsidP="00B4060E">
            <w:pPr>
              <w:pStyle w:val="SingleTxtG"/>
              <w:suppressAutoHyphens w:val="0"/>
              <w:spacing w:before="40" w:after="40" w:line="220" w:lineRule="exact"/>
              <w:ind w:left="0" w:right="113"/>
              <w:jc w:val="right"/>
              <w:rPr>
                <w:i/>
                <w:sz w:val="16"/>
              </w:rPr>
            </w:pPr>
            <w:r w:rsidRPr="00FD5D28">
              <w:rPr>
                <w:i/>
                <w:sz w:val="16"/>
              </w:rPr>
              <w:t>Chinese</w:t>
            </w:r>
          </w:p>
        </w:tc>
        <w:tc>
          <w:tcPr>
            <w:tcW w:w="993" w:type="dxa"/>
            <w:tcBorders>
              <w:top w:val="single" w:sz="4" w:space="0" w:color="auto"/>
              <w:bottom w:val="single" w:sz="12" w:space="0" w:color="auto"/>
              <w:right w:val="single" w:sz="24" w:space="0" w:color="FFFFFF" w:themeColor="background1"/>
            </w:tcBorders>
            <w:shd w:val="clear" w:color="auto" w:fill="auto"/>
            <w:vAlign w:val="bottom"/>
          </w:tcPr>
          <w:p w14:paraId="0401A9FA" w14:textId="77777777" w:rsidR="001D75D7" w:rsidRPr="00FD5D28" w:rsidRDefault="001D75D7" w:rsidP="00B4060E">
            <w:pPr>
              <w:pStyle w:val="SingleTxtG"/>
              <w:suppressAutoHyphens w:val="0"/>
              <w:spacing w:before="40" w:after="40" w:line="220" w:lineRule="exact"/>
              <w:ind w:left="0" w:right="113"/>
              <w:jc w:val="right"/>
              <w:rPr>
                <w:i/>
                <w:sz w:val="16"/>
              </w:rPr>
            </w:pPr>
            <w:r w:rsidRPr="00FD5D28">
              <w:rPr>
                <w:i/>
                <w:sz w:val="16"/>
              </w:rPr>
              <w:t>Chinese &amp; Portuguese</w:t>
            </w:r>
          </w:p>
        </w:tc>
        <w:tc>
          <w:tcPr>
            <w:tcW w:w="850" w:type="dxa"/>
            <w:tcBorders>
              <w:top w:val="single" w:sz="4" w:space="0" w:color="auto"/>
              <w:left w:val="single" w:sz="24" w:space="0" w:color="FFFFFF" w:themeColor="background1"/>
              <w:bottom w:val="single" w:sz="12" w:space="0" w:color="auto"/>
            </w:tcBorders>
            <w:shd w:val="clear" w:color="auto" w:fill="auto"/>
            <w:vAlign w:val="bottom"/>
          </w:tcPr>
          <w:p w14:paraId="4EE28DB9" w14:textId="77777777" w:rsidR="001D75D7" w:rsidRPr="00FD5D28" w:rsidRDefault="001D75D7" w:rsidP="00B4060E">
            <w:pPr>
              <w:pStyle w:val="SingleTxtG"/>
              <w:suppressAutoHyphens w:val="0"/>
              <w:spacing w:before="40" w:after="40" w:line="220" w:lineRule="exact"/>
              <w:ind w:left="0" w:right="113"/>
              <w:jc w:val="right"/>
              <w:rPr>
                <w:i/>
                <w:sz w:val="16"/>
              </w:rPr>
            </w:pPr>
            <w:r w:rsidRPr="00FD5D28">
              <w:rPr>
                <w:i/>
                <w:sz w:val="16"/>
              </w:rPr>
              <w:t>Chinese</w:t>
            </w:r>
          </w:p>
        </w:tc>
        <w:tc>
          <w:tcPr>
            <w:tcW w:w="921" w:type="dxa"/>
            <w:tcBorders>
              <w:top w:val="single" w:sz="4" w:space="0" w:color="auto"/>
              <w:bottom w:val="single" w:sz="12" w:space="0" w:color="auto"/>
            </w:tcBorders>
            <w:shd w:val="clear" w:color="auto" w:fill="auto"/>
            <w:vAlign w:val="bottom"/>
          </w:tcPr>
          <w:p w14:paraId="6463CAFF" w14:textId="77777777" w:rsidR="001D75D7" w:rsidRPr="00FD5D28" w:rsidRDefault="001D75D7" w:rsidP="00B4060E">
            <w:pPr>
              <w:pStyle w:val="SingleTxtG"/>
              <w:suppressAutoHyphens w:val="0"/>
              <w:spacing w:before="40" w:after="40" w:line="220" w:lineRule="exact"/>
              <w:ind w:left="0" w:right="113"/>
              <w:jc w:val="right"/>
              <w:rPr>
                <w:i/>
                <w:sz w:val="16"/>
              </w:rPr>
            </w:pPr>
            <w:r w:rsidRPr="00FD5D28">
              <w:rPr>
                <w:i/>
                <w:sz w:val="16"/>
              </w:rPr>
              <w:t>Portuguese</w:t>
            </w:r>
          </w:p>
        </w:tc>
        <w:tc>
          <w:tcPr>
            <w:tcW w:w="885" w:type="dxa"/>
            <w:tcBorders>
              <w:top w:val="single" w:sz="4" w:space="0" w:color="auto"/>
              <w:bottom w:val="single" w:sz="12" w:space="0" w:color="auto"/>
            </w:tcBorders>
            <w:shd w:val="clear" w:color="auto" w:fill="auto"/>
            <w:vAlign w:val="bottom"/>
          </w:tcPr>
          <w:p w14:paraId="636F7BD7" w14:textId="77777777" w:rsidR="001D75D7" w:rsidRPr="00FD5D28" w:rsidRDefault="001D75D7" w:rsidP="00B4060E">
            <w:pPr>
              <w:pStyle w:val="SingleTxtG"/>
              <w:suppressAutoHyphens w:val="0"/>
              <w:spacing w:before="40" w:after="40" w:line="220" w:lineRule="exact"/>
              <w:ind w:left="0" w:right="113"/>
              <w:jc w:val="right"/>
              <w:rPr>
                <w:i/>
                <w:sz w:val="16"/>
              </w:rPr>
            </w:pPr>
            <w:r w:rsidRPr="00FD5D28">
              <w:rPr>
                <w:i/>
                <w:sz w:val="16"/>
              </w:rPr>
              <w:t>English</w:t>
            </w:r>
          </w:p>
        </w:tc>
        <w:tc>
          <w:tcPr>
            <w:tcW w:w="886" w:type="dxa"/>
            <w:tcBorders>
              <w:top w:val="single" w:sz="4" w:space="0" w:color="auto"/>
              <w:bottom w:val="single" w:sz="12" w:space="0" w:color="auto"/>
            </w:tcBorders>
            <w:shd w:val="clear" w:color="auto" w:fill="auto"/>
            <w:vAlign w:val="bottom"/>
          </w:tcPr>
          <w:p w14:paraId="46EED3D4" w14:textId="77777777" w:rsidR="001D75D7" w:rsidRPr="00FD5D28" w:rsidRDefault="001D75D7" w:rsidP="00B4060E">
            <w:pPr>
              <w:pStyle w:val="SingleTxtG"/>
              <w:suppressAutoHyphens w:val="0"/>
              <w:spacing w:before="40" w:after="40" w:line="220" w:lineRule="exact"/>
              <w:ind w:left="0" w:right="113"/>
              <w:jc w:val="right"/>
              <w:rPr>
                <w:i/>
                <w:sz w:val="16"/>
              </w:rPr>
            </w:pPr>
            <w:r w:rsidRPr="00FD5D28">
              <w:rPr>
                <w:i/>
                <w:sz w:val="16"/>
              </w:rPr>
              <w:t>Chinese &amp; English</w:t>
            </w:r>
          </w:p>
        </w:tc>
      </w:tr>
      <w:tr w:rsidR="00B4060E" w:rsidRPr="00B4060E" w14:paraId="39F4A183" w14:textId="77777777" w:rsidTr="00E45843">
        <w:trPr>
          <w:cantSplit/>
        </w:trPr>
        <w:tc>
          <w:tcPr>
            <w:tcW w:w="1134" w:type="dxa"/>
            <w:vMerge w:val="restart"/>
            <w:tcBorders>
              <w:top w:val="single" w:sz="12" w:space="0" w:color="auto"/>
            </w:tcBorders>
            <w:shd w:val="clear" w:color="auto" w:fill="auto"/>
          </w:tcPr>
          <w:p w14:paraId="079AF155" w14:textId="1128F230"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2014/15</w:t>
            </w:r>
          </w:p>
        </w:tc>
        <w:tc>
          <w:tcPr>
            <w:tcW w:w="851" w:type="dxa"/>
            <w:tcBorders>
              <w:top w:val="single" w:sz="12" w:space="0" w:color="auto"/>
            </w:tcBorders>
            <w:shd w:val="clear" w:color="auto" w:fill="auto"/>
            <w:vAlign w:val="bottom"/>
          </w:tcPr>
          <w:p w14:paraId="5E29036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Formal</w:t>
            </w:r>
          </w:p>
        </w:tc>
        <w:tc>
          <w:tcPr>
            <w:tcW w:w="850" w:type="dxa"/>
            <w:tcBorders>
              <w:top w:val="single" w:sz="12" w:space="0" w:color="auto"/>
            </w:tcBorders>
            <w:shd w:val="clear" w:color="auto" w:fill="auto"/>
            <w:vAlign w:val="bottom"/>
          </w:tcPr>
          <w:p w14:paraId="6675334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w:t>
            </w:r>
          </w:p>
        </w:tc>
        <w:tc>
          <w:tcPr>
            <w:tcW w:w="993" w:type="dxa"/>
            <w:tcBorders>
              <w:top w:val="single" w:sz="12" w:space="0" w:color="auto"/>
            </w:tcBorders>
            <w:shd w:val="clear" w:color="auto" w:fill="auto"/>
            <w:vAlign w:val="bottom"/>
          </w:tcPr>
          <w:p w14:paraId="393C297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w:t>
            </w:r>
          </w:p>
        </w:tc>
        <w:tc>
          <w:tcPr>
            <w:tcW w:w="850" w:type="dxa"/>
            <w:tcBorders>
              <w:top w:val="single" w:sz="12" w:space="0" w:color="auto"/>
            </w:tcBorders>
            <w:shd w:val="clear" w:color="auto" w:fill="auto"/>
            <w:vAlign w:val="bottom"/>
          </w:tcPr>
          <w:p w14:paraId="540FA6C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49</w:t>
            </w:r>
          </w:p>
        </w:tc>
        <w:tc>
          <w:tcPr>
            <w:tcW w:w="921" w:type="dxa"/>
            <w:tcBorders>
              <w:top w:val="single" w:sz="12" w:space="0" w:color="auto"/>
            </w:tcBorders>
            <w:shd w:val="clear" w:color="auto" w:fill="auto"/>
            <w:vAlign w:val="bottom"/>
          </w:tcPr>
          <w:p w14:paraId="777EE7E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w:t>
            </w:r>
          </w:p>
        </w:tc>
        <w:tc>
          <w:tcPr>
            <w:tcW w:w="885" w:type="dxa"/>
            <w:tcBorders>
              <w:top w:val="single" w:sz="12" w:space="0" w:color="auto"/>
            </w:tcBorders>
            <w:shd w:val="clear" w:color="auto" w:fill="auto"/>
            <w:vAlign w:val="bottom"/>
          </w:tcPr>
          <w:p w14:paraId="5A9281A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w:t>
            </w:r>
          </w:p>
        </w:tc>
        <w:tc>
          <w:tcPr>
            <w:tcW w:w="886" w:type="dxa"/>
            <w:tcBorders>
              <w:top w:val="single" w:sz="12" w:space="0" w:color="auto"/>
            </w:tcBorders>
            <w:shd w:val="clear" w:color="auto" w:fill="auto"/>
            <w:vAlign w:val="bottom"/>
          </w:tcPr>
          <w:p w14:paraId="418582B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w:t>
            </w:r>
          </w:p>
        </w:tc>
      </w:tr>
      <w:tr w:rsidR="00B4060E" w:rsidRPr="00B4060E" w14:paraId="37156331" w14:textId="77777777" w:rsidTr="00E45843">
        <w:trPr>
          <w:cantSplit/>
        </w:trPr>
        <w:tc>
          <w:tcPr>
            <w:tcW w:w="1134" w:type="dxa"/>
            <w:vMerge/>
            <w:shd w:val="clear" w:color="auto" w:fill="auto"/>
          </w:tcPr>
          <w:p w14:paraId="78E5022B"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851" w:type="dxa"/>
            <w:shd w:val="clear" w:color="auto" w:fill="auto"/>
            <w:vAlign w:val="bottom"/>
          </w:tcPr>
          <w:p w14:paraId="049114D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Special</w:t>
            </w:r>
          </w:p>
        </w:tc>
        <w:tc>
          <w:tcPr>
            <w:tcW w:w="850" w:type="dxa"/>
            <w:shd w:val="clear" w:color="auto" w:fill="auto"/>
            <w:vAlign w:val="bottom"/>
          </w:tcPr>
          <w:p w14:paraId="4CD8970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p>
        </w:tc>
        <w:tc>
          <w:tcPr>
            <w:tcW w:w="993" w:type="dxa"/>
            <w:shd w:val="clear" w:color="auto" w:fill="auto"/>
            <w:vAlign w:val="bottom"/>
          </w:tcPr>
          <w:p w14:paraId="2C26C01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c>
          <w:tcPr>
            <w:tcW w:w="850" w:type="dxa"/>
            <w:shd w:val="clear" w:color="auto" w:fill="auto"/>
            <w:vAlign w:val="bottom"/>
          </w:tcPr>
          <w:p w14:paraId="65A4C07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w:t>
            </w:r>
          </w:p>
        </w:tc>
        <w:tc>
          <w:tcPr>
            <w:tcW w:w="921" w:type="dxa"/>
            <w:shd w:val="clear" w:color="auto" w:fill="auto"/>
            <w:vAlign w:val="bottom"/>
          </w:tcPr>
          <w:p w14:paraId="7C78B4A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c>
          <w:tcPr>
            <w:tcW w:w="885" w:type="dxa"/>
            <w:shd w:val="clear" w:color="auto" w:fill="auto"/>
            <w:vAlign w:val="bottom"/>
          </w:tcPr>
          <w:p w14:paraId="3DB83F1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c>
          <w:tcPr>
            <w:tcW w:w="886" w:type="dxa"/>
            <w:shd w:val="clear" w:color="auto" w:fill="auto"/>
            <w:vAlign w:val="bottom"/>
          </w:tcPr>
          <w:p w14:paraId="6058508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r>
      <w:tr w:rsidR="00B4060E" w:rsidRPr="00B4060E" w14:paraId="38094664" w14:textId="77777777" w:rsidTr="00E45843">
        <w:trPr>
          <w:cantSplit/>
        </w:trPr>
        <w:tc>
          <w:tcPr>
            <w:tcW w:w="1134" w:type="dxa"/>
            <w:vMerge w:val="restart"/>
            <w:shd w:val="clear" w:color="auto" w:fill="auto"/>
          </w:tcPr>
          <w:p w14:paraId="4A8B3215" w14:textId="6ADFCFBC"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2015/16</w:t>
            </w:r>
          </w:p>
        </w:tc>
        <w:tc>
          <w:tcPr>
            <w:tcW w:w="851" w:type="dxa"/>
            <w:shd w:val="clear" w:color="auto" w:fill="auto"/>
            <w:vAlign w:val="bottom"/>
          </w:tcPr>
          <w:p w14:paraId="590D1CF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Formal</w:t>
            </w:r>
          </w:p>
        </w:tc>
        <w:tc>
          <w:tcPr>
            <w:tcW w:w="850" w:type="dxa"/>
            <w:shd w:val="clear" w:color="auto" w:fill="auto"/>
            <w:vAlign w:val="bottom"/>
          </w:tcPr>
          <w:p w14:paraId="671CA7D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w:t>
            </w:r>
          </w:p>
        </w:tc>
        <w:tc>
          <w:tcPr>
            <w:tcW w:w="993" w:type="dxa"/>
            <w:shd w:val="clear" w:color="auto" w:fill="auto"/>
            <w:vAlign w:val="bottom"/>
          </w:tcPr>
          <w:p w14:paraId="5160A05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w:t>
            </w:r>
          </w:p>
        </w:tc>
        <w:tc>
          <w:tcPr>
            <w:tcW w:w="850" w:type="dxa"/>
            <w:shd w:val="clear" w:color="auto" w:fill="auto"/>
            <w:vAlign w:val="bottom"/>
          </w:tcPr>
          <w:p w14:paraId="02F47916"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49</w:t>
            </w:r>
          </w:p>
        </w:tc>
        <w:tc>
          <w:tcPr>
            <w:tcW w:w="921" w:type="dxa"/>
            <w:shd w:val="clear" w:color="auto" w:fill="auto"/>
            <w:vAlign w:val="bottom"/>
          </w:tcPr>
          <w:p w14:paraId="77D5F30B"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w:t>
            </w:r>
          </w:p>
        </w:tc>
        <w:tc>
          <w:tcPr>
            <w:tcW w:w="885" w:type="dxa"/>
            <w:shd w:val="clear" w:color="auto" w:fill="auto"/>
            <w:vAlign w:val="bottom"/>
          </w:tcPr>
          <w:p w14:paraId="65D9D3B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w:t>
            </w:r>
          </w:p>
        </w:tc>
        <w:tc>
          <w:tcPr>
            <w:tcW w:w="886" w:type="dxa"/>
            <w:shd w:val="clear" w:color="auto" w:fill="auto"/>
            <w:vAlign w:val="bottom"/>
          </w:tcPr>
          <w:p w14:paraId="709C522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w:t>
            </w:r>
          </w:p>
        </w:tc>
      </w:tr>
      <w:tr w:rsidR="00B4060E" w:rsidRPr="00B4060E" w14:paraId="318671BD" w14:textId="77777777" w:rsidTr="00E45843">
        <w:trPr>
          <w:cantSplit/>
        </w:trPr>
        <w:tc>
          <w:tcPr>
            <w:tcW w:w="1134" w:type="dxa"/>
            <w:vMerge/>
            <w:shd w:val="clear" w:color="auto" w:fill="auto"/>
          </w:tcPr>
          <w:p w14:paraId="56DE2D17"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851" w:type="dxa"/>
            <w:shd w:val="clear" w:color="auto" w:fill="auto"/>
            <w:vAlign w:val="bottom"/>
          </w:tcPr>
          <w:p w14:paraId="24749F2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 xml:space="preserve">Special </w:t>
            </w:r>
          </w:p>
        </w:tc>
        <w:tc>
          <w:tcPr>
            <w:tcW w:w="850" w:type="dxa"/>
            <w:shd w:val="clear" w:color="auto" w:fill="auto"/>
            <w:vAlign w:val="bottom"/>
          </w:tcPr>
          <w:p w14:paraId="29096B5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p>
        </w:tc>
        <w:tc>
          <w:tcPr>
            <w:tcW w:w="993" w:type="dxa"/>
            <w:shd w:val="clear" w:color="auto" w:fill="auto"/>
            <w:vAlign w:val="bottom"/>
          </w:tcPr>
          <w:p w14:paraId="6966A9F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c>
          <w:tcPr>
            <w:tcW w:w="850" w:type="dxa"/>
            <w:shd w:val="clear" w:color="auto" w:fill="auto"/>
            <w:vAlign w:val="bottom"/>
          </w:tcPr>
          <w:p w14:paraId="2294252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w:t>
            </w:r>
          </w:p>
        </w:tc>
        <w:tc>
          <w:tcPr>
            <w:tcW w:w="921" w:type="dxa"/>
            <w:shd w:val="clear" w:color="auto" w:fill="auto"/>
            <w:vAlign w:val="bottom"/>
          </w:tcPr>
          <w:p w14:paraId="286225A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c>
          <w:tcPr>
            <w:tcW w:w="885" w:type="dxa"/>
            <w:shd w:val="clear" w:color="auto" w:fill="auto"/>
            <w:vAlign w:val="bottom"/>
          </w:tcPr>
          <w:p w14:paraId="584A70DF"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c>
          <w:tcPr>
            <w:tcW w:w="886" w:type="dxa"/>
            <w:shd w:val="clear" w:color="auto" w:fill="auto"/>
            <w:vAlign w:val="bottom"/>
          </w:tcPr>
          <w:p w14:paraId="3AD8FD9E"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r>
      <w:tr w:rsidR="00B4060E" w:rsidRPr="00B4060E" w14:paraId="18932B57" w14:textId="77777777" w:rsidTr="00E45843">
        <w:trPr>
          <w:cantSplit/>
        </w:trPr>
        <w:tc>
          <w:tcPr>
            <w:tcW w:w="1134" w:type="dxa"/>
            <w:vMerge w:val="restart"/>
            <w:shd w:val="clear" w:color="auto" w:fill="auto"/>
          </w:tcPr>
          <w:p w14:paraId="0DC62340" w14:textId="27315742"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2016/17</w:t>
            </w:r>
          </w:p>
        </w:tc>
        <w:tc>
          <w:tcPr>
            <w:tcW w:w="851" w:type="dxa"/>
            <w:shd w:val="clear" w:color="auto" w:fill="auto"/>
            <w:vAlign w:val="bottom"/>
          </w:tcPr>
          <w:p w14:paraId="0542FB96"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Formal</w:t>
            </w:r>
          </w:p>
        </w:tc>
        <w:tc>
          <w:tcPr>
            <w:tcW w:w="850" w:type="dxa"/>
            <w:shd w:val="clear" w:color="auto" w:fill="auto"/>
            <w:vAlign w:val="bottom"/>
          </w:tcPr>
          <w:p w14:paraId="75BA58D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w:t>
            </w:r>
          </w:p>
        </w:tc>
        <w:tc>
          <w:tcPr>
            <w:tcW w:w="993" w:type="dxa"/>
            <w:shd w:val="clear" w:color="auto" w:fill="auto"/>
            <w:vAlign w:val="bottom"/>
          </w:tcPr>
          <w:p w14:paraId="08EF4EE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w:t>
            </w:r>
          </w:p>
        </w:tc>
        <w:tc>
          <w:tcPr>
            <w:tcW w:w="850" w:type="dxa"/>
            <w:shd w:val="clear" w:color="auto" w:fill="auto"/>
            <w:vAlign w:val="bottom"/>
          </w:tcPr>
          <w:p w14:paraId="5FB1E3AE"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49</w:t>
            </w:r>
          </w:p>
        </w:tc>
        <w:tc>
          <w:tcPr>
            <w:tcW w:w="921" w:type="dxa"/>
            <w:shd w:val="clear" w:color="auto" w:fill="auto"/>
            <w:vAlign w:val="bottom"/>
          </w:tcPr>
          <w:p w14:paraId="4678712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w:t>
            </w:r>
          </w:p>
        </w:tc>
        <w:tc>
          <w:tcPr>
            <w:tcW w:w="885" w:type="dxa"/>
            <w:shd w:val="clear" w:color="auto" w:fill="auto"/>
            <w:vAlign w:val="bottom"/>
          </w:tcPr>
          <w:p w14:paraId="159A21C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w:t>
            </w:r>
          </w:p>
        </w:tc>
        <w:tc>
          <w:tcPr>
            <w:tcW w:w="886" w:type="dxa"/>
            <w:shd w:val="clear" w:color="auto" w:fill="auto"/>
            <w:vAlign w:val="bottom"/>
          </w:tcPr>
          <w:p w14:paraId="550E16F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w:t>
            </w:r>
          </w:p>
        </w:tc>
      </w:tr>
      <w:tr w:rsidR="00B4060E" w:rsidRPr="00B4060E" w14:paraId="240E9CCD" w14:textId="77777777" w:rsidTr="00E45843">
        <w:trPr>
          <w:cantSplit/>
        </w:trPr>
        <w:tc>
          <w:tcPr>
            <w:tcW w:w="1134" w:type="dxa"/>
            <w:vMerge/>
            <w:shd w:val="clear" w:color="auto" w:fill="auto"/>
          </w:tcPr>
          <w:p w14:paraId="60F271E2"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851" w:type="dxa"/>
            <w:shd w:val="clear" w:color="auto" w:fill="auto"/>
            <w:vAlign w:val="bottom"/>
          </w:tcPr>
          <w:p w14:paraId="5007DDAB"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 xml:space="preserve">Special </w:t>
            </w:r>
          </w:p>
        </w:tc>
        <w:tc>
          <w:tcPr>
            <w:tcW w:w="850" w:type="dxa"/>
            <w:shd w:val="clear" w:color="auto" w:fill="auto"/>
            <w:vAlign w:val="bottom"/>
          </w:tcPr>
          <w:p w14:paraId="58CFB88B"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p>
        </w:tc>
        <w:tc>
          <w:tcPr>
            <w:tcW w:w="993" w:type="dxa"/>
            <w:shd w:val="clear" w:color="auto" w:fill="auto"/>
            <w:vAlign w:val="bottom"/>
          </w:tcPr>
          <w:p w14:paraId="33E79B0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c>
          <w:tcPr>
            <w:tcW w:w="850" w:type="dxa"/>
            <w:shd w:val="clear" w:color="auto" w:fill="auto"/>
            <w:vAlign w:val="bottom"/>
          </w:tcPr>
          <w:p w14:paraId="5732BF3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w:t>
            </w:r>
          </w:p>
        </w:tc>
        <w:tc>
          <w:tcPr>
            <w:tcW w:w="921" w:type="dxa"/>
            <w:shd w:val="clear" w:color="auto" w:fill="auto"/>
            <w:vAlign w:val="bottom"/>
          </w:tcPr>
          <w:p w14:paraId="50DEAE3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c>
          <w:tcPr>
            <w:tcW w:w="885" w:type="dxa"/>
            <w:shd w:val="clear" w:color="auto" w:fill="auto"/>
            <w:vAlign w:val="bottom"/>
          </w:tcPr>
          <w:p w14:paraId="09CE833F"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c>
          <w:tcPr>
            <w:tcW w:w="886" w:type="dxa"/>
            <w:shd w:val="clear" w:color="auto" w:fill="auto"/>
            <w:vAlign w:val="bottom"/>
          </w:tcPr>
          <w:p w14:paraId="528DC6C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r>
      <w:tr w:rsidR="00B4060E" w:rsidRPr="00B4060E" w14:paraId="7902D094" w14:textId="77777777" w:rsidTr="00E45843">
        <w:trPr>
          <w:cantSplit/>
        </w:trPr>
        <w:tc>
          <w:tcPr>
            <w:tcW w:w="1134" w:type="dxa"/>
            <w:vMerge w:val="restart"/>
            <w:shd w:val="clear" w:color="auto" w:fill="auto"/>
          </w:tcPr>
          <w:p w14:paraId="5FA23146" w14:textId="2AED5179"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2017/18</w:t>
            </w:r>
          </w:p>
        </w:tc>
        <w:tc>
          <w:tcPr>
            <w:tcW w:w="851" w:type="dxa"/>
            <w:shd w:val="clear" w:color="auto" w:fill="auto"/>
            <w:vAlign w:val="bottom"/>
          </w:tcPr>
          <w:p w14:paraId="6C492B3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Formal</w:t>
            </w:r>
          </w:p>
        </w:tc>
        <w:tc>
          <w:tcPr>
            <w:tcW w:w="850" w:type="dxa"/>
            <w:shd w:val="clear" w:color="auto" w:fill="auto"/>
            <w:vAlign w:val="bottom"/>
          </w:tcPr>
          <w:p w14:paraId="4E0C90B6"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w:t>
            </w:r>
          </w:p>
        </w:tc>
        <w:tc>
          <w:tcPr>
            <w:tcW w:w="993" w:type="dxa"/>
            <w:shd w:val="clear" w:color="auto" w:fill="auto"/>
            <w:vAlign w:val="bottom"/>
          </w:tcPr>
          <w:p w14:paraId="53186FF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w:t>
            </w:r>
          </w:p>
        </w:tc>
        <w:tc>
          <w:tcPr>
            <w:tcW w:w="850" w:type="dxa"/>
            <w:shd w:val="clear" w:color="auto" w:fill="auto"/>
            <w:vAlign w:val="bottom"/>
          </w:tcPr>
          <w:p w14:paraId="6B8BDBA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47</w:t>
            </w:r>
          </w:p>
        </w:tc>
        <w:tc>
          <w:tcPr>
            <w:tcW w:w="921" w:type="dxa"/>
            <w:shd w:val="clear" w:color="auto" w:fill="auto"/>
            <w:vAlign w:val="bottom"/>
          </w:tcPr>
          <w:p w14:paraId="6F77553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w:t>
            </w:r>
          </w:p>
        </w:tc>
        <w:tc>
          <w:tcPr>
            <w:tcW w:w="885" w:type="dxa"/>
            <w:shd w:val="clear" w:color="auto" w:fill="auto"/>
            <w:vAlign w:val="bottom"/>
          </w:tcPr>
          <w:p w14:paraId="500DD376"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w:t>
            </w:r>
          </w:p>
        </w:tc>
        <w:tc>
          <w:tcPr>
            <w:tcW w:w="886" w:type="dxa"/>
            <w:shd w:val="clear" w:color="auto" w:fill="auto"/>
            <w:vAlign w:val="bottom"/>
          </w:tcPr>
          <w:p w14:paraId="3D7628A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w:t>
            </w:r>
          </w:p>
        </w:tc>
      </w:tr>
      <w:tr w:rsidR="00B4060E" w:rsidRPr="00B4060E" w14:paraId="0FD41660" w14:textId="77777777" w:rsidTr="00E45843">
        <w:trPr>
          <w:cantSplit/>
        </w:trPr>
        <w:tc>
          <w:tcPr>
            <w:tcW w:w="1134" w:type="dxa"/>
            <w:vMerge/>
            <w:shd w:val="clear" w:color="auto" w:fill="auto"/>
          </w:tcPr>
          <w:p w14:paraId="7C08C143"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851" w:type="dxa"/>
            <w:shd w:val="clear" w:color="auto" w:fill="auto"/>
            <w:vAlign w:val="bottom"/>
          </w:tcPr>
          <w:p w14:paraId="76EB1F26"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 xml:space="preserve">Special </w:t>
            </w:r>
          </w:p>
        </w:tc>
        <w:tc>
          <w:tcPr>
            <w:tcW w:w="850" w:type="dxa"/>
            <w:shd w:val="clear" w:color="auto" w:fill="auto"/>
            <w:vAlign w:val="bottom"/>
          </w:tcPr>
          <w:p w14:paraId="3516DFB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p>
        </w:tc>
        <w:tc>
          <w:tcPr>
            <w:tcW w:w="993" w:type="dxa"/>
            <w:shd w:val="clear" w:color="auto" w:fill="auto"/>
            <w:vAlign w:val="bottom"/>
          </w:tcPr>
          <w:p w14:paraId="4991C43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c>
          <w:tcPr>
            <w:tcW w:w="850" w:type="dxa"/>
            <w:shd w:val="clear" w:color="auto" w:fill="auto"/>
            <w:vAlign w:val="bottom"/>
          </w:tcPr>
          <w:p w14:paraId="7820CC5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w:t>
            </w:r>
          </w:p>
        </w:tc>
        <w:tc>
          <w:tcPr>
            <w:tcW w:w="921" w:type="dxa"/>
            <w:shd w:val="clear" w:color="auto" w:fill="auto"/>
            <w:vAlign w:val="bottom"/>
          </w:tcPr>
          <w:p w14:paraId="1D4D04F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c>
          <w:tcPr>
            <w:tcW w:w="885" w:type="dxa"/>
            <w:shd w:val="clear" w:color="auto" w:fill="auto"/>
            <w:vAlign w:val="bottom"/>
          </w:tcPr>
          <w:p w14:paraId="2EC386D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c>
          <w:tcPr>
            <w:tcW w:w="886" w:type="dxa"/>
            <w:shd w:val="clear" w:color="auto" w:fill="auto"/>
            <w:vAlign w:val="bottom"/>
          </w:tcPr>
          <w:p w14:paraId="1E17BDAB"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r>
      <w:tr w:rsidR="00B4060E" w:rsidRPr="00B4060E" w14:paraId="5AE1F5B7" w14:textId="77777777" w:rsidTr="00E45843">
        <w:trPr>
          <w:cantSplit/>
        </w:trPr>
        <w:tc>
          <w:tcPr>
            <w:tcW w:w="1134" w:type="dxa"/>
            <w:vMerge w:val="restart"/>
            <w:shd w:val="clear" w:color="auto" w:fill="auto"/>
          </w:tcPr>
          <w:p w14:paraId="566B1EC4" w14:textId="6D5B6845"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2018/19</w:t>
            </w:r>
          </w:p>
        </w:tc>
        <w:tc>
          <w:tcPr>
            <w:tcW w:w="851" w:type="dxa"/>
            <w:shd w:val="clear" w:color="auto" w:fill="auto"/>
            <w:vAlign w:val="bottom"/>
          </w:tcPr>
          <w:p w14:paraId="6688206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Formal</w:t>
            </w:r>
          </w:p>
        </w:tc>
        <w:tc>
          <w:tcPr>
            <w:tcW w:w="850" w:type="dxa"/>
            <w:shd w:val="clear" w:color="auto" w:fill="auto"/>
            <w:vAlign w:val="bottom"/>
          </w:tcPr>
          <w:p w14:paraId="0F4F785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w:t>
            </w:r>
          </w:p>
        </w:tc>
        <w:tc>
          <w:tcPr>
            <w:tcW w:w="993" w:type="dxa"/>
            <w:shd w:val="clear" w:color="auto" w:fill="auto"/>
            <w:vAlign w:val="bottom"/>
          </w:tcPr>
          <w:p w14:paraId="76C87D8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w:t>
            </w:r>
          </w:p>
        </w:tc>
        <w:tc>
          <w:tcPr>
            <w:tcW w:w="850" w:type="dxa"/>
            <w:shd w:val="clear" w:color="auto" w:fill="auto"/>
            <w:vAlign w:val="bottom"/>
          </w:tcPr>
          <w:p w14:paraId="0485127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47</w:t>
            </w:r>
          </w:p>
        </w:tc>
        <w:tc>
          <w:tcPr>
            <w:tcW w:w="921" w:type="dxa"/>
            <w:shd w:val="clear" w:color="auto" w:fill="auto"/>
            <w:vAlign w:val="bottom"/>
          </w:tcPr>
          <w:p w14:paraId="0022387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w:t>
            </w:r>
          </w:p>
        </w:tc>
        <w:tc>
          <w:tcPr>
            <w:tcW w:w="885" w:type="dxa"/>
            <w:shd w:val="clear" w:color="auto" w:fill="auto"/>
            <w:vAlign w:val="bottom"/>
          </w:tcPr>
          <w:p w14:paraId="3BDD3A3F"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w:t>
            </w:r>
          </w:p>
        </w:tc>
        <w:tc>
          <w:tcPr>
            <w:tcW w:w="886" w:type="dxa"/>
            <w:shd w:val="clear" w:color="auto" w:fill="auto"/>
            <w:vAlign w:val="bottom"/>
          </w:tcPr>
          <w:p w14:paraId="311056E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w:t>
            </w:r>
          </w:p>
        </w:tc>
      </w:tr>
      <w:tr w:rsidR="00B4060E" w:rsidRPr="00B4060E" w14:paraId="32B1AA98" w14:textId="77777777" w:rsidTr="00E45843">
        <w:trPr>
          <w:cantSplit/>
        </w:trPr>
        <w:tc>
          <w:tcPr>
            <w:tcW w:w="1134" w:type="dxa"/>
            <w:vMerge/>
            <w:shd w:val="clear" w:color="auto" w:fill="auto"/>
          </w:tcPr>
          <w:p w14:paraId="299C509D"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851" w:type="dxa"/>
            <w:shd w:val="clear" w:color="auto" w:fill="auto"/>
            <w:vAlign w:val="bottom"/>
          </w:tcPr>
          <w:p w14:paraId="6CCD566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 xml:space="preserve">Special </w:t>
            </w:r>
          </w:p>
        </w:tc>
        <w:tc>
          <w:tcPr>
            <w:tcW w:w="850" w:type="dxa"/>
            <w:shd w:val="clear" w:color="auto" w:fill="auto"/>
            <w:vAlign w:val="bottom"/>
          </w:tcPr>
          <w:p w14:paraId="1C7960B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w:t>
            </w:r>
          </w:p>
        </w:tc>
        <w:tc>
          <w:tcPr>
            <w:tcW w:w="993" w:type="dxa"/>
            <w:shd w:val="clear" w:color="auto" w:fill="auto"/>
            <w:vAlign w:val="bottom"/>
          </w:tcPr>
          <w:p w14:paraId="777F896B"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c>
          <w:tcPr>
            <w:tcW w:w="850" w:type="dxa"/>
            <w:shd w:val="clear" w:color="auto" w:fill="auto"/>
            <w:vAlign w:val="bottom"/>
          </w:tcPr>
          <w:p w14:paraId="72C7B84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w:t>
            </w:r>
          </w:p>
        </w:tc>
        <w:tc>
          <w:tcPr>
            <w:tcW w:w="921" w:type="dxa"/>
            <w:shd w:val="clear" w:color="auto" w:fill="auto"/>
            <w:vAlign w:val="bottom"/>
          </w:tcPr>
          <w:p w14:paraId="72F5063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c>
          <w:tcPr>
            <w:tcW w:w="885" w:type="dxa"/>
            <w:shd w:val="clear" w:color="auto" w:fill="auto"/>
            <w:vAlign w:val="bottom"/>
          </w:tcPr>
          <w:p w14:paraId="3CFC02AF"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c>
          <w:tcPr>
            <w:tcW w:w="886" w:type="dxa"/>
            <w:shd w:val="clear" w:color="auto" w:fill="auto"/>
            <w:vAlign w:val="bottom"/>
          </w:tcPr>
          <w:p w14:paraId="2AFFCEE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w:t>
            </w:r>
          </w:p>
        </w:tc>
      </w:tr>
    </w:tbl>
    <w:p w14:paraId="64EA5CE9" w14:textId="6B763A16" w:rsidR="001D75D7" w:rsidRPr="00FD5D28" w:rsidRDefault="001D75D7" w:rsidP="00FD5D28">
      <w:pPr>
        <w:spacing w:before="120"/>
        <w:ind w:left="1134" w:right="1134" w:firstLine="170"/>
        <w:rPr>
          <w:sz w:val="18"/>
        </w:rPr>
      </w:pPr>
      <w:r w:rsidRPr="00FD5D28">
        <w:rPr>
          <w:i/>
          <w:iCs/>
          <w:sz w:val="18"/>
        </w:rPr>
        <w:t>Source</w:t>
      </w:r>
      <w:r w:rsidRPr="00FD5D28">
        <w:rPr>
          <w:sz w:val="18"/>
        </w:rPr>
        <w:t xml:space="preserve">: </w:t>
      </w:r>
      <w:r w:rsidR="00A825E6">
        <w:rPr>
          <w:sz w:val="18"/>
        </w:rPr>
        <w:t xml:space="preserve"> </w:t>
      </w:r>
      <w:r w:rsidRPr="00FD5D28">
        <w:rPr>
          <w:sz w:val="18"/>
        </w:rPr>
        <w:t>EYAB.</w:t>
      </w:r>
    </w:p>
    <w:p w14:paraId="0DFB52BB" w14:textId="319F4E63" w:rsidR="001D75D7" w:rsidRPr="00FD5D28" w:rsidRDefault="001D75D7" w:rsidP="00FD5D28">
      <w:pPr>
        <w:spacing w:after="240"/>
        <w:ind w:left="1134" w:right="1134" w:firstLine="170"/>
        <w:rPr>
          <w:sz w:val="18"/>
        </w:rPr>
      </w:pPr>
      <w:r w:rsidRPr="00FD5D28">
        <w:rPr>
          <w:i/>
          <w:iCs/>
          <w:sz w:val="18"/>
        </w:rPr>
        <w:t>Note</w:t>
      </w:r>
      <w:r w:rsidRPr="00FD5D28">
        <w:rPr>
          <w:sz w:val="18"/>
        </w:rPr>
        <w:t xml:space="preserve">: </w:t>
      </w:r>
      <w:r w:rsidR="00A825E6">
        <w:rPr>
          <w:sz w:val="18"/>
        </w:rPr>
        <w:t xml:space="preserve"> </w:t>
      </w:r>
      <w:r w:rsidRPr="00FD5D28">
        <w:rPr>
          <w:sz w:val="18"/>
        </w:rPr>
        <w:t>One school may have several school units with different mediums of instruction.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1048"/>
        <w:gridCol w:w="1049"/>
        <w:gridCol w:w="1048"/>
        <w:gridCol w:w="1049"/>
        <w:gridCol w:w="1049"/>
      </w:tblGrid>
      <w:tr w:rsidR="00B4060E" w:rsidRPr="00B4060E" w14:paraId="29BECC2D" w14:textId="77777777" w:rsidTr="00E45843">
        <w:trPr>
          <w:cantSplit/>
          <w:tblHeader/>
        </w:trPr>
        <w:tc>
          <w:tcPr>
            <w:tcW w:w="2127" w:type="dxa"/>
            <w:tcBorders>
              <w:top w:val="single" w:sz="4" w:space="0" w:color="auto"/>
              <w:bottom w:val="single" w:sz="12" w:space="0" w:color="auto"/>
            </w:tcBorders>
            <w:shd w:val="clear" w:color="auto" w:fill="auto"/>
            <w:vAlign w:val="bottom"/>
          </w:tcPr>
          <w:p w14:paraId="7DA17B9D" w14:textId="77777777" w:rsidR="001D75D7" w:rsidRPr="00B4060E" w:rsidRDefault="001D75D7" w:rsidP="00B4060E">
            <w:pPr>
              <w:pStyle w:val="SingleTxtG"/>
              <w:suppressAutoHyphens w:val="0"/>
              <w:spacing w:before="80" w:after="80" w:line="200" w:lineRule="exact"/>
              <w:ind w:left="0" w:right="113"/>
              <w:jc w:val="left"/>
              <w:rPr>
                <w:i/>
                <w:sz w:val="16"/>
              </w:rPr>
            </w:pPr>
            <w:r w:rsidRPr="00B4060E">
              <w:rPr>
                <w:i/>
                <w:sz w:val="16"/>
              </w:rPr>
              <w:t>Net Enrolment Rate (%)</w:t>
            </w:r>
          </w:p>
        </w:tc>
        <w:tc>
          <w:tcPr>
            <w:tcW w:w="1048" w:type="dxa"/>
            <w:tcBorders>
              <w:top w:val="single" w:sz="4" w:space="0" w:color="auto"/>
              <w:bottom w:val="single" w:sz="12" w:space="0" w:color="auto"/>
            </w:tcBorders>
            <w:shd w:val="clear" w:color="auto" w:fill="auto"/>
            <w:vAlign w:val="bottom"/>
          </w:tcPr>
          <w:p w14:paraId="37103244"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Gender</w:t>
            </w:r>
          </w:p>
        </w:tc>
        <w:tc>
          <w:tcPr>
            <w:tcW w:w="1049" w:type="dxa"/>
            <w:tcBorders>
              <w:top w:val="single" w:sz="4" w:space="0" w:color="auto"/>
              <w:bottom w:val="single" w:sz="12" w:space="0" w:color="auto"/>
            </w:tcBorders>
            <w:shd w:val="clear" w:color="auto" w:fill="auto"/>
            <w:vAlign w:val="bottom"/>
          </w:tcPr>
          <w:p w14:paraId="03653AD7" w14:textId="66BC0CAF"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2014/15</w:t>
            </w:r>
          </w:p>
        </w:tc>
        <w:tc>
          <w:tcPr>
            <w:tcW w:w="1048" w:type="dxa"/>
            <w:tcBorders>
              <w:top w:val="single" w:sz="4" w:space="0" w:color="auto"/>
              <w:bottom w:val="single" w:sz="12" w:space="0" w:color="auto"/>
            </w:tcBorders>
            <w:shd w:val="clear" w:color="auto" w:fill="auto"/>
            <w:vAlign w:val="bottom"/>
          </w:tcPr>
          <w:p w14:paraId="5D8EFF4E" w14:textId="573F8BE3"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2015/16</w:t>
            </w:r>
          </w:p>
        </w:tc>
        <w:tc>
          <w:tcPr>
            <w:tcW w:w="1049" w:type="dxa"/>
            <w:tcBorders>
              <w:top w:val="single" w:sz="4" w:space="0" w:color="auto"/>
              <w:bottom w:val="single" w:sz="12" w:space="0" w:color="auto"/>
            </w:tcBorders>
            <w:shd w:val="clear" w:color="auto" w:fill="auto"/>
            <w:vAlign w:val="bottom"/>
          </w:tcPr>
          <w:p w14:paraId="51E52BD3" w14:textId="3BE65609"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2016/17</w:t>
            </w:r>
          </w:p>
        </w:tc>
        <w:tc>
          <w:tcPr>
            <w:tcW w:w="1049" w:type="dxa"/>
            <w:tcBorders>
              <w:top w:val="single" w:sz="4" w:space="0" w:color="auto"/>
              <w:bottom w:val="single" w:sz="12" w:space="0" w:color="auto"/>
            </w:tcBorders>
            <w:shd w:val="clear" w:color="auto" w:fill="auto"/>
            <w:vAlign w:val="bottom"/>
          </w:tcPr>
          <w:p w14:paraId="5FCF2B59" w14:textId="0E7F778E"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2017/18</w:t>
            </w:r>
          </w:p>
        </w:tc>
      </w:tr>
      <w:tr w:rsidR="00B4060E" w:rsidRPr="00B4060E" w14:paraId="1012BB18" w14:textId="77777777" w:rsidTr="00E45843">
        <w:trPr>
          <w:cantSplit/>
        </w:trPr>
        <w:tc>
          <w:tcPr>
            <w:tcW w:w="2127" w:type="dxa"/>
            <w:vMerge w:val="restart"/>
            <w:tcBorders>
              <w:top w:val="single" w:sz="12" w:space="0" w:color="auto"/>
            </w:tcBorders>
            <w:shd w:val="clear" w:color="auto" w:fill="auto"/>
          </w:tcPr>
          <w:p w14:paraId="17ABA1D5"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Pre-Primary Education</w:t>
            </w:r>
          </w:p>
        </w:tc>
        <w:tc>
          <w:tcPr>
            <w:tcW w:w="1048" w:type="dxa"/>
            <w:tcBorders>
              <w:top w:val="single" w:sz="12" w:space="0" w:color="auto"/>
            </w:tcBorders>
            <w:shd w:val="clear" w:color="auto" w:fill="auto"/>
            <w:vAlign w:val="bottom"/>
          </w:tcPr>
          <w:p w14:paraId="2E6C26C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M</w:t>
            </w:r>
          </w:p>
        </w:tc>
        <w:tc>
          <w:tcPr>
            <w:tcW w:w="1049" w:type="dxa"/>
            <w:tcBorders>
              <w:top w:val="single" w:sz="12" w:space="0" w:color="auto"/>
            </w:tcBorders>
            <w:shd w:val="clear" w:color="auto" w:fill="auto"/>
            <w:vAlign w:val="bottom"/>
          </w:tcPr>
          <w:p w14:paraId="06191F5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99.4</w:t>
            </w:r>
          </w:p>
        </w:tc>
        <w:tc>
          <w:tcPr>
            <w:tcW w:w="1048" w:type="dxa"/>
            <w:tcBorders>
              <w:top w:val="single" w:sz="12" w:space="0" w:color="auto"/>
            </w:tcBorders>
            <w:shd w:val="clear" w:color="auto" w:fill="auto"/>
            <w:vAlign w:val="bottom"/>
          </w:tcPr>
          <w:p w14:paraId="0CD47ED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94.4</w:t>
            </w:r>
          </w:p>
        </w:tc>
        <w:tc>
          <w:tcPr>
            <w:tcW w:w="1049" w:type="dxa"/>
            <w:tcBorders>
              <w:top w:val="single" w:sz="12" w:space="0" w:color="auto"/>
            </w:tcBorders>
            <w:shd w:val="clear" w:color="auto" w:fill="auto"/>
            <w:vAlign w:val="bottom"/>
          </w:tcPr>
          <w:p w14:paraId="4F139C7B"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89.4</w:t>
            </w:r>
          </w:p>
        </w:tc>
        <w:tc>
          <w:tcPr>
            <w:tcW w:w="1049" w:type="dxa"/>
            <w:tcBorders>
              <w:top w:val="single" w:sz="12" w:space="0" w:color="auto"/>
            </w:tcBorders>
            <w:shd w:val="clear" w:color="auto" w:fill="auto"/>
            <w:vAlign w:val="bottom"/>
          </w:tcPr>
          <w:p w14:paraId="3E66FD5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86.7</w:t>
            </w:r>
          </w:p>
        </w:tc>
      </w:tr>
      <w:tr w:rsidR="00B4060E" w:rsidRPr="00B4060E" w14:paraId="028388FF" w14:textId="77777777" w:rsidTr="00E45843">
        <w:trPr>
          <w:cantSplit/>
        </w:trPr>
        <w:tc>
          <w:tcPr>
            <w:tcW w:w="2127" w:type="dxa"/>
            <w:vMerge/>
            <w:shd w:val="clear" w:color="auto" w:fill="auto"/>
          </w:tcPr>
          <w:p w14:paraId="39A0472F"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1048" w:type="dxa"/>
            <w:shd w:val="clear" w:color="auto" w:fill="auto"/>
            <w:vAlign w:val="bottom"/>
          </w:tcPr>
          <w:p w14:paraId="54D7AA2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F</w:t>
            </w:r>
          </w:p>
        </w:tc>
        <w:tc>
          <w:tcPr>
            <w:tcW w:w="1049" w:type="dxa"/>
            <w:shd w:val="clear" w:color="auto" w:fill="auto"/>
            <w:vAlign w:val="bottom"/>
          </w:tcPr>
          <w:p w14:paraId="70A71FA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100.0</w:t>
            </w:r>
          </w:p>
        </w:tc>
        <w:tc>
          <w:tcPr>
            <w:tcW w:w="1048" w:type="dxa"/>
            <w:shd w:val="clear" w:color="auto" w:fill="auto"/>
            <w:vAlign w:val="bottom"/>
          </w:tcPr>
          <w:p w14:paraId="5675940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96.8</w:t>
            </w:r>
          </w:p>
        </w:tc>
        <w:tc>
          <w:tcPr>
            <w:tcW w:w="1049" w:type="dxa"/>
            <w:shd w:val="clear" w:color="auto" w:fill="auto"/>
            <w:vAlign w:val="bottom"/>
          </w:tcPr>
          <w:p w14:paraId="77BC5B8E"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92.3</w:t>
            </w:r>
          </w:p>
        </w:tc>
        <w:tc>
          <w:tcPr>
            <w:tcW w:w="1049" w:type="dxa"/>
            <w:shd w:val="clear" w:color="auto" w:fill="auto"/>
            <w:vAlign w:val="bottom"/>
          </w:tcPr>
          <w:p w14:paraId="10114B5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89.2</w:t>
            </w:r>
          </w:p>
        </w:tc>
      </w:tr>
      <w:tr w:rsidR="00B4060E" w:rsidRPr="00B4060E" w14:paraId="5AE22076" w14:textId="77777777" w:rsidTr="00E45843">
        <w:trPr>
          <w:cantSplit/>
        </w:trPr>
        <w:tc>
          <w:tcPr>
            <w:tcW w:w="2127" w:type="dxa"/>
            <w:vMerge/>
            <w:shd w:val="clear" w:color="auto" w:fill="auto"/>
          </w:tcPr>
          <w:p w14:paraId="0B2B49F3"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1048" w:type="dxa"/>
            <w:shd w:val="clear" w:color="auto" w:fill="auto"/>
            <w:vAlign w:val="bottom"/>
          </w:tcPr>
          <w:p w14:paraId="16C0A24F"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MF</w:t>
            </w:r>
          </w:p>
        </w:tc>
        <w:tc>
          <w:tcPr>
            <w:tcW w:w="1049" w:type="dxa"/>
            <w:shd w:val="clear" w:color="auto" w:fill="auto"/>
            <w:vAlign w:val="bottom"/>
          </w:tcPr>
          <w:p w14:paraId="771F6F8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100.0</w:t>
            </w:r>
          </w:p>
        </w:tc>
        <w:tc>
          <w:tcPr>
            <w:tcW w:w="1048" w:type="dxa"/>
            <w:shd w:val="clear" w:color="auto" w:fill="auto"/>
            <w:vAlign w:val="bottom"/>
          </w:tcPr>
          <w:p w14:paraId="0C07746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95.5</w:t>
            </w:r>
          </w:p>
        </w:tc>
        <w:tc>
          <w:tcPr>
            <w:tcW w:w="1049" w:type="dxa"/>
            <w:shd w:val="clear" w:color="auto" w:fill="auto"/>
            <w:vAlign w:val="bottom"/>
          </w:tcPr>
          <w:p w14:paraId="1508DB7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90.8</w:t>
            </w:r>
          </w:p>
        </w:tc>
        <w:tc>
          <w:tcPr>
            <w:tcW w:w="1049" w:type="dxa"/>
            <w:shd w:val="clear" w:color="auto" w:fill="auto"/>
            <w:vAlign w:val="bottom"/>
          </w:tcPr>
          <w:p w14:paraId="0FD78A5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87.9</w:t>
            </w:r>
          </w:p>
        </w:tc>
      </w:tr>
      <w:tr w:rsidR="00B4060E" w:rsidRPr="00B4060E" w14:paraId="3B63F2A5" w14:textId="77777777" w:rsidTr="00E45843">
        <w:trPr>
          <w:cantSplit/>
        </w:trPr>
        <w:tc>
          <w:tcPr>
            <w:tcW w:w="2127" w:type="dxa"/>
            <w:vMerge w:val="restart"/>
            <w:shd w:val="clear" w:color="auto" w:fill="auto"/>
          </w:tcPr>
          <w:p w14:paraId="3004434F"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Primary Education</w:t>
            </w:r>
          </w:p>
        </w:tc>
        <w:tc>
          <w:tcPr>
            <w:tcW w:w="1048" w:type="dxa"/>
            <w:shd w:val="clear" w:color="auto" w:fill="auto"/>
            <w:vAlign w:val="bottom"/>
          </w:tcPr>
          <w:p w14:paraId="2E96EB8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M</w:t>
            </w:r>
          </w:p>
        </w:tc>
        <w:tc>
          <w:tcPr>
            <w:tcW w:w="1049" w:type="dxa"/>
            <w:shd w:val="clear" w:color="auto" w:fill="auto"/>
            <w:vAlign w:val="bottom"/>
          </w:tcPr>
          <w:p w14:paraId="6ED5FB2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91.9</w:t>
            </w:r>
          </w:p>
        </w:tc>
        <w:tc>
          <w:tcPr>
            <w:tcW w:w="1048" w:type="dxa"/>
            <w:shd w:val="clear" w:color="auto" w:fill="auto"/>
            <w:vAlign w:val="bottom"/>
          </w:tcPr>
          <w:p w14:paraId="2211A71F"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94.9</w:t>
            </w:r>
          </w:p>
        </w:tc>
        <w:tc>
          <w:tcPr>
            <w:tcW w:w="1049" w:type="dxa"/>
            <w:shd w:val="clear" w:color="auto" w:fill="auto"/>
            <w:vAlign w:val="bottom"/>
          </w:tcPr>
          <w:p w14:paraId="1A45058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98.0</w:t>
            </w:r>
          </w:p>
        </w:tc>
        <w:tc>
          <w:tcPr>
            <w:tcW w:w="1049" w:type="dxa"/>
            <w:shd w:val="clear" w:color="auto" w:fill="auto"/>
            <w:vAlign w:val="bottom"/>
          </w:tcPr>
          <w:p w14:paraId="64F2383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99.1</w:t>
            </w:r>
          </w:p>
        </w:tc>
      </w:tr>
      <w:tr w:rsidR="00B4060E" w:rsidRPr="00B4060E" w14:paraId="64838B72" w14:textId="77777777" w:rsidTr="00E45843">
        <w:trPr>
          <w:cantSplit/>
        </w:trPr>
        <w:tc>
          <w:tcPr>
            <w:tcW w:w="2127" w:type="dxa"/>
            <w:vMerge/>
            <w:shd w:val="clear" w:color="auto" w:fill="auto"/>
          </w:tcPr>
          <w:p w14:paraId="04607B29"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1048" w:type="dxa"/>
            <w:shd w:val="clear" w:color="auto" w:fill="auto"/>
            <w:vAlign w:val="bottom"/>
          </w:tcPr>
          <w:p w14:paraId="046197D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F</w:t>
            </w:r>
          </w:p>
        </w:tc>
        <w:tc>
          <w:tcPr>
            <w:tcW w:w="1049" w:type="dxa"/>
            <w:shd w:val="clear" w:color="auto" w:fill="auto"/>
            <w:vAlign w:val="bottom"/>
          </w:tcPr>
          <w:p w14:paraId="2F0B7CB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97.3</w:t>
            </w:r>
          </w:p>
        </w:tc>
        <w:tc>
          <w:tcPr>
            <w:tcW w:w="1048" w:type="dxa"/>
            <w:shd w:val="clear" w:color="auto" w:fill="auto"/>
            <w:vAlign w:val="bottom"/>
          </w:tcPr>
          <w:p w14:paraId="66BCF96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98.3</w:t>
            </w:r>
          </w:p>
        </w:tc>
        <w:tc>
          <w:tcPr>
            <w:tcW w:w="1049" w:type="dxa"/>
            <w:shd w:val="clear" w:color="auto" w:fill="auto"/>
            <w:vAlign w:val="bottom"/>
          </w:tcPr>
          <w:p w14:paraId="7AB9051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100.0</w:t>
            </w:r>
          </w:p>
        </w:tc>
        <w:tc>
          <w:tcPr>
            <w:tcW w:w="1049" w:type="dxa"/>
            <w:shd w:val="clear" w:color="auto" w:fill="auto"/>
            <w:vAlign w:val="bottom"/>
          </w:tcPr>
          <w:p w14:paraId="2704217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100.0</w:t>
            </w:r>
          </w:p>
        </w:tc>
      </w:tr>
      <w:tr w:rsidR="00B4060E" w:rsidRPr="00B4060E" w14:paraId="73544F20" w14:textId="77777777" w:rsidTr="00E45843">
        <w:trPr>
          <w:cantSplit/>
        </w:trPr>
        <w:tc>
          <w:tcPr>
            <w:tcW w:w="2127" w:type="dxa"/>
            <w:vMerge/>
            <w:shd w:val="clear" w:color="auto" w:fill="auto"/>
          </w:tcPr>
          <w:p w14:paraId="25897260"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1048" w:type="dxa"/>
            <w:shd w:val="clear" w:color="auto" w:fill="auto"/>
            <w:vAlign w:val="bottom"/>
          </w:tcPr>
          <w:p w14:paraId="24F59E2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MF</w:t>
            </w:r>
          </w:p>
        </w:tc>
        <w:tc>
          <w:tcPr>
            <w:tcW w:w="1049" w:type="dxa"/>
            <w:shd w:val="clear" w:color="auto" w:fill="auto"/>
            <w:vAlign w:val="bottom"/>
          </w:tcPr>
          <w:p w14:paraId="7DC1DAE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94.5</w:t>
            </w:r>
          </w:p>
        </w:tc>
        <w:tc>
          <w:tcPr>
            <w:tcW w:w="1048" w:type="dxa"/>
            <w:shd w:val="clear" w:color="auto" w:fill="auto"/>
            <w:vAlign w:val="bottom"/>
          </w:tcPr>
          <w:p w14:paraId="10F76606"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96.5</w:t>
            </w:r>
          </w:p>
        </w:tc>
        <w:tc>
          <w:tcPr>
            <w:tcW w:w="1049" w:type="dxa"/>
            <w:shd w:val="clear" w:color="auto" w:fill="auto"/>
            <w:vAlign w:val="bottom"/>
          </w:tcPr>
          <w:p w14:paraId="7E11BE2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100.0</w:t>
            </w:r>
          </w:p>
        </w:tc>
        <w:tc>
          <w:tcPr>
            <w:tcW w:w="1049" w:type="dxa"/>
            <w:shd w:val="clear" w:color="auto" w:fill="auto"/>
            <w:vAlign w:val="bottom"/>
          </w:tcPr>
          <w:p w14:paraId="09B802E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100.0</w:t>
            </w:r>
          </w:p>
        </w:tc>
      </w:tr>
      <w:tr w:rsidR="00B4060E" w:rsidRPr="00B4060E" w14:paraId="3F007011" w14:textId="77777777" w:rsidTr="00E45843">
        <w:trPr>
          <w:cantSplit/>
        </w:trPr>
        <w:tc>
          <w:tcPr>
            <w:tcW w:w="2127" w:type="dxa"/>
            <w:vMerge w:val="restart"/>
            <w:shd w:val="clear" w:color="auto" w:fill="auto"/>
          </w:tcPr>
          <w:p w14:paraId="046C7E75"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Secondary Education</w:t>
            </w:r>
          </w:p>
        </w:tc>
        <w:tc>
          <w:tcPr>
            <w:tcW w:w="1048" w:type="dxa"/>
            <w:shd w:val="clear" w:color="auto" w:fill="auto"/>
            <w:vAlign w:val="bottom"/>
          </w:tcPr>
          <w:p w14:paraId="513BFD7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M</w:t>
            </w:r>
          </w:p>
        </w:tc>
        <w:tc>
          <w:tcPr>
            <w:tcW w:w="1049" w:type="dxa"/>
            <w:shd w:val="clear" w:color="auto" w:fill="auto"/>
            <w:vAlign w:val="bottom"/>
          </w:tcPr>
          <w:p w14:paraId="0578539E"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80.2</w:t>
            </w:r>
          </w:p>
        </w:tc>
        <w:tc>
          <w:tcPr>
            <w:tcW w:w="1048" w:type="dxa"/>
            <w:shd w:val="clear" w:color="auto" w:fill="auto"/>
            <w:vAlign w:val="bottom"/>
          </w:tcPr>
          <w:p w14:paraId="742C988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78.4</w:t>
            </w:r>
          </w:p>
        </w:tc>
        <w:tc>
          <w:tcPr>
            <w:tcW w:w="1049" w:type="dxa"/>
            <w:shd w:val="clear" w:color="auto" w:fill="auto"/>
            <w:vAlign w:val="bottom"/>
          </w:tcPr>
          <w:p w14:paraId="6DE39156"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79.7</w:t>
            </w:r>
          </w:p>
        </w:tc>
        <w:tc>
          <w:tcPr>
            <w:tcW w:w="1049" w:type="dxa"/>
            <w:shd w:val="clear" w:color="auto" w:fill="auto"/>
            <w:vAlign w:val="bottom"/>
          </w:tcPr>
          <w:p w14:paraId="4E4B6F7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81.0</w:t>
            </w:r>
          </w:p>
        </w:tc>
      </w:tr>
      <w:tr w:rsidR="00B4060E" w:rsidRPr="00B4060E" w14:paraId="5E7781FF" w14:textId="77777777" w:rsidTr="00E45843">
        <w:trPr>
          <w:cantSplit/>
        </w:trPr>
        <w:tc>
          <w:tcPr>
            <w:tcW w:w="2127" w:type="dxa"/>
            <w:vMerge/>
            <w:shd w:val="clear" w:color="auto" w:fill="auto"/>
          </w:tcPr>
          <w:p w14:paraId="0ED8005D"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1048" w:type="dxa"/>
            <w:shd w:val="clear" w:color="auto" w:fill="auto"/>
            <w:vAlign w:val="bottom"/>
          </w:tcPr>
          <w:p w14:paraId="0F92AE8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F</w:t>
            </w:r>
          </w:p>
        </w:tc>
        <w:tc>
          <w:tcPr>
            <w:tcW w:w="1049" w:type="dxa"/>
            <w:shd w:val="clear" w:color="auto" w:fill="auto"/>
            <w:vAlign w:val="bottom"/>
          </w:tcPr>
          <w:p w14:paraId="093D3F9E"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86.1</w:t>
            </w:r>
          </w:p>
        </w:tc>
        <w:tc>
          <w:tcPr>
            <w:tcW w:w="1048" w:type="dxa"/>
            <w:shd w:val="clear" w:color="auto" w:fill="auto"/>
            <w:vAlign w:val="bottom"/>
          </w:tcPr>
          <w:p w14:paraId="0DBE3F1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87.1</w:t>
            </w:r>
          </w:p>
        </w:tc>
        <w:tc>
          <w:tcPr>
            <w:tcW w:w="1049" w:type="dxa"/>
            <w:shd w:val="clear" w:color="auto" w:fill="auto"/>
            <w:vAlign w:val="bottom"/>
          </w:tcPr>
          <w:p w14:paraId="5686C25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84.9</w:t>
            </w:r>
          </w:p>
        </w:tc>
        <w:tc>
          <w:tcPr>
            <w:tcW w:w="1049" w:type="dxa"/>
            <w:shd w:val="clear" w:color="auto" w:fill="auto"/>
            <w:vAlign w:val="bottom"/>
          </w:tcPr>
          <w:p w14:paraId="0AD9BEC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87.3</w:t>
            </w:r>
          </w:p>
        </w:tc>
      </w:tr>
      <w:tr w:rsidR="00B4060E" w:rsidRPr="00B4060E" w14:paraId="3A448152" w14:textId="77777777" w:rsidTr="00E45843">
        <w:trPr>
          <w:cantSplit/>
        </w:trPr>
        <w:tc>
          <w:tcPr>
            <w:tcW w:w="2127" w:type="dxa"/>
            <w:vMerge/>
            <w:shd w:val="clear" w:color="auto" w:fill="auto"/>
          </w:tcPr>
          <w:p w14:paraId="29C300F5"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1048" w:type="dxa"/>
            <w:shd w:val="clear" w:color="auto" w:fill="auto"/>
            <w:vAlign w:val="bottom"/>
          </w:tcPr>
          <w:p w14:paraId="3908915E"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MF</w:t>
            </w:r>
          </w:p>
        </w:tc>
        <w:tc>
          <w:tcPr>
            <w:tcW w:w="1049" w:type="dxa"/>
            <w:shd w:val="clear" w:color="auto" w:fill="auto"/>
            <w:vAlign w:val="bottom"/>
          </w:tcPr>
          <w:p w14:paraId="18BD9F3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83.0</w:t>
            </w:r>
          </w:p>
        </w:tc>
        <w:tc>
          <w:tcPr>
            <w:tcW w:w="1048" w:type="dxa"/>
            <w:shd w:val="clear" w:color="auto" w:fill="auto"/>
            <w:vAlign w:val="bottom"/>
          </w:tcPr>
          <w:p w14:paraId="3D92A3B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82.5</w:t>
            </w:r>
          </w:p>
        </w:tc>
        <w:tc>
          <w:tcPr>
            <w:tcW w:w="1049" w:type="dxa"/>
            <w:shd w:val="clear" w:color="auto" w:fill="auto"/>
            <w:vAlign w:val="bottom"/>
          </w:tcPr>
          <w:p w14:paraId="3D9F013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82.2</w:t>
            </w:r>
          </w:p>
        </w:tc>
        <w:tc>
          <w:tcPr>
            <w:tcW w:w="1049" w:type="dxa"/>
            <w:shd w:val="clear" w:color="auto" w:fill="auto"/>
            <w:vAlign w:val="bottom"/>
          </w:tcPr>
          <w:p w14:paraId="17FF5AA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84.0</w:t>
            </w:r>
          </w:p>
        </w:tc>
      </w:tr>
    </w:tbl>
    <w:p w14:paraId="7121EE6B" w14:textId="62C5BC08" w:rsidR="001D75D7" w:rsidRPr="00FD5D28" w:rsidRDefault="001D75D7" w:rsidP="00FD5D28">
      <w:pPr>
        <w:spacing w:before="120" w:after="240"/>
        <w:ind w:left="1134" w:right="1134" w:firstLine="170"/>
        <w:rPr>
          <w:sz w:val="18"/>
        </w:rPr>
      </w:pPr>
      <w:r w:rsidRPr="00FD5D28">
        <w:rPr>
          <w:rFonts w:hint="eastAsia"/>
          <w:i/>
          <w:iCs/>
          <w:sz w:val="18"/>
        </w:rPr>
        <w:t>Source</w:t>
      </w:r>
      <w:r w:rsidRPr="00FD5D28">
        <w:rPr>
          <w:rFonts w:hint="eastAsia"/>
          <w:sz w:val="18"/>
        </w:rPr>
        <w:t xml:space="preserve">: </w:t>
      </w:r>
      <w:r w:rsidR="00A825E6">
        <w:rPr>
          <w:sz w:val="18"/>
        </w:rPr>
        <w:t xml:space="preserve"> </w:t>
      </w:r>
      <w:r w:rsidRPr="00FD5D28">
        <w:rPr>
          <w:rFonts w:hint="eastAsia"/>
          <w:sz w:val="18"/>
        </w:rPr>
        <w:t>EYAB</w:t>
      </w:r>
      <w:r w:rsidRPr="00FD5D28">
        <w:rPr>
          <w:sz w:val="18"/>
        </w:rPr>
        <w:t>.</w:t>
      </w:r>
    </w:p>
    <w:p w14:paraId="3DC47196" w14:textId="66010087" w:rsidR="001D75D7" w:rsidRPr="00B47380" w:rsidRDefault="001D75D7" w:rsidP="004D6325">
      <w:pPr>
        <w:pStyle w:val="SingleTxtG"/>
        <w:spacing w:after="240"/>
      </w:pPr>
      <w:r w:rsidRPr="00B47380">
        <w:t>266.</w:t>
      </w:r>
      <w:r w:rsidRPr="00B47380">
        <w:tab/>
        <w:t xml:space="preserve">As a result of the </w:t>
      </w:r>
      <w:r w:rsidR="006266F0">
        <w:t>“</w:t>
      </w:r>
      <w:r w:rsidRPr="00B47380">
        <w:t>Notification Mechanism for School Dropouts</w:t>
      </w:r>
      <w:r w:rsidR="006266F0">
        <w:t>”</w:t>
      </w:r>
      <w:r w:rsidRPr="00B47380">
        <w:t xml:space="preserve"> and other support services such as </w:t>
      </w:r>
      <w:r w:rsidR="006266F0">
        <w:t>“</w:t>
      </w:r>
      <w:r w:rsidRPr="00B47380">
        <w:t>Consultation and School Placement Services</w:t>
      </w:r>
      <w:r w:rsidR="006266F0">
        <w:t>”</w:t>
      </w:r>
      <w:r w:rsidRPr="00B47380">
        <w:t xml:space="preserve"> and </w:t>
      </w:r>
      <w:r w:rsidR="006266F0">
        <w:t>“</w:t>
      </w:r>
      <w:r w:rsidRPr="00B47380">
        <w:t>Adaptation Learning Programme</w:t>
      </w:r>
      <w:r w:rsidR="006266F0">
        <w:t>”</w:t>
      </w:r>
      <w:r w:rsidRPr="00B47380">
        <w:t xml:space="preserve"> provided by the EYAB, the dropout rates decreased in different educational phases.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1346"/>
        <w:gridCol w:w="1346"/>
        <w:gridCol w:w="1346"/>
        <w:gridCol w:w="1347"/>
      </w:tblGrid>
      <w:tr w:rsidR="00B4060E" w:rsidRPr="00B4060E" w14:paraId="41F10835" w14:textId="77777777" w:rsidTr="00E45843">
        <w:trPr>
          <w:cantSplit/>
          <w:tblHeader/>
        </w:trPr>
        <w:tc>
          <w:tcPr>
            <w:tcW w:w="1985" w:type="dxa"/>
            <w:tcBorders>
              <w:top w:val="single" w:sz="4" w:space="0" w:color="auto"/>
              <w:bottom w:val="single" w:sz="12" w:space="0" w:color="auto"/>
            </w:tcBorders>
            <w:shd w:val="clear" w:color="auto" w:fill="auto"/>
            <w:vAlign w:val="bottom"/>
          </w:tcPr>
          <w:p w14:paraId="344664EE" w14:textId="77777777" w:rsidR="001D75D7" w:rsidRPr="00B4060E" w:rsidRDefault="001D75D7" w:rsidP="00B4060E">
            <w:pPr>
              <w:pStyle w:val="SingleTxtG"/>
              <w:suppressAutoHyphens w:val="0"/>
              <w:spacing w:before="80" w:after="80" w:line="200" w:lineRule="exact"/>
              <w:ind w:left="0" w:right="113"/>
              <w:jc w:val="left"/>
              <w:rPr>
                <w:i/>
                <w:sz w:val="16"/>
              </w:rPr>
            </w:pPr>
            <w:r w:rsidRPr="00B4060E">
              <w:rPr>
                <w:i/>
                <w:sz w:val="16"/>
              </w:rPr>
              <w:t>Dropout</w:t>
            </w:r>
            <w:r w:rsidRPr="00B4060E">
              <w:rPr>
                <w:rFonts w:hint="eastAsia"/>
                <w:i/>
                <w:sz w:val="16"/>
              </w:rPr>
              <w:t xml:space="preserve"> </w:t>
            </w:r>
            <w:r w:rsidRPr="00B4060E">
              <w:rPr>
                <w:i/>
                <w:sz w:val="16"/>
              </w:rPr>
              <w:t>Rate (%)</w:t>
            </w:r>
          </w:p>
        </w:tc>
        <w:tc>
          <w:tcPr>
            <w:tcW w:w="1346" w:type="dxa"/>
            <w:tcBorders>
              <w:top w:val="single" w:sz="4" w:space="0" w:color="auto"/>
              <w:bottom w:val="single" w:sz="12" w:space="0" w:color="auto"/>
            </w:tcBorders>
            <w:shd w:val="clear" w:color="auto" w:fill="auto"/>
            <w:vAlign w:val="bottom"/>
          </w:tcPr>
          <w:p w14:paraId="0B9AC559"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Gender</w:t>
            </w:r>
          </w:p>
        </w:tc>
        <w:tc>
          <w:tcPr>
            <w:tcW w:w="1346" w:type="dxa"/>
            <w:tcBorders>
              <w:top w:val="single" w:sz="4" w:space="0" w:color="auto"/>
              <w:bottom w:val="single" w:sz="12" w:space="0" w:color="auto"/>
            </w:tcBorders>
            <w:shd w:val="clear" w:color="auto" w:fill="auto"/>
            <w:vAlign w:val="bottom"/>
          </w:tcPr>
          <w:p w14:paraId="4B91945D" w14:textId="4B1A45B9"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2014/15</w:t>
            </w:r>
          </w:p>
        </w:tc>
        <w:tc>
          <w:tcPr>
            <w:tcW w:w="1346" w:type="dxa"/>
            <w:tcBorders>
              <w:top w:val="single" w:sz="4" w:space="0" w:color="auto"/>
              <w:bottom w:val="single" w:sz="12" w:space="0" w:color="auto"/>
            </w:tcBorders>
            <w:shd w:val="clear" w:color="auto" w:fill="auto"/>
            <w:vAlign w:val="bottom"/>
          </w:tcPr>
          <w:p w14:paraId="2AF593FF" w14:textId="54BF4296"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2015/16</w:t>
            </w:r>
          </w:p>
        </w:tc>
        <w:tc>
          <w:tcPr>
            <w:tcW w:w="1347" w:type="dxa"/>
            <w:tcBorders>
              <w:top w:val="single" w:sz="4" w:space="0" w:color="auto"/>
              <w:bottom w:val="single" w:sz="12" w:space="0" w:color="auto"/>
            </w:tcBorders>
            <w:shd w:val="clear" w:color="auto" w:fill="auto"/>
            <w:vAlign w:val="bottom"/>
          </w:tcPr>
          <w:p w14:paraId="2A3B59CE" w14:textId="486A444A"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2016/17</w:t>
            </w:r>
          </w:p>
        </w:tc>
      </w:tr>
      <w:tr w:rsidR="00B4060E" w:rsidRPr="00B4060E" w14:paraId="557022DD" w14:textId="77777777" w:rsidTr="00E45843">
        <w:trPr>
          <w:cantSplit/>
        </w:trPr>
        <w:tc>
          <w:tcPr>
            <w:tcW w:w="1985" w:type="dxa"/>
            <w:vMerge w:val="restart"/>
            <w:tcBorders>
              <w:top w:val="single" w:sz="12" w:space="0" w:color="auto"/>
            </w:tcBorders>
            <w:shd w:val="clear" w:color="auto" w:fill="auto"/>
          </w:tcPr>
          <w:p w14:paraId="56D4A0F6"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Pre-Primary Education</w:t>
            </w:r>
          </w:p>
        </w:tc>
        <w:tc>
          <w:tcPr>
            <w:tcW w:w="1346" w:type="dxa"/>
            <w:tcBorders>
              <w:top w:val="single" w:sz="12" w:space="0" w:color="auto"/>
            </w:tcBorders>
            <w:shd w:val="clear" w:color="auto" w:fill="auto"/>
            <w:vAlign w:val="bottom"/>
          </w:tcPr>
          <w:p w14:paraId="362FD0B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M</w:t>
            </w:r>
          </w:p>
        </w:tc>
        <w:tc>
          <w:tcPr>
            <w:tcW w:w="1346" w:type="dxa"/>
            <w:tcBorders>
              <w:top w:val="single" w:sz="12" w:space="0" w:color="auto"/>
            </w:tcBorders>
            <w:shd w:val="clear" w:color="auto" w:fill="auto"/>
            <w:vAlign w:val="bottom"/>
          </w:tcPr>
          <w:p w14:paraId="6365C92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1.4</w:t>
            </w:r>
          </w:p>
        </w:tc>
        <w:tc>
          <w:tcPr>
            <w:tcW w:w="1346" w:type="dxa"/>
            <w:tcBorders>
              <w:top w:val="single" w:sz="12" w:space="0" w:color="auto"/>
            </w:tcBorders>
            <w:shd w:val="clear" w:color="auto" w:fill="auto"/>
            <w:vAlign w:val="bottom"/>
          </w:tcPr>
          <w:p w14:paraId="52E3AA0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1.5</w:t>
            </w:r>
          </w:p>
        </w:tc>
        <w:tc>
          <w:tcPr>
            <w:tcW w:w="1347" w:type="dxa"/>
            <w:tcBorders>
              <w:top w:val="single" w:sz="12" w:space="0" w:color="auto"/>
            </w:tcBorders>
            <w:shd w:val="clear" w:color="auto" w:fill="auto"/>
            <w:vAlign w:val="bottom"/>
          </w:tcPr>
          <w:p w14:paraId="02FD960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1.1</w:t>
            </w:r>
          </w:p>
        </w:tc>
      </w:tr>
      <w:tr w:rsidR="00B4060E" w:rsidRPr="00B4060E" w14:paraId="4A70E552" w14:textId="77777777" w:rsidTr="00E45843">
        <w:trPr>
          <w:cantSplit/>
        </w:trPr>
        <w:tc>
          <w:tcPr>
            <w:tcW w:w="1985" w:type="dxa"/>
            <w:vMerge/>
            <w:shd w:val="clear" w:color="auto" w:fill="auto"/>
          </w:tcPr>
          <w:p w14:paraId="49F66036"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1346" w:type="dxa"/>
            <w:shd w:val="clear" w:color="auto" w:fill="auto"/>
            <w:vAlign w:val="bottom"/>
          </w:tcPr>
          <w:p w14:paraId="0BD5E5F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F</w:t>
            </w:r>
          </w:p>
        </w:tc>
        <w:tc>
          <w:tcPr>
            <w:tcW w:w="1346" w:type="dxa"/>
            <w:shd w:val="clear" w:color="auto" w:fill="auto"/>
            <w:vAlign w:val="bottom"/>
          </w:tcPr>
          <w:p w14:paraId="27E4E3BE"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1.3</w:t>
            </w:r>
          </w:p>
        </w:tc>
        <w:tc>
          <w:tcPr>
            <w:tcW w:w="1346" w:type="dxa"/>
            <w:shd w:val="clear" w:color="auto" w:fill="auto"/>
            <w:vAlign w:val="bottom"/>
          </w:tcPr>
          <w:p w14:paraId="1301B8C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1.5</w:t>
            </w:r>
          </w:p>
        </w:tc>
        <w:tc>
          <w:tcPr>
            <w:tcW w:w="1347" w:type="dxa"/>
            <w:shd w:val="clear" w:color="auto" w:fill="auto"/>
            <w:vAlign w:val="bottom"/>
          </w:tcPr>
          <w:p w14:paraId="441A927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1.0</w:t>
            </w:r>
          </w:p>
        </w:tc>
      </w:tr>
      <w:tr w:rsidR="00B4060E" w:rsidRPr="00B4060E" w14:paraId="22958682" w14:textId="77777777" w:rsidTr="00E45843">
        <w:trPr>
          <w:cantSplit/>
        </w:trPr>
        <w:tc>
          <w:tcPr>
            <w:tcW w:w="1985" w:type="dxa"/>
            <w:vMerge/>
            <w:tcBorders>
              <w:bottom w:val="nil"/>
            </w:tcBorders>
            <w:shd w:val="clear" w:color="auto" w:fill="auto"/>
          </w:tcPr>
          <w:p w14:paraId="681A66AF"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1346" w:type="dxa"/>
            <w:shd w:val="clear" w:color="auto" w:fill="auto"/>
            <w:vAlign w:val="bottom"/>
          </w:tcPr>
          <w:p w14:paraId="57E236FE"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MF</w:t>
            </w:r>
          </w:p>
        </w:tc>
        <w:tc>
          <w:tcPr>
            <w:tcW w:w="1346" w:type="dxa"/>
            <w:shd w:val="clear" w:color="auto" w:fill="auto"/>
            <w:vAlign w:val="bottom"/>
          </w:tcPr>
          <w:p w14:paraId="1C648BF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1.3</w:t>
            </w:r>
          </w:p>
        </w:tc>
        <w:tc>
          <w:tcPr>
            <w:tcW w:w="1346" w:type="dxa"/>
            <w:shd w:val="clear" w:color="auto" w:fill="auto"/>
            <w:vAlign w:val="bottom"/>
          </w:tcPr>
          <w:p w14:paraId="58592B9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1.5</w:t>
            </w:r>
          </w:p>
        </w:tc>
        <w:tc>
          <w:tcPr>
            <w:tcW w:w="1347" w:type="dxa"/>
            <w:shd w:val="clear" w:color="auto" w:fill="auto"/>
            <w:vAlign w:val="bottom"/>
          </w:tcPr>
          <w:p w14:paraId="6FEAED1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1.0</w:t>
            </w:r>
          </w:p>
        </w:tc>
      </w:tr>
      <w:tr w:rsidR="00B4060E" w:rsidRPr="00B4060E" w14:paraId="0D3501FE" w14:textId="77777777" w:rsidTr="00E45843">
        <w:trPr>
          <w:cantSplit/>
        </w:trPr>
        <w:tc>
          <w:tcPr>
            <w:tcW w:w="1985" w:type="dxa"/>
            <w:vMerge w:val="restart"/>
            <w:tcBorders>
              <w:top w:val="nil"/>
              <w:bottom w:val="nil"/>
            </w:tcBorders>
            <w:shd w:val="clear" w:color="auto" w:fill="auto"/>
          </w:tcPr>
          <w:p w14:paraId="5D560144"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Primary</w:t>
            </w:r>
            <w:r w:rsidRPr="00B4060E">
              <w:rPr>
                <w:rFonts w:hint="eastAsia"/>
                <w:sz w:val="18"/>
              </w:rPr>
              <w:t xml:space="preserve"> </w:t>
            </w:r>
            <w:r w:rsidRPr="00B4060E">
              <w:rPr>
                <w:sz w:val="18"/>
              </w:rPr>
              <w:t>Education</w:t>
            </w:r>
          </w:p>
        </w:tc>
        <w:tc>
          <w:tcPr>
            <w:tcW w:w="1346" w:type="dxa"/>
            <w:shd w:val="clear" w:color="auto" w:fill="auto"/>
            <w:vAlign w:val="bottom"/>
          </w:tcPr>
          <w:p w14:paraId="477B77F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M</w:t>
            </w:r>
          </w:p>
        </w:tc>
        <w:tc>
          <w:tcPr>
            <w:tcW w:w="1346" w:type="dxa"/>
            <w:shd w:val="clear" w:color="auto" w:fill="auto"/>
            <w:vAlign w:val="bottom"/>
          </w:tcPr>
          <w:p w14:paraId="66B594D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1.5</w:t>
            </w:r>
          </w:p>
        </w:tc>
        <w:tc>
          <w:tcPr>
            <w:tcW w:w="1346" w:type="dxa"/>
            <w:shd w:val="clear" w:color="auto" w:fill="auto"/>
            <w:vAlign w:val="bottom"/>
          </w:tcPr>
          <w:p w14:paraId="5F1C0E1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1.3</w:t>
            </w:r>
          </w:p>
        </w:tc>
        <w:tc>
          <w:tcPr>
            <w:tcW w:w="1347" w:type="dxa"/>
            <w:shd w:val="clear" w:color="auto" w:fill="auto"/>
            <w:vAlign w:val="bottom"/>
          </w:tcPr>
          <w:p w14:paraId="525475B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1.3</w:t>
            </w:r>
          </w:p>
        </w:tc>
      </w:tr>
      <w:tr w:rsidR="00B4060E" w:rsidRPr="00B4060E" w14:paraId="31FED832" w14:textId="77777777" w:rsidTr="00E45843">
        <w:trPr>
          <w:cantSplit/>
        </w:trPr>
        <w:tc>
          <w:tcPr>
            <w:tcW w:w="1985" w:type="dxa"/>
            <w:vMerge/>
            <w:tcBorders>
              <w:top w:val="nil"/>
              <w:bottom w:val="nil"/>
            </w:tcBorders>
            <w:shd w:val="clear" w:color="auto" w:fill="auto"/>
          </w:tcPr>
          <w:p w14:paraId="459A2133"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1346" w:type="dxa"/>
            <w:tcBorders>
              <w:bottom w:val="nil"/>
            </w:tcBorders>
            <w:shd w:val="clear" w:color="auto" w:fill="auto"/>
            <w:vAlign w:val="bottom"/>
          </w:tcPr>
          <w:p w14:paraId="44F876A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F</w:t>
            </w:r>
          </w:p>
        </w:tc>
        <w:tc>
          <w:tcPr>
            <w:tcW w:w="1346" w:type="dxa"/>
            <w:tcBorders>
              <w:bottom w:val="nil"/>
            </w:tcBorders>
            <w:shd w:val="clear" w:color="auto" w:fill="auto"/>
            <w:vAlign w:val="bottom"/>
          </w:tcPr>
          <w:p w14:paraId="0AEC7EF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1.2</w:t>
            </w:r>
          </w:p>
        </w:tc>
        <w:tc>
          <w:tcPr>
            <w:tcW w:w="1346" w:type="dxa"/>
            <w:tcBorders>
              <w:bottom w:val="nil"/>
            </w:tcBorders>
            <w:shd w:val="clear" w:color="auto" w:fill="auto"/>
            <w:vAlign w:val="bottom"/>
          </w:tcPr>
          <w:p w14:paraId="2DCFC09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1.4</w:t>
            </w:r>
          </w:p>
        </w:tc>
        <w:tc>
          <w:tcPr>
            <w:tcW w:w="1347" w:type="dxa"/>
            <w:tcBorders>
              <w:bottom w:val="nil"/>
            </w:tcBorders>
            <w:shd w:val="clear" w:color="auto" w:fill="auto"/>
            <w:vAlign w:val="bottom"/>
          </w:tcPr>
          <w:p w14:paraId="161B57A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0.8</w:t>
            </w:r>
          </w:p>
        </w:tc>
      </w:tr>
      <w:tr w:rsidR="00B4060E" w:rsidRPr="00B4060E" w14:paraId="534A8F2C" w14:textId="77777777" w:rsidTr="00E45843">
        <w:trPr>
          <w:cantSplit/>
        </w:trPr>
        <w:tc>
          <w:tcPr>
            <w:tcW w:w="1985" w:type="dxa"/>
            <w:vMerge/>
            <w:tcBorders>
              <w:top w:val="nil"/>
              <w:bottom w:val="nil"/>
            </w:tcBorders>
            <w:shd w:val="clear" w:color="auto" w:fill="auto"/>
          </w:tcPr>
          <w:p w14:paraId="18B8BBED"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1346" w:type="dxa"/>
            <w:tcBorders>
              <w:top w:val="nil"/>
              <w:bottom w:val="nil"/>
            </w:tcBorders>
            <w:shd w:val="clear" w:color="auto" w:fill="auto"/>
            <w:vAlign w:val="bottom"/>
          </w:tcPr>
          <w:p w14:paraId="020E2AB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MF</w:t>
            </w:r>
          </w:p>
        </w:tc>
        <w:tc>
          <w:tcPr>
            <w:tcW w:w="1346" w:type="dxa"/>
            <w:tcBorders>
              <w:top w:val="nil"/>
              <w:bottom w:val="nil"/>
            </w:tcBorders>
            <w:shd w:val="clear" w:color="auto" w:fill="auto"/>
            <w:vAlign w:val="bottom"/>
          </w:tcPr>
          <w:p w14:paraId="7488BFF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1.4</w:t>
            </w:r>
          </w:p>
        </w:tc>
        <w:tc>
          <w:tcPr>
            <w:tcW w:w="1346" w:type="dxa"/>
            <w:tcBorders>
              <w:top w:val="nil"/>
              <w:bottom w:val="nil"/>
            </w:tcBorders>
            <w:shd w:val="clear" w:color="auto" w:fill="auto"/>
            <w:vAlign w:val="bottom"/>
          </w:tcPr>
          <w:p w14:paraId="3D391D4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1.3</w:t>
            </w:r>
          </w:p>
        </w:tc>
        <w:tc>
          <w:tcPr>
            <w:tcW w:w="1347" w:type="dxa"/>
            <w:tcBorders>
              <w:top w:val="nil"/>
              <w:bottom w:val="nil"/>
            </w:tcBorders>
            <w:shd w:val="clear" w:color="auto" w:fill="auto"/>
            <w:vAlign w:val="bottom"/>
          </w:tcPr>
          <w:p w14:paraId="532526B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1.1</w:t>
            </w:r>
          </w:p>
        </w:tc>
      </w:tr>
      <w:tr w:rsidR="00B4060E" w:rsidRPr="00B4060E" w14:paraId="48813BAC" w14:textId="77777777" w:rsidTr="00E45843">
        <w:trPr>
          <w:cantSplit/>
        </w:trPr>
        <w:tc>
          <w:tcPr>
            <w:tcW w:w="1985" w:type="dxa"/>
            <w:vMerge w:val="restart"/>
            <w:tcBorders>
              <w:top w:val="nil"/>
            </w:tcBorders>
            <w:shd w:val="clear" w:color="auto" w:fill="auto"/>
          </w:tcPr>
          <w:p w14:paraId="6E636545"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Secondary Education</w:t>
            </w:r>
          </w:p>
        </w:tc>
        <w:tc>
          <w:tcPr>
            <w:tcW w:w="1346" w:type="dxa"/>
            <w:tcBorders>
              <w:top w:val="nil"/>
            </w:tcBorders>
            <w:shd w:val="clear" w:color="auto" w:fill="auto"/>
            <w:vAlign w:val="bottom"/>
          </w:tcPr>
          <w:p w14:paraId="7631038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M</w:t>
            </w:r>
          </w:p>
        </w:tc>
        <w:tc>
          <w:tcPr>
            <w:tcW w:w="1346" w:type="dxa"/>
            <w:tcBorders>
              <w:top w:val="nil"/>
            </w:tcBorders>
            <w:shd w:val="clear" w:color="auto" w:fill="auto"/>
            <w:vAlign w:val="bottom"/>
          </w:tcPr>
          <w:p w14:paraId="5161F8E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4.2</w:t>
            </w:r>
          </w:p>
        </w:tc>
        <w:tc>
          <w:tcPr>
            <w:tcW w:w="1346" w:type="dxa"/>
            <w:tcBorders>
              <w:top w:val="nil"/>
            </w:tcBorders>
            <w:shd w:val="clear" w:color="auto" w:fill="auto"/>
            <w:vAlign w:val="bottom"/>
          </w:tcPr>
          <w:p w14:paraId="3695ED0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3.7</w:t>
            </w:r>
          </w:p>
        </w:tc>
        <w:tc>
          <w:tcPr>
            <w:tcW w:w="1347" w:type="dxa"/>
            <w:tcBorders>
              <w:top w:val="nil"/>
            </w:tcBorders>
            <w:shd w:val="clear" w:color="auto" w:fill="auto"/>
            <w:vAlign w:val="bottom"/>
          </w:tcPr>
          <w:p w14:paraId="30B2700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3.8</w:t>
            </w:r>
          </w:p>
        </w:tc>
      </w:tr>
      <w:tr w:rsidR="00B4060E" w:rsidRPr="00B4060E" w14:paraId="104B2C8D" w14:textId="77777777" w:rsidTr="00E45843">
        <w:trPr>
          <w:cantSplit/>
        </w:trPr>
        <w:tc>
          <w:tcPr>
            <w:tcW w:w="1985" w:type="dxa"/>
            <w:vMerge/>
            <w:shd w:val="clear" w:color="auto" w:fill="auto"/>
          </w:tcPr>
          <w:p w14:paraId="20DB21FC"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1346" w:type="dxa"/>
            <w:shd w:val="clear" w:color="auto" w:fill="auto"/>
            <w:vAlign w:val="bottom"/>
          </w:tcPr>
          <w:p w14:paraId="11B374A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F</w:t>
            </w:r>
          </w:p>
        </w:tc>
        <w:tc>
          <w:tcPr>
            <w:tcW w:w="1346" w:type="dxa"/>
            <w:shd w:val="clear" w:color="auto" w:fill="auto"/>
            <w:vAlign w:val="bottom"/>
          </w:tcPr>
          <w:p w14:paraId="2C8DDAD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3.1</w:t>
            </w:r>
          </w:p>
        </w:tc>
        <w:tc>
          <w:tcPr>
            <w:tcW w:w="1346" w:type="dxa"/>
            <w:shd w:val="clear" w:color="auto" w:fill="auto"/>
            <w:vAlign w:val="bottom"/>
          </w:tcPr>
          <w:p w14:paraId="591062B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2.7</w:t>
            </w:r>
          </w:p>
        </w:tc>
        <w:tc>
          <w:tcPr>
            <w:tcW w:w="1347" w:type="dxa"/>
            <w:shd w:val="clear" w:color="auto" w:fill="auto"/>
            <w:vAlign w:val="bottom"/>
          </w:tcPr>
          <w:p w14:paraId="64A7B156"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2.3</w:t>
            </w:r>
          </w:p>
        </w:tc>
      </w:tr>
      <w:tr w:rsidR="00B4060E" w:rsidRPr="00B4060E" w14:paraId="5D8D3B37" w14:textId="77777777" w:rsidTr="00E45843">
        <w:trPr>
          <w:cantSplit/>
        </w:trPr>
        <w:tc>
          <w:tcPr>
            <w:tcW w:w="1985" w:type="dxa"/>
            <w:vMerge/>
            <w:shd w:val="clear" w:color="auto" w:fill="auto"/>
          </w:tcPr>
          <w:p w14:paraId="2EF8DDD0"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1346" w:type="dxa"/>
            <w:shd w:val="clear" w:color="auto" w:fill="auto"/>
            <w:vAlign w:val="bottom"/>
          </w:tcPr>
          <w:p w14:paraId="1C623E1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MF</w:t>
            </w:r>
          </w:p>
        </w:tc>
        <w:tc>
          <w:tcPr>
            <w:tcW w:w="1346" w:type="dxa"/>
            <w:shd w:val="clear" w:color="auto" w:fill="auto"/>
            <w:vAlign w:val="bottom"/>
          </w:tcPr>
          <w:p w14:paraId="7FF3F34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3.6</w:t>
            </w:r>
          </w:p>
        </w:tc>
        <w:tc>
          <w:tcPr>
            <w:tcW w:w="1346" w:type="dxa"/>
            <w:shd w:val="clear" w:color="auto" w:fill="auto"/>
            <w:vAlign w:val="bottom"/>
          </w:tcPr>
          <w:p w14:paraId="4CC8FA9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3.2</w:t>
            </w:r>
          </w:p>
        </w:tc>
        <w:tc>
          <w:tcPr>
            <w:tcW w:w="1347" w:type="dxa"/>
            <w:shd w:val="clear" w:color="auto" w:fill="auto"/>
            <w:vAlign w:val="bottom"/>
          </w:tcPr>
          <w:p w14:paraId="5541EF7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3.1</w:t>
            </w:r>
          </w:p>
        </w:tc>
      </w:tr>
    </w:tbl>
    <w:p w14:paraId="0E259EA6" w14:textId="29543093" w:rsidR="001D75D7" w:rsidRPr="001221EF" w:rsidRDefault="001D75D7" w:rsidP="001221EF">
      <w:pPr>
        <w:spacing w:before="120" w:after="240"/>
        <w:ind w:left="1134" w:right="1134" w:firstLine="170"/>
        <w:rPr>
          <w:sz w:val="18"/>
        </w:rPr>
      </w:pPr>
      <w:r w:rsidRPr="001221EF">
        <w:rPr>
          <w:i/>
          <w:iCs/>
          <w:sz w:val="18"/>
        </w:rPr>
        <w:t>Source</w:t>
      </w:r>
      <w:r w:rsidRPr="001221EF">
        <w:rPr>
          <w:sz w:val="18"/>
        </w:rPr>
        <w:t xml:space="preserve">: </w:t>
      </w:r>
      <w:r w:rsidR="006603A7">
        <w:rPr>
          <w:sz w:val="18"/>
        </w:rPr>
        <w:t xml:space="preserve"> </w:t>
      </w:r>
      <w:r w:rsidRPr="001221EF">
        <w:rPr>
          <w:sz w:val="18"/>
        </w:rPr>
        <w:t>EYAB.</w:t>
      </w:r>
    </w:p>
    <w:p w14:paraId="54440ED6" w14:textId="65929D11" w:rsidR="001D75D7" w:rsidRPr="00B47380" w:rsidRDefault="001D75D7" w:rsidP="00D53B5F">
      <w:pPr>
        <w:pStyle w:val="SingleTxtG"/>
      </w:pPr>
      <w:r w:rsidRPr="00B47380">
        <w:t>267.</w:t>
      </w:r>
      <w:r w:rsidRPr="00B47380">
        <w:tab/>
        <w:t xml:space="preserve">As mentioned in previous reports, the MSAR Government has established the </w:t>
      </w:r>
      <w:r w:rsidR="006266F0">
        <w:t>“</w:t>
      </w:r>
      <w:r w:rsidRPr="00B47380">
        <w:t>free education network</w:t>
      </w:r>
      <w:r w:rsidR="006266F0">
        <w:t>”</w:t>
      </w:r>
      <w:r w:rsidRPr="00B47380">
        <w:t xml:space="preserve"> composed of public and subsidised private schools. The amount of the </w:t>
      </w:r>
      <w:r w:rsidR="006266F0">
        <w:t>“</w:t>
      </w:r>
      <w:r w:rsidRPr="00B47380">
        <w:t>free education subsidy</w:t>
      </w:r>
      <w:r w:rsidR="006266F0">
        <w:t>”</w:t>
      </w:r>
      <w:r w:rsidRPr="00B47380">
        <w:t xml:space="preserve"> (AR 19/2006, as amended) granted to subsidised private schools has been increased (Order of the CE 162/2017). Between the academic years 2014/2015 and 2017/2018, 243,565 students (126,319 males and 117,246 females) benefited from the subsidy, totalling MOP$8,416,233,917.</w:t>
      </w:r>
    </w:p>
    <w:p w14:paraId="51F9FAFD" w14:textId="4C56B696" w:rsidR="001D75D7" w:rsidRPr="00B47380" w:rsidRDefault="001D75D7" w:rsidP="00D53B5F">
      <w:pPr>
        <w:pStyle w:val="SingleTxtG"/>
      </w:pPr>
      <w:r w:rsidRPr="00B47380">
        <w:t>268.</w:t>
      </w:r>
      <w:r w:rsidRPr="00B47380">
        <w:tab/>
        <w:t xml:space="preserve">To students in the </w:t>
      </w:r>
      <w:r w:rsidR="006266F0">
        <w:t>“</w:t>
      </w:r>
      <w:r w:rsidRPr="00B47380">
        <w:t>non-free education network</w:t>
      </w:r>
      <w:r w:rsidR="006266F0">
        <w:t>”</w:t>
      </w:r>
      <w:r w:rsidRPr="00B47380">
        <w:t xml:space="preserve"> (AR 20/2006, as amended), tuition subsidies continue to be granted and the amount has been increased (Order of the CE 163/2017). Between the academic years 2014/2015 and 2017/2018, there were 38,860 beneficiaries (20,164 males and 18,696 females), totalling MOP$773,314,585.</w:t>
      </w:r>
    </w:p>
    <w:p w14:paraId="7E1E8E2E" w14:textId="77777777" w:rsidR="001D75D7" w:rsidRPr="00B47380" w:rsidRDefault="001D75D7" w:rsidP="00D53B5F">
      <w:pPr>
        <w:pStyle w:val="SingleTxtG"/>
      </w:pPr>
      <w:r w:rsidRPr="00B47380">
        <w:t>269.</w:t>
      </w:r>
      <w:r w:rsidRPr="00B47380">
        <w:tab/>
        <w:t>For students from economically disadvantaged families, tuition subsidies, meal and stationery allowances remain available (Order of the SSAC 134/2010, as amended). From the academic years 2014/2015 to 2017/2018, 262 students (144 males and 118 females) were granted tuition subsidies, totalling MOP$1,408,200; 12,334 students (6,148 males and 6,186 females) were granted school supplies allowance, totalling MOP$29,895,800; and 11,793 students (5,811 males and 5,982 females) were granted meal allowance, totalling MOP$38,453,200. As regards textbook/stationery allowances, 292,019 students (151,985 males and 140,034 females) benefited, totalling MOP$753,379,800.</w:t>
      </w:r>
    </w:p>
    <w:p w14:paraId="7541657B" w14:textId="77777777" w:rsidR="001D75D7" w:rsidRPr="00B47380" w:rsidRDefault="001D75D7" w:rsidP="00F97AEE">
      <w:pPr>
        <w:pStyle w:val="H23G"/>
      </w:pPr>
      <w:r w:rsidRPr="00B47380">
        <w:tab/>
      </w:r>
      <w:r w:rsidRPr="00B47380">
        <w:tab/>
        <w:t>Special education</w:t>
      </w:r>
    </w:p>
    <w:p w14:paraId="68DF19BD" w14:textId="77777777" w:rsidR="001D75D7" w:rsidRPr="00B47380" w:rsidRDefault="001D75D7" w:rsidP="00D53B5F">
      <w:pPr>
        <w:pStyle w:val="SingleTxtG"/>
      </w:pPr>
      <w:r w:rsidRPr="00B47380">
        <w:t>270.</w:t>
      </w:r>
      <w:r w:rsidRPr="00B47380">
        <w:tab/>
        <w:t xml:space="preserve">It should be reiterated that inclusive education is the main policy of the Government on special education (Decree-law 33/96/M). </w:t>
      </w:r>
    </w:p>
    <w:p w14:paraId="51EB63D1" w14:textId="77777777" w:rsidR="001D75D7" w:rsidRPr="00B47380" w:rsidRDefault="001D75D7" w:rsidP="00D53B5F">
      <w:pPr>
        <w:pStyle w:val="SingleTxtG"/>
      </w:pPr>
      <w:r w:rsidRPr="00B47380">
        <w:t>271.</w:t>
      </w:r>
      <w:r w:rsidRPr="00B47380">
        <w:tab/>
        <w:t xml:space="preserve">In academic year 2018/2019, there are 2,301 students (1,650 males and 651 females) with special educational needs. From academic years 2014/2015 to 2018/2019, the number of inclusive students in the non-tertiary education system increased from 806 to 1,480, small class of special education from 153 to 215 and special education class from 471 to 606. </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59"/>
        <w:gridCol w:w="694"/>
        <w:gridCol w:w="696"/>
        <w:gridCol w:w="694"/>
        <w:gridCol w:w="696"/>
        <w:gridCol w:w="694"/>
        <w:gridCol w:w="696"/>
        <w:gridCol w:w="694"/>
        <w:gridCol w:w="696"/>
        <w:gridCol w:w="694"/>
        <w:gridCol w:w="692"/>
      </w:tblGrid>
      <w:tr w:rsidR="00B4060E" w:rsidRPr="00B4060E" w14:paraId="3C1CCBD6" w14:textId="77777777" w:rsidTr="00E45843">
        <w:trPr>
          <w:cantSplit/>
          <w:tblHeader/>
        </w:trPr>
        <w:tc>
          <w:tcPr>
            <w:tcW w:w="917" w:type="pct"/>
            <w:tcBorders>
              <w:top w:val="single" w:sz="4" w:space="0" w:color="auto"/>
              <w:bottom w:val="single" w:sz="4" w:space="0" w:color="auto"/>
              <w:right w:val="single" w:sz="24" w:space="0" w:color="FFFFFF" w:themeColor="background1"/>
            </w:tcBorders>
            <w:shd w:val="clear" w:color="auto" w:fill="auto"/>
            <w:vAlign w:val="bottom"/>
          </w:tcPr>
          <w:p w14:paraId="4E6121F1" w14:textId="77777777" w:rsidR="001D75D7" w:rsidRPr="00B4060E" w:rsidRDefault="001D75D7" w:rsidP="00B4060E">
            <w:pPr>
              <w:pStyle w:val="SingleTxtG"/>
              <w:suppressAutoHyphens w:val="0"/>
              <w:spacing w:before="80" w:after="80" w:line="200" w:lineRule="exact"/>
              <w:ind w:left="0" w:right="113"/>
              <w:jc w:val="left"/>
              <w:rPr>
                <w:i/>
                <w:sz w:val="16"/>
              </w:rPr>
            </w:pPr>
            <w:r w:rsidRPr="00B4060E">
              <w:rPr>
                <w:i/>
                <w:sz w:val="16"/>
              </w:rPr>
              <w:t>Academic Year</w:t>
            </w:r>
          </w:p>
        </w:tc>
        <w:tc>
          <w:tcPr>
            <w:tcW w:w="817"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F5FEC4B" w14:textId="2FCAB5E2" w:rsidR="001D75D7" w:rsidRPr="00B4060E" w:rsidRDefault="001D75D7" w:rsidP="00F97AEE">
            <w:pPr>
              <w:pStyle w:val="SingleTxtG"/>
              <w:suppressAutoHyphens w:val="0"/>
              <w:spacing w:before="80" w:after="80" w:line="200" w:lineRule="exact"/>
              <w:ind w:left="0" w:right="113"/>
              <w:jc w:val="center"/>
              <w:rPr>
                <w:i/>
                <w:sz w:val="16"/>
              </w:rPr>
            </w:pPr>
            <w:r w:rsidRPr="00B4060E">
              <w:rPr>
                <w:i/>
                <w:sz w:val="16"/>
              </w:rPr>
              <w:t>2014/15</w:t>
            </w:r>
          </w:p>
        </w:tc>
        <w:tc>
          <w:tcPr>
            <w:tcW w:w="817"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DF8FFF8" w14:textId="1F903018" w:rsidR="001D75D7" w:rsidRPr="00B4060E" w:rsidRDefault="001D75D7" w:rsidP="00F97AEE">
            <w:pPr>
              <w:pStyle w:val="SingleTxtG"/>
              <w:suppressAutoHyphens w:val="0"/>
              <w:spacing w:before="80" w:after="80" w:line="200" w:lineRule="exact"/>
              <w:ind w:left="0" w:right="113"/>
              <w:jc w:val="center"/>
              <w:rPr>
                <w:i/>
                <w:sz w:val="16"/>
              </w:rPr>
            </w:pPr>
            <w:r w:rsidRPr="00B4060E">
              <w:rPr>
                <w:i/>
                <w:sz w:val="16"/>
              </w:rPr>
              <w:t>2015/16</w:t>
            </w:r>
          </w:p>
        </w:tc>
        <w:tc>
          <w:tcPr>
            <w:tcW w:w="817"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4809758" w14:textId="7991B9A5" w:rsidR="001D75D7" w:rsidRPr="00B4060E" w:rsidRDefault="001D75D7" w:rsidP="00F97AEE">
            <w:pPr>
              <w:pStyle w:val="SingleTxtG"/>
              <w:suppressAutoHyphens w:val="0"/>
              <w:spacing w:before="80" w:after="80" w:line="200" w:lineRule="exact"/>
              <w:ind w:left="0" w:right="113"/>
              <w:jc w:val="center"/>
              <w:rPr>
                <w:i/>
                <w:sz w:val="16"/>
              </w:rPr>
            </w:pPr>
            <w:r w:rsidRPr="00B4060E">
              <w:rPr>
                <w:i/>
                <w:sz w:val="16"/>
              </w:rPr>
              <w:t>2016/17</w:t>
            </w:r>
          </w:p>
        </w:tc>
        <w:tc>
          <w:tcPr>
            <w:tcW w:w="817"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43B0B66" w14:textId="668BE03B" w:rsidR="001D75D7" w:rsidRPr="00B4060E" w:rsidRDefault="001D75D7" w:rsidP="00F97AEE">
            <w:pPr>
              <w:pStyle w:val="SingleTxtG"/>
              <w:suppressAutoHyphens w:val="0"/>
              <w:spacing w:before="80" w:after="80" w:line="200" w:lineRule="exact"/>
              <w:ind w:left="0" w:right="113"/>
              <w:jc w:val="center"/>
              <w:rPr>
                <w:i/>
                <w:sz w:val="16"/>
              </w:rPr>
            </w:pPr>
            <w:r w:rsidRPr="00B4060E">
              <w:rPr>
                <w:i/>
                <w:sz w:val="16"/>
              </w:rPr>
              <w:t>2017/18</w:t>
            </w:r>
          </w:p>
        </w:tc>
        <w:tc>
          <w:tcPr>
            <w:tcW w:w="817" w:type="pct"/>
            <w:gridSpan w:val="2"/>
            <w:tcBorders>
              <w:top w:val="single" w:sz="4" w:space="0" w:color="auto"/>
              <w:left w:val="single" w:sz="24" w:space="0" w:color="FFFFFF" w:themeColor="background1"/>
              <w:bottom w:val="single" w:sz="4" w:space="0" w:color="auto"/>
            </w:tcBorders>
            <w:shd w:val="clear" w:color="auto" w:fill="auto"/>
            <w:vAlign w:val="bottom"/>
          </w:tcPr>
          <w:p w14:paraId="6831086A" w14:textId="1F2629DA" w:rsidR="001D75D7" w:rsidRPr="00B4060E" w:rsidRDefault="001D75D7" w:rsidP="00F97AEE">
            <w:pPr>
              <w:pStyle w:val="SingleTxtG"/>
              <w:suppressAutoHyphens w:val="0"/>
              <w:spacing w:before="80" w:after="80" w:line="200" w:lineRule="exact"/>
              <w:ind w:left="0" w:right="113"/>
              <w:jc w:val="center"/>
              <w:rPr>
                <w:i/>
                <w:sz w:val="16"/>
              </w:rPr>
            </w:pPr>
            <w:r w:rsidRPr="00B4060E">
              <w:rPr>
                <w:i/>
                <w:sz w:val="16"/>
              </w:rPr>
              <w:t>2018/19</w:t>
            </w:r>
          </w:p>
        </w:tc>
      </w:tr>
      <w:tr w:rsidR="00F97AEE" w:rsidRPr="00F97AEE" w14:paraId="213627BA" w14:textId="77777777" w:rsidTr="00E45843">
        <w:trPr>
          <w:cantSplit/>
        </w:trPr>
        <w:tc>
          <w:tcPr>
            <w:tcW w:w="917" w:type="pct"/>
            <w:tcBorders>
              <w:top w:val="single" w:sz="4" w:space="0" w:color="auto"/>
              <w:bottom w:val="single" w:sz="12" w:space="0" w:color="auto"/>
              <w:right w:val="single" w:sz="24" w:space="0" w:color="FFFFFF" w:themeColor="background1"/>
            </w:tcBorders>
            <w:shd w:val="clear" w:color="auto" w:fill="auto"/>
          </w:tcPr>
          <w:p w14:paraId="37C497DA" w14:textId="77777777" w:rsidR="001D75D7" w:rsidRPr="00F97AEE" w:rsidRDefault="001D75D7" w:rsidP="00B4060E">
            <w:pPr>
              <w:pStyle w:val="SingleTxtG"/>
              <w:suppressAutoHyphens w:val="0"/>
              <w:spacing w:before="40" w:after="40" w:line="220" w:lineRule="exact"/>
              <w:ind w:left="0" w:right="113"/>
              <w:jc w:val="left"/>
              <w:rPr>
                <w:i/>
                <w:sz w:val="16"/>
              </w:rPr>
            </w:pPr>
            <w:r w:rsidRPr="00F97AEE">
              <w:rPr>
                <w:i/>
                <w:sz w:val="16"/>
              </w:rPr>
              <w:t>Gender/Age Group</w:t>
            </w:r>
          </w:p>
        </w:tc>
        <w:tc>
          <w:tcPr>
            <w:tcW w:w="408" w:type="pct"/>
            <w:tcBorders>
              <w:top w:val="single" w:sz="4" w:space="0" w:color="auto"/>
              <w:left w:val="single" w:sz="24" w:space="0" w:color="FFFFFF" w:themeColor="background1"/>
              <w:bottom w:val="single" w:sz="12" w:space="0" w:color="auto"/>
            </w:tcBorders>
            <w:shd w:val="clear" w:color="auto" w:fill="auto"/>
            <w:vAlign w:val="bottom"/>
          </w:tcPr>
          <w:p w14:paraId="0C024823" w14:textId="77777777" w:rsidR="001D75D7" w:rsidRPr="00F97AEE" w:rsidRDefault="001D75D7" w:rsidP="00B4060E">
            <w:pPr>
              <w:pStyle w:val="SingleTxtG"/>
              <w:suppressAutoHyphens w:val="0"/>
              <w:spacing w:before="40" w:after="40" w:line="220" w:lineRule="exact"/>
              <w:ind w:left="0" w:right="113"/>
              <w:jc w:val="right"/>
              <w:rPr>
                <w:i/>
                <w:sz w:val="16"/>
              </w:rPr>
            </w:pPr>
            <w:r w:rsidRPr="00F97AEE">
              <w:rPr>
                <w:i/>
                <w:sz w:val="16"/>
              </w:rPr>
              <w:t>M</w:t>
            </w:r>
          </w:p>
        </w:tc>
        <w:tc>
          <w:tcPr>
            <w:tcW w:w="409" w:type="pct"/>
            <w:tcBorders>
              <w:top w:val="single" w:sz="4" w:space="0" w:color="auto"/>
              <w:bottom w:val="single" w:sz="12" w:space="0" w:color="auto"/>
              <w:right w:val="single" w:sz="24" w:space="0" w:color="FFFFFF" w:themeColor="background1"/>
            </w:tcBorders>
            <w:shd w:val="clear" w:color="auto" w:fill="auto"/>
            <w:vAlign w:val="bottom"/>
          </w:tcPr>
          <w:p w14:paraId="4E961432" w14:textId="77777777" w:rsidR="001D75D7" w:rsidRPr="00F97AEE" w:rsidRDefault="001D75D7" w:rsidP="00B4060E">
            <w:pPr>
              <w:pStyle w:val="SingleTxtG"/>
              <w:suppressAutoHyphens w:val="0"/>
              <w:spacing w:before="40" w:after="40" w:line="220" w:lineRule="exact"/>
              <w:ind w:left="0" w:right="113"/>
              <w:jc w:val="right"/>
              <w:rPr>
                <w:i/>
                <w:sz w:val="16"/>
              </w:rPr>
            </w:pPr>
            <w:r w:rsidRPr="00F97AEE">
              <w:rPr>
                <w:i/>
                <w:sz w:val="16"/>
              </w:rPr>
              <w:t>F</w:t>
            </w:r>
          </w:p>
        </w:tc>
        <w:tc>
          <w:tcPr>
            <w:tcW w:w="408" w:type="pct"/>
            <w:tcBorders>
              <w:top w:val="single" w:sz="4" w:space="0" w:color="auto"/>
              <w:left w:val="single" w:sz="24" w:space="0" w:color="FFFFFF" w:themeColor="background1"/>
              <w:bottom w:val="single" w:sz="12" w:space="0" w:color="auto"/>
            </w:tcBorders>
            <w:shd w:val="clear" w:color="auto" w:fill="auto"/>
            <w:vAlign w:val="bottom"/>
          </w:tcPr>
          <w:p w14:paraId="6E91A5D1" w14:textId="77777777" w:rsidR="001D75D7" w:rsidRPr="00F97AEE" w:rsidRDefault="001D75D7" w:rsidP="00B4060E">
            <w:pPr>
              <w:pStyle w:val="SingleTxtG"/>
              <w:suppressAutoHyphens w:val="0"/>
              <w:spacing w:before="40" w:after="40" w:line="220" w:lineRule="exact"/>
              <w:ind w:left="0" w:right="113"/>
              <w:jc w:val="right"/>
              <w:rPr>
                <w:i/>
                <w:sz w:val="16"/>
              </w:rPr>
            </w:pPr>
            <w:r w:rsidRPr="00F97AEE">
              <w:rPr>
                <w:i/>
                <w:sz w:val="16"/>
              </w:rPr>
              <w:t>M</w:t>
            </w:r>
          </w:p>
        </w:tc>
        <w:tc>
          <w:tcPr>
            <w:tcW w:w="409" w:type="pct"/>
            <w:tcBorders>
              <w:top w:val="single" w:sz="4" w:space="0" w:color="auto"/>
              <w:bottom w:val="single" w:sz="12" w:space="0" w:color="auto"/>
              <w:right w:val="single" w:sz="24" w:space="0" w:color="FFFFFF" w:themeColor="background1"/>
            </w:tcBorders>
            <w:shd w:val="clear" w:color="auto" w:fill="auto"/>
            <w:vAlign w:val="bottom"/>
          </w:tcPr>
          <w:p w14:paraId="64933317" w14:textId="77777777" w:rsidR="001D75D7" w:rsidRPr="00F97AEE" w:rsidRDefault="001D75D7" w:rsidP="00B4060E">
            <w:pPr>
              <w:pStyle w:val="SingleTxtG"/>
              <w:suppressAutoHyphens w:val="0"/>
              <w:spacing w:before="40" w:after="40" w:line="220" w:lineRule="exact"/>
              <w:ind w:left="0" w:right="113"/>
              <w:jc w:val="right"/>
              <w:rPr>
                <w:i/>
                <w:sz w:val="16"/>
              </w:rPr>
            </w:pPr>
            <w:r w:rsidRPr="00F97AEE">
              <w:rPr>
                <w:i/>
                <w:sz w:val="16"/>
              </w:rPr>
              <w:t>F</w:t>
            </w:r>
          </w:p>
        </w:tc>
        <w:tc>
          <w:tcPr>
            <w:tcW w:w="408" w:type="pct"/>
            <w:tcBorders>
              <w:top w:val="single" w:sz="4" w:space="0" w:color="auto"/>
              <w:left w:val="single" w:sz="24" w:space="0" w:color="FFFFFF" w:themeColor="background1"/>
              <w:bottom w:val="single" w:sz="12" w:space="0" w:color="auto"/>
            </w:tcBorders>
            <w:shd w:val="clear" w:color="auto" w:fill="auto"/>
            <w:vAlign w:val="bottom"/>
          </w:tcPr>
          <w:p w14:paraId="7E1BF668" w14:textId="77777777" w:rsidR="001D75D7" w:rsidRPr="00F97AEE" w:rsidRDefault="001D75D7" w:rsidP="00B4060E">
            <w:pPr>
              <w:pStyle w:val="SingleTxtG"/>
              <w:suppressAutoHyphens w:val="0"/>
              <w:spacing w:before="40" w:after="40" w:line="220" w:lineRule="exact"/>
              <w:ind w:left="0" w:right="113"/>
              <w:jc w:val="right"/>
              <w:rPr>
                <w:i/>
                <w:sz w:val="16"/>
              </w:rPr>
            </w:pPr>
            <w:r w:rsidRPr="00F97AEE">
              <w:rPr>
                <w:i/>
                <w:sz w:val="16"/>
              </w:rPr>
              <w:t>M</w:t>
            </w:r>
          </w:p>
        </w:tc>
        <w:tc>
          <w:tcPr>
            <w:tcW w:w="409" w:type="pct"/>
            <w:tcBorders>
              <w:top w:val="single" w:sz="4" w:space="0" w:color="auto"/>
              <w:bottom w:val="single" w:sz="12" w:space="0" w:color="auto"/>
              <w:right w:val="single" w:sz="24" w:space="0" w:color="FFFFFF" w:themeColor="background1"/>
            </w:tcBorders>
            <w:shd w:val="clear" w:color="auto" w:fill="auto"/>
            <w:vAlign w:val="bottom"/>
          </w:tcPr>
          <w:p w14:paraId="11C8FA0E" w14:textId="77777777" w:rsidR="001D75D7" w:rsidRPr="00F97AEE" w:rsidRDefault="001D75D7" w:rsidP="00B4060E">
            <w:pPr>
              <w:pStyle w:val="SingleTxtG"/>
              <w:suppressAutoHyphens w:val="0"/>
              <w:spacing w:before="40" w:after="40" w:line="220" w:lineRule="exact"/>
              <w:ind w:left="0" w:right="113"/>
              <w:jc w:val="right"/>
              <w:rPr>
                <w:i/>
                <w:sz w:val="16"/>
              </w:rPr>
            </w:pPr>
            <w:r w:rsidRPr="00F97AEE">
              <w:rPr>
                <w:i/>
                <w:sz w:val="16"/>
              </w:rPr>
              <w:t>F</w:t>
            </w:r>
          </w:p>
        </w:tc>
        <w:tc>
          <w:tcPr>
            <w:tcW w:w="408" w:type="pct"/>
            <w:tcBorders>
              <w:top w:val="single" w:sz="4" w:space="0" w:color="auto"/>
              <w:left w:val="single" w:sz="24" w:space="0" w:color="FFFFFF" w:themeColor="background1"/>
              <w:bottom w:val="single" w:sz="12" w:space="0" w:color="auto"/>
            </w:tcBorders>
            <w:shd w:val="clear" w:color="auto" w:fill="auto"/>
            <w:vAlign w:val="bottom"/>
          </w:tcPr>
          <w:p w14:paraId="662DB1BE" w14:textId="77777777" w:rsidR="001D75D7" w:rsidRPr="00F97AEE" w:rsidRDefault="001D75D7" w:rsidP="00B4060E">
            <w:pPr>
              <w:pStyle w:val="SingleTxtG"/>
              <w:suppressAutoHyphens w:val="0"/>
              <w:spacing w:before="40" w:after="40" w:line="220" w:lineRule="exact"/>
              <w:ind w:left="0" w:right="113"/>
              <w:jc w:val="right"/>
              <w:rPr>
                <w:i/>
                <w:sz w:val="16"/>
              </w:rPr>
            </w:pPr>
            <w:r w:rsidRPr="00F97AEE">
              <w:rPr>
                <w:i/>
                <w:sz w:val="16"/>
              </w:rPr>
              <w:t>M</w:t>
            </w:r>
          </w:p>
        </w:tc>
        <w:tc>
          <w:tcPr>
            <w:tcW w:w="409" w:type="pct"/>
            <w:tcBorders>
              <w:top w:val="single" w:sz="4" w:space="0" w:color="auto"/>
              <w:bottom w:val="single" w:sz="12" w:space="0" w:color="auto"/>
              <w:right w:val="single" w:sz="24" w:space="0" w:color="FFFFFF" w:themeColor="background1"/>
            </w:tcBorders>
            <w:shd w:val="clear" w:color="auto" w:fill="auto"/>
            <w:vAlign w:val="bottom"/>
          </w:tcPr>
          <w:p w14:paraId="0208AAE2" w14:textId="77777777" w:rsidR="001D75D7" w:rsidRPr="00F97AEE" w:rsidRDefault="001D75D7" w:rsidP="00B4060E">
            <w:pPr>
              <w:pStyle w:val="SingleTxtG"/>
              <w:suppressAutoHyphens w:val="0"/>
              <w:spacing w:before="40" w:after="40" w:line="220" w:lineRule="exact"/>
              <w:ind w:left="0" w:right="113"/>
              <w:jc w:val="right"/>
              <w:rPr>
                <w:i/>
                <w:sz w:val="16"/>
              </w:rPr>
            </w:pPr>
            <w:r w:rsidRPr="00F97AEE">
              <w:rPr>
                <w:i/>
                <w:sz w:val="16"/>
              </w:rPr>
              <w:t>F</w:t>
            </w:r>
          </w:p>
        </w:tc>
        <w:tc>
          <w:tcPr>
            <w:tcW w:w="408" w:type="pct"/>
            <w:tcBorders>
              <w:top w:val="single" w:sz="4" w:space="0" w:color="auto"/>
              <w:left w:val="single" w:sz="24" w:space="0" w:color="FFFFFF" w:themeColor="background1"/>
              <w:bottom w:val="single" w:sz="12" w:space="0" w:color="auto"/>
            </w:tcBorders>
            <w:shd w:val="clear" w:color="auto" w:fill="auto"/>
            <w:vAlign w:val="bottom"/>
          </w:tcPr>
          <w:p w14:paraId="21903FF3" w14:textId="77777777" w:rsidR="001D75D7" w:rsidRPr="00F97AEE" w:rsidRDefault="001D75D7" w:rsidP="00B4060E">
            <w:pPr>
              <w:pStyle w:val="SingleTxtG"/>
              <w:suppressAutoHyphens w:val="0"/>
              <w:spacing w:before="40" w:after="40" w:line="220" w:lineRule="exact"/>
              <w:ind w:left="0" w:right="113"/>
              <w:jc w:val="right"/>
              <w:rPr>
                <w:i/>
                <w:sz w:val="16"/>
              </w:rPr>
            </w:pPr>
            <w:r w:rsidRPr="00F97AEE">
              <w:rPr>
                <w:i/>
                <w:sz w:val="16"/>
              </w:rPr>
              <w:t>M</w:t>
            </w:r>
          </w:p>
        </w:tc>
        <w:tc>
          <w:tcPr>
            <w:tcW w:w="407" w:type="pct"/>
            <w:tcBorders>
              <w:top w:val="single" w:sz="4" w:space="0" w:color="auto"/>
              <w:bottom w:val="single" w:sz="12" w:space="0" w:color="auto"/>
            </w:tcBorders>
            <w:shd w:val="clear" w:color="auto" w:fill="auto"/>
            <w:vAlign w:val="bottom"/>
          </w:tcPr>
          <w:p w14:paraId="35F20853" w14:textId="77777777" w:rsidR="001D75D7" w:rsidRPr="00F97AEE" w:rsidRDefault="001D75D7" w:rsidP="00B4060E">
            <w:pPr>
              <w:pStyle w:val="SingleTxtG"/>
              <w:suppressAutoHyphens w:val="0"/>
              <w:spacing w:before="40" w:after="40" w:line="220" w:lineRule="exact"/>
              <w:ind w:left="0" w:right="113"/>
              <w:jc w:val="right"/>
              <w:rPr>
                <w:i/>
                <w:sz w:val="16"/>
              </w:rPr>
            </w:pPr>
            <w:r w:rsidRPr="00F97AEE">
              <w:rPr>
                <w:i/>
                <w:sz w:val="16"/>
              </w:rPr>
              <w:t>F</w:t>
            </w:r>
          </w:p>
        </w:tc>
      </w:tr>
      <w:tr w:rsidR="00B4060E" w:rsidRPr="00B4060E" w14:paraId="267B8709" w14:textId="77777777" w:rsidTr="00E45843">
        <w:trPr>
          <w:cantSplit/>
        </w:trPr>
        <w:tc>
          <w:tcPr>
            <w:tcW w:w="917" w:type="pct"/>
            <w:tcBorders>
              <w:top w:val="single" w:sz="12" w:space="0" w:color="auto"/>
            </w:tcBorders>
            <w:shd w:val="clear" w:color="auto" w:fill="auto"/>
          </w:tcPr>
          <w:p w14:paraId="359EE0AA" w14:textId="0387FF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3</w:t>
            </w:r>
            <w:r w:rsidR="00F97AEE">
              <w:t>–</w:t>
            </w:r>
            <w:r w:rsidRPr="00B4060E">
              <w:rPr>
                <w:sz w:val="18"/>
              </w:rPr>
              <w:t>5</w:t>
            </w:r>
          </w:p>
        </w:tc>
        <w:tc>
          <w:tcPr>
            <w:tcW w:w="408" w:type="pct"/>
            <w:tcBorders>
              <w:top w:val="single" w:sz="12" w:space="0" w:color="auto"/>
            </w:tcBorders>
            <w:shd w:val="clear" w:color="auto" w:fill="auto"/>
            <w:vAlign w:val="bottom"/>
          </w:tcPr>
          <w:p w14:paraId="2B1DA84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169</w:t>
            </w:r>
          </w:p>
        </w:tc>
        <w:tc>
          <w:tcPr>
            <w:tcW w:w="409" w:type="pct"/>
            <w:tcBorders>
              <w:top w:val="single" w:sz="12" w:space="0" w:color="auto"/>
            </w:tcBorders>
            <w:shd w:val="clear" w:color="auto" w:fill="auto"/>
            <w:vAlign w:val="bottom"/>
          </w:tcPr>
          <w:p w14:paraId="2BCDB9C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49</w:t>
            </w:r>
          </w:p>
        </w:tc>
        <w:tc>
          <w:tcPr>
            <w:tcW w:w="408" w:type="pct"/>
            <w:tcBorders>
              <w:top w:val="single" w:sz="12" w:space="0" w:color="auto"/>
            </w:tcBorders>
            <w:shd w:val="clear" w:color="auto" w:fill="auto"/>
            <w:vAlign w:val="bottom"/>
          </w:tcPr>
          <w:p w14:paraId="0E5D0F8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194</w:t>
            </w:r>
          </w:p>
        </w:tc>
        <w:tc>
          <w:tcPr>
            <w:tcW w:w="409" w:type="pct"/>
            <w:tcBorders>
              <w:top w:val="single" w:sz="12" w:space="0" w:color="auto"/>
            </w:tcBorders>
            <w:shd w:val="clear" w:color="auto" w:fill="auto"/>
            <w:vAlign w:val="bottom"/>
          </w:tcPr>
          <w:p w14:paraId="2328F6F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54</w:t>
            </w:r>
          </w:p>
        </w:tc>
        <w:tc>
          <w:tcPr>
            <w:tcW w:w="408" w:type="pct"/>
            <w:tcBorders>
              <w:top w:val="single" w:sz="12" w:space="0" w:color="auto"/>
            </w:tcBorders>
            <w:shd w:val="clear" w:color="auto" w:fill="auto"/>
            <w:vAlign w:val="bottom"/>
          </w:tcPr>
          <w:p w14:paraId="759774E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239</w:t>
            </w:r>
          </w:p>
        </w:tc>
        <w:tc>
          <w:tcPr>
            <w:tcW w:w="409" w:type="pct"/>
            <w:tcBorders>
              <w:top w:val="single" w:sz="12" w:space="0" w:color="auto"/>
            </w:tcBorders>
            <w:shd w:val="clear" w:color="auto" w:fill="auto"/>
            <w:vAlign w:val="bottom"/>
          </w:tcPr>
          <w:p w14:paraId="4E6C1EC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68</w:t>
            </w:r>
          </w:p>
        </w:tc>
        <w:tc>
          <w:tcPr>
            <w:tcW w:w="408" w:type="pct"/>
            <w:tcBorders>
              <w:top w:val="single" w:sz="12" w:space="0" w:color="auto"/>
            </w:tcBorders>
            <w:shd w:val="clear" w:color="auto" w:fill="auto"/>
            <w:vAlign w:val="bottom"/>
          </w:tcPr>
          <w:p w14:paraId="24E58AF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290</w:t>
            </w:r>
          </w:p>
        </w:tc>
        <w:tc>
          <w:tcPr>
            <w:tcW w:w="409" w:type="pct"/>
            <w:tcBorders>
              <w:top w:val="single" w:sz="12" w:space="0" w:color="auto"/>
            </w:tcBorders>
            <w:shd w:val="clear" w:color="auto" w:fill="auto"/>
            <w:vAlign w:val="bottom"/>
          </w:tcPr>
          <w:p w14:paraId="1510007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95</w:t>
            </w:r>
          </w:p>
        </w:tc>
        <w:tc>
          <w:tcPr>
            <w:tcW w:w="408" w:type="pct"/>
            <w:tcBorders>
              <w:top w:val="single" w:sz="12" w:space="0" w:color="auto"/>
            </w:tcBorders>
            <w:shd w:val="clear" w:color="auto" w:fill="auto"/>
            <w:vAlign w:val="bottom"/>
          </w:tcPr>
          <w:p w14:paraId="21EDAE1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273</w:t>
            </w:r>
          </w:p>
        </w:tc>
        <w:tc>
          <w:tcPr>
            <w:tcW w:w="407" w:type="pct"/>
            <w:tcBorders>
              <w:top w:val="single" w:sz="12" w:space="0" w:color="auto"/>
            </w:tcBorders>
            <w:shd w:val="clear" w:color="auto" w:fill="auto"/>
            <w:vAlign w:val="bottom"/>
          </w:tcPr>
          <w:p w14:paraId="363B92C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95</w:t>
            </w:r>
          </w:p>
        </w:tc>
      </w:tr>
      <w:tr w:rsidR="00B4060E" w:rsidRPr="00B4060E" w14:paraId="313948ED" w14:textId="77777777" w:rsidTr="00E45843">
        <w:trPr>
          <w:cantSplit/>
        </w:trPr>
        <w:tc>
          <w:tcPr>
            <w:tcW w:w="917" w:type="pct"/>
            <w:shd w:val="clear" w:color="auto" w:fill="auto"/>
          </w:tcPr>
          <w:p w14:paraId="6BF81F76" w14:textId="6406FEED"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6</w:t>
            </w:r>
            <w:r w:rsidR="00F97AEE">
              <w:t>–</w:t>
            </w:r>
            <w:r w:rsidRPr="00B4060E">
              <w:rPr>
                <w:sz w:val="18"/>
              </w:rPr>
              <w:t>11</w:t>
            </w:r>
          </w:p>
        </w:tc>
        <w:tc>
          <w:tcPr>
            <w:tcW w:w="408" w:type="pct"/>
            <w:shd w:val="clear" w:color="auto" w:fill="auto"/>
            <w:vAlign w:val="bottom"/>
          </w:tcPr>
          <w:p w14:paraId="28DBDEB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374</w:t>
            </w:r>
          </w:p>
        </w:tc>
        <w:tc>
          <w:tcPr>
            <w:tcW w:w="409" w:type="pct"/>
            <w:shd w:val="clear" w:color="auto" w:fill="auto"/>
            <w:vAlign w:val="bottom"/>
          </w:tcPr>
          <w:p w14:paraId="15FCCFA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158</w:t>
            </w:r>
          </w:p>
        </w:tc>
        <w:tc>
          <w:tcPr>
            <w:tcW w:w="408" w:type="pct"/>
            <w:shd w:val="clear" w:color="auto" w:fill="auto"/>
            <w:vAlign w:val="bottom"/>
          </w:tcPr>
          <w:p w14:paraId="1EB70F1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463</w:t>
            </w:r>
          </w:p>
        </w:tc>
        <w:tc>
          <w:tcPr>
            <w:tcW w:w="409" w:type="pct"/>
            <w:shd w:val="clear" w:color="auto" w:fill="auto"/>
            <w:vAlign w:val="bottom"/>
          </w:tcPr>
          <w:p w14:paraId="6FCA9B8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183</w:t>
            </w:r>
          </w:p>
        </w:tc>
        <w:tc>
          <w:tcPr>
            <w:tcW w:w="408" w:type="pct"/>
            <w:shd w:val="clear" w:color="auto" w:fill="auto"/>
            <w:vAlign w:val="bottom"/>
          </w:tcPr>
          <w:p w14:paraId="4ABD706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587</w:t>
            </w:r>
          </w:p>
        </w:tc>
        <w:tc>
          <w:tcPr>
            <w:tcW w:w="409" w:type="pct"/>
            <w:shd w:val="clear" w:color="auto" w:fill="auto"/>
            <w:vAlign w:val="bottom"/>
          </w:tcPr>
          <w:p w14:paraId="608DB15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222</w:t>
            </w:r>
          </w:p>
        </w:tc>
        <w:tc>
          <w:tcPr>
            <w:tcW w:w="408" w:type="pct"/>
            <w:shd w:val="clear" w:color="auto" w:fill="auto"/>
            <w:vAlign w:val="bottom"/>
          </w:tcPr>
          <w:p w14:paraId="36D8A6C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715</w:t>
            </w:r>
          </w:p>
        </w:tc>
        <w:tc>
          <w:tcPr>
            <w:tcW w:w="409" w:type="pct"/>
            <w:shd w:val="clear" w:color="auto" w:fill="auto"/>
            <w:vAlign w:val="bottom"/>
          </w:tcPr>
          <w:p w14:paraId="3083E4A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248</w:t>
            </w:r>
          </w:p>
        </w:tc>
        <w:tc>
          <w:tcPr>
            <w:tcW w:w="408" w:type="pct"/>
            <w:shd w:val="clear" w:color="auto" w:fill="auto"/>
            <w:vAlign w:val="bottom"/>
          </w:tcPr>
          <w:p w14:paraId="4EE7E73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816</w:t>
            </w:r>
          </w:p>
        </w:tc>
        <w:tc>
          <w:tcPr>
            <w:tcW w:w="407" w:type="pct"/>
            <w:shd w:val="clear" w:color="auto" w:fill="auto"/>
            <w:vAlign w:val="bottom"/>
          </w:tcPr>
          <w:p w14:paraId="319EB95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292</w:t>
            </w:r>
          </w:p>
        </w:tc>
      </w:tr>
      <w:tr w:rsidR="00B4060E" w:rsidRPr="00B4060E" w14:paraId="3092DD31" w14:textId="77777777" w:rsidTr="00E45843">
        <w:trPr>
          <w:cantSplit/>
        </w:trPr>
        <w:tc>
          <w:tcPr>
            <w:tcW w:w="917" w:type="pct"/>
            <w:shd w:val="clear" w:color="auto" w:fill="auto"/>
          </w:tcPr>
          <w:p w14:paraId="7DAF6B69" w14:textId="70815D83"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12</w:t>
            </w:r>
            <w:r w:rsidR="00F97AEE">
              <w:t>–</w:t>
            </w:r>
            <w:r w:rsidRPr="00B4060E">
              <w:rPr>
                <w:sz w:val="18"/>
              </w:rPr>
              <w:t>17</w:t>
            </w:r>
          </w:p>
        </w:tc>
        <w:tc>
          <w:tcPr>
            <w:tcW w:w="408" w:type="pct"/>
            <w:shd w:val="clear" w:color="auto" w:fill="auto"/>
            <w:vAlign w:val="bottom"/>
          </w:tcPr>
          <w:p w14:paraId="4DB887A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341</w:t>
            </w:r>
          </w:p>
        </w:tc>
        <w:tc>
          <w:tcPr>
            <w:tcW w:w="409" w:type="pct"/>
            <w:shd w:val="clear" w:color="auto" w:fill="auto"/>
            <w:vAlign w:val="bottom"/>
          </w:tcPr>
          <w:p w14:paraId="3B38790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155</w:t>
            </w:r>
          </w:p>
        </w:tc>
        <w:tc>
          <w:tcPr>
            <w:tcW w:w="408" w:type="pct"/>
            <w:shd w:val="clear" w:color="auto" w:fill="auto"/>
            <w:vAlign w:val="bottom"/>
          </w:tcPr>
          <w:p w14:paraId="0087718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334</w:t>
            </w:r>
          </w:p>
        </w:tc>
        <w:tc>
          <w:tcPr>
            <w:tcW w:w="409" w:type="pct"/>
            <w:shd w:val="clear" w:color="auto" w:fill="auto"/>
            <w:vAlign w:val="bottom"/>
          </w:tcPr>
          <w:p w14:paraId="671A670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155</w:t>
            </w:r>
          </w:p>
        </w:tc>
        <w:tc>
          <w:tcPr>
            <w:tcW w:w="408" w:type="pct"/>
            <w:shd w:val="clear" w:color="auto" w:fill="auto"/>
            <w:vAlign w:val="bottom"/>
          </w:tcPr>
          <w:p w14:paraId="7AEEAF4F"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349</w:t>
            </w:r>
          </w:p>
        </w:tc>
        <w:tc>
          <w:tcPr>
            <w:tcW w:w="409" w:type="pct"/>
            <w:shd w:val="clear" w:color="auto" w:fill="auto"/>
            <w:vAlign w:val="bottom"/>
          </w:tcPr>
          <w:p w14:paraId="31C8717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170</w:t>
            </w:r>
          </w:p>
        </w:tc>
        <w:tc>
          <w:tcPr>
            <w:tcW w:w="408" w:type="pct"/>
            <w:shd w:val="clear" w:color="auto" w:fill="auto"/>
            <w:vAlign w:val="bottom"/>
          </w:tcPr>
          <w:p w14:paraId="71B5E786"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388</w:t>
            </w:r>
          </w:p>
        </w:tc>
        <w:tc>
          <w:tcPr>
            <w:tcW w:w="409" w:type="pct"/>
            <w:shd w:val="clear" w:color="auto" w:fill="auto"/>
            <w:vAlign w:val="bottom"/>
          </w:tcPr>
          <w:p w14:paraId="6A80053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184</w:t>
            </w:r>
          </w:p>
        </w:tc>
        <w:tc>
          <w:tcPr>
            <w:tcW w:w="408" w:type="pct"/>
            <w:shd w:val="clear" w:color="auto" w:fill="auto"/>
            <w:vAlign w:val="bottom"/>
          </w:tcPr>
          <w:p w14:paraId="4C5469BE"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441</w:t>
            </w:r>
          </w:p>
        </w:tc>
        <w:tc>
          <w:tcPr>
            <w:tcW w:w="407" w:type="pct"/>
            <w:shd w:val="clear" w:color="auto" w:fill="auto"/>
            <w:vAlign w:val="bottom"/>
          </w:tcPr>
          <w:p w14:paraId="5D696D4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206</w:t>
            </w:r>
          </w:p>
        </w:tc>
      </w:tr>
      <w:tr w:rsidR="00B4060E" w:rsidRPr="00B4060E" w14:paraId="64DFD6E6" w14:textId="77777777" w:rsidTr="00E45843">
        <w:trPr>
          <w:cantSplit/>
        </w:trPr>
        <w:tc>
          <w:tcPr>
            <w:tcW w:w="917" w:type="pct"/>
            <w:tcBorders>
              <w:bottom w:val="single" w:sz="4" w:space="0" w:color="auto"/>
            </w:tcBorders>
            <w:shd w:val="clear" w:color="auto" w:fill="auto"/>
          </w:tcPr>
          <w:p w14:paraId="0D3C7FD0" w14:textId="783BD4E3"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18</w:t>
            </w:r>
            <w:r w:rsidR="00F97AEE">
              <w:t>–</w:t>
            </w:r>
            <w:r w:rsidRPr="00B4060E">
              <w:rPr>
                <w:sz w:val="18"/>
              </w:rPr>
              <w:t>24</w:t>
            </w:r>
          </w:p>
        </w:tc>
        <w:tc>
          <w:tcPr>
            <w:tcW w:w="408" w:type="pct"/>
            <w:tcBorders>
              <w:bottom w:val="single" w:sz="4" w:space="0" w:color="auto"/>
            </w:tcBorders>
            <w:shd w:val="clear" w:color="auto" w:fill="auto"/>
            <w:vAlign w:val="bottom"/>
          </w:tcPr>
          <w:p w14:paraId="65000E5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116</w:t>
            </w:r>
          </w:p>
        </w:tc>
        <w:tc>
          <w:tcPr>
            <w:tcW w:w="409" w:type="pct"/>
            <w:tcBorders>
              <w:bottom w:val="single" w:sz="4" w:space="0" w:color="auto"/>
            </w:tcBorders>
            <w:shd w:val="clear" w:color="auto" w:fill="auto"/>
            <w:vAlign w:val="bottom"/>
          </w:tcPr>
          <w:p w14:paraId="4E32761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68</w:t>
            </w:r>
          </w:p>
        </w:tc>
        <w:tc>
          <w:tcPr>
            <w:tcW w:w="408" w:type="pct"/>
            <w:tcBorders>
              <w:bottom w:val="single" w:sz="4" w:space="0" w:color="auto"/>
            </w:tcBorders>
            <w:shd w:val="clear" w:color="auto" w:fill="auto"/>
            <w:vAlign w:val="bottom"/>
          </w:tcPr>
          <w:p w14:paraId="00E95EC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129</w:t>
            </w:r>
          </w:p>
        </w:tc>
        <w:tc>
          <w:tcPr>
            <w:tcW w:w="409" w:type="pct"/>
            <w:tcBorders>
              <w:bottom w:val="single" w:sz="4" w:space="0" w:color="auto"/>
            </w:tcBorders>
            <w:shd w:val="clear" w:color="auto" w:fill="auto"/>
            <w:vAlign w:val="bottom"/>
          </w:tcPr>
          <w:p w14:paraId="13E6770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80</w:t>
            </w:r>
          </w:p>
        </w:tc>
        <w:tc>
          <w:tcPr>
            <w:tcW w:w="408" w:type="pct"/>
            <w:tcBorders>
              <w:bottom w:val="single" w:sz="4" w:space="0" w:color="auto"/>
            </w:tcBorders>
            <w:shd w:val="clear" w:color="auto" w:fill="auto"/>
            <w:vAlign w:val="bottom"/>
          </w:tcPr>
          <w:p w14:paraId="0B71F76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130</w:t>
            </w:r>
          </w:p>
        </w:tc>
        <w:tc>
          <w:tcPr>
            <w:tcW w:w="409" w:type="pct"/>
            <w:tcBorders>
              <w:bottom w:val="single" w:sz="4" w:space="0" w:color="auto"/>
            </w:tcBorders>
            <w:shd w:val="clear" w:color="auto" w:fill="auto"/>
            <w:vAlign w:val="bottom"/>
          </w:tcPr>
          <w:p w14:paraId="2E2C186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76</w:t>
            </w:r>
          </w:p>
        </w:tc>
        <w:tc>
          <w:tcPr>
            <w:tcW w:w="408" w:type="pct"/>
            <w:tcBorders>
              <w:bottom w:val="single" w:sz="4" w:space="0" w:color="auto"/>
            </w:tcBorders>
            <w:shd w:val="clear" w:color="auto" w:fill="auto"/>
            <w:vAlign w:val="bottom"/>
          </w:tcPr>
          <w:p w14:paraId="6CB1B0B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132</w:t>
            </w:r>
          </w:p>
        </w:tc>
        <w:tc>
          <w:tcPr>
            <w:tcW w:w="409" w:type="pct"/>
            <w:tcBorders>
              <w:bottom w:val="single" w:sz="4" w:space="0" w:color="auto"/>
            </w:tcBorders>
            <w:shd w:val="clear" w:color="auto" w:fill="auto"/>
            <w:vAlign w:val="bottom"/>
          </w:tcPr>
          <w:p w14:paraId="77D4B3D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64</w:t>
            </w:r>
          </w:p>
        </w:tc>
        <w:tc>
          <w:tcPr>
            <w:tcW w:w="408" w:type="pct"/>
            <w:tcBorders>
              <w:bottom w:val="single" w:sz="4" w:space="0" w:color="auto"/>
            </w:tcBorders>
            <w:shd w:val="clear" w:color="auto" w:fill="auto"/>
            <w:vAlign w:val="bottom"/>
          </w:tcPr>
          <w:p w14:paraId="3603CAB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120</w:t>
            </w:r>
          </w:p>
        </w:tc>
        <w:tc>
          <w:tcPr>
            <w:tcW w:w="407" w:type="pct"/>
            <w:tcBorders>
              <w:bottom w:val="single" w:sz="4" w:space="0" w:color="auto"/>
            </w:tcBorders>
            <w:shd w:val="clear" w:color="auto" w:fill="auto"/>
            <w:vAlign w:val="bottom"/>
          </w:tcPr>
          <w:p w14:paraId="4A84D4AD"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sz w:val="18"/>
              </w:rPr>
              <w:t>58</w:t>
            </w:r>
          </w:p>
        </w:tc>
      </w:tr>
      <w:tr w:rsidR="00B4060E" w:rsidRPr="00F97AEE" w14:paraId="6A13A29F" w14:textId="77777777" w:rsidTr="00E45843">
        <w:trPr>
          <w:cantSplit/>
        </w:trPr>
        <w:tc>
          <w:tcPr>
            <w:tcW w:w="917" w:type="pct"/>
            <w:tcBorders>
              <w:top w:val="single" w:sz="4" w:space="0" w:color="auto"/>
              <w:bottom w:val="single" w:sz="12" w:space="0" w:color="auto"/>
            </w:tcBorders>
            <w:shd w:val="clear" w:color="auto" w:fill="auto"/>
          </w:tcPr>
          <w:p w14:paraId="7A441E87" w14:textId="77777777" w:rsidR="001D75D7" w:rsidRPr="00F97AEE" w:rsidRDefault="001D75D7" w:rsidP="00F97AEE">
            <w:pPr>
              <w:pStyle w:val="SingleTxtG"/>
              <w:suppressAutoHyphens w:val="0"/>
              <w:spacing w:before="80" w:after="80" w:line="220" w:lineRule="exact"/>
              <w:ind w:left="283" w:right="0"/>
              <w:jc w:val="left"/>
              <w:rPr>
                <w:b/>
                <w:sz w:val="18"/>
              </w:rPr>
            </w:pPr>
            <w:r w:rsidRPr="00F97AEE">
              <w:rPr>
                <w:b/>
                <w:sz w:val="18"/>
              </w:rPr>
              <w:t>Total</w:t>
            </w:r>
          </w:p>
        </w:tc>
        <w:tc>
          <w:tcPr>
            <w:tcW w:w="408" w:type="pct"/>
            <w:tcBorders>
              <w:top w:val="single" w:sz="4" w:space="0" w:color="auto"/>
              <w:bottom w:val="single" w:sz="12" w:space="0" w:color="auto"/>
            </w:tcBorders>
            <w:shd w:val="clear" w:color="auto" w:fill="auto"/>
            <w:vAlign w:val="bottom"/>
          </w:tcPr>
          <w:p w14:paraId="22540D3E" w14:textId="5935911A" w:rsidR="001D75D7" w:rsidRPr="00F97AEE" w:rsidRDefault="001D75D7" w:rsidP="00F97AEE">
            <w:pPr>
              <w:pStyle w:val="SingleTxtG"/>
              <w:suppressAutoHyphens w:val="0"/>
              <w:spacing w:before="80" w:after="80" w:line="220" w:lineRule="exact"/>
              <w:ind w:left="0" w:right="113"/>
              <w:jc w:val="right"/>
              <w:rPr>
                <w:b/>
                <w:sz w:val="18"/>
              </w:rPr>
            </w:pPr>
            <w:r w:rsidRPr="00F97AEE">
              <w:rPr>
                <w:b/>
                <w:sz w:val="18"/>
              </w:rPr>
              <w:t>1</w:t>
            </w:r>
            <w:r w:rsidR="00F97AEE">
              <w:rPr>
                <w:b/>
                <w:sz w:val="18"/>
              </w:rPr>
              <w:t xml:space="preserve"> </w:t>
            </w:r>
            <w:r w:rsidRPr="00F97AEE">
              <w:rPr>
                <w:b/>
                <w:sz w:val="18"/>
              </w:rPr>
              <w:t>000</w:t>
            </w:r>
          </w:p>
        </w:tc>
        <w:tc>
          <w:tcPr>
            <w:tcW w:w="409" w:type="pct"/>
            <w:tcBorders>
              <w:top w:val="single" w:sz="4" w:space="0" w:color="auto"/>
              <w:bottom w:val="single" w:sz="12" w:space="0" w:color="auto"/>
            </w:tcBorders>
            <w:shd w:val="clear" w:color="auto" w:fill="auto"/>
            <w:vAlign w:val="bottom"/>
          </w:tcPr>
          <w:p w14:paraId="0D8CC218" w14:textId="77777777" w:rsidR="001D75D7" w:rsidRPr="00F97AEE" w:rsidRDefault="001D75D7" w:rsidP="00F97AEE">
            <w:pPr>
              <w:pStyle w:val="SingleTxtG"/>
              <w:suppressAutoHyphens w:val="0"/>
              <w:spacing w:before="80" w:after="80" w:line="220" w:lineRule="exact"/>
              <w:ind w:left="0" w:right="113"/>
              <w:jc w:val="right"/>
              <w:rPr>
                <w:b/>
                <w:sz w:val="18"/>
              </w:rPr>
            </w:pPr>
            <w:r w:rsidRPr="00F97AEE">
              <w:rPr>
                <w:b/>
                <w:sz w:val="18"/>
              </w:rPr>
              <w:t>430</w:t>
            </w:r>
          </w:p>
        </w:tc>
        <w:tc>
          <w:tcPr>
            <w:tcW w:w="408" w:type="pct"/>
            <w:tcBorders>
              <w:top w:val="single" w:sz="4" w:space="0" w:color="auto"/>
              <w:bottom w:val="single" w:sz="12" w:space="0" w:color="auto"/>
            </w:tcBorders>
            <w:shd w:val="clear" w:color="auto" w:fill="auto"/>
            <w:vAlign w:val="bottom"/>
          </w:tcPr>
          <w:p w14:paraId="6BFEB987" w14:textId="36A80FE5" w:rsidR="001D75D7" w:rsidRPr="00F97AEE" w:rsidRDefault="001D75D7" w:rsidP="00F97AEE">
            <w:pPr>
              <w:pStyle w:val="SingleTxtG"/>
              <w:suppressAutoHyphens w:val="0"/>
              <w:spacing w:before="80" w:after="80" w:line="220" w:lineRule="exact"/>
              <w:ind w:left="0" w:right="113"/>
              <w:jc w:val="right"/>
              <w:rPr>
                <w:b/>
                <w:sz w:val="18"/>
              </w:rPr>
            </w:pPr>
            <w:r w:rsidRPr="00F97AEE">
              <w:rPr>
                <w:b/>
                <w:sz w:val="18"/>
              </w:rPr>
              <w:t>1</w:t>
            </w:r>
            <w:r w:rsidR="00F97AEE">
              <w:rPr>
                <w:b/>
                <w:sz w:val="18"/>
              </w:rPr>
              <w:t xml:space="preserve"> </w:t>
            </w:r>
            <w:r w:rsidRPr="00F97AEE">
              <w:rPr>
                <w:b/>
                <w:sz w:val="18"/>
              </w:rPr>
              <w:t>120</w:t>
            </w:r>
          </w:p>
        </w:tc>
        <w:tc>
          <w:tcPr>
            <w:tcW w:w="409" w:type="pct"/>
            <w:tcBorders>
              <w:top w:val="single" w:sz="4" w:space="0" w:color="auto"/>
              <w:bottom w:val="single" w:sz="12" w:space="0" w:color="auto"/>
            </w:tcBorders>
            <w:shd w:val="clear" w:color="auto" w:fill="auto"/>
            <w:vAlign w:val="bottom"/>
          </w:tcPr>
          <w:p w14:paraId="262073B2" w14:textId="77777777" w:rsidR="001D75D7" w:rsidRPr="00F97AEE" w:rsidRDefault="001D75D7" w:rsidP="00F97AEE">
            <w:pPr>
              <w:pStyle w:val="SingleTxtG"/>
              <w:suppressAutoHyphens w:val="0"/>
              <w:spacing w:before="80" w:after="80" w:line="220" w:lineRule="exact"/>
              <w:ind w:left="0" w:right="113"/>
              <w:jc w:val="right"/>
              <w:rPr>
                <w:b/>
                <w:sz w:val="18"/>
              </w:rPr>
            </w:pPr>
            <w:r w:rsidRPr="00F97AEE">
              <w:rPr>
                <w:b/>
                <w:sz w:val="18"/>
              </w:rPr>
              <w:t>472</w:t>
            </w:r>
          </w:p>
        </w:tc>
        <w:tc>
          <w:tcPr>
            <w:tcW w:w="408" w:type="pct"/>
            <w:tcBorders>
              <w:top w:val="single" w:sz="4" w:space="0" w:color="auto"/>
              <w:bottom w:val="single" w:sz="12" w:space="0" w:color="auto"/>
            </w:tcBorders>
            <w:shd w:val="clear" w:color="auto" w:fill="auto"/>
            <w:vAlign w:val="bottom"/>
          </w:tcPr>
          <w:p w14:paraId="46032CAF" w14:textId="26E7899E" w:rsidR="001D75D7" w:rsidRPr="00F97AEE" w:rsidRDefault="001D75D7" w:rsidP="00F97AEE">
            <w:pPr>
              <w:pStyle w:val="SingleTxtG"/>
              <w:suppressAutoHyphens w:val="0"/>
              <w:spacing w:before="80" w:after="80" w:line="220" w:lineRule="exact"/>
              <w:ind w:left="0" w:right="113"/>
              <w:jc w:val="right"/>
              <w:rPr>
                <w:b/>
                <w:sz w:val="18"/>
              </w:rPr>
            </w:pPr>
            <w:r w:rsidRPr="00F97AEE">
              <w:rPr>
                <w:b/>
                <w:sz w:val="18"/>
              </w:rPr>
              <w:t>1</w:t>
            </w:r>
            <w:r w:rsidR="00F97AEE">
              <w:rPr>
                <w:b/>
                <w:sz w:val="18"/>
              </w:rPr>
              <w:t xml:space="preserve"> </w:t>
            </w:r>
            <w:r w:rsidRPr="00F97AEE">
              <w:rPr>
                <w:b/>
                <w:sz w:val="18"/>
              </w:rPr>
              <w:t>305</w:t>
            </w:r>
          </w:p>
        </w:tc>
        <w:tc>
          <w:tcPr>
            <w:tcW w:w="409" w:type="pct"/>
            <w:tcBorders>
              <w:top w:val="single" w:sz="4" w:space="0" w:color="auto"/>
              <w:bottom w:val="single" w:sz="12" w:space="0" w:color="auto"/>
            </w:tcBorders>
            <w:shd w:val="clear" w:color="auto" w:fill="auto"/>
            <w:vAlign w:val="bottom"/>
          </w:tcPr>
          <w:p w14:paraId="02D6182F" w14:textId="77777777" w:rsidR="001D75D7" w:rsidRPr="00F97AEE" w:rsidRDefault="001D75D7" w:rsidP="00F97AEE">
            <w:pPr>
              <w:pStyle w:val="SingleTxtG"/>
              <w:suppressAutoHyphens w:val="0"/>
              <w:spacing w:before="80" w:after="80" w:line="220" w:lineRule="exact"/>
              <w:ind w:left="0" w:right="113"/>
              <w:jc w:val="right"/>
              <w:rPr>
                <w:b/>
                <w:sz w:val="18"/>
              </w:rPr>
            </w:pPr>
            <w:r w:rsidRPr="00F97AEE">
              <w:rPr>
                <w:b/>
                <w:sz w:val="18"/>
              </w:rPr>
              <w:t>536</w:t>
            </w:r>
          </w:p>
        </w:tc>
        <w:tc>
          <w:tcPr>
            <w:tcW w:w="408" w:type="pct"/>
            <w:tcBorders>
              <w:top w:val="single" w:sz="4" w:space="0" w:color="auto"/>
              <w:bottom w:val="single" w:sz="12" w:space="0" w:color="auto"/>
            </w:tcBorders>
            <w:shd w:val="clear" w:color="auto" w:fill="auto"/>
            <w:vAlign w:val="bottom"/>
          </w:tcPr>
          <w:p w14:paraId="6A6A780C" w14:textId="77777777" w:rsidR="001D75D7" w:rsidRPr="00F97AEE" w:rsidRDefault="001D75D7" w:rsidP="00F97AEE">
            <w:pPr>
              <w:pStyle w:val="SingleTxtG"/>
              <w:suppressAutoHyphens w:val="0"/>
              <w:spacing w:before="80" w:after="80" w:line="220" w:lineRule="exact"/>
              <w:ind w:left="0" w:right="113"/>
              <w:jc w:val="right"/>
              <w:rPr>
                <w:b/>
                <w:sz w:val="18"/>
              </w:rPr>
            </w:pPr>
            <w:r w:rsidRPr="00F97AEE">
              <w:rPr>
                <w:b/>
                <w:sz w:val="18"/>
              </w:rPr>
              <w:t>1525</w:t>
            </w:r>
          </w:p>
        </w:tc>
        <w:tc>
          <w:tcPr>
            <w:tcW w:w="409" w:type="pct"/>
            <w:tcBorders>
              <w:top w:val="single" w:sz="4" w:space="0" w:color="auto"/>
              <w:bottom w:val="single" w:sz="12" w:space="0" w:color="auto"/>
            </w:tcBorders>
            <w:shd w:val="clear" w:color="auto" w:fill="auto"/>
            <w:vAlign w:val="bottom"/>
          </w:tcPr>
          <w:p w14:paraId="118C4E50" w14:textId="77777777" w:rsidR="001D75D7" w:rsidRPr="00F97AEE" w:rsidRDefault="001D75D7" w:rsidP="00F97AEE">
            <w:pPr>
              <w:pStyle w:val="SingleTxtG"/>
              <w:suppressAutoHyphens w:val="0"/>
              <w:spacing w:before="80" w:after="80" w:line="220" w:lineRule="exact"/>
              <w:ind w:left="0" w:right="113"/>
              <w:jc w:val="right"/>
              <w:rPr>
                <w:b/>
                <w:sz w:val="18"/>
              </w:rPr>
            </w:pPr>
            <w:r w:rsidRPr="00F97AEE">
              <w:rPr>
                <w:b/>
                <w:sz w:val="18"/>
              </w:rPr>
              <w:t>591</w:t>
            </w:r>
          </w:p>
        </w:tc>
        <w:tc>
          <w:tcPr>
            <w:tcW w:w="408" w:type="pct"/>
            <w:tcBorders>
              <w:top w:val="single" w:sz="4" w:space="0" w:color="auto"/>
              <w:bottom w:val="single" w:sz="12" w:space="0" w:color="auto"/>
            </w:tcBorders>
            <w:shd w:val="clear" w:color="auto" w:fill="auto"/>
            <w:vAlign w:val="bottom"/>
          </w:tcPr>
          <w:p w14:paraId="4EA51766" w14:textId="15016118" w:rsidR="001D75D7" w:rsidRPr="00F97AEE" w:rsidRDefault="001D75D7" w:rsidP="00F97AEE">
            <w:pPr>
              <w:pStyle w:val="SingleTxtG"/>
              <w:suppressAutoHyphens w:val="0"/>
              <w:spacing w:before="80" w:after="80" w:line="220" w:lineRule="exact"/>
              <w:ind w:left="0" w:right="113"/>
              <w:jc w:val="right"/>
              <w:rPr>
                <w:b/>
                <w:sz w:val="18"/>
              </w:rPr>
            </w:pPr>
            <w:r w:rsidRPr="00F97AEE">
              <w:rPr>
                <w:b/>
                <w:sz w:val="18"/>
              </w:rPr>
              <w:t>1</w:t>
            </w:r>
            <w:r w:rsidR="00F97AEE">
              <w:rPr>
                <w:b/>
                <w:sz w:val="18"/>
              </w:rPr>
              <w:t xml:space="preserve"> </w:t>
            </w:r>
            <w:r w:rsidRPr="00F97AEE">
              <w:rPr>
                <w:b/>
                <w:sz w:val="18"/>
              </w:rPr>
              <w:t>650</w:t>
            </w:r>
          </w:p>
        </w:tc>
        <w:tc>
          <w:tcPr>
            <w:tcW w:w="407" w:type="pct"/>
            <w:tcBorders>
              <w:top w:val="single" w:sz="4" w:space="0" w:color="auto"/>
              <w:bottom w:val="single" w:sz="12" w:space="0" w:color="auto"/>
            </w:tcBorders>
            <w:shd w:val="clear" w:color="auto" w:fill="auto"/>
            <w:vAlign w:val="bottom"/>
          </w:tcPr>
          <w:p w14:paraId="2E7F70B5" w14:textId="77777777" w:rsidR="001D75D7" w:rsidRPr="00F97AEE" w:rsidRDefault="001D75D7" w:rsidP="00F97AEE">
            <w:pPr>
              <w:pStyle w:val="SingleTxtG"/>
              <w:suppressAutoHyphens w:val="0"/>
              <w:spacing w:before="80" w:after="80" w:line="220" w:lineRule="exact"/>
              <w:ind w:left="0" w:right="113"/>
              <w:jc w:val="right"/>
              <w:rPr>
                <w:b/>
                <w:sz w:val="18"/>
              </w:rPr>
            </w:pPr>
            <w:r w:rsidRPr="00F97AEE">
              <w:rPr>
                <w:b/>
                <w:sz w:val="18"/>
              </w:rPr>
              <w:t>651</w:t>
            </w:r>
          </w:p>
        </w:tc>
      </w:tr>
    </w:tbl>
    <w:p w14:paraId="0E52A9EC" w14:textId="7019D9BE" w:rsidR="001D75D7" w:rsidRPr="00F97AEE" w:rsidRDefault="001D75D7" w:rsidP="00F97AEE">
      <w:pPr>
        <w:spacing w:before="120" w:after="240"/>
        <w:ind w:left="1134" w:right="1134" w:firstLine="170"/>
        <w:rPr>
          <w:sz w:val="18"/>
        </w:rPr>
      </w:pPr>
      <w:r w:rsidRPr="00F97AEE">
        <w:rPr>
          <w:i/>
          <w:iCs/>
          <w:sz w:val="18"/>
        </w:rPr>
        <w:t>Source</w:t>
      </w:r>
      <w:r w:rsidRPr="00F97AEE">
        <w:rPr>
          <w:sz w:val="18"/>
        </w:rPr>
        <w:t xml:space="preserve">: </w:t>
      </w:r>
      <w:r w:rsidR="006603A7">
        <w:rPr>
          <w:sz w:val="18"/>
        </w:rPr>
        <w:t xml:space="preserve"> </w:t>
      </w:r>
      <w:r w:rsidRPr="00F97AEE">
        <w:rPr>
          <w:sz w:val="18"/>
        </w:rPr>
        <w:t>EYAB.</w:t>
      </w:r>
    </w:p>
    <w:p w14:paraId="144D7564" w14:textId="77777777" w:rsidR="001D75D7" w:rsidRPr="00B47380" w:rsidRDefault="001D75D7" w:rsidP="00D53B5F">
      <w:pPr>
        <w:pStyle w:val="SingleTxtG"/>
      </w:pPr>
      <w:r w:rsidRPr="00B47380">
        <w:t>272.</w:t>
      </w:r>
      <w:r w:rsidRPr="00B47380">
        <w:tab/>
        <w:t xml:space="preserve">In recent years, the Government has been supporting the development of special education by various </w:t>
      </w:r>
      <w:proofErr w:type="spellStart"/>
      <w:r w:rsidRPr="00B47380">
        <w:t>fundings</w:t>
      </w:r>
      <w:proofErr w:type="spellEnd"/>
      <w:r w:rsidRPr="00B47380">
        <w:t xml:space="preserve"> to optimise teacher-student ratio, recruit classroom support staff, establish special education teams and provide healthy breakfast and lunch as well as pick-up and drop-off services.</w:t>
      </w:r>
    </w:p>
    <w:p w14:paraId="7A9D28B5" w14:textId="77777777" w:rsidR="001D75D7" w:rsidRPr="00B47380" w:rsidRDefault="001D75D7" w:rsidP="00D53B5F">
      <w:pPr>
        <w:pStyle w:val="SingleTxtG"/>
      </w:pPr>
      <w:r w:rsidRPr="00B47380">
        <w:t>273.</w:t>
      </w:r>
      <w:r w:rsidRPr="00B47380">
        <w:tab/>
        <w:t xml:space="preserve">Between the academic years 2014/2015 and 2018/2019, the subsidies for special education reached MOP$38,402,156, MOP$50,496,644, MOP$57,263,177, MOP$64,468,836 and MOP$74,029,405, respectively. </w:t>
      </w:r>
    </w:p>
    <w:p w14:paraId="7A2FAE79" w14:textId="77777777" w:rsidR="001D75D7" w:rsidRPr="00B47380" w:rsidRDefault="001D75D7" w:rsidP="00D53B5F">
      <w:pPr>
        <w:pStyle w:val="SingleTxtG"/>
      </w:pPr>
      <w:r w:rsidRPr="00B47380">
        <w:lastRenderedPageBreak/>
        <w:t>274.</w:t>
      </w:r>
      <w:r w:rsidRPr="00B47380">
        <w:tab/>
        <w:t>Resources were additionally allocated to private schools that provide inclusive education, with the amount of MOP$50,065,200, MOP$63,840,900, MOP$80,167,650, MOP$96,785,450 and MOP$109,263,700 (only the amount of the first semester) respectively over the same period.</w:t>
      </w:r>
    </w:p>
    <w:p w14:paraId="12454894" w14:textId="4DA22B0D" w:rsidR="001D75D7" w:rsidRPr="00B47380" w:rsidRDefault="001D75D7" w:rsidP="00D53B5F">
      <w:pPr>
        <w:pStyle w:val="SingleTxtG"/>
      </w:pPr>
      <w:r w:rsidRPr="00B47380">
        <w:t>275.</w:t>
      </w:r>
      <w:r w:rsidRPr="00B47380">
        <w:tab/>
        <w:t>Regarding paragraph 60 of the concluding observations, it should be reiterated that one of the general principles of the MSAR</w:t>
      </w:r>
      <w:r w:rsidR="006266F0">
        <w:t>’</w:t>
      </w:r>
      <w:r w:rsidRPr="00B47380">
        <w:t>s education system is the principle of access to education without discrimination and it is the Government</w:t>
      </w:r>
      <w:r w:rsidR="006266F0">
        <w:t>’</w:t>
      </w:r>
      <w:r w:rsidRPr="00B47380">
        <w:t>s obligation to promote equal opportunities (Article 3(1) of Law 9/2006), regardless of being residents</w:t>
      </w:r>
      <w:r w:rsidR="006266F0">
        <w:t>’</w:t>
      </w:r>
      <w:r w:rsidRPr="00B47380">
        <w:t xml:space="preserve"> or migrant workers</w:t>
      </w:r>
      <w:r w:rsidR="006266F0">
        <w:t>’</w:t>
      </w:r>
      <w:r w:rsidRPr="00B47380">
        <w:t xml:space="preserve"> children, and to ensure that the right to education would not be undermined due to financial difficulties.</w:t>
      </w:r>
    </w:p>
    <w:p w14:paraId="06FE098B" w14:textId="52ED0E8F" w:rsidR="001D75D7" w:rsidRPr="00B47380" w:rsidRDefault="001D75D7" w:rsidP="00D53B5F">
      <w:pPr>
        <w:pStyle w:val="SingleTxtG"/>
      </w:pPr>
      <w:r w:rsidRPr="00B47380">
        <w:t>276.</w:t>
      </w:r>
      <w:r w:rsidR="00D96F66">
        <w:tab/>
      </w:r>
      <w:r w:rsidRPr="00B47380">
        <w:t>From the academic years 2014/2015 to 2018/2019, there were respectively 997, 1,086, 1,037, 1,090 and 1,108 non-resident students receiving formal education.</w:t>
      </w:r>
    </w:p>
    <w:p w14:paraId="5AC0E0AD" w14:textId="77777777" w:rsidR="001D75D7" w:rsidRPr="00B47380" w:rsidRDefault="001D75D7" w:rsidP="00D53B5F">
      <w:pPr>
        <w:pStyle w:val="SingleTxtG"/>
      </w:pPr>
      <w:r w:rsidRPr="00B47380">
        <w:t>277.</w:t>
      </w:r>
      <w:r w:rsidRPr="00B47380">
        <w:tab/>
        <w:t>For students who are new immigrants, non-residents or minorities, the EYAB provides tutorial classes to facilitate their learning and to help them adjust to school life. From the academic years 2014/2015 to 2018/2019, 684 students (352 males and 332 females) attended the classes.</w:t>
      </w:r>
    </w:p>
    <w:p w14:paraId="34783C1E" w14:textId="77777777" w:rsidR="001D75D7" w:rsidRPr="00B47380" w:rsidRDefault="001D75D7" w:rsidP="00D53B5F">
      <w:pPr>
        <w:pStyle w:val="SingleTxtG"/>
      </w:pPr>
      <w:r w:rsidRPr="00B47380">
        <w:t>278.</w:t>
      </w:r>
      <w:r w:rsidRPr="00B47380">
        <w:tab/>
        <w:t xml:space="preserve">Regarding recurrent education, presently, there are 2 public schools and 6 private schools. The Government supported recurrent education by subsidising of MOP$269,681,150 to 4,451 male and 2,980 female students between the academic years 2014/2015 and 2017/2018. </w:t>
      </w:r>
    </w:p>
    <w:p w14:paraId="03A71AA0" w14:textId="77777777" w:rsidR="001D75D7" w:rsidRPr="00B47380" w:rsidRDefault="001D75D7" w:rsidP="00D53B5F">
      <w:pPr>
        <w:pStyle w:val="SingleTxtG"/>
      </w:pPr>
      <w:r w:rsidRPr="00B47380">
        <w:t>279.</w:t>
      </w:r>
      <w:r w:rsidRPr="00B47380">
        <w:tab/>
        <w:t>To facilitate the reintegration of young offenders and prisoners into society, the Correctional Services Bureau collaborates with the EYAB and local educational organisations to provide them with recurrent education and different kinds of professional courses.</w:t>
      </w:r>
    </w:p>
    <w:p w14:paraId="3CB529CB" w14:textId="67DCC274" w:rsidR="001D75D7" w:rsidRPr="00B47380" w:rsidRDefault="001D75D7" w:rsidP="00D53B5F">
      <w:pPr>
        <w:pStyle w:val="SingleTxtG"/>
      </w:pPr>
      <w:r w:rsidRPr="00B47380">
        <w:t>280.</w:t>
      </w:r>
      <w:r w:rsidRPr="00B47380">
        <w:tab/>
        <w:t>As to tertiary education, the new Law 10/2017, establishing general rules on the activities, organisation and operation of the MSAR</w:t>
      </w:r>
      <w:r w:rsidR="006266F0">
        <w:t>’</w:t>
      </w:r>
      <w:r w:rsidRPr="00B47380">
        <w:t>s public and private tertiary educational institutions as well as activities of tertiary educational institutions based outside the MSAR, enshrines the principles of scientific autonomy and pedagogical autonomy, stressing the principles of equality and non-discrimination (Articles 4, 7 and 8).</w:t>
      </w:r>
    </w:p>
    <w:p w14:paraId="0D111708" w14:textId="77777777" w:rsidR="001D75D7" w:rsidRPr="00B47380" w:rsidRDefault="001D75D7" w:rsidP="00D53B5F">
      <w:pPr>
        <w:pStyle w:val="SingleTxtG"/>
      </w:pPr>
      <w:r w:rsidRPr="00B47380">
        <w:t>281.</w:t>
      </w:r>
      <w:r w:rsidRPr="00B47380">
        <w:tab/>
        <w:t>AR 18/2018 on Tertiary Education and AR 19/2018 on the Credit System in Tertiary Education were adopted while the Tertiary Education Council was founded to promote the communication and coordination between the Government and tertiary educational institutions as well as among the institutions themselves fostering the development of tertiary education (Article 2 of AR 15/2018).</w:t>
      </w:r>
    </w:p>
    <w:p w14:paraId="63AD4FEB" w14:textId="77777777" w:rsidR="001D75D7" w:rsidRPr="00B47380" w:rsidRDefault="001D75D7" w:rsidP="00D53B5F">
      <w:pPr>
        <w:pStyle w:val="SingleTxtG"/>
      </w:pPr>
      <w:r w:rsidRPr="00B47380">
        <w:t>282.</w:t>
      </w:r>
      <w:r w:rsidRPr="00B47380">
        <w:tab/>
        <w:t>The Tertiary Education Fund was established aiming at the development of tertiary educational institutions and education quality and the Regime on the Evaluation of Tertiary Education Quality was adopted (AR 17/2018).</w:t>
      </w:r>
    </w:p>
    <w:p w14:paraId="0ADFC530" w14:textId="77777777" w:rsidR="001D75D7" w:rsidRPr="00B47380" w:rsidRDefault="001D75D7" w:rsidP="00D53B5F">
      <w:pPr>
        <w:pStyle w:val="SingleTxtG"/>
      </w:pPr>
      <w:r w:rsidRPr="00B47380">
        <w:t>283.</w:t>
      </w:r>
      <w:r w:rsidRPr="00B47380">
        <w:tab/>
        <w:t xml:space="preserve">To support students with economic difficulties and to encourage outstanding students to continue tertiary education, student loans, scholarships, accommodation subsidies, travelling subsidies are available under the Tertiary Education Scholarship Scheme. </w:t>
      </w:r>
    </w:p>
    <w:p w14:paraId="459C7B9C" w14:textId="77777777" w:rsidR="001D75D7" w:rsidRPr="00B47380" w:rsidRDefault="001D75D7" w:rsidP="00D53B5F">
      <w:pPr>
        <w:pStyle w:val="SingleTxtG"/>
      </w:pPr>
      <w:r w:rsidRPr="00B47380">
        <w:t>284.</w:t>
      </w:r>
      <w:r w:rsidRPr="00B47380">
        <w:tab/>
        <w:t xml:space="preserve">Between the academic years 2014/2015 and 2017/2018, 25,719 students (10,747 males and 14,972 females) received assistance, totalling MOP$1,132,244,036. Besides, over the same period, 4,051 students (2,103 males and 1,948 females) were sponsored under the Interest Subsidy Loan Scheme, totalling MOP$22,269,987 while, under the Subsidy Scheme for Outstanding Students to Study Education Programmes, 524 students (200 males and 324 females) were granted subsidies, totalling MOP$91,613,000. </w:t>
      </w:r>
    </w:p>
    <w:p w14:paraId="1F3ED9DA" w14:textId="39417B8D" w:rsidR="001D75D7" w:rsidRPr="00B47380" w:rsidRDefault="001D75D7" w:rsidP="00D53B5F">
      <w:pPr>
        <w:pStyle w:val="SingleTxtG"/>
      </w:pPr>
      <w:r w:rsidRPr="00B47380">
        <w:t>285.</w:t>
      </w:r>
      <w:r w:rsidRPr="00B47380">
        <w:tab/>
        <w:t>To alleviate students</w:t>
      </w:r>
      <w:r w:rsidR="006266F0">
        <w:t>’</w:t>
      </w:r>
      <w:r w:rsidRPr="00B47380">
        <w:t xml:space="preserve"> burden, the Government has been providing stationery allowance to local students studying at the tertiary education level in the MSAR or overseas and the current amount is MOP$3,000. Between the academic years 2014/2015 and 2017/2018, there were 132,528 beneficiaries with a total subsidy of MOP$397,584,000. </w:t>
      </w:r>
    </w:p>
    <w:p w14:paraId="4938534A" w14:textId="77777777" w:rsidR="001D75D7" w:rsidRPr="00B47380" w:rsidRDefault="001D75D7" w:rsidP="00F97AEE">
      <w:pPr>
        <w:pStyle w:val="SingleTxtG"/>
        <w:spacing w:after="240"/>
      </w:pPr>
      <w:r w:rsidRPr="00B47380">
        <w:lastRenderedPageBreak/>
        <w:t>286.</w:t>
      </w:r>
      <w:r w:rsidRPr="00B47380">
        <w:tab/>
        <w:t>According to the Tertiary Education Services Office, in the MSAR, there are 10 tertiary educational institutions. The teaching staff therein, as of academic year 2017/2018, was 2,303, of which 861 were females.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0"/>
        <w:gridCol w:w="969"/>
        <w:gridCol w:w="969"/>
        <w:gridCol w:w="968"/>
        <w:gridCol w:w="968"/>
        <w:gridCol w:w="968"/>
        <w:gridCol w:w="968"/>
      </w:tblGrid>
      <w:tr w:rsidR="00B4060E" w:rsidRPr="00B4060E" w14:paraId="0281A8C9" w14:textId="77777777" w:rsidTr="00E45843">
        <w:trPr>
          <w:cantSplit/>
          <w:tblHeader/>
        </w:trPr>
        <w:tc>
          <w:tcPr>
            <w:tcW w:w="5000" w:type="pct"/>
            <w:gridSpan w:val="7"/>
            <w:tcBorders>
              <w:top w:val="single" w:sz="4" w:space="0" w:color="auto"/>
              <w:bottom w:val="single" w:sz="4" w:space="0" w:color="auto"/>
            </w:tcBorders>
            <w:shd w:val="clear" w:color="auto" w:fill="auto"/>
            <w:vAlign w:val="bottom"/>
          </w:tcPr>
          <w:p w14:paraId="10E02895" w14:textId="19FC22B5" w:rsidR="001D75D7" w:rsidRPr="00B4060E" w:rsidRDefault="001D75D7" w:rsidP="00115F66">
            <w:pPr>
              <w:pStyle w:val="SingleTxtG"/>
              <w:suppressAutoHyphens w:val="0"/>
              <w:spacing w:before="80" w:after="80" w:line="200" w:lineRule="exact"/>
              <w:ind w:left="0" w:right="113"/>
              <w:jc w:val="center"/>
              <w:rPr>
                <w:i/>
                <w:sz w:val="16"/>
              </w:rPr>
            </w:pPr>
            <w:r w:rsidRPr="00B4060E">
              <w:rPr>
                <w:i/>
                <w:sz w:val="16"/>
              </w:rPr>
              <w:t>Academic Year (No./%)</w:t>
            </w:r>
          </w:p>
        </w:tc>
      </w:tr>
      <w:tr w:rsidR="00B4060E" w:rsidRPr="00F97AEE" w14:paraId="5123B540" w14:textId="77777777" w:rsidTr="00E45843">
        <w:trPr>
          <w:cantSplit/>
          <w:tblHeader/>
        </w:trPr>
        <w:tc>
          <w:tcPr>
            <w:tcW w:w="1058" w:type="pct"/>
            <w:tcBorders>
              <w:top w:val="single" w:sz="4" w:space="0" w:color="auto"/>
              <w:bottom w:val="single" w:sz="12" w:space="0" w:color="auto"/>
            </w:tcBorders>
            <w:shd w:val="clear" w:color="auto" w:fill="auto"/>
          </w:tcPr>
          <w:p w14:paraId="4334D387" w14:textId="77777777" w:rsidR="001D75D7" w:rsidRPr="00F97AEE" w:rsidRDefault="001D75D7" w:rsidP="00B4060E">
            <w:pPr>
              <w:pStyle w:val="SingleTxtG"/>
              <w:suppressAutoHyphens w:val="0"/>
              <w:spacing w:before="40" w:after="40" w:line="220" w:lineRule="exact"/>
              <w:ind w:left="0" w:right="113"/>
              <w:jc w:val="left"/>
              <w:rPr>
                <w:i/>
                <w:sz w:val="16"/>
              </w:rPr>
            </w:pPr>
            <w:r w:rsidRPr="00F97AEE">
              <w:rPr>
                <w:i/>
                <w:sz w:val="16"/>
              </w:rPr>
              <w:t>Net Enrolment Rate</w:t>
            </w:r>
          </w:p>
        </w:tc>
        <w:tc>
          <w:tcPr>
            <w:tcW w:w="657" w:type="pct"/>
            <w:tcBorders>
              <w:top w:val="single" w:sz="4" w:space="0" w:color="auto"/>
              <w:bottom w:val="single" w:sz="12" w:space="0" w:color="auto"/>
            </w:tcBorders>
            <w:shd w:val="clear" w:color="auto" w:fill="auto"/>
          </w:tcPr>
          <w:p w14:paraId="5CA3B7D6" w14:textId="77777777" w:rsidR="001D75D7" w:rsidRPr="00F97AEE" w:rsidRDefault="001D75D7" w:rsidP="00B4060E">
            <w:pPr>
              <w:pStyle w:val="SingleTxtG"/>
              <w:suppressAutoHyphens w:val="0"/>
              <w:spacing w:before="40" w:after="40" w:line="220" w:lineRule="exact"/>
              <w:ind w:left="0" w:right="113"/>
              <w:jc w:val="left"/>
              <w:rPr>
                <w:i/>
                <w:sz w:val="16"/>
              </w:rPr>
            </w:pPr>
            <w:r w:rsidRPr="00F97AEE">
              <w:rPr>
                <w:i/>
                <w:sz w:val="16"/>
              </w:rPr>
              <w:t>Gender</w:t>
            </w:r>
          </w:p>
        </w:tc>
        <w:tc>
          <w:tcPr>
            <w:tcW w:w="657" w:type="pct"/>
            <w:tcBorders>
              <w:top w:val="single" w:sz="4" w:space="0" w:color="auto"/>
              <w:bottom w:val="single" w:sz="12" w:space="0" w:color="auto"/>
            </w:tcBorders>
            <w:shd w:val="clear" w:color="auto" w:fill="auto"/>
          </w:tcPr>
          <w:p w14:paraId="0FD07CC3" w14:textId="77777777" w:rsidR="001D75D7" w:rsidRPr="00F97AEE" w:rsidRDefault="001D75D7" w:rsidP="00B4060E">
            <w:pPr>
              <w:pStyle w:val="SingleTxtG"/>
              <w:suppressAutoHyphens w:val="0"/>
              <w:spacing w:before="40" w:after="40" w:line="220" w:lineRule="exact"/>
              <w:ind w:left="0" w:right="113"/>
              <w:jc w:val="left"/>
              <w:rPr>
                <w:i/>
                <w:sz w:val="16"/>
              </w:rPr>
            </w:pPr>
            <w:r w:rsidRPr="00F97AEE">
              <w:rPr>
                <w:i/>
                <w:sz w:val="16"/>
              </w:rPr>
              <w:t>No %</w:t>
            </w:r>
          </w:p>
        </w:tc>
        <w:tc>
          <w:tcPr>
            <w:tcW w:w="657" w:type="pct"/>
            <w:tcBorders>
              <w:top w:val="single" w:sz="4" w:space="0" w:color="auto"/>
              <w:bottom w:val="single" w:sz="12" w:space="0" w:color="auto"/>
            </w:tcBorders>
            <w:shd w:val="clear" w:color="auto" w:fill="auto"/>
          </w:tcPr>
          <w:p w14:paraId="4C4F0D85" w14:textId="162051AF" w:rsidR="001D75D7" w:rsidRPr="00F97AEE" w:rsidRDefault="001D75D7" w:rsidP="00B4060E">
            <w:pPr>
              <w:pStyle w:val="SingleTxtG"/>
              <w:suppressAutoHyphens w:val="0"/>
              <w:spacing w:before="40" w:after="40" w:line="220" w:lineRule="exact"/>
              <w:ind w:left="0" w:right="113"/>
              <w:jc w:val="left"/>
              <w:rPr>
                <w:i/>
                <w:sz w:val="16"/>
              </w:rPr>
            </w:pPr>
            <w:r w:rsidRPr="00F97AEE">
              <w:rPr>
                <w:i/>
                <w:sz w:val="16"/>
              </w:rPr>
              <w:t>2014/15</w:t>
            </w:r>
          </w:p>
        </w:tc>
        <w:tc>
          <w:tcPr>
            <w:tcW w:w="657" w:type="pct"/>
            <w:tcBorders>
              <w:top w:val="single" w:sz="4" w:space="0" w:color="auto"/>
              <w:bottom w:val="single" w:sz="12" w:space="0" w:color="auto"/>
            </w:tcBorders>
            <w:shd w:val="clear" w:color="auto" w:fill="auto"/>
          </w:tcPr>
          <w:p w14:paraId="0FC68880" w14:textId="70EA76F8" w:rsidR="001D75D7" w:rsidRPr="00F97AEE" w:rsidRDefault="001D75D7" w:rsidP="00B4060E">
            <w:pPr>
              <w:pStyle w:val="SingleTxtG"/>
              <w:suppressAutoHyphens w:val="0"/>
              <w:spacing w:before="40" w:after="40" w:line="220" w:lineRule="exact"/>
              <w:ind w:left="0" w:right="113"/>
              <w:jc w:val="left"/>
              <w:rPr>
                <w:i/>
                <w:sz w:val="16"/>
              </w:rPr>
            </w:pPr>
            <w:r w:rsidRPr="00F97AEE">
              <w:rPr>
                <w:i/>
                <w:sz w:val="16"/>
              </w:rPr>
              <w:t>2015/16</w:t>
            </w:r>
          </w:p>
        </w:tc>
        <w:tc>
          <w:tcPr>
            <w:tcW w:w="657" w:type="pct"/>
            <w:tcBorders>
              <w:top w:val="single" w:sz="4" w:space="0" w:color="auto"/>
              <w:bottom w:val="single" w:sz="12" w:space="0" w:color="auto"/>
            </w:tcBorders>
            <w:shd w:val="clear" w:color="auto" w:fill="auto"/>
          </w:tcPr>
          <w:p w14:paraId="4E6F6087" w14:textId="6DE30479" w:rsidR="001D75D7" w:rsidRPr="00F97AEE" w:rsidRDefault="001D75D7" w:rsidP="00B4060E">
            <w:pPr>
              <w:pStyle w:val="SingleTxtG"/>
              <w:suppressAutoHyphens w:val="0"/>
              <w:spacing w:before="40" w:after="40" w:line="220" w:lineRule="exact"/>
              <w:ind w:left="0" w:right="113"/>
              <w:jc w:val="left"/>
              <w:rPr>
                <w:i/>
                <w:sz w:val="16"/>
              </w:rPr>
            </w:pPr>
            <w:r w:rsidRPr="00F97AEE">
              <w:rPr>
                <w:i/>
                <w:sz w:val="16"/>
              </w:rPr>
              <w:t>2016/17</w:t>
            </w:r>
          </w:p>
        </w:tc>
        <w:tc>
          <w:tcPr>
            <w:tcW w:w="657" w:type="pct"/>
            <w:tcBorders>
              <w:top w:val="single" w:sz="4" w:space="0" w:color="auto"/>
              <w:bottom w:val="single" w:sz="12" w:space="0" w:color="auto"/>
            </w:tcBorders>
            <w:shd w:val="clear" w:color="auto" w:fill="auto"/>
          </w:tcPr>
          <w:p w14:paraId="21D70691" w14:textId="6EE31432" w:rsidR="001D75D7" w:rsidRPr="00F97AEE" w:rsidRDefault="001D75D7" w:rsidP="00B4060E">
            <w:pPr>
              <w:pStyle w:val="SingleTxtG"/>
              <w:suppressAutoHyphens w:val="0"/>
              <w:spacing w:before="40" w:after="40" w:line="220" w:lineRule="exact"/>
              <w:ind w:left="0" w:right="113"/>
              <w:jc w:val="left"/>
              <w:rPr>
                <w:i/>
                <w:sz w:val="16"/>
              </w:rPr>
            </w:pPr>
            <w:r w:rsidRPr="00F97AEE">
              <w:rPr>
                <w:i/>
                <w:sz w:val="16"/>
              </w:rPr>
              <w:t>2017/18</w:t>
            </w:r>
          </w:p>
        </w:tc>
      </w:tr>
      <w:tr w:rsidR="00B4060E" w:rsidRPr="00B4060E" w14:paraId="65509739" w14:textId="77777777" w:rsidTr="00E45843">
        <w:trPr>
          <w:cantSplit/>
        </w:trPr>
        <w:tc>
          <w:tcPr>
            <w:tcW w:w="1058" w:type="pct"/>
            <w:vMerge w:val="restart"/>
            <w:tcBorders>
              <w:top w:val="single" w:sz="12" w:space="0" w:color="auto"/>
            </w:tcBorders>
            <w:shd w:val="clear" w:color="auto" w:fill="auto"/>
          </w:tcPr>
          <w:p w14:paraId="61ED4A84"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Tertiary</w:t>
            </w:r>
            <w:r w:rsidRPr="00B4060E">
              <w:rPr>
                <w:rFonts w:hint="eastAsia"/>
                <w:sz w:val="18"/>
              </w:rPr>
              <w:t xml:space="preserve"> </w:t>
            </w:r>
            <w:r w:rsidRPr="00B4060E">
              <w:rPr>
                <w:sz w:val="18"/>
              </w:rPr>
              <w:t>Education</w:t>
            </w:r>
          </w:p>
        </w:tc>
        <w:tc>
          <w:tcPr>
            <w:tcW w:w="657" w:type="pct"/>
            <w:vMerge w:val="restart"/>
            <w:tcBorders>
              <w:top w:val="single" w:sz="12" w:space="0" w:color="auto"/>
            </w:tcBorders>
            <w:shd w:val="clear" w:color="auto" w:fill="auto"/>
          </w:tcPr>
          <w:p w14:paraId="675083DD"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M</w:t>
            </w:r>
          </w:p>
        </w:tc>
        <w:tc>
          <w:tcPr>
            <w:tcW w:w="657" w:type="pct"/>
            <w:tcBorders>
              <w:top w:val="single" w:sz="12" w:space="0" w:color="auto"/>
            </w:tcBorders>
            <w:shd w:val="clear" w:color="auto" w:fill="auto"/>
          </w:tcPr>
          <w:p w14:paraId="16DFB44B"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No.</w:t>
            </w:r>
          </w:p>
        </w:tc>
        <w:tc>
          <w:tcPr>
            <w:tcW w:w="657" w:type="pct"/>
            <w:tcBorders>
              <w:top w:val="single" w:sz="12" w:space="0" w:color="auto"/>
            </w:tcBorders>
            <w:shd w:val="clear" w:color="auto" w:fill="auto"/>
          </w:tcPr>
          <w:p w14:paraId="1F145027" w14:textId="5048700E"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8</w:t>
            </w:r>
            <w:r w:rsidR="00115F66">
              <w:rPr>
                <w:sz w:val="18"/>
              </w:rPr>
              <w:t xml:space="preserve"> </w:t>
            </w:r>
            <w:r w:rsidRPr="00B4060E">
              <w:rPr>
                <w:sz w:val="18"/>
              </w:rPr>
              <w:t>021</w:t>
            </w:r>
          </w:p>
        </w:tc>
        <w:tc>
          <w:tcPr>
            <w:tcW w:w="657" w:type="pct"/>
            <w:tcBorders>
              <w:top w:val="single" w:sz="12" w:space="0" w:color="auto"/>
            </w:tcBorders>
            <w:shd w:val="clear" w:color="auto" w:fill="auto"/>
          </w:tcPr>
          <w:p w14:paraId="6953B6C4" w14:textId="3D815418"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8</w:t>
            </w:r>
            <w:r w:rsidR="00115F66">
              <w:rPr>
                <w:sz w:val="18"/>
              </w:rPr>
              <w:t xml:space="preserve"> </w:t>
            </w:r>
            <w:r w:rsidRPr="00B4060E">
              <w:rPr>
                <w:sz w:val="18"/>
              </w:rPr>
              <w:t>384</w:t>
            </w:r>
          </w:p>
        </w:tc>
        <w:tc>
          <w:tcPr>
            <w:tcW w:w="657" w:type="pct"/>
            <w:tcBorders>
              <w:top w:val="single" w:sz="12" w:space="0" w:color="auto"/>
            </w:tcBorders>
            <w:shd w:val="clear" w:color="auto" w:fill="auto"/>
          </w:tcPr>
          <w:p w14:paraId="4B976BCC" w14:textId="52969D9F"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8</w:t>
            </w:r>
            <w:r w:rsidR="00115F66">
              <w:rPr>
                <w:sz w:val="18"/>
              </w:rPr>
              <w:t xml:space="preserve"> </w:t>
            </w:r>
            <w:r w:rsidRPr="00B4060E">
              <w:rPr>
                <w:sz w:val="18"/>
              </w:rPr>
              <w:t>604</w:t>
            </w:r>
          </w:p>
        </w:tc>
        <w:tc>
          <w:tcPr>
            <w:tcW w:w="657" w:type="pct"/>
            <w:tcBorders>
              <w:top w:val="single" w:sz="12" w:space="0" w:color="auto"/>
            </w:tcBorders>
            <w:shd w:val="clear" w:color="auto" w:fill="auto"/>
          </w:tcPr>
          <w:p w14:paraId="0B0F4ED9" w14:textId="163DC465"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8</w:t>
            </w:r>
            <w:r w:rsidR="00115F66">
              <w:rPr>
                <w:sz w:val="18"/>
              </w:rPr>
              <w:t xml:space="preserve"> </w:t>
            </w:r>
            <w:r w:rsidRPr="00B4060E">
              <w:rPr>
                <w:sz w:val="18"/>
              </w:rPr>
              <w:t>598</w:t>
            </w:r>
          </w:p>
        </w:tc>
      </w:tr>
      <w:tr w:rsidR="00B4060E" w:rsidRPr="00B4060E" w14:paraId="7B6CBE0C" w14:textId="77777777" w:rsidTr="00E45843">
        <w:trPr>
          <w:cantSplit/>
        </w:trPr>
        <w:tc>
          <w:tcPr>
            <w:tcW w:w="1058" w:type="pct"/>
            <w:vMerge/>
            <w:shd w:val="clear" w:color="auto" w:fill="auto"/>
          </w:tcPr>
          <w:p w14:paraId="5FC64EFB"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657" w:type="pct"/>
            <w:vMerge/>
            <w:shd w:val="clear" w:color="auto" w:fill="auto"/>
          </w:tcPr>
          <w:p w14:paraId="55D0D4E4"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657" w:type="pct"/>
            <w:shd w:val="clear" w:color="auto" w:fill="auto"/>
          </w:tcPr>
          <w:p w14:paraId="47840346"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w:t>
            </w:r>
          </w:p>
        </w:tc>
        <w:tc>
          <w:tcPr>
            <w:tcW w:w="657" w:type="pct"/>
            <w:shd w:val="clear" w:color="auto" w:fill="auto"/>
          </w:tcPr>
          <w:p w14:paraId="2E7E631B"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38.94</w:t>
            </w:r>
          </w:p>
        </w:tc>
        <w:tc>
          <w:tcPr>
            <w:tcW w:w="657" w:type="pct"/>
            <w:shd w:val="clear" w:color="auto" w:fill="auto"/>
          </w:tcPr>
          <w:p w14:paraId="41ACD202"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41.50</w:t>
            </w:r>
          </w:p>
        </w:tc>
        <w:tc>
          <w:tcPr>
            <w:tcW w:w="657" w:type="pct"/>
            <w:shd w:val="clear" w:color="auto" w:fill="auto"/>
          </w:tcPr>
          <w:p w14:paraId="1E017058"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42.81</w:t>
            </w:r>
          </w:p>
        </w:tc>
        <w:tc>
          <w:tcPr>
            <w:tcW w:w="657" w:type="pct"/>
            <w:shd w:val="clear" w:color="auto" w:fill="auto"/>
          </w:tcPr>
          <w:p w14:paraId="383F9CBD"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42.35</w:t>
            </w:r>
          </w:p>
        </w:tc>
      </w:tr>
      <w:tr w:rsidR="00B4060E" w:rsidRPr="00B4060E" w14:paraId="0BA6CE73" w14:textId="77777777" w:rsidTr="00E45843">
        <w:trPr>
          <w:cantSplit/>
        </w:trPr>
        <w:tc>
          <w:tcPr>
            <w:tcW w:w="1058" w:type="pct"/>
            <w:vMerge/>
            <w:shd w:val="clear" w:color="auto" w:fill="auto"/>
          </w:tcPr>
          <w:p w14:paraId="15C3C5D4"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657" w:type="pct"/>
            <w:vMerge w:val="restart"/>
            <w:shd w:val="clear" w:color="auto" w:fill="auto"/>
          </w:tcPr>
          <w:p w14:paraId="1289060C"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F</w:t>
            </w:r>
          </w:p>
        </w:tc>
        <w:tc>
          <w:tcPr>
            <w:tcW w:w="657" w:type="pct"/>
            <w:shd w:val="clear" w:color="auto" w:fill="auto"/>
          </w:tcPr>
          <w:p w14:paraId="2DB9BE65"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No.</w:t>
            </w:r>
          </w:p>
        </w:tc>
        <w:tc>
          <w:tcPr>
            <w:tcW w:w="657" w:type="pct"/>
            <w:shd w:val="clear" w:color="auto" w:fill="auto"/>
          </w:tcPr>
          <w:p w14:paraId="49C9FFD5" w14:textId="65CA3B64"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11</w:t>
            </w:r>
            <w:r w:rsidR="00115F66">
              <w:rPr>
                <w:sz w:val="18"/>
              </w:rPr>
              <w:t xml:space="preserve"> </w:t>
            </w:r>
            <w:r w:rsidRPr="00B4060E">
              <w:rPr>
                <w:sz w:val="18"/>
              </w:rPr>
              <w:t>461</w:t>
            </w:r>
          </w:p>
        </w:tc>
        <w:tc>
          <w:tcPr>
            <w:tcW w:w="657" w:type="pct"/>
            <w:shd w:val="clear" w:color="auto" w:fill="auto"/>
          </w:tcPr>
          <w:p w14:paraId="656871BB" w14:textId="55598823"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11</w:t>
            </w:r>
            <w:r w:rsidR="00115F66">
              <w:rPr>
                <w:sz w:val="18"/>
              </w:rPr>
              <w:t xml:space="preserve"> </w:t>
            </w:r>
            <w:r w:rsidRPr="00B4060E">
              <w:rPr>
                <w:sz w:val="18"/>
              </w:rPr>
              <w:t>816</w:t>
            </w:r>
          </w:p>
        </w:tc>
        <w:tc>
          <w:tcPr>
            <w:tcW w:w="657" w:type="pct"/>
            <w:shd w:val="clear" w:color="auto" w:fill="auto"/>
          </w:tcPr>
          <w:p w14:paraId="72E00D97" w14:textId="3457A080"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11</w:t>
            </w:r>
            <w:r w:rsidR="00115F66">
              <w:rPr>
                <w:sz w:val="18"/>
              </w:rPr>
              <w:t xml:space="preserve"> </w:t>
            </w:r>
            <w:r w:rsidRPr="00B4060E">
              <w:rPr>
                <w:sz w:val="18"/>
              </w:rPr>
              <w:t>905</w:t>
            </w:r>
          </w:p>
        </w:tc>
        <w:tc>
          <w:tcPr>
            <w:tcW w:w="657" w:type="pct"/>
            <w:shd w:val="clear" w:color="auto" w:fill="auto"/>
          </w:tcPr>
          <w:p w14:paraId="187640F6" w14:textId="60DF2304"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12</w:t>
            </w:r>
            <w:r w:rsidR="00115F66">
              <w:rPr>
                <w:sz w:val="18"/>
              </w:rPr>
              <w:t xml:space="preserve"> </w:t>
            </w:r>
            <w:r w:rsidRPr="00B4060E">
              <w:rPr>
                <w:sz w:val="18"/>
              </w:rPr>
              <w:t>111</w:t>
            </w:r>
          </w:p>
        </w:tc>
      </w:tr>
      <w:tr w:rsidR="00B4060E" w:rsidRPr="00B4060E" w14:paraId="39A5A2BD" w14:textId="77777777" w:rsidTr="00E45843">
        <w:trPr>
          <w:cantSplit/>
        </w:trPr>
        <w:tc>
          <w:tcPr>
            <w:tcW w:w="1058" w:type="pct"/>
            <w:vMerge/>
            <w:shd w:val="clear" w:color="auto" w:fill="auto"/>
          </w:tcPr>
          <w:p w14:paraId="194AC448"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657" w:type="pct"/>
            <w:vMerge/>
            <w:shd w:val="clear" w:color="auto" w:fill="auto"/>
          </w:tcPr>
          <w:p w14:paraId="6458C1F7"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657" w:type="pct"/>
            <w:shd w:val="clear" w:color="auto" w:fill="auto"/>
          </w:tcPr>
          <w:p w14:paraId="3C160955"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w:t>
            </w:r>
          </w:p>
        </w:tc>
        <w:tc>
          <w:tcPr>
            <w:tcW w:w="657" w:type="pct"/>
            <w:shd w:val="clear" w:color="auto" w:fill="auto"/>
          </w:tcPr>
          <w:p w14:paraId="3470CB3C"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57.88</w:t>
            </w:r>
          </w:p>
        </w:tc>
        <w:tc>
          <w:tcPr>
            <w:tcW w:w="657" w:type="pct"/>
            <w:shd w:val="clear" w:color="auto" w:fill="auto"/>
          </w:tcPr>
          <w:p w14:paraId="66318FF7"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59.68</w:t>
            </w:r>
          </w:p>
        </w:tc>
        <w:tc>
          <w:tcPr>
            <w:tcW w:w="657" w:type="pct"/>
            <w:shd w:val="clear" w:color="auto" w:fill="auto"/>
          </w:tcPr>
          <w:p w14:paraId="166CE866"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58.94</w:t>
            </w:r>
          </w:p>
        </w:tc>
        <w:tc>
          <w:tcPr>
            <w:tcW w:w="657" w:type="pct"/>
            <w:shd w:val="clear" w:color="auto" w:fill="auto"/>
          </w:tcPr>
          <w:p w14:paraId="6B1C5995"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58.51</w:t>
            </w:r>
          </w:p>
        </w:tc>
      </w:tr>
      <w:tr w:rsidR="00B4060E" w:rsidRPr="00B4060E" w14:paraId="116880F8" w14:textId="77777777" w:rsidTr="00E45843">
        <w:trPr>
          <w:cantSplit/>
        </w:trPr>
        <w:tc>
          <w:tcPr>
            <w:tcW w:w="1058" w:type="pct"/>
            <w:vMerge/>
            <w:shd w:val="clear" w:color="auto" w:fill="auto"/>
          </w:tcPr>
          <w:p w14:paraId="2260FF02"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657" w:type="pct"/>
            <w:vMerge w:val="restart"/>
            <w:shd w:val="clear" w:color="auto" w:fill="auto"/>
          </w:tcPr>
          <w:p w14:paraId="7E23BB1A"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MF</w:t>
            </w:r>
          </w:p>
        </w:tc>
        <w:tc>
          <w:tcPr>
            <w:tcW w:w="657" w:type="pct"/>
            <w:shd w:val="clear" w:color="auto" w:fill="auto"/>
          </w:tcPr>
          <w:p w14:paraId="3BCDCA4F"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No.</w:t>
            </w:r>
          </w:p>
        </w:tc>
        <w:tc>
          <w:tcPr>
            <w:tcW w:w="657" w:type="pct"/>
            <w:shd w:val="clear" w:color="auto" w:fill="auto"/>
          </w:tcPr>
          <w:p w14:paraId="60D707E6" w14:textId="5B889DB4"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19</w:t>
            </w:r>
            <w:r w:rsidR="00115F66">
              <w:rPr>
                <w:sz w:val="18"/>
              </w:rPr>
              <w:t xml:space="preserve"> </w:t>
            </w:r>
            <w:r w:rsidRPr="00B4060E">
              <w:rPr>
                <w:sz w:val="18"/>
              </w:rPr>
              <w:t>482</w:t>
            </w:r>
          </w:p>
        </w:tc>
        <w:tc>
          <w:tcPr>
            <w:tcW w:w="657" w:type="pct"/>
            <w:shd w:val="clear" w:color="auto" w:fill="auto"/>
          </w:tcPr>
          <w:p w14:paraId="3456DC2C" w14:textId="41A6771A"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20</w:t>
            </w:r>
            <w:r w:rsidR="00115F66">
              <w:rPr>
                <w:sz w:val="18"/>
              </w:rPr>
              <w:t xml:space="preserve"> </w:t>
            </w:r>
            <w:r w:rsidRPr="00B4060E">
              <w:rPr>
                <w:sz w:val="18"/>
              </w:rPr>
              <w:t>200</w:t>
            </w:r>
          </w:p>
        </w:tc>
        <w:tc>
          <w:tcPr>
            <w:tcW w:w="657" w:type="pct"/>
            <w:shd w:val="clear" w:color="auto" w:fill="auto"/>
          </w:tcPr>
          <w:p w14:paraId="034940C1" w14:textId="27774FCC"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20</w:t>
            </w:r>
            <w:r w:rsidR="00115F66">
              <w:rPr>
                <w:sz w:val="18"/>
              </w:rPr>
              <w:t xml:space="preserve"> </w:t>
            </w:r>
            <w:r w:rsidRPr="00B4060E">
              <w:rPr>
                <w:sz w:val="18"/>
              </w:rPr>
              <w:t>509</w:t>
            </w:r>
          </w:p>
        </w:tc>
        <w:tc>
          <w:tcPr>
            <w:tcW w:w="657" w:type="pct"/>
            <w:shd w:val="clear" w:color="auto" w:fill="auto"/>
          </w:tcPr>
          <w:p w14:paraId="2C45EB81" w14:textId="6B07CDEB"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20</w:t>
            </w:r>
            <w:r w:rsidR="00115F66">
              <w:rPr>
                <w:sz w:val="18"/>
              </w:rPr>
              <w:t xml:space="preserve"> </w:t>
            </w:r>
            <w:r w:rsidRPr="00B4060E">
              <w:rPr>
                <w:sz w:val="18"/>
              </w:rPr>
              <w:t>709</w:t>
            </w:r>
          </w:p>
        </w:tc>
      </w:tr>
      <w:tr w:rsidR="00B4060E" w:rsidRPr="00B4060E" w14:paraId="0ED82535" w14:textId="77777777" w:rsidTr="00E45843">
        <w:trPr>
          <w:cantSplit/>
        </w:trPr>
        <w:tc>
          <w:tcPr>
            <w:tcW w:w="1058" w:type="pct"/>
            <w:vMerge/>
            <w:shd w:val="clear" w:color="auto" w:fill="auto"/>
          </w:tcPr>
          <w:p w14:paraId="7128710C"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657" w:type="pct"/>
            <w:vMerge/>
            <w:shd w:val="clear" w:color="auto" w:fill="auto"/>
          </w:tcPr>
          <w:p w14:paraId="3785DA16" w14:textId="77777777" w:rsidR="001D75D7" w:rsidRPr="00B4060E" w:rsidRDefault="001D75D7" w:rsidP="00B4060E">
            <w:pPr>
              <w:pStyle w:val="SingleTxtG"/>
              <w:suppressAutoHyphens w:val="0"/>
              <w:spacing w:before="40" w:after="40" w:line="220" w:lineRule="exact"/>
              <w:ind w:left="0" w:right="113"/>
              <w:jc w:val="left"/>
              <w:rPr>
                <w:sz w:val="18"/>
              </w:rPr>
            </w:pPr>
          </w:p>
        </w:tc>
        <w:tc>
          <w:tcPr>
            <w:tcW w:w="657" w:type="pct"/>
            <w:shd w:val="clear" w:color="auto" w:fill="auto"/>
          </w:tcPr>
          <w:p w14:paraId="250C5A3B"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w:t>
            </w:r>
          </w:p>
        </w:tc>
        <w:tc>
          <w:tcPr>
            <w:tcW w:w="657" w:type="pct"/>
            <w:shd w:val="clear" w:color="auto" w:fill="auto"/>
          </w:tcPr>
          <w:p w14:paraId="65EE53E9"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48.22</w:t>
            </w:r>
          </w:p>
        </w:tc>
        <w:tc>
          <w:tcPr>
            <w:tcW w:w="657" w:type="pct"/>
            <w:shd w:val="clear" w:color="auto" w:fill="auto"/>
          </w:tcPr>
          <w:p w14:paraId="0316009E"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50.50</w:t>
            </w:r>
          </w:p>
        </w:tc>
        <w:tc>
          <w:tcPr>
            <w:tcW w:w="657" w:type="pct"/>
            <w:shd w:val="clear" w:color="auto" w:fill="auto"/>
          </w:tcPr>
          <w:p w14:paraId="7E22613F"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50.89</w:t>
            </w:r>
          </w:p>
        </w:tc>
        <w:tc>
          <w:tcPr>
            <w:tcW w:w="657" w:type="pct"/>
            <w:shd w:val="clear" w:color="auto" w:fill="auto"/>
          </w:tcPr>
          <w:p w14:paraId="07F9A268"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50.51</w:t>
            </w:r>
          </w:p>
        </w:tc>
      </w:tr>
    </w:tbl>
    <w:p w14:paraId="1518294A" w14:textId="01BC1ECB" w:rsidR="001D75D7" w:rsidRPr="00115F66" w:rsidRDefault="001D75D7" w:rsidP="00F3164B">
      <w:pPr>
        <w:spacing w:before="120" w:after="240"/>
        <w:ind w:left="1134" w:right="1134" w:firstLine="170"/>
        <w:rPr>
          <w:sz w:val="18"/>
        </w:rPr>
      </w:pPr>
      <w:r w:rsidRPr="00115F66">
        <w:rPr>
          <w:i/>
          <w:iCs/>
          <w:sz w:val="18"/>
        </w:rPr>
        <w:t>Source</w:t>
      </w:r>
      <w:r w:rsidRPr="00115F66">
        <w:rPr>
          <w:sz w:val="18"/>
        </w:rPr>
        <w:t xml:space="preserve">: </w:t>
      </w:r>
      <w:r w:rsidR="006603A7">
        <w:rPr>
          <w:sz w:val="18"/>
        </w:rPr>
        <w:t xml:space="preserve"> </w:t>
      </w:r>
      <w:r w:rsidRPr="00115F66">
        <w:rPr>
          <w:sz w:val="18"/>
        </w:rPr>
        <w:t>Tertiary Education Services Office.</w:t>
      </w:r>
    </w:p>
    <w:p w14:paraId="5AF4B6DA" w14:textId="77777777" w:rsidR="001D75D7" w:rsidRPr="00B47380" w:rsidRDefault="001D75D7" w:rsidP="00D53B5F">
      <w:pPr>
        <w:pStyle w:val="SingleTxtG"/>
      </w:pPr>
      <w:r w:rsidRPr="00B47380">
        <w:t>287.</w:t>
      </w:r>
      <w:r w:rsidRPr="00B47380">
        <w:tab/>
        <w:t xml:space="preserve">Between academic years 2014/2015 and 2017/2018, there were 19 (16 males and 3 females), 22 (17 males and 5 females), 19 (13 males and 6 females) and 22 (14 males and 8 females) students with disabilities in tertiary education. </w:t>
      </w:r>
    </w:p>
    <w:p w14:paraId="7917A128" w14:textId="569B1F50" w:rsidR="001D75D7" w:rsidRPr="00B47380" w:rsidRDefault="001D75D7" w:rsidP="00D53B5F">
      <w:pPr>
        <w:pStyle w:val="SingleTxtG"/>
      </w:pPr>
      <w:r w:rsidRPr="00B47380">
        <w:t>288.</w:t>
      </w:r>
      <w:r w:rsidRPr="00B47380">
        <w:tab/>
        <w:t xml:space="preserve">To promote lifelong learning, the MSAR Government has been financially supporting the </w:t>
      </w:r>
      <w:r w:rsidR="006266F0">
        <w:t>“</w:t>
      </w:r>
      <w:r w:rsidRPr="00B47380">
        <w:t>Continuous Education Plan</w:t>
      </w:r>
      <w:r w:rsidR="006266F0">
        <w:t>”</w:t>
      </w:r>
      <w:r w:rsidRPr="00B47380">
        <w:t xml:space="preserve"> since July 2011 and has extended the plan to 2019 (AR 16/2011, AR 10/2014 and AR 10/2017). During the covered period, 3 subsidy plans were implemented: over 145,000 residents receiving over MOP$520,000,000 (2011</w:t>
      </w:r>
      <w:r w:rsidR="00E32CCC">
        <w:t>–</w:t>
      </w:r>
      <w:r w:rsidRPr="00B47380">
        <w:t>2013), over 167,000 residents receiving around MOP$740,000,000 (2014</w:t>
      </w:r>
      <w:r w:rsidR="00E32CCC">
        <w:t>–</w:t>
      </w:r>
      <w:r w:rsidRPr="00B47380">
        <w:t>2016) and over 120,000 residents receiving over MOP$480,000,000 (2017</w:t>
      </w:r>
      <w:r w:rsidR="00E32CCC">
        <w:t>–</w:t>
      </w:r>
      <w:r w:rsidRPr="00B47380">
        <w:t>2019).</w:t>
      </w:r>
    </w:p>
    <w:p w14:paraId="1A8E852D" w14:textId="079670FA" w:rsidR="001D75D7" w:rsidRPr="00B47380" w:rsidRDefault="001D75D7" w:rsidP="00C82931">
      <w:pPr>
        <w:pStyle w:val="H1G"/>
      </w:pPr>
      <w:bookmarkStart w:id="60" w:name="_Toc194226896"/>
      <w:bookmarkStart w:id="61" w:name="_Toc194229893"/>
      <w:bookmarkStart w:id="62" w:name="_Toc286998612"/>
      <w:bookmarkStart w:id="63" w:name="_Toc33444610"/>
      <w:bookmarkStart w:id="64" w:name="_Toc41219233"/>
      <w:r w:rsidRPr="00B47380">
        <w:tab/>
      </w:r>
      <w:r w:rsidRPr="00B47380">
        <w:tab/>
        <w:t>Article 15</w:t>
      </w:r>
      <w:r w:rsidR="00404A52">
        <w:br/>
      </w:r>
      <w:r w:rsidRPr="00B47380">
        <w:t xml:space="preserve">Right to </w:t>
      </w:r>
      <w:bookmarkEnd w:id="60"/>
      <w:bookmarkEnd w:id="61"/>
      <w:r w:rsidRPr="00B47380">
        <w:t>cultural life and scientific progress</w:t>
      </w:r>
      <w:bookmarkEnd w:id="62"/>
    </w:p>
    <w:p w14:paraId="6897DCBF" w14:textId="17E2A19F" w:rsidR="001D75D7" w:rsidRPr="00B47380" w:rsidRDefault="001D75D7" w:rsidP="00C82931">
      <w:pPr>
        <w:pStyle w:val="H23G"/>
      </w:pPr>
      <w:r w:rsidRPr="00B47380">
        <w:tab/>
      </w:r>
      <w:r w:rsidRPr="00B47380">
        <w:tab/>
        <w:t>Right to cultural life</w:t>
      </w:r>
    </w:p>
    <w:p w14:paraId="24FC7D94" w14:textId="13971157" w:rsidR="001D75D7" w:rsidRPr="00B47380" w:rsidRDefault="001D75D7" w:rsidP="00D53B5F">
      <w:pPr>
        <w:pStyle w:val="SingleTxtG"/>
      </w:pPr>
      <w:r w:rsidRPr="00B47380">
        <w:t>289.</w:t>
      </w:r>
      <w:r w:rsidRPr="00B47380">
        <w:tab/>
        <w:t>The adoption of Law 11/2013 on the Protection of Cultural Heritage, consistent with the UNESCO Conventions concerning the Protection of the World Cultural and Natural Heritage, the Safeguarding of the Intangible Cultural Heritage and the Protection and Promotion of the Diversity of Cultural Expressions (all applicable to the MSAR) contributed to the consolidation of MSAR</w:t>
      </w:r>
      <w:r w:rsidR="006266F0">
        <w:t>’</w:t>
      </w:r>
      <w:r w:rsidRPr="00B47380">
        <w:t xml:space="preserve">s cultural heritage policy. </w:t>
      </w:r>
    </w:p>
    <w:p w14:paraId="056A69B7" w14:textId="5EE5CAAF" w:rsidR="001D75D7" w:rsidRPr="00B47380" w:rsidRDefault="001D75D7" w:rsidP="00D53B5F">
      <w:pPr>
        <w:pStyle w:val="SingleTxtG"/>
      </w:pPr>
      <w:r w:rsidRPr="00B47380">
        <w:t>290.</w:t>
      </w:r>
      <w:r w:rsidRPr="00B47380">
        <w:tab/>
        <w:t>The Law protects tangible and intangible cultural heritage, including natural heritage, defining the legal, institutional and practical framework to safeguard natural, historical, artistic sites/cultural heritage as well as the procedures to classify the MSAR</w:t>
      </w:r>
      <w:r w:rsidR="006266F0">
        <w:t>’</w:t>
      </w:r>
      <w:r w:rsidRPr="00B47380">
        <w:t>s cultural heritage and community intervention. The Cultural Heritage Council was created (AR 4/2014).</w:t>
      </w:r>
    </w:p>
    <w:p w14:paraId="5E6647E0" w14:textId="26059EE0" w:rsidR="001D75D7" w:rsidRPr="00B47380" w:rsidRDefault="001D75D7" w:rsidP="00D53B5F">
      <w:pPr>
        <w:pStyle w:val="SingleTxtG"/>
      </w:pPr>
      <w:r w:rsidRPr="00B47380">
        <w:t>291.</w:t>
      </w:r>
      <w:r w:rsidRPr="00B47380">
        <w:tab/>
        <w:t>In relation to tangible cultural heritage, 59 monuments, 46 buildings of architectural interest, 22 sites and 11 groups of buildings currently make part of the MSAR</w:t>
      </w:r>
      <w:r w:rsidR="006266F0">
        <w:t>’</w:t>
      </w:r>
      <w:r w:rsidRPr="00B47380">
        <w:t>s inventory (AR 1/2017 and AR 31/2018). There are 15 elements in the MSAR</w:t>
      </w:r>
      <w:r w:rsidR="006266F0">
        <w:t>’</w:t>
      </w:r>
      <w:r w:rsidRPr="00B47380">
        <w:t xml:space="preserve">s intangible cultural heritage inventory: </w:t>
      </w:r>
      <w:proofErr w:type="spellStart"/>
      <w:r w:rsidRPr="00B47380">
        <w:t>Yueju</w:t>
      </w:r>
      <w:proofErr w:type="spellEnd"/>
      <w:r w:rsidRPr="00B47380">
        <w:t xml:space="preserve"> Opera (Cantonese Opera), Herbal Tea Brewing, Woodwork – Religious Figure Carving, Taoist Ritual Music, Cantonese </w:t>
      </w:r>
      <w:proofErr w:type="spellStart"/>
      <w:r w:rsidRPr="00B47380">
        <w:t>Naamyam</w:t>
      </w:r>
      <w:proofErr w:type="spellEnd"/>
      <w:r w:rsidRPr="00B47380">
        <w:t xml:space="preserve"> (Narrative Songs), Festival of the Drunken Dragon, Belief and Customs of A-Ma, Belief and Customs of Na </w:t>
      </w:r>
      <w:proofErr w:type="spellStart"/>
      <w:r w:rsidRPr="00B47380">
        <w:t>Tcha</w:t>
      </w:r>
      <w:proofErr w:type="spellEnd"/>
      <w:r w:rsidRPr="00B47380">
        <w:t xml:space="preserve">, Macanese Gastronomy, </w:t>
      </w:r>
      <w:proofErr w:type="spellStart"/>
      <w:r w:rsidRPr="00B47380">
        <w:t>Patuá</w:t>
      </w:r>
      <w:proofErr w:type="spellEnd"/>
      <w:r w:rsidRPr="00B47380">
        <w:t xml:space="preserve"> Theatre, Belief and Customs of </w:t>
      </w:r>
      <w:proofErr w:type="spellStart"/>
      <w:r w:rsidRPr="00B47380">
        <w:t>Tou</w:t>
      </w:r>
      <w:proofErr w:type="spellEnd"/>
      <w:r w:rsidRPr="00B47380">
        <w:t xml:space="preserve"> </w:t>
      </w:r>
      <w:proofErr w:type="spellStart"/>
      <w:r w:rsidRPr="00B47380">
        <w:t>Tei</w:t>
      </w:r>
      <w:proofErr w:type="spellEnd"/>
      <w:r w:rsidRPr="00B47380">
        <w:t>, Belief and Customs of Chu Tai Sin, Craft of Bamboo Scaffolding, Procession of the Passion of Our Lord the God Jesus and the Procession of Our Lady of Fatima, recognising Chinese, Portuguese and Macanese cultural manifestations.</w:t>
      </w:r>
    </w:p>
    <w:p w14:paraId="14E057A3" w14:textId="6C3283BD" w:rsidR="001D75D7" w:rsidRPr="00B47380" w:rsidRDefault="001D75D7" w:rsidP="00D53B5F">
      <w:pPr>
        <w:pStyle w:val="SingleTxtG"/>
      </w:pPr>
      <w:r w:rsidRPr="00B47380">
        <w:t>292.</w:t>
      </w:r>
      <w:r w:rsidRPr="00B47380">
        <w:tab/>
        <w:t xml:space="preserve">The UNESCO </w:t>
      </w:r>
      <w:r w:rsidR="006266F0">
        <w:t>“</w:t>
      </w:r>
      <w:r w:rsidRPr="00B47380">
        <w:t>Historic Centre of Macao</w:t>
      </w:r>
      <w:r w:rsidR="006266F0">
        <w:t>”</w:t>
      </w:r>
      <w:r w:rsidRPr="00B47380">
        <w:t xml:space="preserve"> is a milestone of the MSAR</w:t>
      </w:r>
      <w:r w:rsidR="006266F0">
        <w:t>’</w:t>
      </w:r>
      <w:r w:rsidRPr="00B47380">
        <w:t>s 500 years of cross-cultural diversity. The Government attaches great importance to this classification and engages efforts in its preservation, promotion and dissemination.</w:t>
      </w:r>
    </w:p>
    <w:p w14:paraId="7D8EB3F8" w14:textId="77777777" w:rsidR="001D75D7" w:rsidRPr="00B47380" w:rsidRDefault="001D75D7" w:rsidP="00D53B5F">
      <w:pPr>
        <w:pStyle w:val="SingleTxtG"/>
      </w:pPr>
      <w:r w:rsidRPr="00B47380">
        <w:lastRenderedPageBreak/>
        <w:t>293.</w:t>
      </w:r>
      <w:r w:rsidRPr="00B47380">
        <w:tab/>
        <w:t>The Cultural Affairs Bureau (CAB) is responsible for the implementation of cultural policies and strategies, promoting culture, cultural life and diversity (AR 20/2015), working closely with other government departments (e.g. CMAB, EYAB, Macao Government Tourism Office (MGTO)), entities (e.g. Macao Foundation) and NGOs.</w:t>
      </w:r>
    </w:p>
    <w:p w14:paraId="669B344B" w14:textId="28B95AA7" w:rsidR="001D75D7" w:rsidRPr="00B47380" w:rsidRDefault="001D75D7" w:rsidP="00D53B5F">
      <w:pPr>
        <w:pStyle w:val="SingleTxtG"/>
      </w:pPr>
      <w:r w:rsidRPr="00B47380">
        <w:t>294.</w:t>
      </w:r>
      <w:r w:rsidRPr="00B47380">
        <w:tab/>
        <w:t>The MSAR</w:t>
      </w:r>
      <w:r w:rsidR="006266F0">
        <w:t>’</w:t>
      </w:r>
      <w:r w:rsidRPr="00B47380">
        <w:t>s public budget for culture between 2014 and 2017 was MOP$865,000,000, MOP$902,000,000, MOP$1, 207,300,000 and MOP$1, 281,800,000, respectively.</w:t>
      </w:r>
    </w:p>
    <w:p w14:paraId="6B31FD2E" w14:textId="77777777" w:rsidR="001D75D7" w:rsidRPr="00B47380" w:rsidRDefault="001D75D7" w:rsidP="00D53B5F">
      <w:pPr>
        <w:pStyle w:val="SingleTxtG"/>
      </w:pPr>
      <w:r w:rsidRPr="00B47380">
        <w:t>295.</w:t>
      </w:r>
      <w:r w:rsidRPr="00B47380">
        <w:tab/>
        <w:t>As of September 2018, there were 780 cultural associations registered with the IB (112, 136, 168, 180 and 184 new associations registered respectively from 2014 to 2018).</w:t>
      </w:r>
    </w:p>
    <w:p w14:paraId="77CAC90A" w14:textId="77777777" w:rsidR="001D75D7" w:rsidRPr="00B47380" w:rsidRDefault="001D75D7" w:rsidP="00D53B5F">
      <w:pPr>
        <w:pStyle w:val="SingleTxtG"/>
      </w:pPr>
      <w:r w:rsidRPr="00B47380">
        <w:t>296.</w:t>
      </w:r>
      <w:r w:rsidRPr="00B47380">
        <w:tab/>
        <w:t>The number of facilities and infrastructures improved from 24 to 27 museums, 5 to 6 movie-theatres/cinemas, 66 to 76 libraries and reading rooms between 2014 and 2018. There are 7 theatres and 1 historical archive.</w:t>
      </w:r>
    </w:p>
    <w:p w14:paraId="398F843D" w14:textId="77777777" w:rsidR="001D75D7" w:rsidRPr="00B47380" w:rsidRDefault="001D75D7" w:rsidP="00D53B5F">
      <w:pPr>
        <w:pStyle w:val="SingleTxtG"/>
      </w:pPr>
      <w:r w:rsidRPr="00B47380">
        <w:t>297.</w:t>
      </w:r>
      <w:r w:rsidRPr="00B47380">
        <w:tab/>
        <w:t xml:space="preserve">Library network services were improved with a broader offer of books/periodicals, electronic resources (e.g. electronic books, journals and databases: </w:t>
      </w:r>
      <w:r w:rsidRPr="00C82931">
        <w:rPr>
          <w:i/>
          <w:iCs/>
        </w:rPr>
        <w:t>https://www.library.gov.mo/en/library-collections/e-resources</w:t>
      </w:r>
      <w:r w:rsidRPr="00B47380">
        <w:t>) and multi-media materials (Blu-ray/Disc/DVD/VCD/CD). The 16 libraries, with more than 2,650,000 visits annually, currently have a collection of approximately 831,646 volumes. From 2014 to September 2018, more than 3,500 activities were held, including thematic talks, exhibitions, reading workshops, storytelling for kids and parents.</w:t>
      </w:r>
    </w:p>
    <w:p w14:paraId="51D0D886" w14:textId="1F093B46" w:rsidR="001D75D7" w:rsidRPr="00B47380" w:rsidRDefault="001D75D7" w:rsidP="00D53B5F">
      <w:pPr>
        <w:pStyle w:val="SingleTxtG"/>
      </w:pPr>
      <w:r w:rsidRPr="00B47380">
        <w:t>298.</w:t>
      </w:r>
      <w:r w:rsidR="00D96F66">
        <w:tab/>
      </w:r>
      <w:r w:rsidRPr="00B47380">
        <w:t>At present, there are 13 daily newspapers in Chinese language (one of them being a free newspaper founded in 2011), 3 in Portuguese and 3 in English. In 2014, a Chinese-Portuguese bilingual weekly was launched, and a Portuguese weekly switched into a trilingual (Chinese, Portuguese and English). There are 11 broadcasting stations.</w:t>
      </w:r>
    </w:p>
    <w:p w14:paraId="540F67A4" w14:textId="0C44EC1C" w:rsidR="001D75D7" w:rsidRPr="00B47380" w:rsidRDefault="001D75D7" w:rsidP="00D53B5F">
      <w:pPr>
        <w:pStyle w:val="SingleTxtG"/>
      </w:pPr>
      <w:r w:rsidRPr="00B47380">
        <w:t>299.</w:t>
      </w:r>
      <w:r w:rsidRPr="00B47380">
        <w:tab/>
        <w:t>The CAB</w:t>
      </w:r>
      <w:r w:rsidR="006266F0">
        <w:t>’</w:t>
      </w:r>
      <w:r w:rsidRPr="00B47380">
        <w:t xml:space="preserve">s cultural offer includes the Conservatory, Archive, Commissions for Classification of Shows, libraries, cultural facilities (31), inter alia the Macao Cultural Centre, the Macao Museum of Art and the newly-added Navy Yard No. 1 (2016) and No. 2 (2018) (multifunction space) and </w:t>
      </w:r>
      <w:r w:rsidRPr="00B47380">
        <w:rPr>
          <w:rFonts w:hint="eastAsia"/>
        </w:rPr>
        <w:t>Cinematheque</w:t>
      </w:r>
      <w:r w:rsidRPr="00B47380">
        <w:t xml:space="preserve"> </w:t>
      </w:r>
      <w:r w:rsidRPr="00B47380">
        <w:rPr>
          <w:rFonts w:hint="eastAsia"/>
        </w:rPr>
        <w:t>Passion</w:t>
      </w:r>
      <w:r w:rsidRPr="00B47380">
        <w:t xml:space="preserve"> (2017). </w:t>
      </w:r>
    </w:p>
    <w:p w14:paraId="6E07EC0C" w14:textId="77777777" w:rsidR="001D75D7" w:rsidRPr="00B47380" w:rsidRDefault="001D75D7" w:rsidP="00D53B5F">
      <w:pPr>
        <w:pStyle w:val="SingleTxtG"/>
      </w:pPr>
      <w:r w:rsidRPr="00B47380">
        <w:t>300.</w:t>
      </w:r>
      <w:r w:rsidRPr="00B47380">
        <w:tab/>
        <w:t>Access to monuments and facilities continues to be affordable, the majority being free of charge on Sundays or once a month and discounts or free admission being available, especially to children, students, the elderly, persons with disabilities and other vulnerable groups.</w:t>
      </w:r>
    </w:p>
    <w:p w14:paraId="40F770A9" w14:textId="77777777" w:rsidR="001D75D7" w:rsidRPr="00B47380" w:rsidRDefault="001D75D7" w:rsidP="00D53B5F">
      <w:pPr>
        <w:pStyle w:val="SingleTxtG"/>
      </w:pPr>
      <w:r w:rsidRPr="00B47380">
        <w:t>301.</w:t>
      </w:r>
      <w:r w:rsidRPr="00B47380">
        <w:tab/>
        <w:t>Measures continue to be adopted to guarantee full participation in cultural life for all, including the elimination of any physical, social or communication barriers and the promotion of community engagement and creativity.</w:t>
      </w:r>
    </w:p>
    <w:p w14:paraId="6FA9D73D" w14:textId="77777777" w:rsidR="001D75D7" w:rsidRPr="00B47380" w:rsidRDefault="001D75D7" w:rsidP="00D53B5F">
      <w:pPr>
        <w:pStyle w:val="SingleTxtG"/>
      </w:pPr>
      <w:r w:rsidRPr="00B47380">
        <w:t>302.</w:t>
      </w:r>
      <w:r w:rsidRPr="00B47380">
        <w:tab/>
        <w:t>From 2014 to September 2018, 169 events were organised by the Macao Cultural Centre, with 5,245 participants, in its Audience Building Scheme. In the same period, there were 356 outreach visits to schools and NGOs, reaching 16,709 participants.</w:t>
      </w:r>
    </w:p>
    <w:p w14:paraId="61B322D0" w14:textId="77777777" w:rsidR="001D75D7" w:rsidRPr="00B47380" w:rsidRDefault="001D75D7" w:rsidP="00D53B5F">
      <w:pPr>
        <w:pStyle w:val="SingleTxtG"/>
      </w:pPr>
      <w:r w:rsidRPr="00B47380">
        <w:t>303.</w:t>
      </w:r>
      <w:r w:rsidRPr="00B47380">
        <w:tab/>
        <w:t>The MSAR continues to offer a wide variety of art exhibitions and activities with quality, including recitals, world music, jazz, classical ballet, contemporary dance, musical, drama, cinema, workshops, literary competitions and multi-media shows. For data on performances and exhibitions, please see the table on page 127 of the 2017 Yearbook of Statistics.</w:t>
      </w:r>
    </w:p>
    <w:p w14:paraId="304B75E2" w14:textId="0E1B46E4" w:rsidR="001D75D7" w:rsidRPr="00B47380" w:rsidRDefault="001D75D7" w:rsidP="00D53B5F">
      <w:pPr>
        <w:pStyle w:val="SingleTxtG"/>
      </w:pPr>
      <w:r w:rsidRPr="00B47380">
        <w:t>304.</w:t>
      </w:r>
      <w:r w:rsidRPr="00B47380">
        <w:tab/>
        <w:t>Highlights of the MSAR</w:t>
      </w:r>
      <w:r w:rsidR="006266F0">
        <w:t>’</w:t>
      </w:r>
      <w:r w:rsidRPr="00B47380">
        <w:t>s wide variety of cultural activities are the: 29th Macao Arts Festival, 32nd Macao International Music Festival, 18th Macao Fringe, concerts by the Macao Orchestra (35th anniversary) and the Chinese Orchestra (31st anniversary), and 36th Macao Young Musicians Competition.</w:t>
      </w:r>
    </w:p>
    <w:p w14:paraId="59F61D4A" w14:textId="77777777" w:rsidR="001D75D7" w:rsidRPr="00B47380" w:rsidRDefault="001D75D7" w:rsidP="00D53B5F">
      <w:pPr>
        <w:pStyle w:val="SingleTxtG"/>
      </w:pPr>
      <w:r w:rsidRPr="00B47380">
        <w:t>305.</w:t>
      </w:r>
      <w:r w:rsidRPr="00B47380">
        <w:tab/>
        <w:t xml:space="preserve">The 3rd International Film Festival &amp; Awards, another spotlight, organised by the MGTO, aims at developing a new hub for filmmakers in Asia and the industry, promoting visual arts to the population and encouraging local filmmakers. </w:t>
      </w:r>
    </w:p>
    <w:p w14:paraId="51CE96F1" w14:textId="4CFA5E4F" w:rsidR="001D75D7" w:rsidRPr="00B47380" w:rsidRDefault="001D75D7" w:rsidP="00D53B5F">
      <w:pPr>
        <w:pStyle w:val="SingleTxtG"/>
      </w:pPr>
      <w:r w:rsidRPr="00B47380">
        <w:t>306.</w:t>
      </w:r>
      <w:r w:rsidRPr="00B47380">
        <w:tab/>
        <w:t xml:space="preserve">Another one is the </w:t>
      </w:r>
      <w:r w:rsidR="006266F0">
        <w:t>“</w:t>
      </w:r>
      <w:r w:rsidRPr="00B47380">
        <w:t xml:space="preserve">Women Artists </w:t>
      </w:r>
      <w:r w:rsidR="00E32CCC">
        <w:t>–</w:t>
      </w:r>
      <w:r w:rsidRPr="00B47380">
        <w:t xml:space="preserve"> 1st International Biennial of Macao</w:t>
      </w:r>
      <w:r w:rsidR="006266F0">
        <w:t>”</w:t>
      </w:r>
      <w:r w:rsidRPr="00B47380">
        <w:t xml:space="preserve"> held in 2018, focusing on women</w:t>
      </w:r>
      <w:r w:rsidR="006266F0">
        <w:t>’</w:t>
      </w:r>
      <w:r w:rsidRPr="00B47380">
        <w:t xml:space="preserve">s status in the contemporary art world, with 100 women from the local artists community as well as from Angola, Australia, Brazil, Cape Verde, East Timor, Georgia, Guinea Bissau, Hong Kong SAR, India, Iran, Japan, Mainland China, </w:t>
      </w:r>
      <w:r w:rsidRPr="00B47380">
        <w:lastRenderedPageBreak/>
        <w:t>Mozambique, Portugal, Russia, São Tomé e Principe, South Korea Spain, Taiwan and United States (US).</w:t>
      </w:r>
    </w:p>
    <w:p w14:paraId="7D818D70" w14:textId="56F842E9" w:rsidR="001D75D7" w:rsidRPr="00B47380" w:rsidRDefault="001D75D7" w:rsidP="00D53B5F">
      <w:pPr>
        <w:pStyle w:val="SingleTxtG"/>
      </w:pPr>
      <w:r w:rsidRPr="00B47380">
        <w:t>307.</w:t>
      </w:r>
      <w:r w:rsidRPr="00B47380">
        <w:tab/>
        <w:t xml:space="preserve">The </w:t>
      </w:r>
      <w:r w:rsidR="006266F0">
        <w:t>“</w:t>
      </w:r>
      <w:r w:rsidRPr="00B47380">
        <w:t>Love the Community and Travelling Together</w:t>
      </w:r>
      <w:r w:rsidR="006266F0">
        <w:t>”</w:t>
      </w:r>
      <w:r w:rsidRPr="00B47380">
        <w:t xml:space="preserve"> and </w:t>
      </w:r>
      <w:r w:rsidR="006266F0">
        <w:t>“</w:t>
      </w:r>
      <w:r w:rsidRPr="00B47380">
        <w:t>Musical Inheritance</w:t>
      </w:r>
      <w:r w:rsidR="006266F0">
        <w:t>”</w:t>
      </w:r>
      <w:r w:rsidRPr="00B47380">
        <w:t xml:space="preserve"> series, held since 2014 in special education schools, prisons, residential care homes, should also be emphasised. Between 2014 and 2018, 35 performances were held, attracting 2,772 persons.</w:t>
      </w:r>
    </w:p>
    <w:p w14:paraId="6E1C057C" w14:textId="19D4EF1D" w:rsidR="001D75D7" w:rsidRPr="00B47380" w:rsidRDefault="001D75D7" w:rsidP="00D53B5F">
      <w:pPr>
        <w:pStyle w:val="SingleTxtG"/>
      </w:pPr>
      <w:r w:rsidRPr="00B47380">
        <w:t>308.</w:t>
      </w:r>
      <w:r w:rsidRPr="00B47380">
        <w:tab/>
        <w:t xml:space="preserve">The Government continues to support local artists from diverse ethnic and cultural backgrounds (e.g. Mainland China, Russia, Australia, Singapore and Portugal), covering all sort of performing arts through an array of projects like the </w:t>
      </w:r>
      <w:r w:rsidR="006266F0">
        <w:t>“</w:t>
      </w:r>
      <w:r w:rsidRPr="00B47380">
        <w:t>Artist-in-Residence</w:t>
      </w:r>
      <w:r w:rsidR="006266F0">
        <w:t>”</w:t>
      </w:r>
      <w:r w:rsidRPr="00B47380">
        <w:t xml:space="preserve">, </w:t>
      </w:r>
      <w:r w:rsidR="006266F0">
        <w:t>“</w:t>
      </w:r>
      <w:r w:rsidRPr="00B47380">
        <w:t>Macao Series</w:t>
      </w:r>
      <w:r w:rsidR="006266F0">
        <w:t>”</w:t>
      </w:r>
      <w:r w:rsidRPr="00B47380">
        <w:t xml:space="preserve"> and </w:t>
      </w:r>
      <w:r w:rsidR="006266F0">
        <w:t>“</w:t>
      </w:r>
      <w:r w:rsidRPr="00B47380">
        <w:t>Dance Project</w:t>
      </w:r>
      <w:r w:rsidR="006266F0">
        <w:t>”</w:t>
      </w:r>
      <w:r w:rsidRPr="00B47380">
        <w:t>. Between 2014 and September 2018, 84 productions were carried out, with the support of MOP$10,634,650.</w:t>
      </w:r>
    </w:p>
    <w:p w14:paraId="440B535E" w14:textId="77777777" w:rsidR="001D75D7" w:rsidRPr="00B47380" w:rsidRDefault="001D75D7" w:rsidP="00D53B5F">
      <w:pPr>
        <w:pStyle w:val="SingleTxtG"/>
      </w:pPr>
      <w:r w:rsidRPr="00B47380">
        <w:t>309.</w:t>
      </w:r>
      <w:r w:rsidRPr="00B47380">
        <w:tab/>
        <w:t>The CAB subsidises projects related to the cultural and creative industries, including exhibitions, workshops, teaching classes, productions related to visual arts, design, film and video, popular music, publication, fashion, animation and comic, participation of creative expos, trade fairs and creative markets. During the covered period, 134, 134, 122, 116 and 122 projects were funded with MOP$13,352,032, MOP$13,601,269, MOP$10,500,754, MOP$7,953,140 and MOP$7,987,900, respectively.</w:t>
      </w:r>
    </w:p>
    <w:p w14:paraId="018A1797" w14:textId="77777777" w:rsidR="001D75D7" w:rsidRPr="00B47380" w:rsidRDefault="001D75D7" w:rsidP="00D53B5F">
      <w:pPr>
        <w:pStyle w:val="SingleTxtG"/>
      </w:pPr>
      <w:r w:rsidRPr="00B47380">
        <w:t>310.</w:t>
      </w:r>
      <w:r w:rsidRPr="00B47380">
        <w:tab/>
        <w:t>Local artists are financially sponsored to go abroad and join with international arts groups while artists of international and regional prestige are invited to perform, teach and create performances locally with their counterparts.</w:t>
      </w:r>
    </w:p>
    <w:p w14:paraId="29B7B88D" w14:textId="77777777" w:rsidR="001D75D7" w:rsidRPr="00B47380" w:rsidRDefault="001D75D7" w:rsidP="00D53B5F">
      <w:pPr>
        <w:pStyle w:val="SingleTxtG"/>
      </w:pPr>
      <w:r w:rsidRPr="00B47380">
        <w:t>311.</w:t>
      </w:r>
      <w:r w:rsidRPr="00B47380">
        <w:tab/>
        <w:t>From 2014 to 2018, around 70 activities, including workshops, performances and lectures, were held at cultural heritage sites during festivities and holidays, aiming to enrich the cultural experience of the public, of which 32 activities targeted children. The EYAB continues to work closely with the CAB and the CMAB in this area.</w:t>
      </w:r>
    </w:p>
    <w:p w14:paraId="082FB1A6" w14:textId="01A51030" w:rsidR="001D75D7" w:rsidRPr="00B47380" w:rsidRDefault="001D75D7" w:rsidP="00D53B5F">
      <w:pPr>
        <w:pStyle w:val="SingleTxtG"/>
      </w:pPr>
      <w:r w:rsidRPr="00B47380">
        <w:t>312.</w:t>
      </w:r>
      <w:r w:rsidRPr="00B47380">
        <w:tab/>
        <w:t>An illustration of Macao</w:t>
      </w:r>
      <w:r w:rsidR="006266F0">
        <w:t>’</w:t>
      </w:r>
      <w:r w:rsidRPr="00B47380">
        <w:t>s cultural diversity is the festivities of the local communities according with their traditions, including the New Year celebration, Buddha</w:t>
      </w:r>
      <w:r w:rsidR="006266F0">
        <w:t>’</w:t>
      </w:r>
      <w:r w:rsidRPr="00B47380">
        <w:t xml:space="preserve">s Birthday, the Feast of the Drunken Dragon, Ching Ming Festival, Chung Yeung Festival, Mid-Autumn Festival and Tung Ng Festival, </w:t>
      </w:r>
      <w:proofErr w:type="spellStart"/>
      <w:r w:rsidRPr="00B47380">
        <w:t>Lusofonia</w:t>
      </w:r>
      <w:proofErr w:type="spellEnd"/>
      <w:r w:rsidRPr="00B47380">
        <w:t xml:space="preserve"> Festival, the Filipino Sinulog Festival and the Thai Cultural Festival.</w:t>
      </w:r>
    </w:p>
    <w:p w14:paraId="28BEE3AB" w14:textId="2B5A3ADD" w:rsidR="001D75D7" w:rsidRPr="00B47380" w:rsidRDefault="001D75D7" w:rsidP="00D53B5F">
      <w:pPr>
        <w:pStyle w:val="SingleTxtG"/>
      </w:pPr>
      <w:r w:rsidRPr="00B47380">
        <w:t>313.</w:t>
      </w:r>
      <w:r w:rsidRPr="00B47380">
        <w:tab/>
        <w:t xml:space="preserve">Another highlight is the </w:t>
      </w:r>
      <w:r w:rsidR="006266F0">
        <w:t>“</w:t>
      </w:r>
      <w:r w:rsidRPr="00B47380">
        <w:t>Macao International Parade</w:t>
      </w:r>
      <w:r w:rsidR="006266F0">
        <w:t>”</w:t>
      </w:r>
      <w:r w:rsidRPr="00B47380">
        <w:t xml:space="preserve"> launched in 2011, which includes different ethnic minority associations of the MSAR, such as the Myanmar Overseas Chinese Association, the Indian Culture Association of Macau, the Filipinas </w:t>
      </w:r>
      <w:proofErr w:type="spellStart"/>
      <w:r w:rsidRPr="00B47380">
        <w:t>Associação</w:t>
      </w:r>
      <w:proofErr w:type="spellEnd"/>
      <w:r w:rsidRPr="00B47380">
        <w:t xml:space="preserve"> do Santo Niño de Cebu </w:t>
      </w:r>
      <w:proofErr w:type="spellStart"/>
      <w:r w:rsidRPr="00B47380">
        <w:t>em</w:t>
      </w:r>
      <w:proofErr w:type="spellEnd"/>
      <w:r w:rsidRPr="00B47380">
        <w:t xml:space="preserve"> Macau, the Capoeira Sports and Cultural Association of Macau and the Macau-Cabo Verde Friendship Association. The Parade provides a platform for cross-cultural interaction, with an annual participation of around 1,500 local and overseas performing groups and artists. It is broadcast live, locally and internationally.</w:t>
      </w:r>
    </w:p>
    <w:p w14:paraId="3E30D559" w14:textId="77777777" w:rsidR="001D75D7" w:rsidRPr="00B47380" w:rsidRDefault="001D75D7" w:rsidP="00D53B5F">
      <w:pPr>
        <w:pStyle w:val="SingleTxtG"/>
      </w:pPr>
      <w:r w:rsidRPr="00B47380">
        <w:t>314.</w:t>
      </w:r>
      <w:r w:rsidRPr="00B47380">
        <w:tab/>
        <w:t xml:space="preserve">Macanese culture is also cherished, e.g. the participation of the </w:t>
      </w:r>
      <w:proofErr w:type="spellStart"/>
      <w:r w:rsidRPr="00B47380">
        <w:t>patuá</w:t>
      </w:r>
      <w:proofErr w:type="spellEnd"/>
      <w:r w:rsidRPr="00B47380">
        <w:t>-language drama group in the Macao Arts Festival since 2011 and the publication of cookbooks and dissemination of Macanese gastronomy.</w:t>
      </w:r>
    </w:p>
    <w:p w14:paraId="72759EB1" w14:textId="6C5F1BEA" w:rsidR="001D75D7" w:rsidRPr="00B47380" w:rsidRDefault="001D75D7" w:rsidP="00C82931">
      <w:pPr>
        <w:pStyle w:val="H23G"/>
      </w:pPr>
      <w:bookmarkStart w:id="65" w:name="_Toc33444622"/>
      <w:bookmarkStart w:id="66" w:name="_Toc41219237"/>
      <w:bookmarkEnd w:id="63"/>
      <w:bookmarkEnd w:id="64"/>
      <w:r w:rsidRPr="00B47380">
        <w:tab/>
      </w:r>
      <w:r w:rsidRPr="00B47380">
        <w:tab/>
        <w:t>Right to scientific progress</w:t>
      </w:r>
    </w:p>
    <w:p w14:paraId="2555EF47" w14:textId="77777777" w:rsidR="001D75D7" w:rsidRPr="00B47380" w:rsidRDefault="001D75D7" w:rsidP="00D53B5F">
      <w:pPr>
        <w:pStyle w:val="SingleTxtG"/>
      </w:pPr>
      <w:r w:rsidRPr="00B47380">
        <w:t>315.</w:t>
      </w:r>
      <w:r w:rsidRPr="00B47380">
        <w:tab/>
        <w:t xml:space="preserve">As stated in previous reports, creative freedom and the right of everyone to pursue knowledge and scientific progress without discrimination are safeguarded (Articles 37 and 124 of the BL and Law 9/2000). Science and education technology are part of the school curricula and activities. </w:t>
      </w:r>
    </w:p>
    <w:p w14:paraId="6CC93DBF" w14:textId="77777777" w:rsidR="001D75D7" w:rsidRPr="00B47380" w:rsidRDefault="001D75D7" w:rsidP="00D53B5F">
      <w:pPr>
        <w:pStyle w:val="SingleTxtG"/>
      </w:pPr>
      <w:r w:rsidRPr="00B47380">
        <w:t>316.</w:t>
      </w:r>
      <w:r w:rsidRPr="00B47380">
        <w:tab/>
        <w:t>Scientific and technological research continues to be supported by the Government and private institutions, through seminars, scholarships, publications, participation in international fora, etc. The Science and Technology Development Fund (AR 14/2004 and Order of the CE 235/2018) continues to provide financial support on teaching, research and execution of projects, including in the field of environmental protection and TCM. The financial support granted in the 3rd quarter of 2018 reached MOP$72,886,566.</w:t>
      </w:r>
    </w:p>
    <w:p w14:paraId="7F52C91C" w14:textId="373430DF" w:rsidR="001D75D7" w:rsidRPr="00B47380" w:rsidRDefault="001D75D7" w:rsidP="00D53B5F">
      <w:pPr>
        <w:pStyle w:val="SingleTxtG"/>
      </w:pPr>
      <w:r w:rsidRPr="00B47380">
        <w:t>317.</w:t>
      </w:r>
      <w:r w:rsidRPr="00B47380">
        <w:tab/>
        <w:t xml:space="preserve">Several projects were financed in </w:t>
      </w:r>
      <w:r w:rsidRPr="00B47380">
        <w:rPr>
          <w:rFonts w:hint="eastAsia"/>
        </w:rPr>
        <w:t>the fields of culture and arts</w:t>
      </w:r>
      <w:r w:rsidRPr="00B47380">
        <w:t xml:space="preserve"> and</w:t>
      </w:r>
      <w:r w:rsidRPr="00B47380">
        <w:rPr>
          <w:rFonts w:hint="eastAsia"/>
        </w:rPr>
        <w:t xml:space="preserve"> scientific and technological progress</w:t>
      </w:r>
      <w:r w:rsidRPr="00B47380">
        <w:t xml:space="preserve">, e.g. the </w:t>
      </w:r>
      <w:r w:rsidR="006266F0">
        <w:t>“</w:t>
      </w:r>
      <w:r w:rsidRPr="00B47380">
        <w:t xml:space="preserve">2nd Symposium on Cooperation and Innovation in Science </w:t>
      </w:r>
      <w:r w:rsidRPr="00B47380">
        <w:lastRenderedPageBreak/>
        <w:t>and Technology Information Service between Mainland, Taiwan, Hong Kong and Macao</w:t>
      </w:r>
      <w:r w:rsidR="006266F0">
        <w:t>”</w:t>
      </w:r>
      <w:r w:rsidRPr="00B47380">
        <w:t xml:space="preserve"> and the </w:t>
      </w:r>
      <w:r w:rsidR="006266F0">
        <w:t>“</w:t>
      </w:r>
      <w:r w:rsidRPr="00B47380">
        <w:t>One Belt One Road One Tourism International Conference 2018</w:t>
      </w:r>
      <w:r w:rsidR="006266F0">
        <w:t>”</w:t>
      </w:r>
      <w:r w:rsidRPr="00B47380">
        <w:t>.</w:t>
      </w:r>
    </w:p>
    <w:p w14:paraId="25FA39C6" w14:textId="77777777" w:rsidR="001D75D7" w:rsidRPr="00B47380" w:rsidRDefault="001D75D7" w:rsidP="00D53B5F">
      <w:pPr>
        <w:pStyle w:val="SingleTxtG"/>
      </w:pPr>
      <w:r w:rsidRPr="00B47380">
        <w:t>318.</w:t>
      </w:r>
      <w:r w:rsidRPr="00B47380">
        <w:tab/>
        <w:t xml:space="preserve">Students and student associations were also sponsored in different fields. For instance, 2 students, studying in the UK, were subsidised to </w:t>
      </w:r>
      <w:r w:rsidRPr="00B47380">
        <w:rPr>
          <w:rFonts w:hint="eastAsia"/>
        </w:rPr>
        <w:t xml:space="preserve">go to the US to </w:t>
      </w:r>
      <w:r w:rsidRPr="00B47380">
        <w:t xml:space="preserve">participate in the Hyperloop Pod Competition </w:t>
      </w:r>
      <w:r w:rsidRPr="00B47380">
        <w:rPr>
          <w:rFonts w:hint="eastAsia"/>
        </w:rPr>
        <w:t>along with</w:t>
      </w:r>
      <w:r w:rsidRPr="00B47380">
        <w:t xml:space="preserve"> their university team while another was subsidised to participate in the International Genetically Engineered Machine (</w:t>
      </w:r>
      <w:proofErr w:type="spellStart"/>
      <w:r w:rsidRPr="00B47380">
        <w:t>iGEM</w:t>
      </w:r>
      <w:proofErr w:type="spellEnd"/>
      <w:r w:rsidRPr="00B47380">
        <w:t>) Competition in the US.</w:t>
      </w:r>
    </w:p>
    <w:p w14:paraId="0B872B7D" w14:textId="77777777" w:rsidR="001D75D7" w:rsidRPr="00B47380" w:rsidRDefault="001D75D7" w:rsidP="00D53B5F">
      <w:pPr>
        <w:pStyle w:val="SingleTxtG"/>
      </w:pPr>
      <w:r w:rsidRPr="00B47380">
        <w:t>319.</w:t>
      </w:r>
      <w:r w:rsidRPr="00B47380">
        <w:tab/>
        <w:t xml:space="preserve">Between 2014 and 2018, the Tertiary Education Services Office sponsored respectively 10, 9, 12, 13 and 11 university projects in the amount of MOP$16,109,931, MOP$10,022.500, MOP$21,601,412, MOP$57,808,309 (Typhon </w:t>
      </w:r>
      <w:proofErr w:type="spellStart"/>
      <w:r w:rsidRPr="00B47380">
        <w:t>Hato</w:t>
      </w:r>
      <w:proofErr w:type="spellEnd"/>
      <w:r w:rsidRPr="00B47380">
        <w:t>) and MOP$14,851,428.</w:t>
      </w:r>
    </w:p>
    <w:p w14:paraId="5B9C039F" w14:textId="7ED32DD9" w:rsidR="001D75D7" w:rsidRPr="00B47380" w:rsidRDefault="001D75D7" w:rsidP="00D53B5F">
      <w:pPr>
        <w:pStyle w:val="SingleTxtG"/>
      </w:pPr>
      <w:r w:rsidRPr="00B47380">
        <w:t>320.</w:t>
      </w:r>
      <w:r w:rsidRPr="00B47380">
        <w:tab/>
        <w:t>As stated in previous reports, the Macao Science Centre is an important landmark as regards science and technology, specifically, aiming at stimulating and cultivating students</w:t>
      </w:r>
      <w:r w:rsidR="006266F0">
        <w:t>’</w:t>
      </w:r>
      <w:r w:rsidRPr="00B47380">
        <w:t xml:space="preserve"> interest in science and enhancing public understanding in this field through interactive exhibitions and programmes.</w:t>
      </w:r>
    </w:p>
    <w:p w14:paraId="0B43C0DC" w14:textId="77777777" w:rsidR="001D75D7" w:rsidRPr="00B47380" w:rsidRDefault="001D75D7" w:rsidP="00D53B5F">
      <w:pPr>
        <w:pStyle w:val="SingleTxtG"/>
      </w:pPr>
      <w:r w:rsidRPr="00B47380">
        <w:t>321.</w:t>
      </w:r>
      <w:r w:rsidRPr="00B47380">
        <w:tab/>
        <w:t>The Macao Foundation continues to provide financial support to the development of projects and research on cultural, educational, scientific, academic and philanthropic activities. In the 3rd quarter of 2018, grants reached MOP$320,139,295.</w:t>
      </w:r>
    </w:p>
    <w:p w14:paraId="414A6015" w14:textId="77777777" w:rsidR="001D75D7" w:rsidRPr="00B47380" w:rsidRDefault="001D75D7" w:rsidP="00D53B5F">
      <w:pPr>
        <w:pStyle w:val="SingleTxtG"/>
      </w:pPr>
      <w:r w:rsidRPr="00B47380">
        <w:t>322.</w:t>
      </w:r>
      <w:r w:rsidRPr="00B47380">
        <w:tab/>
        <w:t xml:space="preserve">The Cultural Industry Fund (CIF) aiming at supporting projects related to the cultural industries promotes the diversification of the economy and sponsors projects and start-ups, innovation and creativeness being the key criteria (AR 26/2013). </w:t>
      </w:r>
    </w:p>
    <w:p w14:paraId="5D54ED41" w14:textId="77777777" w:rsidR="001D75D7" w:rsidRPr="00B47380" w:rsidRDefault="001D75D7" w:rsidP="00D53B5F">
      <w:pPr>
        <w:pStyle w:val="SingleTxtG"/>
      </w:pPr>
      <w:r w:rsidRPr="00B47380">
        <w:t>323.</w:t>
      </w:r>
      <w:r w:rsidRPr="00B47380">
        <w:tab/>
        <w:t xml:space="preserve">From January to September 2018, the CIF granted MOP$124 million in financial support, MOP$76 million for projects and MOP$47 million in interest-free loans. The fund assists 5 categories: creative design, exhibitions and cultural performances, collection of artwork, digital media and others. </w:t>
      </w:r>
    </w:p>
    <w:p w14:paraId="1E1EB879" w14:textId="0D1BF854" w:rsidR="001D75D7" w:rsidRPr="00B47380" w:rsidRDefault="001D75D7" w:rsidP="00D53B5F">
      <w:pPr>
        <w:pStyle w:val="SingleTxtG"/>
      </w:pPr>
      <w:r w:rsidRPr="00B47380">
        <w:t>324.</w:t>
      </w:r>
      <w:r w:rsidRPr="00B47380">
        <w:tab/>
        <w:t xml:space="preserve">Apart from individual projects, the CIF also sponsors specific ones, such as the </w:t>
      </w:r>
      <w:r w:rsidR="006266F0">
        <w:t>“</w:t>
      </w:r>
      <w:r w:rsidRPr="00B47380">
        <w:t>Building of Trademarks</w:t>
      </w:r>
      <w:r w:rsidR="006266F0">
        <w:t>”</w:t>
      </w:r>
      <w:r w:rsidRPr="00B47380">
        <w:t xml:space="preserve"> (each project with the maximum of MOP$5,000,000) and Cultural Creativity in the Community Neighbourhood</w:t>
      </w:r>
      <w:r w:rsidR="006266F0">
        <w:t>”</w:t>
      </w:r>
      <w:r w:rsidRPr="00B47380">
        <w:t xml:space="preserve"> (30 projects, each with the maximum of MOP$200,000) (2018).</w:t>
      </w:r>
    </w:p>
    <w:p w14:paraId="1B97B5FA" w14:textId="77777777" w:rsidR="001D75D7" w:rsidRPr="00B47380" w:rsidRDefault="001D75D7" w:rsidP="00D53B5F">
      <w:pPr>
        <w:pStyle w:val="SingleTxtG"/>
      </w:pPr>
      <w:r w:rsidRPr="00B47380">
        <w:t>325.</w:t>
      </w:r>
      <w:r w:rsidRPr="00B47380">
        <w:tab/>
        <w:t>The Creative Macau should be pointed out as a centre for the local creative industries, providing a platform for art and displays from diverse creative industries namely advertising, architecture, crafts, design, fashion design, film and video, interactive leisure software, music, performing arts, publishing, software and computer development and visual arts. The Sound &amp; Image Challenge International Festival Workshops is one of its landmarks (2018 – 9th edition).</w:t>
      </w:r>
    </w:p>
    <w:p w14:paraId="262CFE41" w14:textId="77777777" w:rsidR="001D75D7" w:rsidRPr="00B47380" w:rsidRDefault="001D75D7" w:rsidP="00C82931">
      <w:pPr>
        <w:pStyle w:val="H23G"/>
      </w:pPr>
      <w:r w:rsidRPr="00B47380">
        <w:tab/>
      </w:r>
      <w:r w:rsidRPr="00B47380">
        <w:tab/>
        <w:t>Right to sports and leisure</w:t>
      </w:r>
    </w:p>
    <w:p w14:paraId="2722D390" w14:textId="0AA495A4" w:rsidR="001D75D7" w:rsidRPr="00B47380" w:rsidRDefault="001D75D7" w:rsidP="00D53B5F">
      <w:pPr>
        <w:pStyle w:val="SingleTxtG"/>
      </w:pPr>
      <w:r w:rsidRPr="00B47380">
        <w:t>326.</w:t>
      </w:r>
      <w:r w:rsidRPr="00B47380">
        <w:tab/>
        <w:t xml:space="preserve">The </w:t>
      </w:r>
      <w:r w:rsidR="006266F0">
        <w:t>“</w:t>
      </w:r>
      <w:r w:rsidRPr="00B47380">
        <w:t>Sports for All</w:t>
      </w:r>
      <w:r w:rsidR="006266F0">
        <w:t>”</w:t>
      </w:r>
      <w:r w:rsidRPr="00B47380">
        <w:t xml:space="preserve"> strategy is a long-term policy, wherein the development of physical education, leisure and sports to all without discrimination, as well as the promotion of healthy lifestyles are a priority. A wide range of sport activities are annually offered addressing the population</w:t>
      </w:r>
      <w:r w:rsidR="006266F0">
        <w:t>’</w:t>
      </w:r>
      <w:r w:rsidRPr="00B47380">
        <w:t xml:space="preserve">s needs, including </w:t>
      </w:r>
      <w:proofErr w:type="gramStart"/>
      <w:r w:rsidRPr="00B47380">
        <w:t>targeted-activities</w:t>
      </w:r>
      <w:proofErr w:type="gramEnd"/>
      <w:r w:rsidRPr="00B47380">
        <w:t xml:space="preserve"> for women, the elderly, persons with disabilities and children.</w:t>
      </w:r>
    </w:p>
    <w:p w14:paraId="7E1B0DE1" w14:textId="77777777" w:rsidR="001D75D7" w:rsidRPr="00B47380" w:rsidRDefault="001D75D7" w:rsidP="00D53B5F">
      <w:pPr>
        <w:pStyle w:val="SingleTxtG"/>
      </w:pPr>
      <w:r w:rsidRPr="00B47380">
        <w:t>327.</w:t>
      </w:r>
      <w:r w:rsidRPr="00B47380">
        <w:tab/>
        <w:t>The Sports Bureau (SB) is the main department to implement such strategy, working individually or together with other departments, entities and NGOs.</w:t>
      </w:r>
    </w:p>
    <w:p w14:paraId="6EF07762" w14:textId="77777777" w:rsidR="001D75D7" w:rsidRPr="00B47380" w:rsidRDefault="001D75D7" w:rsidP="00D53B5F">
      <w:pPr>
        <w:pStyle w:val="SingleTxtG"/>
      </w:pPr>
      <w:r w:rsidRPr="00B47380">
        <w:t>328.</w:t>
      </w:r>
      <w:r w:rsidRPr="00B47380">
        <w:tab/>
        <w:t>From 2014 to 2018, MOP$76,927,502 (fixed subsidy), MOP$395,566,294 (special subsidy) and MOP$214,400,967 (major sporting events) were spent in sports and leisure activities.</w:t>
      </w:r>
    </w:p>
    <w:p w14:paraId="1A20D42E" w14:textId="77777777" w:rsidR="001D75D7" w:rsidRPr="00B47380" w:rsidRDefault="001D75D7" w:rsidP="00D53B5F">
      <w:pPr>
        <w:pStyle w:val="SingleTxtG"/>
      </w:pPr>
      <w:r w:rsidRPr="00B47380">
        <w:t>329.</w:t>
      </w:r>
      <w:r w:rsidRPr="00B47380">
        <w:tab/>
        <w:t xml:space="preserve">As of September 2018, there were 400 registered sports associations (89, 77, 84, 86 and 64 new associations registered respectively from 2014 to 2018). </w:t>
      </w:r>
    </w:p>
    <w:p w14:paraId="787899A3" w14:textId="45090CF1" w:rsidR="001D75D7" w:rsidRPr="00B47380" w:rsidRDefault="001D75D7" w:rsidP="00D53B5F">
      <w:pPr>
        <w:pStyle w:val="SingleTxtG"/>
      </w:pPr>
      <w:r w:rsidRPr="00B47380">
        <w:t>330.</w:t>
      </w:r>
      <w:r w:rsidRPr="00B47380">
        <w:tab/>
        <w:t xml:space="preserve">The number of registered members has increased significantly from 69,764 in 2014 to 85,593 in 2018, under the </w:t>
      </w:r>
      <w:r w:rsidR="006266F0">
        <w:t>“</w:t>
      </w:r>
      <w:r w:rsidRPr="00B47380">
        <w:t>Sports Easy Membership Programme</w:t>
      </w:r>
      <w:r w:rsidR="006266F0">
        <w:t>”</w:t>
      </w:r>
      <w:r w:rsidRPr="00B47380">
        <w:t xml:space="preserve">. </w:t>
      </w:r>
    </w:p>
    <w:p w14:paraId="45AAF382" w14:textId="77777777" w:rsidR="001D75D7" w:rsidRPr="00B47380" w:rsidRDefault="001D75D7" w:rsidP="00D53B5F">
      <w:pPr>
        <w:pStyle w:val="SingleTxtG"/>
      </w:pPr>
      <w:r w:rsidRPr="00B47380">
        <w:lastRenderedPageBreak/>
        <w:t>331.</w:t>
      </w:r>
      <w:r w:rsidRPr="00B47380">
        <w:tab/>
        <w:t>From 2014 to September 2018, the SB subsidised sports associations to organise and participate in 683 trainings, 303 meetings and 1,949 competitions, with 13,914, 2,020 and 36,054 participants, respectively.</w:t>
      </w:r>
    </w:p>
    <w:p w14:paraId="4A4C8E47" w14:textId="77777777" w:rsidR="001D75D7" w:rsidRPr="00B47380" w:rsidRDefault="001D75D7" w:rsidP="00D53B5F">
      <w:pPr>
        <w:pStyle w:val="SingleTxtG"/>
      </w:pPr>
      <w:r w:rsidRPr="00B47380">
        <w:t>332.</w:t>
      </w:r>
      <w:r w:rsidRPr="00B47380">
        <w:tab/>
        <w:t>During the covered period, 95 sports events were conducted, with 1,900,669 participants. And 12,869 regular sport classes, with 311,505 quotas, were available from 2014 to September 2018.</w:t>
      </w:r>
    </w:p>
    <w:p w14:paraId="75FB21A4" w14:textId="4E6B2DA2" w:rsidR="001D75D7" w:rsidRPr="00B47380" w:rsidRDefault="001D75D7" w:rsidP="00D53B5F">
      <w:pPr>
        <w:pStyle w:val="SingleTxtG"/>
      </w:pPr>
      <w:r w:rsidRPr="00B47380">
        <w:t>333.</w:t>
      </w:r>
      <w:r w:rsidRPr="00B47380">
        <w:tab/>
        <w:t>Targeted sports events, such as the Women</w:t>
      </w:r>
      <w:r w:rsidR="006266F0">
        <w:t>’</w:t>
      </w:r>
      <w:r w:rsidRPr="00B47380">
        <w:t xml:space="preserve">s Sports Festival, Sports Day for the Disabled and Elderly Sports Day, </w:t>
      </w:r>
      <w:r w:rsidRPr="00887160">
        <w:rPr>
          <w:i/>
          <w:iCs/>
        </w:rPr>
        <w:t>Family Sports Day</w:t>
      </w:r>
      <w:r w:rsidRPr="00B47380">
        <w:t xml:space="preserve"> and </w:t>
      </w:r>
      <w:r w:rsidRPr="00887160">
        <w:rPr>
          <w:i/>
          <w:iCs/>
        </w:rPr>
        <w:t>Sports Summer Activities</w:t>
      </w:r>
      <w:r w:rsidRPr="00B47380">
        <w:t xml:space="preserve"> are conducted annually. From 2014 to September 2018, a total of 19,560, 10,485 and 13,070 persons participated in the Family Sports Day, Elderly Sports Day and Disabled Sports Day, respectively. Over the same period, an increasing number of women participated </w:t>
      </w:r>
      <w:r w:rsidRPr="00887160">
        <w:rPr>
          <w:i/>
          <w:iCs/>
        </w:rPr>
        <w:t>in Women</w:t>
      </w:r>
      <w:r w:rsidR="006266F0">
        <w:rPr>
          <w:i/>
          <w:iCs/>
        </w:rPr>
        <w:t>’</w:t>
      </w:r>
      <w:r w:rsidRPr="00887160">
        <w:rPr>
          <w:i/>
          <w:iCs/>
        </w:rPr>
        <w:t>s Sports Festival</w:t>
      </w:r>
      <w:r w:rsidRPr="00B47380">
        <w:t>, being 8,035, 8,025, 8,530, 8,730 and 8,737, respectively.</w:t>
      </w:r>
    </w:p>
    <w:p w14:paraId="3E468757" w14:textId="77777777" w:rsidR="001D75D7" w:rsidRPr="00B47380" w:rsidRDefault="001D75D7" w:rsidP="00D53B5F">
      <w:pPr>
        <w:pStyle w:val="SingleTxtG"/>
      </w:pPr>
      <w:r w:rsidRPr="00B47380">
        <w:t>334.</w:t>
      </w:r>
      <w:r w:rsidRPr="00B47380">
        <w:tab/>
        <w:t>Additionally, free sport and recreational classes especially for the elderly, persons with disabilities, women and children as well as parents-children activities continue to be undertaken. During the said period, the SB subsidised 16 trainings and 16 competitions for the elderly (980 and 2,959 persons respectively), and 46 trainings, 28 meetings and 94 competitions for athletes with disabilities (702, 86 and 1,346 athletes respectively).</w:t>
      </w:r>
    </w:p>
    <w:p w14:paraId="32C2EAB3" w14:textId="77777777" w:rsidR="001D75D7" w:rsidRPr="00B47380" w:rsidRDefault="001D75D7" w:rsidP="00D53B5F">
      <w:pPr>
        <w:pStyle w:val="SingleTxtG"/>
      </w:pPr>
      <w:r w:rsidRPr="00B47380">
        <w:t>335.</w:t>
      </w:r>
      <w:r w:rsidRPr="00B47380">
        <w:tab/>
        <w:t xml:space="preserve">Presently, there are 45 </w:t>
      </w:r>
      <w:proofErr w:type="gramStart"/>
      <w:r w:rsidRPr="00B47380">
        <w:t>widely-dispersed</w:t>
      </w:r>
      <w:proofErr w:type="gramEnd"/>
      <w:r w:rsidRPr="00B47380">
        <w:t xml:space="preserve"> public sports facilities (24 in Macao, 10 in Taipa and 11 in </w:t>
      </w:r>
      <w:proofErr w:type="spellStart"/>
      <w:r w:rsidRPr="00B47380">
        <w:t>Cotai</w:t>
      </w:r>
      <w:proofErr w:type="spellEnd"/>
      <w:r w:rsidRPr="00B47380">
        <w:t>), which are equipped with barrier-free facilities and open to the public free or with a minimal charge.</w:t>
      </w:r>
    </w:p>
    <w:p w14:paraId="7AB2A38D" w14:textId="77777777" w:rsidR="001D75D7" w:rsidRPr="00B47380" w:rsidRDefault="001D75D7" w:rsidP="00D53B5F">
      <w:pPr>
        <w:pStyle w:val="SingleTxtG"/>
      </w:pPr>
      <w:r w:rsidRPr="00B47380">
        <w:t>336.</w:t>
      </w:r>
      <w:r w:rsidRPr="00B47380">
        <w:tab/>
        <w:t xml:space="preserve">From 2014 to September 2018, there were respectively 5,934,545, 5,979,489, 6,577,028, 6,351,503 and 5,068,116 usages of public sports facilities. </w:t>
      </w:r>
    </w:p>
    <w:p w14:paraId="32393FDA" w14:textId="3C9C1A5F" w:rsidR="001D75D7" w:rsidRPr="00B47380" w:rsidRDefault="001D75D7" w:rsidP="00D53B5F">
      <w:pPr>
        <w:pStyle w:val="SingleTxtG"/>
      </w:pPr>
      <w:r w:rsidRPr="00B47380">
        <w:t>337.</w:t>
      </w:r>
      <w:r w:rsidRPr="00B47380">
        <w:tab/>
        <w:t xml:space="preserve">The SB has been supporting athletes to participate in competitions and trainings, financing sports associations, hiring coaches and sending representatives to meetings. Athletes with high-level performance were selected to represent Macao in international sports competitions, including the Asian Games, Asian Para Games, </w:t>
      </w:r>
      <w:proofErr w:type="spellStart"/>
      <w:r w:rsidRPr="00B47380">
        <w:t>Lusofonia</w:t>
      </w:r>
      <w:proofErr w:type="spellEnd"/>
      <w:r w:rsidRPr="00B47380">
        <w:t xml:space="preserve"> Games, the International Children</w:t>
      </w:r>
      <w:r w:rsidR="006266F0">
        <w:t>’</w:t>
      </w:r>
      <w:r w:rsidRPr="00B47380">
        <w:t>s Games, Asian Beach Games, National Youth Gam</w:t>
      </w:r>
      <w:r w:rsidRPr="00B47380">
        <w:rPr>
          <w:rFonts w:hint="eastAsia"/>
        </w:rPr>
        <w:t>es, World Summer Special Olympics Games, National Winter Games, Summer Paralympic Games, Asian Winter Games, Summer Universidad, the National Games</w:t>
      </w:r>
      <w:r w:rsidRPr="00B47380">
        <w:t xml:space="preserve"> of the People</w:t>
      </w:r>
      <w:r w:rsidR="006266F0">
        <w:t>’</w:t>
      </w:r>
      <w:r w:rsidRPr="00B47380">
        <w:t>s Republic of China</w:t>
      </w:r>
      <w:r w:rsidRPr="00B47380">
        <w:rPr>
          <w:rFonts w:hint="eastAsia"/>
        </w:rPr>
        <w:t>, Student Sports Games</w:t>
      </w:r>
      <w:r w:rsidRPr="00B47380">
        <w:t xml:space="preserve"> of the People</w:t>
      </w:r>
      <w:r w:rsidR="006266F0">
        <w:t>’</w:t>
      </w:r>
      <w:r w:rsidRPr="00B47380">
        <w:t>s Republic of China and</w:t>
      </w:r>
      <w:r w:rsidRPr="00B47380">
        <w:rPr>
          <w:rFonts w:hint="eastAsia"/>
        </w:rPr>
        <w:t xml:space="preserve"> Asian Indoor Martial Arts Games</w:t>
      </w:r>
      <w:r w:rsidRPr="00B47380">
        <w:t>.</w:t>
      </w:r>
    </w:p>
    <w:p w14:paraId="595349C3" w14:textId="77777777" w:rsidR="001D75D7" w:rsidRPr="00B47380" w:rsidRDefault="001D75D7" w:rsidP="00D53B5F">
      <w:pPr>
        <w:pStyle w:val="SingleTxtG"/>
      </w:pPr>
      <w:r w:rsidRPr="00B47380">
        <w:t>338.</w:t>
      </w:r>
      <w:r w:rsidRPr="00B47380">
        <w:tab/>
        <w:t>Between 2014 and 2018, a total of 1,741 athletes (967 males and 774 females) were awarded in 143 competitions. As regards subsidies granted to elite athletes, the amounts were MOP$ 7,982,500, 8,333,000, 8,074,500, 7,562,629 and 5,927,500, respectively.</w:t>
      </w:r>
    </w:p>
    <w:p w14:paraId="6B41A730" w14:textId="7EB5992F" w:rsidR="001D75D7" w:rsidRPr="00B47380" w:rsidRDefault="001D75D7" w:rsidP="00D53B5F">
      <w:pPr>
        <w:pStyle w:val="SingleTxtG"/>
      </w:pPr>
      <w:r w:rsidRPr="00B47380">
        <w:t>339.</w:t>
      </w:r>
      <w:r w:rsidRPr="00B47380">
        <w:tab/>
        <w:t>Among the major international sports events organised by the SB during the past years, the following should be highlighted: the Macao International Marathon, with 22,291 participants (2016</w:t>
      </w:r>
      <w:r w:rsidR="00FB25F9">
        <w:t>–</w:t>
      </w:r>
      <w:r w:rsidRPr="00B47380">
        <w:t>2017); Macau Grand Prix, with 161,312 participants (2016</w:t>
      </w:r>
      <w:r w:rsidR="00FB25F9">
        <w:t>–</w:t>
      </w:r>
      <w:r w:rsidRPr="00B47380">
        <w:t>2017); the Asian Dragon Boat Championship, with 87,810 participants (2016</w:t>
      </w:r>
      <w:r w:rsidR="00FB25F9">
        <w:t>–</w:t>
      </w:r>
      <w:r w:rsidRPr="00B47380">
        <w:t>2018); the FIVB Volleyball World Grand Prix Macao and the FIVB Women</w:t>
      </w:r>
      <w:r w:rsidR="006266F0">
        <w:t>’</w:t>
      </w:r>
      <w:r w:rsidRPr="00B47380">
        <w:t>s Volleyball Nations League, with respectively 43,049 and 21,000 participants (2016</w:t>
      </w:r>
      <w:r w:rsidR="00FB25F9">
        <w:t>–</w:t>
      </w:r>
      <w:r w:rsidRPr="00B47380">
        <w:t>2018); the Wushu Masters Challenge, with 251,871 participants (2016</w:t>
      </w:r>
      <w:r w:rsidR="00FB25F9">
        <w:t>–</w:t>
      </w:r>
      <w:r w:rsidRPr="00B47380">
        <w:t>2018); the Macao Golf Open, with 9,505 participants (2016</w:t>
      </w:r>
      <w:r w:rsidR="00FB25F9">
        <w:t>–</w:t>
      </w:r>
      <w:r w:rsidRPr="00B47380">
        <w:t>2017) and the Asia League, Super 8 and Terrific 12, with respectively 12,000 and 25,000 participants (2018).</w:t>
      </w:r>
    </w:p>
    <w:p w14:paraId="50B7C51D" w14:textId="77777777" w:rsidR="001D75D7" w:rsidRPr="00B47380" w:rsidRDefault="001D75D7" w:rsidP="00D53B5F">
      <w:pPr>
        <w:pStyle w:val="SingleTxtG"/>
      </w:pPr>
      <w:r w:rsidRPr="00B47380">
        <w:t>340.</w:t>
      </w:r>
      <w:r w:rsidRPr="00B47380">
        <w:tab/>
        <w:t>As mentioned in previous reports, the SB is an active member of the International Council of Sports Science and Physical Education, the Asian Federation of Sports Medicine and the Association for International Sport for All. It cooperates with international organisations and organises several international sports events annually.</w:t>
      </w:r>
    </w:p>
    <w:p w14:paraId="3511B9EF" w14:textId="77777777" w:rsidR="001D75D7" w:rsidRPr="00B47380" w:rsidRDefault="001D75D7" w:rsidP="00D53B5F">
      <w:pPr>
        <w:pStyle w:val="SingleTxtG"/>
      </w:pPr>
      <w:r w:rsidRPr="00B47380">
        <w:t>341.</w:t>
      </w:r>
      <w:r w:rsidRPr="00B47380">
        <w:tab/>
        <w:t xml:space="preserve">Additionally, the MSAR has signed new agreements with the Fujian Province and Beijing to enhance exchange and connections across all sport levels, including competitions, </w:t>
      </w:r>
      <w:bookmarkStart w:id="67" w:name="_GoBack"/>
      <w:bookmarkEnd w:id="67"/>
      <w:r w:rsidRPr="00B47380">
        <w:t>trainings and visits.</w:t>
      </w:r>
    </w:p>
    <w:p w14:paraId="0416DBD9" w14:textId="63ECAB5B" w:rsidR="001D75D7" w:rsidRPr="00B47380" w:rsidRDefault="001D75D7" w:rsidP="00C82931">
      <w:pPr>
        <w:pStyle w:val="H23G"/>
      </w:pPr>
      <w:bookmarkStart w:id="68" w:name="_Toc286998613"/>
      <w:bookmarkEnd w:id="65"/>
      <w:bookmarkEnd w:id="66"/>
      <w:r w:rsidRPr="00B47380">
        <w:lastRenderedPageBreak/>
        <w:tab/>
      </w:r>
      <w:r w:rsidRPr="00B47380">
        <w:tab/>
        <w:t>Protection of intellectual property</w:t>
      </w:r>
      <w:bookmarkEnd w:id="68"/>
    </w:p>
    <w:p w14:paraId="7BFCB506" w14:textId="77777777" w:rsidR="001D75D7" w:rsidRPr="00B47380" w:rsidRDefault="001D75D7" w:rsidP="00D53B5F">
      <w:pPr>
        <w:pStyle w:val="SingleTxtG"/>
      </w:pPr>
      <w:r w:rsidRPr="00B47380">
        <w:t>342.</w:t>
      </w:r>
      <w:r w:rsidRPr="00B47380">
        <w:tab/>
        <w:t>Intellectual property is fully protected in the MSAR as explained in previous reports (Article 125 (2) of the BL, Decree-law 43/99/M (Regime of Copyright and Related Rights, as amended by Law 5/2012) and Decree-law 97/99/M (Industrial Property Code).</w:t>
      </w:r>
    </w:p>
    <w:p w14:paraId="28B992EE" w14:textId="77777777" w:rsidR="001D75D7" w:rsidRPr="00B47380" w:rsidRDefault="001D75D7" w:rsidP="00D53B5F">
      <w:pPr>
        <w:pStyle w:val="SingleTxtG"/>
      </w:pPr>
      <w:r w:rsidRPr="00B47380">
        <w:t>343.</w:t>
      </w:r>
      <w:r w:rsidRPr="00B47380">
        <w:tab/>
        <w:t>The new amendments to the copyright regime aim at protecting copyright in the technological and information society as well as protecting the rights of performers and producers of phonograms in the digital era in line with the WIPO Copyright Treaty and the WIPO Performances and Phonograms Treaty, both applicable to the MSAR since 2013.</w:t>
      </w:r>
    </w:p>
    <w:p w14:paraId="72466FBA" w14:textId="77777777" w:rsidR="001D75D7" w:rsidRPr="00B47380" w:rsidRDefault="001D75D7" w:rsidP="00D53B5F">
      <w:pPr>
        <w:pStyle w:val="SingleTxtG"/>
      </w:pPr>
      <w:r w:rsidRPr="00B47380">
        <w:t>344.</w:t>
      </w:r>
      <w:r w:rsidRPr="00B47380">
        <w:tab/>
        <w:t xml:space="preserve">Concerning the protection of </w:t>
      </w:r>
      <w:r w:rsidRPr="00B47380">
        <w:rPr>
          <w:rFonts w:hint="eastAsia"/>
        </w:rPr>
        <w:t>intellectual property</w:t>
      </w:r>
      <w:r w:rsidRPr="00B47380">
        <w:t>, the Macao Economic Bureau (MEB) is the entity responsible</w:t>
      </w:r>
      <w:r w:rsidRPr="00B47380">
        <w:rPr>
          <w:rFonts w:hint="eastAsia"/>
        </w:rPr>
        <w:t xml:space="preserve"> for </w:t>
      </w:r>
      <w:r w:rsidRPr="00B47380">
        <w:t xml:space="preserve">trademark and patents registration. </w:t>
      </w:r>
    </w:p>
    <w:p w14:paraId="1339266A" w14:textId="77777777" w:rsidR="001D75D7" w:rsidRPr="00B47380" w:rsidRDefault="001D75D7" w:rsidP="00C82931">
      <w:pPr>
        <w:pStyle w:val="H23G"/>
      </w:pPr>
      <w:r w:rsidRPr="00B47380">
        <w:tab/>
      </w:r>
      <w:r w:rsidRPr="00B47380">
        <w:tab/>
        <w:t>Industrial property applications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B4060E" w:rsidRPr="00B4060E" w14:paraId="4AF0003A" w14:textId="77777777" w:rsidTr="00E45843">
        <w:trPr>
          <w:cantSplit/>
          <w:tblHeader/>
        </w:trPr>
        <w:tc>
          <w:tcPr>
            <w:tcW w:w="1052" w:type="dxa"/>
            <w:tcBorders>
              <w:top w:val="single" w:sz="4" w:space="0" w:color="auto"/>
              <w:bottom w:val="single" w:sz="12" w:space="0" w:color="auto"/>
            </w:tcBorders>
            <w:shd w:val="clear" w:color="auto" w:fill="auto"/>
            <w:vAlign w:val="bottom"/>
          </w:tcPr>
          <w:p w14:paraId="12835D18" w14:textId="77777777" w:rsidR="001D75D7" w:rsidRPr="00B4060E" w:rsidRDefault="001D75D7" w:rsidP="00B4060E">
            <w:pPr>
              <w:pStyle w:val="SingleTxtG"/>
              <w:suppressAutoHyphens w:val="0"/>
              <w:spacing w:before="80" w:after="80" w:line="200" w:lineRule="exact"/>
              <w:ind w:left="0" w:right="113"/>
              <w:jc w:val="left"/>
              <w:rPr>
                <w:i/>
                <w:sz w:val="16"/>
              </w:rPr>
            </w:pPr>
            <w:r w:rsidRPr="00B4060E">
              <w:rPr>
                <w:rFonts w:hint="eastAsia"/>
                <w:i/>
                <w:sz w:val="16"/>
              </w:rPr>
              <w:t>Year</w:t>
            </w:r>
          </w:p>
        </w:tc>
        <w:tc>
          <w:tcPr>
            <w:tcW w:w="1053" w:type="dxa"/>
            <w:tcBorders>
              <w:top w:val="single" w:sz="4" w:space="0" w:color="auto"/>
              <w:bottom w:val="single" w:sz="12" w:space="0" w:color="auto"/>
            </w:tcBorders>
            <w:shd w:val="clear" w:color="auto" w:fill="auto"/>
            <w:vAlign w:val="bottom"/>
          </w:tcPr>
          <w:p w14:paraId="5497181E"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rFonts w:hint="eastAsia"/>
                <w:i/>
                <w:sz w:val="16"/>
              </w:rPr>
              <w:t>Trademark</w:t>
            </w:r>
          </w:p>
        </w:tc>
        <w:tc>
          <w:tcPr>
            <w:tcW w:w="1053" w:type="dxa"/>
            <w:tcBorders>
              <w:top w:val="single" w:sz="4" w:space="0" w:color="auto"/>
              <w:bottom w:val="single" w:sz="12" w:space="0" w:color="auto"/>
            </w:tcBorders>
            <w:shd w:val="clear" w:color="auto" w:fill="auto"/>
            <w:vAlign w:val="bottom"/>
          </w:tcPr>
          <w:p w14:paraId="43850BCB"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rFonts w:hint="eastAsia"/>
                <w:i/>
                <w:sz w:val="16"/>
              </w:rPr>
              <w:t xml:space="preserve">Invention </w:t>
            </w:r>
            <w:r w:rsidRPr="00B4060E">
              <w:rPr>
                <w:i/>
                <w:sz w:val="16"/>
              </w:rPr>
              <w:t>p</w:t>
            </w:r>
            <w:r w:rsidRPr="00B4060E">
              <w:rPr>
                <w:rFonts w:hint="eastAsia"/>
                <w:i/>
                <w:sz w:val="16"/>
              </w:rPr>
              <w:t>atent</w:t>
            </w:r>
          </w:p>
        </w:tc>
        <w:tc>
          <w:tcPr>
            <w:tcW w:w="1053" w:type="dxa"/>
            <w:tcBorders>
              <w:top w:val="single" w:sz="4" w:space="0" w:color="auto"/>
              <w:bottom w:val="single" w:sz="12" w:space="0" w:color="auto"/>
            </w:tcBorders>
            <w:shd w:val="clear" w:color="auto" w:fill="auto"/>
            <w:vAlign w:val="bottom"/>
          </w:tcPr>
          <w:p w14:paraId="62223CDE"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rFonts w:hint="eastAsia"/>
                <w:i/>
                <w:sz w:val="16"/>
              </w:rPr>
              <w:t xml:space="preserve">Extension of invention </w:t>
            </w:r>
            <w:r w:rsidRPr="00B4060E">
              <w:rPr>
                <w:i/>
                <w:sz w:val="16"/>
              </w:rPr>
              <w:t>p</w:t>
            </w:r>
            <w:r w:rsidRPr="00B4060E">
              <w:rPr>
                <w:rFonts w:hint="eastAsia"/>
                <w:i/>
                <w:sz w:val="16"/>
              </w:rPr>
              <w:t>atent</w:t>
            </w:r>
          </w:p>
        </w:tc>
        <w:tc>
          <w:tcPr>
            <w:tcW w:w="1053" w:type="dxa"/>
            <w:tcBorders>
              <w:top w:val="single" w:sz="4" w:space="0" w:color="auto"/>
              <w:bottom w:val="single" w:sz="12" w:space="0" w:color="auto"/>
            </w:tcBorders>
            <w:shd w:val="clear" w:color="auto" w:fill="auto"/>
            <w:vAlign w:val="bottom"/>
          </w:tcPr>
          <w:p w14:paraId="5685ED7C"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rFonts w:hint="eastAsia"/>
                <w:i/>
                <w:sz w:val="16"/>
              </w:rPr>
              <w:t xml:space="preserve">Utility </w:t>
            </w:r>
            <w:r w:rsidRPr="00B4060E">
              <w:rPr>
                <w:i/>
                <w:sz w:val="16"/>
              </w:rPr>
              <w:t>p</w:t>
            </w:r>
            <w:r w:rsidRPr="00B4060E">
              <w:rPr>
                <w:rFonts w:hint="eastAsia"/>
                <w:i/>
                <w:sz w:val="16"/>
              </w:rPr>
              <w:t>atent</w:t>
            </w:r>
          </w:p>
        </w:tc>
        <w:tc>
          <w:tcPr>
            <w:tcW w:w="1053" w:type="dxa"/>
            <w:tcBorders>
              <w:top w:val="single" w:sz="4" w:space="0" w:color="auto"/>
              <w:bottom w:val="single" w:sz="12" w:space="0" w:color="auto"/>
            </w:tcBorders>
            <w:shd w:val="clear" w:color="auto" w:fill="auto"/>
            <w:vAlign w:val="bottom"/>
          </w:tcPr>
          <w:p w14:paraId="6AF489E8"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Industrial d</w:t>
            </w:r>
            <w:r w:rsidRPr="00B4060E">
              <w:rPr>
                <w:rFonts w:hint="eastAsia"/>
                <w:i/>
                <w:sz w:val="16"/>
              </w:rPr>
              <w:t>esign</w:t>
            </w:r>
            <w:r w:rsidRPr="00B4060E">
              <w:rPr>
                <w:i/>
                <w:sz w:val="16"/>
              </w:rPr>
              <w:t xml:space="preserve"> and</w:t>
            </w:r>
            <w:r w:rsidRPr="00B4060E">
              <w:rPr>
                <w:rFonts w:hint="eastAsia"/>
                <w:i/>
                <w:sz w:val="16"/>
              </w:rPr>
              <w:t xml:space="preserve"> </w:t>
            </w:r>
            <w:r w:rsidRPr="00B4060E">
              <w:rPr>
                <w:i/>
                <w:sz w:val="16"/>
              </w:rPr>
              <w:t>m</w:t>
            </w:r>
            <w:r w:rsidRPr="00B4060E">
              <w:rPr>
                <w:rFonts w:hint="eastAsia"/>
                <w:i/>
                <w:sz w:val="16"/>
              </w:rPr>
              <w:t>odel</w:t>
            </w:r>
          </w:p>
        </w:tc>
        <w:tc>
          <w:tcPr>
            <w:tcW w:w="1053" w:type="dxa"/>
            <w:tcBorders>
              <w:top w:val="single" w:sz="4" w:space="0" w:color="auto"/>
              <w:bottom w:val="single" w:sz="12" w:space="0" w:color="auto"/>
            </w:tcBorders>
            <w:shd w:val="clear" w:color="auto" w:fill="auto"/>
            <w:vAlign w:val="bottom"/>
          </w:tcPr>
          <w:p w14:paraId="425B7DA5"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rFonts w:hint="eastAsia"/>
                <w:i/>
                <w:sz w:val="16"/>
              </w:rPr>
              <w:t>Name</w:t>
            </w:r>
            <w:r w:rsidRPr="00B4060E">
              <w:rPr>
                <w:i/>
                <w:sz w:val="16"/>
              </w:rPr>
              <w:t xml:space="preserve"> and emblem </w:t>
            </w:r>
            <w:r w:rsidRPr="00B4060E">
              <w:rPr>
                <w:rFonts w:hint="eastAsia"/>
                <w:i/>
                <w:sz w:val="16"/>
              </w:rPr>
              <w:t xml:space="preserve">of </w:t>
            </w:r>
            <w:r w:rsidRPr="00B4060E">
              <w:rPr>
                <w:i/>
                <w:sz w:val="16"/>
              </w:rPr>
              <w:t>establishment</w:t>
            </w:r>
          </w:p>
        </w:tc>
      </w:tr>
      <w:tr w:rsidR="00B4060E" w:rsidRPr="00B4060E" w14:paraId="4EE10BD0" w14:textId="77777777" w:rsidTr="00E45843">
        <w:trPr>
          <w:cantSplit/>
        </w:trPr>
        <w:tc>
          <w:tcPr>
            <w:tcW w:w="1052" w:type="dxa"/>
            <w:tcBorders>
              <w:top w:val="single" w:sz="12" w:space="0" w:color="auto"/>
            </w:tcBorders>
            <w:shd w:val="clear" w:color="auto" w:fill="auto"/>
          </w:tcPr>
          <w:p w14:paraId="74459060"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rFonts w:hint="eastAsia"/>
                <w:sz w:val="18"/>
              </w:rPr>
              <w:t>2014</w:t>
            </w:r>
          </w:p>
        </w:tc>
        <w:tc>
          <w:tcPr>
            <w:tcW w:w="1053" w:type="dxa"/>
            <w:tcBorders>
              <w:top w:val="single" w:sz="12" w:space="0" w:color="auto"/>
            </w:tcBorders>
            <w:shd w:val="clear" w:color="auto" w:fill="auto"/>
            <w:vAlign w:val="bottom"/>
          </w:tcPr>
          <w:p w14:paraId="2BC0B4E1" w14:textId="544D90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12</w:t>
            </w:r>
            <w:r w:rsidR="00C82931">
              <w:rPr>
                <w:rFonts w:hint="eastAsia"/>
                <w:sz w:val="18"/>
              </w:rPr>
              <w:t xml:space="preserve"> </w:t>
            </w:r>
            <w:r w:rsidRPr="00B4060E">
              <w:rPr>
                <w:rFonts w:hint="eastAsia"/>
                <w:sz w:val="18"/>
              </w:rPr>
              <w:t>287</w:t>
            </w:r>
          </w:p>
        </w:tc>
        <w:tc>
          <w:tcPr>
            <w:tcW w:w="1053" w:type="dxa"/>
            <w:tcBorders>
              <w:top w:val="single" w:sz="12" w:space="0" w:color="auto"/>
            </w:tcBorders>
            <w:shd w:val="clear" w:color="auto" w:fill="auto"/>
            <w:vAlign w:val="bottom"/>
          </w:tcPr>
          <w:p w14:paraId="1AE7D4E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106</w:t>
            </w:r>
          </w:p>
        </w:tc>
        <w:tc>
          <w:tcPr>
            <w:tcW w:w="1053" w:type="dxa"/>
            <w:tcBorders>
              <w:top w:val="single" w:sz="12" w:space="0" w:color="auto"/>
            </w:tcBorders>
            <w:shd w:val="clear" w:color="auto" w:fill="auto"/>
            <w:vAlign w:val="bottom"/>
          </w:tcPr>
          <w:p w14:paraId="4ADFB8D3"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310</w:t>
            </w:r>
          </w:p>
        </w:tc>
        <w:tc>
          <w:tcPr>
            <w:tcW w:w="1053" w:type="dxa"/>
            <w:tcBorders>
              <w:top w:val="single" w:sz="12" w:space="0" w:color="auto"/>
            </w:tcBorders>
            <w:shd w:val="clear" w:color="auto" w:fill="auto"/>
            <w:vAlign w:val="bottom"/>
          </w:tcPr>
          <w:p w14:paraId="03C249C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28</w:t>
            </w:r>
          </w:p>
        </w:tc>
        <w:tc>
          <w:tcPr>
            <w:tcW w:w="1053" w:type="dxa"/>
            <w:tcBorders>
              <w:top w:val="single" w:sz="12" w:space="0" w:color="auto"/>
            </w:tcBorders>
            <w:shd w:val="clear" w:color="auto" w:fill="auto"/>
            <w:vAlign w:val="bottom"/>
          </w:tcPr>
          <w:p w14:paraId="4F940F1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132</w:t>
            </w:r>
          </w:p>
        </w:tc>
        <w:tc>
          <w:tcPr>
            <w:tcW w:w="1053" w:type="dxa"/>
            <w:tcBorders>
              <w:top w:val="single" w:sz="12" w:space="0" w:color="auto"/>
            </w:tcBorders>
            <w:shd w:val="clear" w:color="auto" w:fill="auto"/>
            <w:vAlign w:val="bottom"/>
          </w:tcPr>
          <w:p w14:paraId="7E138BA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15</w:t>
            </w:r>
          </w:p>
        </w:tc>
      </w:tr>
      <w:tr w:rsidR="00B4060E" w:rsidRPr="00B4060E" w14:paraId="6D5DF298" w14:textId="77777777" w:rsidTr="00E45843">
        <w:trPr>
          <w:cantSplit/>
        </w:trPr>
        <w:tc>
          <w:tcPr>
            <w:tcW w:w="1052" w:type="dxa"/>
            <w:shd w:val="clear" w:color="auto" w:fill="auto"/>
          </w:tcPr>
          <w:p w14:paraId="2A8F0082"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rFonts w:hint="eastAsia"/>
                <w:sz w:val="18"/>
              </w:rPr>
              <w:t>2015</w:t>
            </w:r>
          </w:p>
        </w:tc>
        <w:tc>
          <w:tcPr>
            <w:tcW w:w="1053" w:type="dxa"/>
            <w:shd w:val="clear" w:color="auto" w:fill="auto"/>
            <w:vAlign w:val="bottom"/>
          </w:tcPr>
          <w:p w14:paraId="4B133BD0" w14:textId="66B00F5B"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13</w:t>
            </w:r>
            <w:r w:rsidR="00C82931">
              <w:rPr>
                <w:rFonts w:hint="eastAsia"/>
                <w:sz w:val="18"/>
              </w:rPr>
              <w:t xml:space="preserve"> </w:t>
            </w:r>
            <w:r w:rsidRPr="00B4060E">
              <w:rPr>
                <w:rFonts w:hint="eastAsia"/>
                <w:sz w:val="18"/>
              </w:rPr>
              <w:t>140</w:t>
            </w:r>
          </w:p>
        </w:tc>
        <w:tc>
          <w:tcPr>
            <w:tcW w:w="1053" w:type="dxa"/>
            <w:shd w:val="clear" w:color="auto" w:fill="auto"/>
            <w:vAlign w:val="bottom"/>
          </w:tcPr>
          <w:p w14:paraId="3BEA8A6E"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65</w:t>
            </w:r>
          </w:p>
        </w:tc>
        <w:tc>
          <w:tcPr>
            <w:tcW w:w="1053" w:type="dxa"/>
            <w:shd w:val="clear" w:color="auto" w:fill="auto"/>
            <w:vAlign w:val="bottom"/>
          </w:tcPr>
          <w:p w14:paraId="2FCD7F1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382</w:t>
            </w:r>
          </w:p>
        </w:tc>
        <w:tc>
          <w:tcPr>
            <w:tcW w:w="1053" w:type="dxa"/>
            <w:shd w:val="clear" w:color="auto" w:fill="auto"/>
            <w:vAlign w:val="bottom"/>
          </w:tcPr>
          <w:p w14:paraId="7990989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20</w:t>
            </w:r>
          </w:p>
        </w:tc>
        <w:tc>
          <w:tcPr>
            <w:tcW w:w="1053" w:type="dxa"/>
            <w:shd w:val="clear" w:color="auto" w:fill="auto"/>
            <w:vAlign w:val="bottom"/>
          </w:tcPr>
          <w:p w14:paraId="3B3B153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250</w:t>
            </w:r>
          </w:p>
        </w:tc>
        <w:tc>
          <w:tcPr>
            <w:tcW w:w="1053" w:type="dxa"/>
            <w:shd w:val="clear" w:color="auto" w:fill="auto"/>
            <w:vAlign w:val="bottom"/>
          </w:tcPr>
          <w:p w14:paraId="64AA1E6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30</w:t>
            </w:r>
          </w:p>
        </w:tc>
      </w:tr>
      <w:tr w:rsidR="00B4060E" w:rsidRPr="00B4060E" w14:paraId="56941806" w14:textId="77777777" w:rsidTr="00E45843">
        <w:trPr>
          <w:cantSplit/>
        </w:trPr>
        <w:tc>
          <w:tcPr>
            <w:tcW w:w="1052" w:type="dxa"/>
            <w:shd w:val="clear" w:color="auto" w:fill="auto"/>
          </w:tcPr>
          <w:p w14:paraId="4830977F"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rFonts w:hint="eastAsia"/>
                <w:sz w:val="18"/>
              </w:rPr>
              <w:t>2016</w:t>
            </w:r>
          </w:p>
        </w:tc>
        <w:tc>
          <w:tcPr>
            <w:tcW w:w="1053" w:type="dxa"/>
            <w:shd w:val="clear" w:color="auto" w:fill="auto"/>
            <w:vAlign w:val="bottom"/>
          </w:tcPr>
          <w:p w14:paraId="0B30BABB" w14:textId="32DD8A2E"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11</w:t>
            </w:r>
            <w:r w:rsidR="00C82931">
              <w:rPr>
                <w:rFonts w:hint="eastAsia"/>
                <w:sz w:val="18"/>
              </w:rPr>
              <w:t xml:space="preserve"> </w:t>
            </w:r>
            <w:r w:rsidRPr="00B4060E">
              <w:rPr>
                <w:rFonts w:hint="eastAsia"/>
                <w:sz w:val="18"/>
              </w:rPr>
              <w:t>507</w:t>
            </w:r>
          </w:p>
        </w:tc>
        <w:tc>
          <w:tcPr>
            <w:tcW w:w="1053" w:type="dxa"/>
            <w:shd w:val="clear" w:color="auto" w:fill="auto"/>
            <w:vAlign w:val="bottom"/>
          </w:tcPr>
          <w:p w14:paraId="6778585F"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51</w:t>
            </w:r>
          </w:p>
        </w:tc>
        <w:tc>
          <w:tcPr>
            <w:tcW w:w="1053" w:type="dxa"/>
            <w:shd w:val="clear" w:color="auto" w:fill="auto"/>
            <w:vAlign w:val="bottom"/>
          </w:tcPr>
          <w:p w14:paraId="0EE3167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452</w:t>
            </w:r>
          </w:p>
        </w:tc>
        <w:tc>
          <w:tcPr>
            <w:tcW w:w="1053" w:type="dxa"/>
            <w:shd w:val="clear" w:color="auto" w:fill="auto"/>
            <w:vAlign w:val="bottom"/>
          </w:tcPr>
          <w:p w14:paraId="38E0D66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15</w:t>
            </w:r>
          </w:p>
        </w:tc>
        <w:tc>
          <w:tcPr>
            <w:tcW w:w="1053" w:type="dxa"/>
            <w:shd w:val="clear" w:color="auto" w:fill="auto"/>
            <w:vAlign w:val="bottom"/>
          </w:tcPr>
          <w:p w14:paraId="248DEFBB"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218</w:t>
            </w:r>
          </w:p>
        </w:tc>
        <w:tc>
          <w:tcPr>
            <w:tcW w:w="1053" w:type="dxa"/>
            <w:shd w:val="clear" w:color="auto" w:fill="auto"/>
            <w:vAlign w:val="bottom"/>
          </w:tcPr>
          <w:p w14:paraId="7432A94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23</w:t>
            </w:r>
          </w:p>
        </w:tc>
      </w:tr>
      <w:tr w:rsidR="00B4060E" w:rsidRPr="00B4060E" w14:paraId="5F0C6BE6" w14:textId="77777777" w:rsidTr="00E45843">
        <w:trPr>
          <w:cantSplit/>
        </w:trPr>
        <w:tc>
          <w:tcPr>
            <w:tcW w:w="1052" w:type="dxa"/>
            <w:shd w:val="clear" w:color="auto" w:fill="auto"/>
          </w:tcPr>
          <w:p w14:paraId="0A6A904D"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rFonts w:hint="eastAsia"/>
                <w:sz w:val="18"/>
              </w:rPr>
              <w:t>2017</w:t>
            </w:r>
          </w:p>
        </w:tc>
        <w:tc>
          <w:tcPr>
            <w:tcW w:w="1053" w:type="dxa"/>
            <w:shd w:val="clear" w:color="auto" w:fill="auto"/>
            <w:vAlign w:val="bottom"/>
          </w:tcPr>
          <w:p w14:paraId="352E7F96" w14:textId="50F9D990"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13</w:t>
            </w:r>
            <w:r w:rsidR="00C82931">
              <w:rPr>
                <w:rFonts w:hint="eastAsia"/>
                <w:sz w:val="18"/>
              </w:rPr>
              <w:t xml:space="preserve"> </w:t>
            </w:r>
            <w:r w:rsidRPr="00B4060E">
              <w:rPr>
                <w:rFonts w:hint="eastAsia"/>
                <w:sz w:val="18"/>
              </w:rPr>
              <w:t>135</w:t>
            </w:r>
          </w:p>
        </w:tc>
        <w:tc>
          <w:tcPr>
            <w:tcW w:w="1053" w:type="dxa"/>
            <w:shd w:val="clear" w:color="auto" w:fill="auto"/>
            <w:vAlign w:val="bottom"/>
          </w:tcPr>
          <w:p w14:paraId="53E17E6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68</w:t>
            </w:r>
          </w:p>
        </w:tc>
        <w:tc>
          <w:tcPr>
            <w:tcW w:w="1053" w:type="dxa"/>
            <w:shd w:val="clear" w:color="auto" w:fill="auto"/>
            <w:vAlign w:val="bottom"/>
          </w:tcPr>
          <w:p w14:paraId="0CB9FD66"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441</w:t>
            </w:r>
          </w:p>
        </w:tc>
        <w:tc>
          <w:tcPr>
            <w:tcW w:w="1053" w:type="dxa"/>
            <w:shd w:val="clear" w:color="auto" w:fill="auto"/>
            <w:vAlign w:val="bottom"/>
          </w:tcPr>
          <w:p w14:paraId="563AE15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18</w:t>
            </w:r>
          </w:p>
        </w:tc>
        <w:tc>
          <w:tcPr>
            <w:tcW w:w="1053" w:type="dxa"/>
            <w:shd w:val="clear" w:color="auto" w:fill="auto"/>
            <w:vAlign w:val="bottom"/>
          </w:tcPr>
          <w:p w14:paraId="2BE36B5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193</w:t>
            </w:r>
          </w:p>
        </w:tc>
        <w:tc>
          <w:tcPr>
            <w:tcW w:w="1053" w:type="dxa"/>
            <w:shd w:val="clear" w:color="auto" w:fill="auto"/>
            <w:vAlign w:val="bottom"/>
          </w:tcPr>
          <w:p w14:paraId="4E9902C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7</w:t>
            </w:r>
          </w:p>
        </w:tc>
      </w:tr>
      <w:tr w:rsidR="00B4060E" w:rsidRPr="00B4060E" w14:paraId="2F93540E" w14:textId="77777777" w:rsidTr="00E45843">
        <w:trPr>
          <w:cantSplit/>
        </w:trPr>
        <w:tc>
          <w:tcPr>
            <w:tcW w:w="1052" w:type="dxa"/>
            <w:shd w:val="clear" w:color="auto" w:fill="auto"/>
          </w:tcPr>
          <w:p w14:paraId="7A944E10" w14:textId="17BECC78"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09/</w:t>
            </w:r>
            <w:r w:rsidRPr="00B4060E">
              <w:rPr>
                <w:rFonts w:hint="eastAsia"/>
                <w:sz w:val="18"/>
              </w:rPr>
              <w:t>2018</w:t>
            </w:r>
          </w:p>
        </w:tc>
        <w:tc>
          <w:tcPr>
            <w:tcW w:w="1053" w:type="dxa"/>
            <w:shd w:val="clear" w:color="auto" w:fill="auto"/>
            <w:vAlign w:val="bottom"/>
          </w:tcPr>
          <w:p w14:paraId="2683B127" w14:textId="03E9F99A"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12</w:t>
            </w:r>
            <w:r w:rsidR="00C82931">
              <w:rPr>
                <w:rFonts w:hint="eastAsia"/>
                <w:sz w:val="18"/>
              </w:rPr>
              <w:t xml:space="preserve"> </w:t>
            </w:r>
            <w:r w:rsidRPr="00B4060E">
              <w:rPr>
                <w:rFonts w:hint="eastAsia"/>
                <w:sz w:val="18"/>
              </w:rPr>
              <w:t>398</w:t>
            </w:r>
          </w:p>
        </w:tc>
        <w:tc>
          <w:tcPr>
            <w:tcW w:w="1053" w:type="dxa"/>
            <w:shd w:val="clear" w:color="auto" w:fill="auto"/>
            <w:vAlign w:val="bottom"/>
          </w:tcPr>
          <w:p w14:paraId="252FEA0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42</w:t>
            </w:r>
          </w:p>
        </w:tc>
        <w:tc>
          <w:tcPr>
            <w:tcW w:w="1053" w:type="dxa"/>
            <w:shd w:val="clear" w:color="auto" w:fill="auto"/>
            <w:vAlign w:val="bottom"/>
          </w:tcPr>
          <w:p w14:paraId="3A31E59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504</w:t>
            </w:r>
          </w:p>
        </w:tc>
        <w:tc>
          <w:tcPr>
            <w:tcW w:w="1053" w:type="dxa"/>
            <w:shd w:val="clear" w:color="auto" w:fill="auto"/>
            <w:vAlign w:val="bottom"/>
          </w:tcPr>
          <w:p w14:paraId="27426E0F"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22</w:t>
            </w:r>
          </w:p>
        </w:tc>
        <w:tc>
          <w:tcPr>
            <w:tcW w:w="1053" w:type="dxa"/>
            <w:shd w:val="clear" w:color="auto" w:fill="auto"/>
            <w:vAlign w:val="bottom"/>
          </w:tcPr>
          <w:p w14:paraId="3A850DDE"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165</w:t>
            </w:r>
          </w:p>
        </w:tc>
        <w:tc>
          <w:tcPr>
            <w:tcW w:w="1053" w:type="dxa"/>
            <w:shd w:val="clear" w:color="auto" w:fill="auto"/>
            <w:vAlign w:val="bottom"/>
          </w:tcPr>
          <w:p w14:paraId="1D71BE0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6</w:t>
            </w:r>
          </w:p>
        </w:tc>
      </w:tr>
    </w:tbl>
    <w:p w14:paraId="420C6431" w14:textId="28F5F32A" w:rsidR="001D75D7" w:rsidRPr="00C82931" w:rsidRDefault="001D75D7" w:rsidP="00C82931">
      <w:pPr>
        <w:spacing w:before="120" w:after="240"/>
        <w:ind w:left="1134" w:right="1134" w:firstLine="170"/>
        <w:rPr>
          <w:sz w:val="18"/>
        </w:rPr>
      </w:pPr>
      <w:r w:rsidRPr="00C82931">
        <w:rPr>
          <w:i/>
          <w:iCs/>
          <w:sz w:val="18"/>
        </w:rPr>
        <w:t>Source</w:t>
      </w:r>
      <w:r w:rsidRPr="00C82931">
        <w:rPr>
          <w:sz w:val="18"/>
        </w:rPr>
        <w:t xml:space="preserve">: </w:t>
      </w:r>
      <w:r w:rsidR="006603A7">
        <w:rPr>
          <w:sz w:val="18"/>
        </w:rPr>
        <w:t xml:space="preserve"> </w:t>
      </w:r>
      <w:r w:rsidRPr="00C82931">
        <w:rPr>
          <w:sz w:val="18"/>
        </w:rPr>
        <w:t>MEB.</w:t>
      </w:r>
    </w:p>
    <w:p w14:paraId="706C9419" w14:textId="77777777" w:rsidR="001D75D7" w:rsidRPr="00B47380" w:rsidRDefault="001D75D7" w:rsidP="00C82931">
      <w:pPr>
        <w:pStyle w:val="H23G"/>
      </w:pPr>
      <w:r w:rsidRPr="00B47380">
        <w:tab/>
      </w:r>
      <w:r w:rsidRPr="00B47380">
        <w:tab/>
        <w:t>Industrial property registrations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B4060E" w:rsidRPr="00B4060E" w14:paraId="5E2F2FB3" w14:textId="77777777" w:rsidTr="00E45843">
        <w:trPr>
          <w:cantSplit/>
          <w:tblHeader/>
        </w:trPr>
        <w:tc>
          <w:tcPr>
            <w:tcW w:w="1052" w:type="dxa"/>
            <w:tcBorders>
              <w:top w:val="single" w:sz="4" w:space="0" w:color="auto"/>
              <w:bottom w:val="single" w:sz="12" w:space="0" w:color="auto"/>
            </w:tcBorders>
            <w:shd w:val="clear" w:color="auto" w:fill="auto"/>
            <w:vAlign w:val="bottom"/>
          </w:tcPr>
          <w:p w14:paraId="107A7D4B" w14:textId="77777777" w:rsidR="001D75D7" w:rsidRPr="00B4060E" w:rsidRDefault="001D75D7" w:rsidP="00B4060E">
            <w:pPr>
              <w:pStyle w:val="SingleTxtG"/>
              <w:suppressAutoHyphens w:val="0"/>
              <w:spacing w:before="80" w:after="80" w:line="200" w:lineRule="exact"/>
              <w:ind w:left="0" w:right="113"/>
              <w:jc w:val="left"/>
              <w:rPr>
                <w:i/>
                <w:sz w:val="16"/>
              </w:rPr>
            </w:pPr>
            <w:r w:rsidRPr="00B4060E">
              <w:rPr>
                <w:rFonts w:hint="eastAsia"/>
                <w:i/>
                <w:sz w:val="16"/>
              </w:rPr>
              <w:t>Year</w:t>
            </w:r>
          </w:p>
        </w:tc>
        <w:tc>
          <w:tcPr>
            <w:tcW w:w="1053" w:type="dxa"/>
            <w:tcBorders>
              <w:top w:val="single" w:sz="4" w:space="0" w:color="auto"/>
              <w:bottom w:val="single" w:sz="12" w:space="0" w:color="auto"/>
            </w:tcBorders>
            <w:shd w:val="clear" w:color="auto" w:fill="auto"/>
            <w:vAlign w:val="bottom"/>
          </w:tcPr>
          <w:p w14:paraId="4625639D"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rFonts w:hint="eastAsia"/>
                <w:i/>
                <w:sz w:val="16"/>
              </w:rPr>
              <w:t>Trademark</w:t>
            </w:r>
          </w:p>
        </w:tc>
        <w:tc>
          <w:tcPr>
            <w:tcW w:w="1053" w:type="dxa"/>
            <w:tcBorders>
              <w:top w:val="single" w:sz="4" w:space="0" w:color="auto"/>
              <w:bottom w:val="single" w:sz="12" w:space="0" w:color="auto"/>
            </w:tcBorders>
            <w:shd w:val="clear" w:color="auto" w:fill="auto"/>
            <w:vAlign w:val="bottom"/>
          </w:tcPr>
          <w:p w14:paraId="236B4ECF"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rFonts w:hint="eastAsia"/>
                <w:i/>
                <w:sz w:val="16"/>
              </w:rPr>
              <w:t xml:space="preserve">Invention </w:t>
            </w:r>
            <w:r w:rsidRPr="00B4060E">
              <w:rPr>
                <w:i/>
                <w:sz w:val="16"/>
              </w:rPr>
              <w:t>p</w:t>
            </w:r>
            <w:r w:rsidRPr="00B4060E">
              <w:rPr>
                <w:rFonts w:hint="eastAsia"/>
                <w:i/>
                <w:sz w:val="16"/>
              </w:rPr>
              <w:t>atent</w:t>
            </w:r>
          </w:p>
        </w:tc>
        <w:tc>
          <w:tcPr>
            <w:tcW w:w="1053" w:type="dxa"/>
            <w:tcBorders>
              <w:top w:val="single" w:sz="4" w:space="0" w:color="auto"/>
              <w:bottom w:val="single" w:sz="12" w:space="0" w:color="auto"/>
            </w:tcBorders>
            <w:shd w:val="clear" w:color="auto" w:fill="auto"/>
            <w:vAlign w:val="bottom"/>
          </w:tcPr>
          <w:p w14:paraId="66BB2DB1"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rFonts w:hint="eastAsia"/>
                <w:i/>
                <w:sz w:val="16"/>
              </w:rPr>
              <w:t xml:space="preserve">Extension of invention </w:t>
            </w:r>
            <w:r w:rsidRPr="00B4060E">
              <w:rPr>
                <w:i/>
                <w:sz w:val="16"/>
              </w:rPr>
              <w:t>p</w:t>
            </w:r>
            <w:r w:rsidRPr="00B4060E">
              <w:rPr>
                <w:rFonts w:hint="eastAsia"/>
                <w:i/>
                <w:sz w:val="16"/>
              </w:rPr>
              <w:t>atent</w:t>
            </w:r>
          </w:p>
        </w:tc>
        <w:tc>
          <w:tcPr>
            <w:tcW w:w="1053" w:type="dxa"/>
            <w:tcBorders>
              <w:top w:val="single" w:sz="4" w:space="0" w:color="auto"/>
              <w:bottom w:val="single" w:sz="12" w:space="0" w:color="auto"/>
            </w:tcBorders>
            <w:shd w:val="clear" w:color="auto" w:fill="auto"/>
            <w:vAlign w:val="bottom"/>
          </w:tcPr>
          <w:p w14:paraId="35D4DEFB"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rFonts w:hint="eastAsia"/>
                <w:i/>
                <w:sz w:val="16"/>
              </w:rPr>
              <w:t xml:space="preserve">Utility </w:t>
            </w:r>
            <w:r w:rsidRPr="00B4060E">
              <w:rPr>
                <w:i/>
                <w:sz w:val="16"/>
              </w:rPr>
              <w:t>p</w:t>
            </w:r>
            <w:r w:rsidRPr="00B4060E">
              <w:rPr>
                <w:rFonts w:hint="eastAsia"/>
                <w:i/>
                <w:sz w:val="16"/>
              </w:rPr>
              <w:t>atent</w:t>
            </w:r>
          </w:p>
        </w:tc>
        <w:tc>
          <w:tcPr>
            <w:tcW w:w="1053" w:type="dxa"/>
            <w:tcBorders>
              <w:top w:val="single" w:sz="4" w:space="0" w:color="auto"/>
              <w:bottom w:val="single" w:sz="12" w:space="0" w:color="auto"/>
            </w:tcBorders>
            <w:shd w:val="clear" w:color="auto" w:fill="auto"/>
            <w:vAlign w:val="bottom"/>
          </w:tcPr>
          <w:p w14:paraId="427B0A71"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i/>
                <w:sz w:val="16"/>
              </w:rPr>
              <w:t>Industrial d</w:t>
            </w:r>
            <w:r w:rsidRPr="00B4060E">
              <w:rPr>
                <w:rFonts w:hint="eastAsia"/>
                <w:i/>
                <w:sz w:val="16"/>
              </w:rPr>
              <w:t>esign</w:t>
            </w:r>
            <w:r w:rsidRPr="00B4060E">
              <w:rPr>
                <w:i/>
                <w:sz w:val="16"/>
              </w:rPr>
              <w:t xml:space="preserve"> and</w:t>
            </w:r>
            <w:r w:rsidRPr="00B4060E">
              <w:rPr>
                <w:rFonts w:hint="eastAsia"/>
                <w:i/>
                <w:sz w:val="16"/>
              </w:rPr>
              <w:t xml:space="preserve"> </w:t>
            </w:r>
            <w:r w:rsidRPr="00B4060E">
              <w:rPr>
                <w:i/>
                <w:sz w:val="16"/>
              </w:rPr>
              <w:t>m</w:t>
            </w:r>
            <w:r w:rsidRPr="00B4060E">
              <w:rPr>
                <w:rFonts w:hint="eastAsia"/>
                <w:i/>
                <w:sz w:val="16"/>
              </w:rPr>
              <w:t>odel</w:t>
            </w:r>
          </w:p>
        </w:tc>
        <w:tc>
          <w:tcPr>
            <w:tcW w:w="1053" w:type="dxa"/>
            <w:tcBorders>
              <w:top w:val="single" w:sz="4" w:space="0" w:color="auto"/>
              <w:bottom w:val="single" w:sz="12" w:space="0" w:color="auto"/>
            </w:tcBorders>
            <w:shd w:val="clear" w:color="auto" w:fill="auto"/>
            <w:vAlign w:val="bottom"/>
          </w:tcPr>
          <w:p w14:paraId="054C60EE" w14:textId="77777777" w:rsidR="001D75D7" w:rsidRPr="00B4060E" w:rsidRDefault="001D75D7" w:rsidP="00B4060E">
            <w:pPr>
              <w:pStyle w:val="SingleTxtG"/>
              <w:suppressAutoHyphens w:val="0"/>
              <w:spacing w:before="80" w:after="80" w:line="200" w:lineRule="exact"/>
              <w:ind w:left="0" w:right="113"/>
              <w:jc w:val="right"/>
              <w:rPr>
                <w:i/>
                <w:sz w:val="16"/>
              </w:rPr>
            </w:pPr>
            <w:r w:rsidRPr="00B4060E">
              <w:rPr>
                <w:rFonts w:hint="eastAsia"/>
                <w:i/>
                <w:sz w:val="16"/>
              </w:rPr>
              <w:t>Name</w:t>
            </w:r>
            <w:r w:rsidRPr="00B4060E">
              <w:rPr>
                <w:i/>
                <w:sz w:val="16"/>
              </w:rPr>
              <w:t xml:space="preserve"> and emblem</w:t>
            </w:r>
            <w:r w:rsidRPr="00B4060E">
              <w:rPr>
                <w:rFonts w:hint="eastAsia"/>
                <w:i/>
                <w:sz w:val="16"/>
              </w:rPr>
              <w:t xml:space="preserve"> of </w:t>
            </w:r>
            <w:r w:rsidRPr="00B4060E">
              <w:rPr>
                <w:i/>
                <w:sz w:val="16"/>
              </w:rPr>
              <w:t>establishment</w:t>
            </w:r>
          </w:p>
        </w:tc>
      </w:tr>
      <w:tr w:rsidR="00B4060E" w:rsidRPr="00B4060E" w14:paraId="0CCCFAFB" w14:textId="77777777" w:rsidTr="00E45843">
        <w:trPr>
          <w:cantSplit/>
        </w:trPr>
        <w:tc>
          <w:tcPr>
            <w:tcW w:w="1052" w:type="dxa"/>
            <w:tcBorders>
              <w:top w:val="single" w:sz="12" w:space="0" w:color="auto"/>
            </w:tcBorders>
            <w:shd w:val="clear" w:color="auto" w:fill="auto"/>
          </w:tcPr>
          <w:p w14:paraId="5345CA6E"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rFonts w:hint="eastAsia"/>
                <w:sz w:val="18"/>
              </w:rPr>
              <w:t>2014</w:t>
            </w:r>
          </w:p>
        </w:tc>
        <w:tc>
          <w:tcPr>
            <w:tcW w:w="1053" w:type="dxa"/>
            <w:tcBorders>
              <w:top w:val="single" w:sz="12" w:space="0" w:color="auto"/>
            </w:tcBorders>
            <w:shd w:val="clear" w:color="auto" w:fill="auto"/>
            <w:vAlign w:val="bottom"/>
          </w:tcPr>
          <w:p w14:paraId="3773C716" w14:textId="5D078EB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12</w:t>
            </w:r>
            <w:r w:rsidR="00C82931">
              <w:rPr>
                <w:rFonts w:hint="eastAsia"/>
                <w:sz w:val="18"/>
              </w:rPr>
              <w:t xml:space="preserve"> </w:t>
            </w:r>
            <w:r w:rsidRPr="00B4060E">
              <w:rPr>
                <w:rFonts w:hint="eastAsia"/>
                <w:sz w:val="18"/>
              </w:rPr>
              <w:t>764</w:t>
            </w:r>
          </w:p>
        </w:tc>
        <w:tc>
          <w:tcPr>
            <w:tcW w:w="1053" w:type="dxa"/>
            <w:tcBorders>
              <w:top w:val="single" w:sz="12" w:space="0" w:color="auto"/>
            </w:tcBorders>
            <w:shd w:val="clear" w:color="auto" w:fill="auto"/>
            <w:vAlign w:val="bottom"/>
          </w:tcPr>
          <w:p w14:paraId="6FA96AC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16</w:t>
            </w:r>
          </w:p>
        </w:tc>
        <w:tc>
          <w:tcPr>
            <w:tcW w:w="1053" w:type="dxa"/>
            <w:tcBorders>
              <w:top w:val="single" w:sz="12" w:space="0" w:color="auto"/>
            </w:tcBorders>
            <w:shd w:val="clear" w:color="auto" w:fill="auto"/>
            <w:vAlign w:val="bottom"/>
          </w:tcPr>
          <w:p w14:paraId="5171978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254</w:t>
            </w:r>
          </w:p>
        </w:tc>
        <w:tc>
          <w:tcPr>
            <w:tcW w:w="1053" w:type="dxa"/>
            <w:tcBorders>
              <w:top w:val="single" w:sz="12" w:space="0" w:color="auto"/>
            </w:tcBorders>
            <w:shd w:val="clear" w:color="auto" w:fill="auto"/>
            <w:vAlign w:val="bottom"/>
          </w:tcPr>
          <w:p w14:paraId="0DCEE40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w:t>
            </w:r>
          </w:p>
        </w:tc>
        <w:tc>
          <w:tcPr>
            <w:tcW w:w="1053" w:type="dxa"/>
            <w:tcBorders>
              <w:top w:val="single" w:sz="12" w:space="0" w:color="auto"/>
            </w:tcBorders>
            <w:shd w:val="clear" w:color="auto" w:fill="auto"/>
            <w:vAlign w:val="bottom"/>
          </w:tcPr>
          <w:p w14:paraId="550F573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117</w:t>
            </w:r>
          </w:p>
        </w:tc>
        <w:tc>
          <w:tcPr>
            <w:tcW w:w="1053" w:type="dxa"/>
            <w:tcBorders>
              <w:top w:val="single" w:sz="12" w:space="0" w:color="auto"/>
            </w:tcBorders>
            <w:shd w:val="clear" w:color="auto" w:fill="auto"/>
            <w:vAlign w:val="bottom"/>
          </w:tcPr>
          <w:p w14:paraId="48916498"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19</w:t>
            </w:r>
          </w:p>
        </w:tc>
      </w:tr>
      <w:tr w:rsidR="00B4060E" w:rsidRPr="00B4060E" w14:paraId="719774E2" w14:textId="77777777" w:rsidTr="00E45843">
        <w:trPr>
          <w:cantSplit/>
        </w:trPr>
        <w:tc>
          <w:tcPr>
            <w:tcW w:w="1052" w:type="dxa"/>
            <w:shd w:val="clear" w:color="auto" w:fill="auto"/>
          </w:tcPr>
          <w:p w14:paraId="2EC527E8"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rFonts w:hint="eastAsia"/>
                <w:sz w:val="18"/>
              </w:rPr>
              <w:t>2015</w:t>
            </w:r>
          </w:p>
        </w:tc>
        <w:tc>
          <w:tcPr>
            <w:tcW w:w="1053" w:type="dxa"/>
            <w:shd w:val="clear" w:color="auto" w:fill="auto"/>
            <w:vAlign w:val="bottom"/>
          </w:tcPr>
          <w:p w14:paraId="5C98B603" w14:textId="06B766E0"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12</w:t>
            </w:r>
            <w:r w:rsidR="00C82931">
              <w:rPr>
                <w:rFonts w:hint="eastAsia"/>
                <w:sz w:val="18"/>
              </w:rPr>
              <w:t xml:space="preserve"> </w:t>
            </w:r>
            <w:r w:rsidRPr="00B4060E">
              <w:rPr>
                <w:rFonts w:hint="eastAsia"/>
                <w:sz w:val="18"/>
              </w:rPr>
              <w:t>094</w:t>
            </w:r>
          </w:p>
        </w:tc>
        <w:tc>
          <w:tcPr>
            <w:tcW w:w="1053" w:type="dxa"/>
            <w:shd w:val="clear" w:color="auto" w:fill="auto"/>
            <w:vAlign w:val="bottom"/>
          </w:tcPr>
          <w:p w14:paraId="698B7CE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37</w:t>
            </w:r>
          </w:p>
        </w:tc>
        <w:tc>
          <w:tcPr>
            <w:tcW w:w="1053" w:type="dxa"/>
            <w:shd w:val="clear" w:color="auto" w:fill="auto"/>
            <w:vAlign w:val="bottom"/>
          </w:tcPr>
          <w:p w14:paraId="2743DF19"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321</w:t>
            </w:r>
          </w:p>
        </w:tc>
        <w:tc>
          <w:tcPr>
            <w:tcW w:w="1053" w:type="dxa"/>
            <w:shd w:val="clear" w:color="auto" w:fill="auto"/>
            <w:vAlign w:val="bottom"/>
          </w:tcPr>
          <w:p w14:paraId="71D27D7F"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15</w:t>
            </w:r>
          </w:p>
        </w:tc>
        <w:tc>
          <w:tcPr>
            <w:tcW w:w="1053" w:type="dxa"/>
            <w:shd w:val="clear" w:color="auto" w:fill="auto"/>
            <w:vAlign w:val="bottom"/>
          </w:tcPr>
          <w:p w14:paraId="332572EA"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177</w:t>
            </w:r>
          </w:p>
        </w:tc>
        <w:tc>
          <w:tcPr>
            <w:tcW w:w="1053" w:type="dxa"/>
            <w:shd w:val="clear" w:color="auto" w:fill="auto"/>
            <w:vAlign w:val="bottom"/>
          </w:tcPr>
          <w:p w14:paraId="3EB6459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24</w:t>
            </w:r>
          </w:p>
        </w:tc>
      </w:tr>
      <w:tr w:rsidR="00B4060E" w:rsidRPr="00B4060E" w14:paraId="108769CF" w14:textId="77777777" w:rsidTr="00E45843">
        <w:trPr>
          <w:cantSplit/>
        </w:trPr>
        <w:tc>
          <w:tcPr>
            <w:tcW w:w="1052" w:type="dxa"/>
            <w:shd w:val="clear" w:color="auto" w:fill="auto"/>
          </w:tcPr>
          <w:p w14:paraId="5A6BFE8E"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rFonts w:hint="eastAsia"/>
                <w:sz w:val="18"/>
              </w:rPr>
              <w:t>2016</w:t>
            </w:r>
          </w:p>
        </w:tc>
        <w:tc>
          <w:tcPr>
            <w:tcW w:w="1053" w:type="dxa"/>
            <w:shd w:val="clear" w:color="auto" w:fill="auto"/>
            <w:vAlign w:val="bottom"/>
          </w:tcPr>
          <w:p w14:paraId="7C11828C" w14:textId="1EE88C4D"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11</w:t>
            </w:r>
            <w:r w:rsidR="00C82931">
              <w:rPr>
                <w:rFonts w:hint="eastAsia"/>
                <w:sz w:val="18"/>
              </w:rPr>
              <w:t xml:space="preserve"> </w:t>
            </w:r>
            <w:r w:rsidRPr="00B4060E">
              <w:rPr>
                <w:rFonts w:hint="eastAsia"/>
                <w:sz w:val="18"/>
              </w:rPr>
              <w:t>530</w:t>
            </w:r>
          </w:p>
        </w:tc>
        <w:tc>
          <w:tcPr>
            <w:tcW w:w="1053" w:type="dxa"/>
            <w:shd w:val="clear" w:color="auto" w:fill="auto"/>
            <w:vAlign w:val="bottom"/>
          </w:tcPr>
          <w:p w14:paraId="46CA237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58</w:t>
            </w:r>
          </w:p>
        </w:tc>
        <w:tc>
          <w:tcPr>
            <w:tcW w:w="1053" w:type="dxa"/>
            <w:shd w:val="clear" w:color="auto" w:fill="auto"/>
            <w:vAlign w:val="bottom"/>
          </w:tcPr>
          <w:p w14:paraId="53BEF6E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471</w:t>
            </w:r>
          </w:p>
        </w:tc>
        <w:tc>
          <w:tcPr>
            <w:tcW w:w="1053" w:type="dxa"/>
            <w:shd w:val="clear" w:color="auto" w:fill="auto"/>
            <w:vAlign w:val="bottom"/>
          </w:tcPr>
          <w:p w14:paraId="6011D22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12</w:t>
            </w:r>
          </w:p>
        </w:tc>
        <w:tc>
          <w:tcPr>
            <w:tcW w:w="1053" w:type="dxa"/>
            <w:shd w:val="clear" w:color="auto" w:fill="auto"/>
            <w:vAlign w:val="bottom"/>
          </w:tcPr>
          <w:p w14:paraId="26B72544"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79</w:t>
            </w:r>
          </w:p>
        </w:tc>
        <w:tc>
          <w:tcPr>
            <w:tcW w:w="1053" w:type="dxa"/>
            <w:shd w:val="clear" w:color="auto" w:fill="auto"/>
            <w:vAlign w:val="bottom"/>
          </w:tcPr>
          <w:p w14:paraId="5B1D5D0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22</w:t>
            </w:r>
          </w:p>
        </w:tc>
      </w:tr>
      <w:tr w:rsidR="00B4060E" w:rsidRPr="00B4060E" w14:paraId="14A51A0F" w14:textId="77777777" w:rsidTr="00E45843">
        <w:trPr>
          <w:cantSplit/>
        </w:trPr>
        <w:tc>
          <w:tcPr>
            <w:tcW w:w="1052" w:type="dxa"/>
            <w:shd w:val="clear" w:color="auto" w:fill="auto"/>
          </w:tcPr>
          <w:p w14:paraId="35F2D283"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rFonts w:hint="eastAsia"/>
                <w:sz w:val="18"/>
              </w:rPr>
              <w:t>2017</w:t>
            </w:r>
          </w:p>
        </w:tc>
        <w:tc>
          <w:tcPr>
            <w:tcW w:w="1053" w:type="dxa"/>
            <w:shd w:val="clear" w:color="auto" w:fill="auto"/>
            <w:vAlign w:val="bottom"/>
          </w:tcPr>
          <w:p w14:paraId="3F82BACA" w14:textId="76CC015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11</w:t>
            </w:r>
            <w:r w:rsidR="00C82931">
              <w:rPr>
                <w:rFonts w:hint="eastAsia"/>
                <w:sz w:val="18"/>
              </w:rPr>
              <w:t xml:space="preserve"> </w:t>
            </w:r>
            <w:r w:rsidRPr="00B4060E">
              <w:rPr>
                <w:rFonts w:hint="eastAsia"/>
                <w:sz w:val="18"/>
              </w:rPr>
              <w:t>076</w:t>
            </w:r>
          </w:p>
        </w:tc>
        <w:tc>
          <w:tcPr>
            <w:tcW w:w="1053" w:type="dxa"/>
            <w:shd w:val="clear" w:color="auto" w:fill="auto"/>
            <w:vAlign w:val="bottom"/>
          </w:tcPr>
          <w:p w14:paraId="1544B10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21</w:t>
            </w:r>
          </w:p>
        </w:tc>
        <w:tc>
          <w:tcPr>
            <w:tcW w:w="1053" w:type="dxa"/>
            <w:shd w:val="clear" w:color="auto" w:fill="auto"/>
            <w:vAlign w:val="bottom"/>
          </w:tcPr>
          <w:p w14:paraId="074709C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416</w:t>
            </w:r>
          </w:p>
        </w:tc>
        <w:tc>
          <w:tcPr>
            <w:tcW w:w="1053" w:type="dxa"/>
            <w:shd w:val="clear" w:color="auto" w:fill="auto"/>
            <w:vAlign w:val="bottom"/>
          </w:tcPr>
          <w:p w14:paraId="4B4E89F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7</w:t>
            </w:r>
          </w:p>
        </w:tc>
        <w:tc>
          <w:tcPr>
            <w:tcW w:w="1053" w:type="dxa"/>
            <w:shd w:val="clear" w:color="auto" w:fill="auto"/>
            <w:vAlign w:val="bottom"/>
          </w:tcPr>
          <w:p w14:paraId="1F0F491C"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249</w:t>
            </w:r>
          </w:p>
        </w:tc>
        <w:tc>
          <w:tcPr>
            <w:tcW w:w="1053" w:type="dxa"/>
            <w:shd w:val="clear" w:color="auto" w:fill="auto"/>
            <w:vAlign w:val="bottom"/>
          </w:tcPr>
          <w:p w14:paraId="28746721"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11</w:t>
            </w:r>
          </w:p>
        </w:tc>
      </w:tr>
      <w:tr w:rsidR="00B4060E" w:rsidRPr="00B4060E" w14:paraId="03DCBD98" w14:textId="77777777" w:rsidTr="00E45843">
        <w:trPr>
          <w:cantSplit/>
        </w:trPr>
        <w:tc>
          <w:tcPr>
            <w:tcW w:w="1052" w:type="dxa"/>
            <w:shd w:val="clear" w:color="auto" w:fill="auto"/>
          </w:tcPr>
          <w:p w14:paraId="1CE5665A" w14:textId="77777777" w:rsidR="001D75D7" w:rsidRPr="00B4060E" w:rsidRDefault="001D75D7" w:rsidP="00B4060E">
            <w:pPr>
              <w:pStyle w:val="SingleTxtG"/>
              <w:suppressAutoHyphens w:val="0"/>
              <w:spacing w:before="40" w:after="40" w:line="220" w:lineRule="exact"/>
              <w:ind w:left="0" w:right="113"/>
              <w:jc w:val="left"/>
              <w:rPr>
                <w:sz w:val="18"/>
              </w:rPr>
            </w:pPr>
            <w:r w:rsidRPr="00B4060E">
              <w:rPr>
                <w:sz w:val="18"/>
              </w:rPr>
              <w:t>09/</w:t>
            </w:r>
            <w:r w:rsidRPr="00B4060E">
              <w:rPr>
                <w:rFonts w:hint="eastAsia"/>
                <w:sz w:val="18"/>
              </w:rPr>
              <w:t xml:space="preserve">2018 </w:t>
            </w:r>
          </w:p>
        </w:tc>
        <w:tc>
          <w:tcPr>
            <w:tcW w:w="1053" w:type="dxa"/>
            <w:shd w:val="clear" w:color="auto" w:fill="auto"/>
            <w:vAlign w:val="bottom"/>
          </w:tcPr>
          <w:p w14:paraId="27944750" w14:textId="6FEFC6D4"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10</w:t>
            </w:r>
            <w:r w:rsidR="00C82931">
              <w:rPr>
                <w:rFonts w:hint="eastAsia"/>
                <w:sz w:val="18"/>
              </w:rPr>
              <w:t xml:space="preserve"> </w:t>
            </w:r>
            <w:r w:rsidRPr="00B4060E">
              <w:rPr>
                <w:rFonts w:hint="eastAsia"/>
                <w:sz w:val="18"/>
              </w:rPr>
              <w:t>217</w:t>
            </w:r>
          </w:p>
        </w:tc>
        <w:tc>
          <w:tcPr>
            <w:tcW w:w="1053" w:type="dxa"/>
            <w:shd w:val="clear" w:color="auto" w:fill="auto"/>
            <w:vAlign w:val="bottom"/>
          </w:tcPr>
          <w:p w14:paraId="7E809FE0"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21</w:t>
            </w:r>
          </w:p>
        </w:tc>
        <w:tc>
          <w:tcPr>
            <w:tcW w:w="1053" w:type="dxa"/>
            <w:shd w:val="clear" w:color="auto" w:fill="auto"/>
            <w:vAlign w:val="bottom"/>
          </w:tcPr>
          <w:p w14:paraId="2782501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346</w:t>
            </w:r>
          </w:p>
        </w:tc>
        <w:tc>
          <w:tcPr>
            <w:tcW w:w="1053" w:type="dxa"/>
            <w:shd w:val="clear" w:color="auto" w:fill="auto"/>
            <w:vAlign w:val="bottom"/>
          </w:tcPr>
          <w:p w14:paraId="4D470B45"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w:t>
            </w:r>
          </w:p>
        </w:tc>
        <w:tc>
          <w:tcPr>
            <w:tcW w:w="1053" w:type="dxa"/>
            <w:shd w:val="clear" w:color="auto" w:fill="auto"/>
            <w:vAlign w:val="bottom"/>
          </w:tcPr>
          <w:p w14:paraId="39884782"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209</w:t>
            </w:r>
          </w:p>
        </w:tc>
        <w:tc>
          <w:tcPr>
            <w:tcW w:w="1053" w:type="dxa"/>
            <w:shd w:val="clear" w:color="auto" w:fill="auto"/>
            <w:vAlign w:val="bottom"/>
          </w:tcPr>
          <w:p w14:paraId="3C2C2037" w14:textId="77777777" w:rsidR="001D75D7" w:rsidRPr="00B4060E" w:rsidRDefault="001D75D7" w:rsidP="00B4060E">
            <w:pPr>
              <w:pStyle w:val="SingleTxtG"/>
              <w:suppressAutoHyphens w:val="0"/>
              <w:spacing w:before="40" w:after="40" w:line="220" w:lineRule="exact"/>
              <w:ind w:left="0" w:right="113"/>
              <w:jc w:val="right"/>
              <w:rPr>
                <w:sz w:val="18"/>
              </w:rPr>
            </w:pPr>
            <w:r w:rsidRPr="00B4060E">
              <w:rPr>
                <w:rFonts w:hint="eastAsia"/>
                <w:sz w:val="18"/>
              </w:rPr>
              <w:t>10</w:t>
            </w:r>
          </w:p>
        </w:tc>
      </w:tr>
    </w:tbl>
    <w:p w14:paraId="46621B01" w14:textId="7E7E6C8C" w:rsidR="001D75D7" w:rsidRPr="00C82931" w:rsidRDefault="001D75D7" w:rsidP="00C82931">
      <w:pPr>
        <w:spacing w:before="120" w:after="240"/>
        <w:ind w:left="1134" w:right="1134" w:firstLine="170"/>
        <w:rPr>
          <w:sz w:val="18"/>
        </w:rPr>
      </w:pPr>
      <w:r w:rsidRPr="00C82931">
        <w:rPr>
          <w:i/>
          <w:iCs/>
          <w:sz w:val="18"/>
        </w:rPr>
        <w:t>Source</w:t>
      </w:r>
      <w:r w:rsidRPr="00C82931">
        <w:rPr>
          <w:sz w:val="18"/>
        </w:rPr>
        <w:t xml:space="preserve">: </w:t>
      </w:r>
      <w:r w:rsidR="006603A7">
        <w:rPr>
          <w:sz w:val="18"/>
        </w:rPr>
        <w:t xml:space="preserve"> </w:t>
      </w:r>
      <w:r w:rsidRPr="00C82931">
        <w:rPr>
          <w:sz w:val="18"/>
        </w:rPr>
        <w:t>MEB.</w:t>
      </w:r>
    </w:p>
    <w:p w14:paraId="3CB2C457" w14:textId="77777777" w:rsidR="001D75D7" w:rsidRPr="00B47380" w:rsidRDefault="001D75D7" w:rsidP="00D53B5F">
      <w:pPr>
        <w:pStyle w:val="SingleTxtG"/>
      </w:pPr>
      <w:r w:rsidRPr="00B47380">
        <w:t>345.</w:t>
      </w:r>
      <w:r w:rsidRPr="00B47380">
        <w:tab/>
        <w:t>In respect of external cooperation, a cooperation agreement with the National Intellectual Property Administration (CNIPA) is still in force. As of September 2018, the MEB had delivered to CNIPA 1,030 invention patents applications and 153 utility patent applications for substantive examination. Additional cooperation to timely update information on patents and literature was also established.</w:t>
      </w:r>
    </w:p>
    <w:p w14:paraId="31230251" w14:textId="6B24495D" w:rsidR="001D75D7" w:rsidRDefault="001D75D7" w:rsidP="00D53B5F">
      <w:pPr>
        <w:pStyle w:val="SingleTxtG"/>
      </w:pPr>
      <w:r w:rsidRPr="00B47380">
        <w:t>346.</w:t>
      </w:r>
      <w:r w:rsidRPr="00B47380">
        <w:tab/>
        <w:t>In this area, the work of the IEEM should be underpinned as an institution that promotes the Intellectual Property Law School (15th edition in 2018) and the Intellectual Property Seminar (18th edition in 2018) as well as the Pearl River Delta Academy of International Trade and Investment Law (PRAIA) (4th edition in 2018).</w:t>
      </w:r>
    </w:p>
    <w:p w14:paraId="6A1F5B49" w14:textId="023E6828" w:rsidR="00C15CB9" w:rsidRPr="00B47380" w:rsidRDefault="00C15CB9" w:rsidP="00C15CB9">
      <w:pPr>
        <w:pStyle w:val="SingleTxtG"/>
        <w:suppressAutoHyphens w:val="0"/>
        <w:spacing w:before="240" w:after="0" w:line="240" w:lineRule="auto"/>
        <w:jc w:val="center"/>
      </w:pPr>
      <w:r>
        <w:rPr>
          <w:u w:val="single"/>
        </w:rPr>
        <w:tab/>
      </w:r>
      <w:r>
        <w:rPr>
          <w:u w:val="single"/>
        </w:rPr>
        <w:tab/>
      </w:r>
      <w:r>
        <w:rPr>
          <w:u w:val="single"/>
        </w:rPr>
        <w:tab/>
      </w:r>
    </w:p>
    <w:sectPr w:rsidR="00C15CB9" w:rsidRPr="00B47380" w:rsidSect="001D75D7">
      <w:headerReference w:type="even" r:id="rId18"/>
      <w:headerReference w:type="default" r:id="rId19"/>
      <w:footerReference w:type="even" r:id="rId20"/>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FC736" w14:textId="77777777" w:rsidR="002300CF" w:rsidRPr="00FB1744" w:rsidRDefault="002300CF" w:rsidP="00FB1744">
      <w:pPr>
        <w:pStyle w:val="Footer"/>
      </w:pPr>
    </w:p>
  </w:endnote>
  <w:endnote w:type="continuationSeparator" w:id="0">
    <w:p w14:paraId="06D3D571" w14:textId="77777777" w:rsidR="002300CF" w:rsidRPr="00FB1744" w:rsidRDefault="002300C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CE2A" w14:textId="53CB0B08" w:rsidR="002300CF" w:rsidRDefault="002300CF" w:rsidP="005D009F">
    <w:pPr>
      <w:pStyle w:val="Footer"/>
      <w:tabs>
        <w:tab w:val="right" w:pos="9638"/>
      </w:tabs>
    </w:pPr>
    <w:r w:rsidRPr="005D009F">
      <w:rPr>
        <w:b/>
        <w:bCs/>
        <w:sz w:val="18"/>
      </w:rPr>
      <w:fldChar w:fldCharType="begin"/>
    </w:r>
    <w:r w:rsidRPr="005D009F">
      <w:rPr>
        <w:b/>
        <w:bCs/>
        <w:sz w:val="18"/>
      </w:rPr>
      <w:instrText xml:space="preserve"> PAGE  \* MERGEFORMAT </w:instrText>
    </w:r>
    <w:r w:rsidRPr="005D009F">
      <w:rPr>
        <w:b/>
        <w:bCs/>
        <w:sz w:val="18"/>
      </w:rPr>
      <w:fldChar w:fldCharType="separate"/>
    </w:r>
    <w:r w:rsidR="00721D4A">
      <w:rPr>
        <w:b/>
        <w:bCs/>
        <w:noProof/>
        <w:sz w:val="18"/>
      </w:rPr>
      <w:t>2</w:t>
    </w:r>
    <w:r w:rsidRPr="005D009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0D67" w14:textId="1B4B8DFE" w:rsidR="002300CF" w:rsidRDefault="002300CF" w:rsidP="005D009F">
    <w:pPr>
      <w:pStyle w:val="Footer"/>
      <w:tabs>
        <w:tab w:val="right" w:pos="9638"/>
      </w:tabs>
    </w:pPr>
    <w:r>
      <w:tab/>
    </w:r>
    <w:r w:rsidRPr="005D009F">
      <w:rPr>
        <w:b/>
        <w:bCs/>
        <w:sz w:val="18"/>
      </w:rPr>
      <w:fldChar w:fldCharType="begin"/>
    </w:r>
    <w:r w:rsidRPr="005D009F">
      <w:rPr>
        <w:b/>
        <w:bCs/>
        <w:sz w:val="18"/>
      </w:rPr>
      <w:instrText xml:space="preserve"> PAGE  \* MERGEFORMAT </w:instrText>
    </w:r>
    <w:r w:rsidRPr="005D009F">
      <w:rPr>
        <w:b/>
        <w:bCs/>
        <w:sz w:val="18"/>
      </w:rPr>
      <w:fldChar w:fldCharType="separate"/>
    </w:r>
    <w:r w:rsidR="00721D4A">
      <w:rPr>
        <w:b/>
        <w:bCs/>
        <w:noProof/>
        <w:sz w:val="18"/>
      </w:rPr>
      <w:t>3</w:t>
    </w:r>
    <w:r w:rsidRPr="005D009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01CA" w14:textId="6F455330" w:rsidR="00385D2F" w:rsidRDefault="00385D2F" w:rsidP="00385D2F">
    <w:pPr>
      <w:pStyle w:val="Footer"/>
    </w:pPr>
    <w:r>
      <w:rPr>
        <w:noProof/>
      </w:rPr>
      <w:drawing>
        <wp:anchor distT="0" distB="0" distL="114300" distR="114300" simplePos="0" relativeHeight="251670016" behindDoc="1" locked="1" layoutInCell="1" allowOverlap="1" wp14:anchorId="025BCC23" wp14:editId="16B3155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9540F6" w14:textId="13705245" w:rsidR="00385D2F" w:rsidRDefault="00385D2F" w:rsidP="00385D2F">
    <w:pPr>
      <w:pStyle w:val="Footer"/>
      <w:ind w:right="1134"/>
      <w:rPr>
        <w:sz w:val="20"/>
      </w:rPr>
    </w:pPr>
    <w:r>
      <w:rPr>
        <w:sz w:val="20"/>
      </w:rPr>
      <w:t>GE.20-10569(E)</w:t>
    </w:r>
  </w:p>
  <w:p w14:paraId="5710CC86" w14:textId="7127303A" w:rsidR="00385D2F" w:rsidRPr="00385D2F" w:rsidRDefault="00385D2F" w:rsidP="00385D2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71040" behindDoc="0" locked="0" layoutInCell="1" allowOverlap="1" wp14:anchorId="52C2D6B3" wp14:editId="77C763CA">
          <wp:simplePos x="0" y="0"/>
          <wp:positionH relativeFrom="margin">
            <wp:posOffset>5478780</wp:posOffset>
          </wp:positionH>
          <wp:positionV relativeFrom="margin">
            <wp:posOffset>8794750</wp:posOffset>
          </wp:positionV>
          <wp:extent cx="561975" cy="561975"/>
          <wp:effectExtent l="0" t="0" r="9525"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20D8" w14:textId="15AEC9B5" w:rsidR="002300CF" w:rsidRPr="00E45843" w:rsidRDefault="002300CF" w:rsidP="00E458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BB29" w14:textId="6D79F0ED" w:rsidR="002300CF" w:rsidRDefault="002300CF" w:rsidP="001D75D7">
    <w:pPr>
      <w:pStyle w:val="Footer"/>
      <w:tabs>
        <w:tab w:val="right" w:pos="9638"/>
      </w:tabs>
    </w:pPr>
    <w:r>
      <w:tab/>
    </w:r>
    <w:r w:rsidRPr="005D009F">
      <w:rPr>
        <w:b/>
        <w:bCs/>
        <w:sz w:val="18"/>
      </w:rPr>
      <w:fldChar w:fldCharType="begin"/>
    </w:r>
    <w:r w:rsidRPr="005D009F">
      <w:rPr>
        <w:b/>
        <w:bCs/>
        <w:sz w:val="18"/>
      </w:rPr>
      <w:instrText xml:space="preserve"> PAGE  \* MERGEFORMAT </w:instrText>
    </w:r>
    <w:r w:rsidRPr="005D009F">
      <w:rPr>
        <w:b/>
        <w:bCs/>
        <w:sz w:val="18"/>
      </w:rPr>
      <w:fldChar w:fldCharType="separate"/>
    </w:r>
    <w:r w:rsidR="00721D4A">
      <w:rPr>
        <w:b/>
        <w:bCs/>
        <w:noProof/>
        <w:sz w:val="18"/>
      </w:rPr>
      <w:t>21</w:t>
    </w:r>
    <w:r w:rsidRPr="005D009F">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D88E1" w14:textId="36BA0846" w:rsidR="00E45843" w:rsidRPr="00E45843" w:rsidRDefault="00E45843" w:rsidP="00E45843">
    <w:pPr>
      <w:pStyle w:val="Footer"/>
    </w:pPr>
    <w:r w:rsidRPr="005D009F">
      <w:rPr>
        <w:b/>
        <w:bCs/>
        <w:sz w:val="18"/>
      </w:rPr>
      <w:fldChar w:fldCharType="begin"/>
    </w:r>
    <w:r w:rsidRPr="005D009F">
      <w:rPr>
        <w:b/>
        <w:bCs/>
        <w:sz w:val="18"/>
      </w:rPr>
      <w:instrText xml:space="preserve"> PAGE  \* MERGEFORMAT </w:instrText>
    </w:r>
    <w:r w:rsidRPr="005D009F">
      <w:rPr>
        <w:b/>
        <w:bCs/>
        <w:sz w:val="18"/>
      </w:rPr>
      <w:fldChar w:fldCharType="separate"/>
    </w:r>
    <w:r w:rsidR="00721D4A">
      <w:rPr>
        <w:b/>
        <w:bCs/>
        <w:noProof/>
        <w:sz w:val="18"/>
      </w:rPr>
      <w:t>22</w:t>
    </w:r>
    <w:r w:rsidRPr="005D009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C0E87" w14:textId="77777777" w:rsidR="002300CF" w:rsidRPr="00FB1744" w:rsidRDefault="002300CF" w:rsidP="00FB1744">
      <w:pPr>
        <w:tabs>
          <w:tab w:val="right" w:pos="2155"/>
        </w:tabs>
        <w:spacing w:after="80" w:line="240" w:lineRule="auto"/>
        <w:ind w:left="680"/>
      </w:pPr>
      <w:r>
        <w:rPr>
          <w:u w:val="single"/>
        </w:rPr>
        <w:tab/>
      </w:r>
    </w:p>
  </w:footnote>
  <w:footnote w:type="continuationSeparator" w:id="0">
    <w:p w14:paraId="34E65747" w14:textId="77777777" w:rsidR="002300CF" w:rsidRPr="00FB1744" w:rsidRDefault="002300CF" w:rsidP="00FB1744">
      <w:pPr>
        <w:tabs>
          <w:tab w:val="right" w:pos="2155"/>
        </w:tabs>
        <w:spacing w:after="80" w:line="240" w:lineRule="auto"/>
        <w:ind w:left="680"/>
      </w:pPr>
      <w:r>
        <w:rPr>
          <w:u w:val="single"/>
        </w:rPr>
        <w:tab/>
      </w:r>
    </w:p>
  </w:footnote>
  <w:footnote w:id="1">
    <w:p w14:paraId="35F5D4F6" w14:textId="77777777" w:rsidR="002300CF" w:rsidRPr="00600516" w:rsidRDefault="002300CF" w:rsidP="005D009F">
      <w:pPr>
        <w:pStyle w:val="FootnoteText"/>
      </w:pPr>
      <w:r>
        <w:tab/>
      </w:r>
      <w:r w:rsidRPr="00A11823">
        <w:rPr>
          <w:rStyle w:val="Heading3Char"/>
        </w:rPr>
        <w:t>*</w:t>
      </w:r>
      <w:r>
        <w:rPr>
          <w:sz w:val="20"/>
        </w:rPr>
        <w:tab/>
      </w:r>
      <w:r>
        <w:t>The present document is being issued without formal editing.</w:t>
      </w:r>
    </w:p>
  </w:footnote>
  <w:footnote w:id="2">
    <w:p w14:paraId="32F7BDC1" w14:textId="77777777" w:rsidR="002300CF" w:rsidRPr="00AD4CC2" w:rsidRDefault="002300CF" w:rsidP="005D009F">
      <w:pPr>
        <w:pStyle w:val="FootnoteText"/>
      </w:pPr>
      <w:r>
        <w:tab/>
      </w:r>
      <w:r w:rsidRPr="00A11823">
        <w:rPr>
          <w:rStyle w:val="Heading3Char"/>
        </w:rPr>
        <w:t>**</w:t>
      </w:r>
      <w:r>
        <w:rPr>
          <w:rStyle w:val="Heading3Char"/>
        </w:rPr>
        <w:tab/>
      </w:r>
      <w:r w:rsidRPr="00693F9F">
        <w:t xml:space="preserve">The </w:t>
      </w:r>
      <w:r>
        <w:t xml:space="preserve">present document forms part of the State party </w:t>
      </w:r>
      <w:r w:rsidRPr="00693F9F">
        <w:t>report of China (E/C.12/CHN/</w:t>
      </w:r>
      <w:r>
        <w:t>3</w:t>
      </w:r>
      <w:r w:rsidRPr="00693F9F">
        <w:t>)</w:t>
      </w:r>
      <w:r>
        <w:t>, which also includes the report of Hong Kong, China</w:t>
      </w:r>
      <w:r w:rsidRPr="00693F9F">
        <w:t xml:space="preserve"> (</w:t>
      </w:r>
      <w:r>
        <w:t>E/C.12/CHN-HKG/4</w:t>
      </w:r>
      <w:r w:rsidRPr="00693F9F">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1F624" w14:textId="77777777" w:rsidR="002300CF" w:rsidRDefault="002300CF" w:rsidP="005D009F">
    <w:pPr>
      <w:pStyle w:val="Header"/>
    </w:pPr>
    <w:r>
      <w:t>E/C.12/CHN-MAC/3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AA88" w14:textId="77777777" w:rsidR="002300CF" w:rsidRDefault="002300CF" w:rsidP="005D009F">
    <w:pPr>
      <w:pStyle w:val="Header"/>
      <w:jc w:val="right"/>
    </w:pPr>
    <w:r>
      <w:t>E/C.12/CHN-MAC/3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49219" w14:textId="0A6AFFA0" w:rsidR="002300CF" w:rsidRPr="001D75D7" w:rsidRDefault="00E45843" w:rsidP="001D75D7">
    <w:pPr>
      <w:pStyle w:val="Header"/>
    </w:pPr>
    <w:r>
      <w:rPr>
        <w:noProof/>
        <w:lang w:eastAsia="en-GB"/>
      </w:rPr>
      <mc:AlternateContent>
        <mc:Choice Requires="wps">
          <w:drawing>
            <wp:anchor distT="0" distB="0" distL="114300" distR="114300" simplePos="0" relativeHeight="251667968" behindDoc="0" locked="1" layoutInCell="1" allowOverlap="1" wp14:anchorId="45DD47C2" wp14:editId="2A812D08">
              <wp:simplePos x="0" y="0"/>
              <wp:positionH relativeFrom="page">
                <wp:posOffset>172720</wp:posOffset>
              </wp:positionH>
              <wp:positionV relativeFrom="page">
                <wp:posOffset>690880</wp:posOffset>
              </wp:positionV>
              <wp:extent cx="2921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C065802" w14:textId="6B9F66CD" w:rsidR="00E45843" w:rsidRDefault="00E45843" w:rsidP="00E45843">
                          <w:r w:rsidRPr="005D009F">
                            <w:rPr>
                              <w:b/>
                              <w:bCs/>
                              <w:sz w:val="18"/>
                            </w:rPr>
                            <w:fldChar w:fldCharType="begin"/>
                          </w:r>
                          <w:r w:rsidRPr="005D009F">
                            <w:rPr>
                              <w:b/>
                              <w:bCs/>
                              <w:sz w:val="18"/>
                            </w:rPr>
                            <w:instrText xml:space="preserve"> PAGE  \* MERGEFORMAT </w:instrText>
                          </w:r>
                          <w:r w:rsidRPr="005D009F">
                            <w:rPr>
                              <w:b/>
                              <w:bCs/>
                              <w:sz w:val="18"/>
                            </w:rPr>
                            <w:fldChar w:fldCharType="separate"/>
                          </w:r>
                          <w:r w:rsidR="00721D4A">
                            <w:rPr>
                              <w:b/>
                              <w:bCs/>
                              <w:noProof/>
                              <w:sz w:val="18"/>
                            </w:rPr>
                            <w:t>16</w:t>
                          </w:r>
                          <w:r w:rsidRPr="005D009F">
                            <w:rPr>
                              <w:b/>
                              <w:bCs/>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D47C2" id="_x0000_t202" coordsize="21600,21600" o:spt="202" path="m,l,21600r21600,l21600,xe">
              <v:stroke joinstyle="miter"/>
              <v:path gradientshapeok="t" o:connecttype="rect"/>
            </v:shapetype>
            <v:shape id="Text Box 5" o:spid="_x0000_s1026" type="#_x0000_t202" style="position:absolute;margin-left:13.6pt;margin-top:54.4pt;width:23pt;height:481.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" fillcolor="#4f81bd [3204]" stroked="f">
              <v:fill opacity="0"/>
              <v:stroke joinstyle="round"/>
              <v:path arrowok="t"/>
              <v:textbox style="layout-flow:vertical" inset="0,0,0,0">
                <w:txbxContent>
                  <w:p w14:paraId="2C065802" w14:textId="6B9F66CD" w:rsidR="00E45843" w:rsidRDefault="00E45843" w:rsidP="00E45843">
                    <w:r w:rsidRPr="005D009F">
                      <w:rPr>
                        <w:b/>
                        <w:bCs/>
                        <w:sz w:val="18"/>
                      </w:rPr>
                      <w:fldChar w:fldCharType="begin"/>
                    </w:r>
                    <w:r w:rsidRPr="005D009F">
                      <w:rPr>
                        <w:b/>
                        <w:bCs/>
                        <w:sz w:val="18"/>
                      </w:rPr>
                      <w:instrText xml:space="preserve"> PAGE  \* MERGEFORMAT </w:instrText>
                    </w:r>
                    <w:r w:rsidRPr="005D009F">
                      <w:rPr>
                        <w:b/>
                        <w:bCs/>
                        <w:sz w:val="18"/>
                      </w:rPr>
                      <w:fldChar w:fldCharType="separate"/>
                    </w:r>
                    <w:r w:rsidR="00721D4A">
                      <w:rPr>
                        <w:b/>
                        <w:bCs/>
                        <w:noProof/>
                        <w:sz w:val="18"/>
                      </w:rPr>
                      <w:t>16</w:t>
                    </w:r>
                    <w:r w:rsidRPr="005D009F">
                      <w:rPr>
                        <w:b/>
                        <w:bCs/>
                        <w:sz w:val="18"/>
                      </w:rPr>
                      <w:fldChar w:fldCharType="end"/>
                    </w:r>
                  </w:p>
                </w:txbxContent>
              </v:textbox>
              <w10:wrap anchorx="page" anchory="page"/>
              <w10:anchorlock/>
            </v:shape>
          </w:pict>
        </mc:Fallback>
      </mc:AlternateContent>
    </w:r>
    <w:r w:rsidR="002300CF">
      <w:rPr>
        <w:noProof/>
        <w:lang w:eastAsia="en-GB"/>
      </w:rPr>
      <mc:AlternateContent>
        <mc:Choice Requires="wps">
          <w:drawing>
            <wp:anchor distT="0" distB="0" distL="114300" distR="114300" simplePos="0" relativeHeight="251656704" behindDoc="0" locked="1" layoutInCell="1" allowOverlap="1" wp14:anchorId="7D2F8A2B" wp14:editId="6FD1C4BE">
              <wp:simplePos x="0" y="0"/>
              <wp:positionH relativeFrom="page">
                <wp:posOffset>9935845</wp:posOffset>
              </wp:positionH>
              <wp:positionV relativeFrom="page">
                <wp:posOffset>719455</wp:posOffset>
              </wp:positionV>
              <wp:extent cx="292100" cy="6120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C3A8106" w14:textId="77777777" w:rsidR="002300CF" w:rsidRDefault="002300CF" w:rsidP="001D75D7">
                          <w:pPr>
                            <w:pStyle w:val="Header"/>
                          </w:pPr>
                          <w:r>
                            <w:t>E/C.12/CHN-MAC/3</w:t>
                          </w:r>
                        </w:p>
                        <w:p w14:paraId="40A83006" w14:textId="77777777" w:rsidR="002300CF" w:rsidRDefault="002300C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F8A2B" id="Text Box 2" o:spid="_x0000_s1027" type="#_x0000_t202" style="position:absolute;margin-left:782.35pt;margin-top:56.65pt;width:23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" fillcolor="#4f81bd [3204]" stroked="f">
              <v:fill opacity="0"/>
              <v:stroke joinstyle="round"/>
              <v:path arrowok="t"/>
              <v:textbox style="layout-flow:vertical" inset="0,0,0,0">
                <w:txbxContent>
                  <w:p w14:paraId="5C3A8106" w14:textId="77777777" w:rsidR="002300CF" w:rsidRDefault="002300CF" w:rsidP="001D75D7">
                    <w:pPr>
                      <w:pStyle w:val="Header"/>
                    </w:pPr>
                    <w:r>
                      <w:t>E/C.12/CHN-MAC/3</w:t>
                    </w:r>
                  </w:p>
                  <w:p w14:paraId="40A83006" w14:textId="77777777" w:rsidR="002300CF" w:rsidRDefault="002300CF"/>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E18B" w14:textId="4F23677D" w:rsidR="002300CF" w:rsidRPr="00E45843" w:rsidRDefault="00E45843" w:rsidP="00E45843">
    <w:pPr>
      <w:pStyle w:val="Header"/>
      <w:pBdr>
        <w:bottom w:val="none" w:sz="0" w:space="0" w:color="auto"/>
      </w:pBdr>
    </w:pPr>
    <w:r>
      <w:rPr>
        <w:noProof/>
        <w:lang w:eastAsia="en-GB"/>
      </w:rPr>
      <mc:AlternateContent>
        <mc:Choice Requires="wps">
          <w:drawing>
            <wp:anchor distT="0" distB="0" distL="114300" distR="114300" simplePos="0" relativeHeight="251659264" behindDoc="0" locked="0" layoutInCell="1" allowOverlap="1" wp14:anchorId="1C45FCF4" wp14:editId="6C45B05E">
              <wp:simplePos x="0" y="0"/>
              <wp:positionH relativeFrom="column">
                <wp:posOffset>8975090</wp:posOffset>
              </wp:positionH>
              <wp:positionV relativeFrom="paragraph">
                <wp:posOffset>360045</wp:posOffset>
              </wp:positionV>
              <wp:extent cx="381000" cy="6057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81000" cy="6057900"/>
                      </a:xfrm>
                      <a:prstGeom prst="rect">
                        <a:avLst/>
                      </a:prstGeom>
                      <a:noFill/>
                      <a:ln w="6350">
                        <a:solidFill>
                          <a:prstClr val="black"/>
                        </a:solidFill>
                      </a:ln>
                    </wps:spPr>
                    <wps:txbx>
                      <w:txbxContent>
                        <w:p w14:paraId="329FCBF0" w14:textId="77777777" w:rsidR="00E45843" w:rsidRDefault="00E45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45FCF4" id="_x0000_t202" coordsize="21600,21600" o:spt="202" path="m,l,21600r21600,l21600,xe">
              <v:stroke joinstyle="miter"/>
              <v:path gradientshapeok="t" o:connecttype="rect"/>
            </v:shapetype>
            <v:shape id="Text Box 3" o:spid="_x0000_s1028" type="#_x0000_t202" style="position:absolute;margin-left:706.7pt;margin-top:28.35pt;width:30pt;height:4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" filled="f" strokeweight=".5pt">
              <v:textbox>
                <w:txbxContent>
                  <w:p w14:paraId="329FCBF0" w14:textId="77777777" w:rsidR="00E45843" w:rsidRDefault="00E45843"/>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3DD5" w14:textId="01A16362" w:rsidR="00E45843" w:rsidRPr="001D75D7" w:rsidRDefault="00E45843" w:rsidP="00E45843">
    <w:pPr>
      <w:pStyle w:val="Header"/>
    </w:pPr>
    <w:r>
      <w:t>E/C.12/CHN-MAC/3</w:t>
    </w:r>
    <w:r>
      <w:rPr>
        <w:noProof/>
        <w:lang w:eastAsia="en-GB"/>
      </w:rPr>
      <mc:AlternateContent>
        <mc:Choice Requires="wps">
          <w:drawing>
            <wp:anchor distT="0" distB="0" distL="114300" distR="114300" simplePos="0" relativeHeight="251659776" behindDoc="0" locked="1" layoutInCell="1" allowOverlap="1" wp14:anchorId="0C07F387" wp14:editId="39804DB4">
              <wp:simplePos x="0" y="0"/>
              <wp:positionH relativeFrom="page">
                <wp:posOffset>9935845</wp:posOffset>
              </wp:positionH>
              <wp:positionV relativeFrom="page">
                <wp:posOffset>719455</wp:posOffset>
              </wp:positionV>
              <wp:extent cx="292100"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43DF91D" w14:textId="77777777" w:rsidR="00E45843" w:rsidRDefault="00E45843" w:rsidP="001D75D7">
                          <w:pPr>
                            <w:pStyle w:val="Header"/>
                          </w:pPr>
                          <w:r>
                            <w:t>E/C.12/CHN-MAC/3</w:t>
                          </w:r>
                        </w:p>
                        <w:p w14:paraId="788A9D7B" w14:textId="77777777" w:rsidR="00E45843" w:rsidRDefault="00E4584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7F387" id="_x0000_t202" coordsize="21600,21600" o:spt="202" path="m,l,21600r21600,l21600,xe">
              <v:stroke joinstyle="miter"/>
              <v:path gradientshapeok="t" o:connecttype="rect"/>
            </v:shapetype>
            <v:shape id="Text Box 9" o:spid="_x0000_s1029" type="#_x0000_t202" style="position:absolute;margin-left:782.35pt;margin-top:56.65pt;width:23pt;height:48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" fillcolor="#4f81bd [3204]" stroked="f">
              <v:fill opacity="0"/>
              <v:stroke joinstyle="round"/>
              <v:path arrowok="t"/>
              <v:textbox style="layout-flow:vertical" inset="0,0,0,0">
                <w:txbxContent>
                  <w:p w14:paraId="243DF91D" w14:textId="77777777" w:rsidR="00E45843" w:rsidRDefault="00E45843" w:rsidP="001D75D7">
                    <w:pPr>
                      <w:pStyle w:val="Header"/>
                    </w:pPr>
                    <w:r>
                      <w:t>E/C.12/CHN-MAC/3</w:t>
                    </w:r>
                  </w:p>
                  <w:p w14:paraId="788A9D7B" w14:textId="77777777" w:rsidR="00E45843" w:rsidRDefault="00E45843"/>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2161" w14:textId="77777777" w:rsidR="00E45843" w:rsidRDefault="00E45843" w:rsidP="00E45843">
    <w:pPr>
      <w:pStyle w:val="Header"/>
      <w:jc w:val="right"/>
    </w:pPr>
    <w:r>
      <w:t>E/C.12/CHN-MAC/3</w:t>
    </w:r>
  </w:p>
  <w:p w14:paraId="2005B7DC" w14:textId="77777777" w:rsidR="00E45843" w:rsidRPr="00E45843" w:rsidRDefault="00E45843" w:rsidP="00E45843">
    <w:pPr>
      <w:pStyle w:val="Header"/>
      <w:pBdr>
        <w:bottom w:val="none" w:sz="0" w:space="0" w:color="auto"/>
      </w:pBdr>
    </w:pPr>
    <w:r>
      <w:rPr>
        <w:noProof/>
        <w:lang w:eastAsia="en-GB"/>
      </w:rPr>
      <mc:AlternateContent>
        <mc:Choice Requires="wps">
          <w:drawing>
            <wp:anchor distT="0" distB="0" distL="114300" distR="114300" simplePos="0" relativeHeight="251653632" behindDoc="0" locked="0" layoutInCell="1" allowOverlap="1" wp14:anchorId="166B46C5" wp14:editId="2C86B0DC">
              <wp:simplePos x="0" y="0"/>
              <wp:positionH relativeFrom="column">
                <wp:posOffset>8975090</wp:posOffset>
              </wp:positionH>
              <wp:positionV relativeFrom="paragraph">
                <wp:posOffset>360045</wp:posOffset>
              </wp:positionV>
              <wp:extent cx="381000" cy="6057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81000" cy="6057900"/>
                      </a:xfrm>
                      <a:prstGeom prst="rect">
                        <a:avLst/>
                      </a:prstGeom>
                      <a:noFill/>
                      <a:ln w="6350">
                        <a:solidFill>
                          <a:prstClr val="black"/>
                        </a:solidFill>
                      </a:ln>
                    </wps:spPr>
                    <wps:txbx>
                      <w:txbxContent>
                        <w:p w14:paraId="4BA012BF" w14:textId="77777777" w:rsidR="00E45843" w:rsidRDefault="00E45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6B46C5" id="_x0000_t202" coordsize="21600,21600" o:spt="202" path="m,l,21600r21600,l21600,xe">
              <v:stroke joinstyle="miter"/>
              <v:path gradientshapeok="t" o:connecttype="rect"/>
            </v:shapetype>
            <v:shape id="Text Box 6" o:spid="_x0000_s1030" type="#_x0000_t202" style="position:absolute;margin-left:706.7pt;margin-top:28.35pt;width:30pt;height:477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" filled="f" strokeweight=".5pt">
              <v:textbox>
                <w:txbxContent>
                  <w:p w14:paraId="4BA012BF" w14:textId="77777777" w:rsidR="00E45843" w:rsidRDefault="00E4584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567"/>
  <w:hyphenationZone w:val="425"/>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40"/>
    <w:rsid w:val="00022E81"/>
    <w:rsid w:val="00046E92"/>
    <w:rsid w:val="00084034"/>
    <w:rsid w:val="000D1B89"/>
    <w:rsid w:val="00115F66"/>
    <w:rsid w:val="001170DC"/>
    <w:rsid w:val="001221EF"/>
    <w:rsid w:val="00127FE8"/>
    <w:rsid w:val="0013514A"/>
    <w:rsid w:val="00144F6F"/>
    <w:rsid w:val="001C3B44"/>
    <w:rsid w:val="001C4AF8"/>
    <w:rsid w:val="001D75D7"/>
    <w:rsid w:val="002300CF"/>
    <w:rsid w:val="00240C35"/>
    <w:rsid w:val="0024161B"/>
    <w:rsid w:val="00245054"/>
    <w:rsid w:val="00247E2C"/>
    <w:rsid w:val="00284C78"/>
    <w:rsid w:val="002D6C53"/>
    <w:rsid w:val="002F0693"/>
    <w:rsid w:val="002F5595"/>
    <w:rsid w:val="00334F6A"/>
    <w:rsid w:val="00342AC8"/>
    <w:rsid w:val="0036252D"/>
    <w:rsid w:val="00362B21"/>
    <w:rsid w:val="0037717C"/>
    <w:rsid w:val="00385D2F"/>
    <w:rsid w:val="00387717"/>
    <w:rsid w:val="003B4550"/>
    <w:rsid w:val="003C749F"/>
    <w:rsid w:val="00402C08"/>
    <w:rsid w:val="00404A52"/>
    <w:rsid w:val="0043448D"/>
    <w:rsid w:val="00454162"/>
    <w:rsid w:val="00461253"/>
    <w:rsid w:val="00471E11"/>
    <w:rsid w:val="00484FA9"/>
    <w:rsid w:val="004A0F79"/>
    <w:rsid w:val="004D6325"/>
    <w:rsid w:val="005042C2"/>
    <w:rsid w:val="00506C12"/>
    <w:rsid w:val="00552569"/>
    <w:rsid w:val="0056599A"/>
    <w:rsid w:val="00587690"/>
    <w:rsid w:val="005B4865"/>
    <w:rsid w:val="005D009F"/>
    <w:rsid w:val="005E27D9"/>
    <w:rsid w:val="005E516E"/>
    <w:rsid w:val="005E65F8"/>
    <w:rsid w:val="006158B2"/>
    <w:rsid w:val="006266F0"/>
    <w:rsid w:val="006603A7"/>
    <w:rsid w:val="00671529"/>
    <w:rsid w:val="0067548C"/>
    <w:rsid w:val="0068782C"/>
    <w:rsid w:val="006A17E2"/>
    <w:rsid w:val="00717266"/>
    <w:rsid w:val="00721D4A"/>
    <w:rsid w:val="007268F9"/>
    <w:rsid w:val="00792F8F"/>
    <w:rsid w:val="00793D71"/>
    <w:rsid w:val="007C181D"/>
    <w:rsid w:val="007C52B0"/>
    <w:rsid w:val="00830DE7"/>
    <w:rsid w:val="00887160"/>
    <w:rsid w:val="008D4C40"/>
    <w:rsid w:val="008E0EE3"/>
    <w:rsid w:val="008E283F"/>
    <w:rsid w:val="008F6F60"/>
    <w:rsid w:val="00922B51"/>
    <w:rsid w:val="00935647"/>
    <w:rsid w:val="009411B4"/>
    <w:rsid w:val="009D0139"/>
    <w:rsid w:val="009F5CDC"/>
    <w:rsid w:val="00A065B4"/>
    <w:rsid w:val="00A429CD"/>
    <w:rsid w:val="00A775CF"/>
    <w:rsid w:val="00A825E6"/>
    <w:rsid w:val="00AB3C7E"/>
    <w:rsid w:val="00AC2D8D"/>
    <w:rsid w:val="00B06045"/>
    <w:rsid w:val="00B4060E"/>
    <w:rsid w:val="00B41A5B"/>
    <w:rsid w:val="00B811EF"/>
    <w:rsid w:val="00BB71E8"/>
    <w:rsid w:val="00BC00A7"/>
    <w:rsid w:val="00BF3916"/>
    <w:rsid w:val="00C15CB9"/>
    <w:rsid w:val="00C22526"/>
    <w:rsid w:val="00C35A27"/>
    <w:rsid w:val="00C559F8"/>
    <w:rsid w:val="00C57954"/>
    <w:rsid w:val="00C61F7E"/>
    <w:rsid w:val="00C82931"/>
    <w:rsid w:val="00CA3C69"/>
    <w:rsid w:val="00CB7C0C"/>
    <w:rsid w:val="00CD62AC"/>
    <w:rsid w:val="00D53B5F"/>
    <w:rsid w:val="00D577B1"/>
    <w:rsid w:val="00D96F66"/>
    <w:rsid w:val="00DB2739"/>
    <w:rsid w:val="00E02C2B"/>
    <w:rsid w:val="00E268D4"/>
    <w:rsid w:val="00E32CCC"/>
    <w:rsid w:val="00E419B3"/>
    <w:rsid w:val="00E45843"/>
    <w:rsid w:val="00EA0331"/>
    <w:rsid w:val="00EA7A43"/>
    <w:rsid w:val="00EB1BB0"/>
    <w:rsid w:val="00EB4E68"/>
    <w:rsid w:val="00ED6C48"/>
    <w:rsid w:val="00F063B7"/>
    <w:rsid w:val="00F17CEC"/>
    <w:rsid w:val="00F3164B"/>
    <w:rsid w:val="00F65F5D"/>
    <w:rsid w:val="00F73613"/>
    <w:rsid w:val="00F86A3A"/>
    <w:rsid w:val="00F97AEE"/>
    <w:rsid w:val="00FB1744"/>
    <w:rsid w:val="00FB25F9"/>
    <w:rsid w:val="00FC04AB"/>
    <w:rsid w:val="00FC2371"/>
    <w:rsid w:val="00FC4AA2"/>
    <w:rsid w:val="00FD5D28"/>
    <w:rsid w:val="00FE0062"/>
    <w:rsid w:val="00FE20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A3364E2"/>
  <w15:docId w15:val="{E736B13D-3522-43C9-9EE1-863AD1C0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BB71E8"/>
    <w:rPr>
      <w:sz w:val="16"/>
      <w:szCs w:val="16"/>
    </w:rPr>
  </w:style>
  <w:style w:type="paragraph" w:styleId="CommentText">
    <w:name w:val="annotation text"/>
    <w:basedOn w:val="Normal"/>
    <w:link w:val="CommentTextChar"/>
    <w:uiPriority w:val="99"/>
    <w:semiHidden/>
    <w:unhideWhenUsed/>
    <w:rsid w:val="00BB71E8"/>
    <w:pPr>
      <w:spacing w:line="240" w:lineRule="auto"/>
    </w:pPr>
  </w:style>
  <w:style w:type="character" w:customStyle="1" w:styleId="CommentTextChar">
    <w:name w:val="Comment Text Char"/>
    <w:basedOn w:val="DefaultParagraphFont"/>
    <w:link w:val="CommentText"/>
    <w:uiPriority w:val="99"/>
    <w:semiHidden/>
    <w:rsid w:val="00BB71E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B71E8"/>
    <w:rPr>
      <w:b/>
      <w:bCs/>
    </w:rPr>
  </w:style>
  <w:style w:type="character" w:customStyle="1" w:styleId="CommentSubjectChar">
    <w:name w:val="Comment Subject Char"/>
    <w:basedOn w:val="CommentTextChar"/>
    <w:link w:val="CommentSubject"/>
    <w:uiPriority w:val="99"/>
    <w:semiHidden/>
    <w:rsid w:val="00BB71E8"/>
    <w:rPr>
      <w:rFonts w:ascii="Times New Roman" w:eastAsia="Times New Roman" w:hAnsi="Times New Roman" w:cs="Times New Roman"/>
      <w:b/>
      <w:bCs/>
      <w:sz w:val="20"/>
      <w:szCs w:val="20"/>
      <w:lang w:eastAsia="en-US"/>
    </w:rPr>
  </w:style>
  <w:style w:type="paragraph" w:styleId="ListParagraph">
    <w:name w:val="List Paragraph"/>
    <w:basedOn w:val="Normal"/>
    <w:uiPriority w:val="34"/>
    <w:rsid w:val="00EA0331"/>
    <w:pPr>
      <w:ind w:left="720"/>
      <w:contextualSpacing/>
    </w:pPr>
  </w:style>
  <w:style w:type="character" w:styleId="Hyperlink">
    <w:name w:val="Hyperlink"/>
    <w:basedOn w:val="DefaultParagraphFont"/>
    <w:uiPriority w:val="99"/>
    <w:unhideWhenUsed/>
    <w:rsid w:val="00935647"/>
    <w:rPr>
      <w:color w:val="0000FF" w:themeColor="hyperlink"/>
      <w:u w:val="single"/>
    </w:rPr>
  </w:style>
  <w:style w:type="character" w:customStyle="1" w:styleId="UnresolvedMention1">
    <w:name w:val="Unresolved Mention1"/>
    <w:basedOn w:val="DefaultParagraphFont"/>
    <w:uiPriority w:val="99"/>
    <w:semiHidden/>
    <w:unhideWhenUsed/>
    <w:rsid w:val="00935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4165-7648-409E-A8BC-630E5732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44</Pages>
  <Words>21500</Words>
  <Characters>119087</Characters>
  <Application>Microsoft Office Word</Application>
  <DocSecurity>0</DocSecurity>
  <Lines>3564</Lines>
  <Paragraphs>2137</Paragraphs>
  <ScaleCrop>false</ScaleCrop>
  <HeadingPairs>
    <vt:vector size="2" baseType="variant">
      <vt:variant>
        <vt:lpstr>Title</vt:lpstr>
      </vt:variant>
      <vt:variant>
        <vt:i4>1</vt:i4>
      </vt:variant>
    </vt:vector>
  </HeadingPairs>
  <TitlesOfParts>
    <vt:vector size="1" baseType="lpstr">
      <vt:lpstr>E/C.12/CHN-MAC/3</vt:lpstr>
    </vt:vector>
  </TitlesOfParts>
  <Company>DCM</Company>
  <LinksUpToDate>false</LinksUpToDate>
  <CharactersWithSpaces>138700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E/C.12/CHN-MAC/3</dc:title>
  <dc:subject>2010569</dc:subject>
  <dc:creator>dm</dc:creator>
  <cp:keywords/>
  <dc:description/>
  <cp:lastModifiedBy>Pauline Anne Escalante</cp:lastModifiedBy>
  <cp:revision>2</cp:revision>
  <cp:lastPrinted>2020-08-10T09:32:00Z</cp:lastPrinted>
  <dcterms:created xsi:type="dcterms:W3CDTF">2020-08-10T09:33:00Z</dcterms:created>
  <dcterms:modified xsi:type="dcterms:W3CDTF">2020-08-10T09:33:00Z</dcterms:modified>
</cp:coreProperties>
</file>