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10348" w:rsidRPr="00635870" w:rsidTr="00FD22B8">
        <w:trPr>
          <w:trHeight w:hRule="exact" w:val="851"/>
        </w:trPr>
        <w:tc>
          <w:tcPr>
            <w:tcW w:w="4900" w:type="dxa"/>
            <w:gridSpan w:val="2"/>
            <w:tcBorders>
              <w:bottom w:val="single" w:sz="4" w:space="0" w:color="auto"/>
            </w:tcBorders>
            <w:vAlign w:val="bottom"/>
          </w:tcPr>
          <w:p w:rsidR="00A10348" w:rsidRPr="00635870" w:rsidRDefault="00A10348" w:rsidP="00122DDF">
            <w:pPr>
              <w:tabs>
                <w:tab w:val="left" w:pos="1980"/>
              </w:tabs>
              <w:spacing w:after="80" w:line="300" w:lineRule="exact"/>
              <w:rPr>
                <w:sz w:val="28"/>
              </w:rPr>
            </w:pPr>
            <w:r>
              <w:rPr>
                <w:sz w:val="28"/>
              </w:rPr>
              <w:t>Организация Объединенных Наций</w:t>
            </w:r>
          </w:p>
        </w:tc>
        <w:tc>
          <w:tcPr>
            <w:tcW w:w="195" w:type="dxa"/>
            <w:tcBorders>
              <w:bottom w:val="single" w:sz="4" w:space="0" w:color="auto"/>
            </w:tcBorders>
            <w:vAlign w:val="bottom"/>
          </w:tcPr>
          <w:p w:rsidR="00A10348" w:rsidRPr="00A360A2" w:rsidRDefault="00A10348" w:rsidP="00122DDF">
            <w:pPr>
              <w:tabs>
                <w:tab w:val="left" w:pos="1980"/>
              </w:tabs>
              <w:jc w:val="right"/>
            </w:pPr>
          </w:p>
        </w:tc>
        <w:tc>
          <w:tcPr>
            <w:tcW w:w="4544" w:type="dxa"/>
            <w:gridSpan w:val="2"/>
            <w:tcBorders>
              <w:left w:val="nil"/>
              <w:bottom w:val="single" w:sz="4" w:space="0" w:color="auto"/>
            </w:tcBorders>
            <w:vAlign w:val="bottom"/>
          </w:tcPr>
          <w:p w:rsidR="00A10348" w:rsidRPr="00A360A2" w:rsidRDefault="00A10348" w:rsidP="00122DDF">
            <w:pPr>
              <w:tabs>
                <w:tab w:val="left" w:pos="1980"/>
              </w:tabs>
              <w:jc w:val="right"/>
            </w:pPr>
            <w:r w:rsidRPr="00240129">
              <w:rPr>
                <w:sz w:val="40"/>
                <w:szCs w:val="40"/>
              </w:rPr>
              <w:t>E</w:t>
            </w:r>
            <w:r>
              <w:t>/</w:t>
            </w:r>
            <w:fldSimple w:instr=" FILLIN  &quot;Введите символ после Е/&quot;  \* MERGEFORMAT ">
              <w:r w:rsidR="00D511BF">
                <w:t>C.12/CHN-HKG/3</w:t>
              </w:r>
            </w:fldSimple>
            <w:r w:rsidR="00F441D3">
              <w:t xml:space="preserve">         </w:t>
            </w:r>
          </w:p>
        </w:tc>
      </w:tr>
      <w:tr w:rsidR="00A10348" w:rsidRPr="00D511BF" w:rsidTr="00FD22B8">
        <w:trPr>
          <w:trHeight w:hRule="exact" w:val="2835"/>
        </w:trPr>
        <w:tc>
          <w:tcPr>
            <w:tcW w:w="1280" w:type="dxa"/>
            <w:tcBorders>
              <w:top w:val="single" w:sz="4" w:space="0" w:color="auto"/>
              <w:bottom w:val="single" w:sz="12" w:space="0" w:color="auto"/>
            </w:tcBorders>
          </w:tcPr>
          <w:p w:rsidR="00A10348" w:rsidRPr="00635870" w:rsidRDefault="00A10348" w:rsidP="00122DDF">
            <w:pPr>
              <w:tabs>
                <w:tab w:val="left" w:pos="1980"/>
              </w:tabs>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3"/>
            <w:tcBorders>
              <w:top w:val="single" w:sz="4" w:space="0" w:color="auto"/>
              <w:bottom w:val="single" w:sz="12" w:space="0" w:color="auto"/>
            </w:tcBorders>
          </w:tcPr>
          <w:p w:rsidR="00A10348" w:rsidRPr="003B1275" w:rsidRDefault="00A10348" w:rsidP="00122DDF">
            <w:pPr>
              <w:tabs>
                <w:tab w:val="left" w:pos="1980"/>
              </w:tabs>
              <w:spacing w:before="120" w:line="460" w:lineRule="exact"/>
              <w:rPr>
                <w:b/>
                <w:sz w:val="40"/>
                <w:szCs w:val="40"/>
              </w:rPr>
            </w:pPr>
            <w:r>
              <w:rPr>
                <w:b/>
                <w:sz w:val="40"/>
                <w:szCs w:val="40"/>
              </w:rPr>
              <w:t xml:space="preserve">Экономический </w:t>
            </w:r>
            <w:r>
              <w:rPr>
                <w:b/>
                <w:sz w:val="40"/>
                <w:szCs w:val="40"/>
              </w:rPr>
              <w:br/>
              <w:t>и Социальный Совет</w:t>
            </w:r>
          </w:p>
        </w:tc>
        <w:tc>
          <w:tcPr>
            <w:tcW w:w="2819" w:type="dxa"/>
            <w:tcBorders>
              <w:top w:val="single" w:sz="4" w:space="0" w:color="auto"/>
              <w:bottom w:val="single" w:sz="12" w:space="0" w:color="auto"/>
            </w:tcBorders>
          </w:tcPr>
          <w:p w:rsidR="00A10348" w:rsidRPr="00F827BA" w:rsidRDefault="00A10348" w:rsidP="00122DDF">
            <w:pPr>
              <w:tabs>
                <w:tab w:val="left" w:pos="1980"/>
              </w:tabs>
              <w:spacing w:before="240"/>
              <w:rPr>
                <w:lang w:val="en-US"/>
              </w:rPr>
            </w:pPr>
            <w:r w:rsidRPr="00F827BA">
              <w:rPr>
                <w:lang w:val="en-US"/>
              </w:rPr>
              <w:t>Distr</w:t>
            </w:r>
            <w:r w:rsidRPr="00D511BF">
              <w:rPr>
                <w:lang w:val="en-US"/>
              </w:rPr>
              <w:t>.:</w:t>
            </w:r>
            <w:r w:rsidRPr="00F827BA">
              <w:rPr>
                <w:lang w:val="en-US"/>
              </w:rPr>
              <w:t xml:space="preserve"> </w:t>
            </w:r>
            <w:bookmarkStart w:id="0" w:name="ПолеСоСписком1"/>
            <w:r w:rsidRPr="00F827BA">
              <w:fldChar w:fldCharType="begin">
                <w:ffData>
                  <w:name w:val="ПолеСоСписком1"/>
                  <w:enabled/>
                  <w:calcOnExit w:val="0"/>
                  <w:ddList>
                    <w:listEntry w:val="General"/>
                    <w:listEntry w:val="Limited"/>
                    <w:listEntry w:val="Restricted"/>
                  </w:ddList>
                </w:ffData>
              </w:fldChar>
            </w:r>
            <w:r w:rsidRPr="00F827BA">
              <w:rPr>
                <w:lang w:val="en-US"/>
              </w:rPr>
              <w:instrText xml:space="preserve"> FORMDROPDOWN </w:instrText>
            </w:r>
            <w:r w:rsidRPr="00F827BA">
              <w:fldChar w:fldCharType="end"/>
            </w:r>
            <w:bookmarkEnd w:id="0"/>
          </w:p>
          <w:p w:rsidR="00A10348" w:rsidRPr="00F827BA" w:rsidRDefault="00A10348" w:rsidP="00122DDF">
            <w:pPr>
              <w:tabs>
                <w:tab w:val="left" w:pos="1980"/>
              </w:tabs>
              <w:rPr>
                <w:lang w:val="en-US"/>
              </w:rPr>
            </w:pPr>
            <w:r w:rsidRPr="00F827BA">
              <w:rPr>
                <w:lang w:val="en-US"/>
              </w:rPr>
              <w:fldChar w:fldCharType="begin"/>
            </w:r>
            <w:r w:rsidRPr="00F827BA">
              <w:rPr>
                <w:lang w:val="en-US"/>
              </w:rPr>
              <w:instrText xml:space="preserve"> FILLIN  "Введите дату документа" \* MERGEFORMAT </w:instrText>
            </w:r>
            <w:r w:rsidR="00D511BF">
              <w:rPr>
                <w:lang w:val="en-US"/>
              </w:rPr>
              <w:fldChar w:fldCharType="separate"/>
            </w:r>
            <w:r w:rsidR="00D511BF">
              <w:rPr>
                <w:lang w:val="en-US"/>
              </w:rPr>
              <w:t>6 July 2012</w:t>
            </w:r>
            <w:r w:rsidRPr="00F827BA">
              <w:rPr>
                <w:lang w:val="en-US"/>
              </w:rPr>
              <w:fldChar w:fldCharType="end"/>
            </w:r>
          </w:p>
          <w:p w:rsidR="00A10348" w:rsidRPr="00D511BF" w:rsidRDefault="00A10348" w:rsidP="00122DDF">
            <w:pPr>
              <w:tabs>
                <w:tab w:val="left" w:pos="1980"/>
              </w:tabs>
              <w:rPr>
                <w:lang w:val="en-US"/>
              </w:rPr>
            </w:pPr>
            <w:r w:rsidRPr="00F827BA">
              <w:rPr>
                <w:lang w:val="en-US"/>
              </w:rPr>
              <w:t>Russian</w:t>
            </w:r>
          </w:p>
          <w:p w:rsidR="00A10348" w:rsidRPr="00D511BF" w:rsidRDefault="00A10348" w:rsidP="00122DDF">
            <w:pPr>
              <w:tabs>
                <w:tab w:val="left" w:pos="1980"/>
              </w:tabs>
              <w:rPr>
                <w:lang w:val="en-US"/>
              </w:rPr>
            </w:pPr>
            <w:r w:rsidRPr="00F827BA">
              <w:rPr>
                <w:lang w:val="en-US"/>
              </w:rPr>
              <w:t>Original</w:t>
            </w:r>
            <w:r w:rsidRPr="00D511BF">
              <w:rPr>
                <w:lang w:val="en-US"/>
              </w:rPr>
              <w:t xml:space="preserve">: </w:t>
            </w:r>
            <w:bookmarkStart w:id="1" w:name="ПолеСоСписком2"/>
            <w:r w:rsidRPr="00F827BA">
              <w:fldChar w:fldCharType="begin">
                <w:ffData>
                  <w:name w:val="ПолеСоСписком2"/>
                  <w:enabled/>
                  <w:calcOnExit w:val="0"/>
                  <w:ddList>
                    <w:result w:val="4"/>
                    <w:listEntry w:val="English"/>
                    <w:listEntry w:val="French"/>
                    <w:listEntry w:val="Spanish"/>
                    <w:listEntry w:val="Arabic"/>
                    <w:listEntry w:val="Chinese"/>
                    <w:listEntry w:val="English/French"/>
                    <w:listEntry w:val="English and French"/>
                  </w:ddList>
                </w:ffData>
              </w:fldChar>
            </w:r>
            <w:r w:rsidRPr="00F827BA">
              <w:rPr>
                <w:lang w:val="en-US"/>
              </w:rPr>
              <w:instrText xml:space="preserve"> FORMDROPDOWN </w:instrText>
            </w:r>
            <w:r w:rsidRPr="00F827BA">
              <w:fldChar w:fldCharType="end"/>
            </w:r>
            <w:bookmarkEnd w:id="1"/>
            <w:r w:rsidR="00D511BF">
              <w:rPr>
                <w:lang w:val="en-US"/>
              </w:rPr>
              <w:t xml:space="preserve"> and English</w:t>
            </w:r>
          </w:p>
          <w:p w:rsidR="00A10348" w:rsidRPr="00D511BF" w:rsidRDefault="00A10348" w:rsidP="00122DDF">
            <w:pPr>
              <w:tabs>
                <w:tab w:val="left" w:pos="1980"/>
              </w:tabs>
              <w:rPr>
                <w:lang w:val="en-US"/>
              </w:rPr>
            </w:pPr>
          </w:p>
        </w:tc>
      </w:tr>
    </w:tbl>
    <w:p w:rsidR="00D17547" w:rsidRPr="00D17547" w:rsidRDefault="00D17547" w:rsidP="00122DDF">
      <w:pPr>
        <w:tabs>
          <w:tab w:val="left" w:pos="1980"/>
        </w:tabs>
        <w:spacing w:before="120"/>
        <w:rPr>
          <w:b/>
          <w:sz w:val="24"/>
          <w:szCs w:val="24"/>
        </w:rPr>
      </w:pPr>
      <w:bookmarkStart w:id="2" w:name="OLE_LINK1"/>
      <w:bookmarkStart w:id="3" w:name="OLE_LINK2"/>
      <w:r w:rsidRPr="00D17547">
        <w:rPr>
          <w:b/>
          <w:sz w:val="24"/>
          <w:szCs w:val="24"/>
        </w:rPr>
        <w:t xml:space="preserve">Комитет по экономическим, социальным </w:t>
      </w:r>
      <w:r w:rsidRPr="00D17547">
        <w:rPr>
          <w:b/>
          <w:sz w:val="24"/>
          <w:szCs w:val="24"/>
        </w:rPr>
        <w:br/>
        <w:t>и культурным правам</w:t>
      </w:r>
    </w:p>
    <w:p w:rsidR="00D17547" w:rsidRPr="006746B1" w:rsidRDefault="00D17547" w:rsidP="00122DDF">
      <w:pPr>
        <w:pStyle w:val="HMGR"/>
        <w:tabs>
          <w:tab w:val="left" w:pos="1980"/>
        </w:tabs>
      </w:pPr>
      <w:r w:rsidRPr="006746B1">
        <w:tab/>
      </w:r>
      <w:r w:rsidRPr="006746B1">
        <w:tab/>
        <w:t xml:space="preserve">Осуществление </w:t>
      </w:r>
      <w:r>
        <w:t>Международного пакта об</w:t>
      </w:r>
      <w:r w:rsidR="00DA5569">
        <w:rPr>
          <w:lang w:val="en-US"/>
        </w:rPr>
        <w:t> </w:t>
      </w:r>
      <w:r w:rsidRPr="006746B1">
        <w:t xml:space="preserve">экономических, социальных </w:t>
      </w:r>
      <w:r>
        <w:t>и</w:t>
      </w:r>
      <w:r w:rsidR="00F441D3" w:rsidRPr="00F441D3">
        <w:t xml:space="preserve"> </w:t>
      </w:r>
      <w:r w:rsidRPr="006746B1">
        <w:t>культурных правах</w:t>
      </w:r>
    </w:p>
    <w:p w:rsidR="00D17547" w:rsidRPr="006746B1" w:rsidRDefault="00D17547" w:rsidP="00122DDF">
      <w:pPr>
        <w:pStyle w:val="HChGR"/>
        <w:tabs>
          <w:tab w:val="left" w:pos="1980"/>
        </w:tabs>
      </w:pPr>
      <w:r w:rsidRPr="006746B1">
        <w:tab/>
      </w:r>
      <w:r w:rsidRPr="006746B1">
        <w:tab/>
        <w:t>Третьи периодические доклады, представляемые государствами-участниками в соот</w:t>
      </w:r>
      <w:r>
        <w:t>ветствии со</w:t>
      </w:r>
      <w:r w:rsidR="00501DC6">
        <w:rPr>
          <w:lang w:val="en-US"/>
        </w:rPr>
        <w:t> </w:t>
      </w:r>
      <w:r w:rsidRPr="006746B1">
        <w:t>статьями 16 и 17 Пакта</w:t>
      </w:r>
    </w:p>
    <w:p w:rsidR="00D17547" w:rsidRPr="006746B1" w:rsidRDefault="00D17547" w:rsidP="00122DDF">
      <w:pPr>
        <w:pStyle w:val="HMGR"/>
        <w:tabs>
          <w:tab w:val="left" w:pos="1980"/>
        </w:tabs>
      </w:pPr>
      <w:r w:rsidRPr="006746B1">
        <w:tab/>
      </w:r>
      <w:r w:rsidRPr="006746B1">
        <w:tab/>
        <w:t>Китай: Специальный административный</w:t>
      </w:r>
      <w:r w:rsidR="00F441D3">
        <w:t xml:space="preserve"> </w:t>
      </w:r>
      <w:r w:rsidRPr="006746B1">
        <w:t>район Гонконг</w:t>
      </w:r>
      <w:r w:rsidRPr="00501DC6">
        <w:rPr>
          <w:rStyle w:val="FootnoteReference"/>
          <w:b w:val="0"/>
          <w:szCs w:val="18"/>
          <w:vertAlign w:val="baseline"/>
        </w:rPr>
        <w:footnoteReference w:customMarkFollows="1" w:id="1"/>
        <w:t>*</w:t>
      </w:r>
      <w:r w:rsidR="00501DC6" w:rsidRPr="00501DC6">
        <w:rPr>
          <w:b w:val="0"/>
          <w:sz w:val="18"/>
          <w:szCs w:val="18"/>
        </w:rPr>
        <w:t xml:space="preserve"> </w:t>
      </w:r>
      <w:r w:rsidRPr="00501DC6">
        <w:rPr>
          <w:rStyle w:val="FootnoteReference"/>
          <w:b w:val="0"/>
          <w:szCs w:val="18"/>
          <w:vertAlign w:val="baseline"/>
          <w:lang w:eastAsia="en-US"/>
        </w:rPr>
        <w:footnoteReference w:customMarkFollows="1" w:id="2"/>
        <w:t>**</w:t>
      </w:r>
      <w:r w:rsidR="00A16A49" w:rsidRPr="00501DC6">
        <w:rPr>
          <w:b w:val="0"/>
          <w:sz w:val="18"/>
          <w:szCs w:val="18"/>
          <w:lang w:eastAsia="en-US"/>
        </w:rPr>
        <w:t xml:space="preserve"> </w:t>
      </w:r>
      <w:r w:rsidR="00A16A49" w:rsidRPr="00501DC6">
        <w:rPr>
          <w:rStyle w:val="FootnoteReference"/>
          <w:b w:val="0"/>
          <w:szCs w:val="18"/>
          <w:vertAlign w:val="baseline"/>
          <w:lang w:eastAsia="en-US"/>
        </w:rPr>
        <w:footnoteReference w:customMarkFollows="1" w:id="3"/>
        <w:t>***</w:t>
      </w:r>
    </w:p>
    <w:p w:rsidR="00D17547" w:rsidRPr="006746B1" w:rsidRDefault="00D17547" w:rsidP="00122DDF">
      <w:pPr>
        <w:pStyle w:val="SingleTxtGR"/>
        <w:tabs>
          <w:tab w:val="left" w:pos="1980"/>
        </w:tabs>
        <w:jc w:val="right"/>
      </w:pPr>
      <w:r w:rsidRPr="006746B1">
        <w:t>[30 июня 2010</w:t>
      </w:r>
      <w:r w:rsidR="00B92291">
        <w:t> год</w:t>
      </w:r>
      <w:r w:rsidRPr="006746B1">
        <w:t>а]</w:t>
      </w:r>
    </w:p>
    <w:bookmarkEnd w:id="2"/>
    <w:bookmarkEnd w:id="3"/>
    <w:p w:rsidR="00C926B4" w:rsidRDefault="00D17547" w:rsidP="00C926B4">
      <w:pPr>
        <w:tabs>
          <w:tab w:val="left" w:pos="1980"/>
        </w:tabs>
        <w:suppressAutoHyphens/>
        <w:spacing w:after="120"/>
        <w:rPr>
          <w:sz w:val="28"/>
        </w:rPr>
      </w:pPr>
      <w:r w:rsidRPr="006746B1">
        <w:br w:type="page"/>
      </w:r>
      <w:r w:rsidR="00C926B4">
        <w:rPr>
          <w:sz w:val="28"/>
        </w:rPr>
        <w:t>Содержание</w:t>
      </w:r>
    </w:p>
    <w:p w:rsidR="00C926B4" w:rsidRDefault="00C926B4" w:rsidP="00C926B4">
      <w:pPr>
        <w:tabs>
          <w:tab w:val="right" w:pos="8929"/>
          <w:tab w:val="right" w:pos="9638"/>
        </w:tabs>
        <w:suppressAutoHyphens/>
        <w:spacing w:after="120"/>
        <w:ind w:left="283"/>
      </w:pPr>
      <w:r>
        <w:rPr>
          <w:i/>
          <w:sz w:val="18"/>
        </w:rPr>
        <w:tab/>
        <w:t>Пункты</w:t>
      </w:r>
      <w:r>
        <w:rPr>
          <w:i/>
          <w:sz w:val="18"/>
        </w:rPr>
        <w:tab/>
        <w:t>Стр.</w:t>
      </w:r>
    </w:p>
    <w:p w:rsidR="00D17547" w:rsidRPr="003A3427" w:rsidRDefault="00D17547" w:rsidP="00122DDF">
      <w:pPr>
        <w:tabs>
          <w:tab w:val="right" w:pos="850"/>
          <w:tab w:val="left" w:pos="1134"/>
          <w:tab w:val="left" w:pos="1559"/>
          <w:tab w:val="left" w:pos="1980"/>
          <w:tab w:val="left" w:leader="dot" w:pos="7654"/>
          <w:tab w:val="right" w:pos="8929"/>
          <w:tab w:val="right" w:pos="9638"/>
        </w:tabs>
        <w:suppressAutoHyphens/>
        <w:spacing w:after="120"/>
      </w:pPr>
      <w:r w:rsidRPr="006746B1">
        <w:tab/>
      </w:r>
      <w:r w:rsidRPr="006746B1">
        <w:tab/>
        <w:t xml:space="preserve">Список сокращений </w:t>
      </w:r>
      <w:r w:rsidRPr="006746B1">
        <w:tab/>
      </w:r>
      <w:r w:rsidRPr="006746B1">
        <w:tab/>
      </w:r>
      <w:r w:rsidR="00E53490">
        <w:tab/>
      </w:r>
      <w:r w:rsidR="003A3427" w:rsidRPr="003A3427">
        <w:t>4</w:t>
      </w:r>
    </w:p>
    <w:p w:rsidR="00D17547" w:rsidRPr="003A3427" w:rsidRDefault="00D17547" w:rsidP="00122DDF">
      <w:pPr>
        <w:tabs>
          <w:tab w:val="right" w:pos="850"/>
          <w:tab w:val="left" w:pos="1134"/>
          <w:tab w:val="left" w:pos="1559"/>
          <w:tab w:val="left" w:pos="1980"/>
          <w:tab w:val="left" w:leader="dot" w:pos="7654"/>
          <w:tab w:val="right" w:pos="8929"/>
          <w:tab w:val="right" w:pos="9638"/>
        </w:tabs>
        <w:suppressAutoHyphens/>
        <w:spacing w:after="120"/>
      </w:pPr>
      <w:r w:rsidRPr="006746B1">
        <w:tab/>
      </w:r>
      <w:r w:rsidRPr="006746B1">
        <w:tab/>
        <w:t>Вступление</w:t>
      </w:r>
      <w:r w:rsidRPr="006746B1">
        <w:tab/>
      </w:r>
      <w:r w:rsidRPr="006746B1">
        <w:tab/>
      </w:r>
      <w:r w:rsidRPr="006746B1">
        <w:tab/>
      </w:r>
      <w:r w:rsidR="003A3427" w:rsidRPr="003A3427">
        <w:t>10</w:t>
      </w:r>
    </w:p>
    <w:p w:rsidR="00D17547" w:rsidRPr="003A3427" w:rsidRDefault="00D17547" w:rsidP="00C926B4">
      <w:pPr>
        <w:tabs>
          <w:tab w:val="right" w:pos="850"/>
          <w:tab w:val="left" w:pos="1134"/>
          <w:tab w:val="left" w:pos="1559"/>
          <w:tab w:val="left" w:pos="1980"/>
          <w:tab w:val="left" w:leader="dot" w:pos="7654"/>
          <w:tab w:val="right" w:pos="8929"/>
          <w:tab w:val="right" w:pos="9638"/>
        </w:tabs>
        <w:suppressAutoHyphens/>
        <w:spacing w:after="120"/>
      </w:pPr>
      <w:r w:rsidRPr="006746B1">
        <w:tab/>
      </w:r>
      <w:r w:rsidRPr="006746B1">
        <w:tab/>
        <w:t>Статья 1: Прогресс и развитие демократии</w:t>
      </w:r>
      <w:r w:rsidRPr="006746B1">
        <w:tab/>
      </w:r>
      <w:r w:rsidRPr="006746B1">
        <w:tab/>
        <w:t>1.1</w:t>
      </w:r>
      <w:r w:rsidRPr="006746B1">
        <w:tab/>
      </w:r>
      <w:r w:rsidR="003A3427" w:rsidRPr="003A3427">
        <w:t>11</w:t>
      </w:r>
    </w:p>
    <w:p w:rsidR="00D17547" w:rsidRPr="003A3427" w:rsidRDefault="00D17547" w:rsidP="00C926B4">
      <w:pPr>
        <w:tabs>
          <w:tab w:val="right" w:pos="850"/>
          <w:tab w:val="left" w:pos="1134"/>
          <w:tab w:val="left" w:pos="1559"/>
          <w:tab w:val="left" w:pos="1980"/>
          <w:tab w:val="left" w:leader="dot" w:pos="7654"/>
          <w:tab w:val="right" w:pos="8929"/>
          <w:tab w:val="right" w:pos="9638"/>
        </w:tabs>
        <w:suppressAutoHyphens/>
        <w:spacing w:after="120"/>
      </w:pPr>
      <w:r w:rsidRPr="006746B1">
        <w:tab/>
      </w:r>
      <w:r w:rsidRPr="006746B1">
        <w:tab/>
        <w:t xml:space="preserve">Статья 2: Постепенная реализация прав, закрепленных в Пакте, </w:t>
      </w:r>
      <w:r w:rsidRPr="006746B1">
        <w:br/>
      </w:r>
      <w:r w:rsidRPr="006746B1">
        <w:tab/>
      </w:r>
      <w:r w:rsidRPr="006746B1">
        <w:tab/>
        <w:t>и осуществление</w:t>
      </w:r>
      <w:r w:rsidR="00F441D3">
        <w:t xml:space="preserve"> </w:t>
      </w:r>
      <w:r w:rsidRPr="006746B1">
        <w:t>этих прав</w:t>
      </w:r>
      <w:r w:rsidR="00F441D3">
        <w:t xml:space="preserve"> </w:t>
      </w:r>
      <w:r w:rsidRPr="006746B1">
        <w:t>без дискриминации</w:t>
      </w:r>
      <w:r w:rsidRPr="006746B1">
        <w:tab/>
      </w:r>
      <w:r w:rsidRPr="006746B1">
        <w:tab/>
        <w:t>2.1</w:t>
      </w:r>
      <w:r w:rsidR="00E53490">
        <w:t>−</w:t>
      </w:r>
      <w:r w:rsidRPr="006746B1">
        <w:t>2.57</w:t>
      </w:r>
      <w:r w:rsidRPr="006746B1">
        <w:tab/>
      </w:r>
      <w:r w:rsidR="003A3427" w:rsidRPr="003A3427">
        <w:t>11</w:t>
      </w:r>
    </w:p>
    <w:p w:rsidR="00D17547" w:rsidRPr="003A3427" w:rsidRDefault="00D17547" w:rsidP="00C926B4">
      <w:pPr>
        <w:tabs>
          <w:tab w:val="right" w:pos="850"/>
          <w:tab w:val="left" w:pos="1134"/>
          <w:tab w:val="left" w:pos="1559"/>
          <w:tab w:val="left" w:pos="1980"/>
          <w:tab w:val="left" w:leader="dot" w:pos="7654"/>
          <w:tab w:val="right" w:pos="8929"/>
          <w:tab w:val="right" w:pos="9638"/>
        </w:tabs>
        <w:suppressAutoHyphens/>
        <w:spacing w:after="120"/>
      </w:pPr>
      <w:r w:rsidRPr="006746B1">
        <w:tab/>
      </w:r>
      <w:r w:rsidRPr="006746B1">
        <w:tab/>
        <w:t>Статья 3: Равноправие мужчин и женщин</w:t>
      </w:r>
      <w:r w:rsidRPr="006746B1">
        <w:tab/>
      </w:r>
      <w:r w:rsidRPr="006746B1">
        <w:tab/>
        <w:t>3.1–3.8</w:t>
      </w:r>
      <w:r w:rsidRPr="006746B1">
        <w:tab/>
      </w:r>
      <w:r w:rsidR="003A3427" w:rsidRPr="003A3427">
        <w:t>24</w:t>
      </w:r>
    </w:p>
    <w:p w:rsidR="00D17547" w:rsidRPr="003A3427" w:rsidRDefault="00D17547" w:rsidP="00C926B4">
      <w:pPr>
        <w:tabs>
          <w:tab w:val="right" w:pos="850"/>
          <w:tab w:val="left" w:pos="1134"/>
          <w:tab w:val="left" w:pos="1559"/>
          <w:tab w:val="left" w:pos="1980"/>
          <w:tab w:val="left" w:leader="dot" w:pos="7654"/>
          <w:tab w:val="right" w:pos="8929"/>
          <w:tab w:val="right" w:pos="9638"/>
        </w:tabs>
        <w:suppressAutoHyphens/>
        <w:spacing w:after="120"/>
      </w:pPr>
      <w:r w:rsidRPr="006746B1">
        <w:tab/>
      </w:r>
      <w:r w:rsidRPr="006746B1">
        <w:tab/>
        <w:t>Статья 4: Допустимое ограничение прав, закрепленных в Пакте</w:t>
      </w:r>
      <w:r w:rsidRPr="006746B1">
        <w:tab/>
      </w:r>
      <w:r w:rsidRPr="006746B1">
        <w:tab/>
        <w:t>4.1</w:t>
      </w:r>
      <w:r w:rsidRPr="006746B1">
        <w:tab/>
      </w:r>
      <w:r w:rsidR="003A3427" w:rsidRPr="003A3427">
        <w:t>27</w:t>
      </w:r>
    </w:p>
    <w:p w:rsidR="00D17547" w:rsidRPr="003A3427" w:rsidRDefault="00D17547" w:rsidP="00C926B4">
      <w:pPr>
        <w:tabs>
          <w:tab w:val="right" w:pos="850"/>
          <w:tab w:val="left" w:pos="1134"/>
          <w:tab w:val="left" w:pos="1559"/>
          <w:tab w:val="left" w:pos="1620"/>
          <w:tab w:val="left" w:leader="dot" w:pos="7654"/>
          <w:tab w:val="right" w:pos="8929"/>
          <w:tab w:val="right" w:pos="9638"/>
        </w:tabs>
        <w:suppressAutoHyphens/>
        <w:spacing w:after="120"/>
      </w:pPr>
      <w:r w:rsidRPr="006746B1">
        <w:tab/>
      </w:r>
      <w:r w:rsidRPr="006746B1">
        <w:tab/>
        <w:t xml:space="preserve">Статья 5: Запрет на уничтожение любых прав и свобод, </w:t>
      </w:r>
      <w:r w:rsidR="00C926B4">
        <w:br/>
      </w:r>
      <w:r w:rsidR="00C926B4">
        <w:tab/>
      </w:r>
      <w:r w:rsidR="00C926B4">
        <w:tab/>
      </w:r>
      <w:r w:rsidRPr="006746B1">
        <w:t xml:space="preserve">признанных </w:t>
      </w:r>
      <w:r w:rsidR="00C926B4">
        <w:t>в Пакте</w:t>
      </w:r>
      <w:r w:rsidRPr="006746B1">
        <w:tab/>
      </w:r>
      <w:r w:rsidRPr="006746B1">
        <w:tab/>
        <w:t>5.1</w:t>
      </w:r>
      <w:r w:rsidRPr="006746B1">
        <w:tab/>
      </w:r>
      <w:r w:rsidR="003A3427" w:rsidRPr="003A3427">
        <w:t>27</w:t>
      </w:r>
    </w:p>
    <w:p w:rsidR="00D17547" w:rsidRPr="003A3427" w:rsidRDefault="00D17547" w:rsidP="00C926B4">
      <w:pPr>
        <w:tabs>
          <w:tab w:val="right" w:pos="850"/>
          <w:tab w:val="left" w:pos="1134"/>
          <w:tab w:val="left" w:pos="1559"/>
          <w:tab w:val="left" w:pos="1620"/>
          <w:tab w:val="left" w:leader="dot" w:pos="7654"/>
          <w:tab w:val="right" w:pos="8929"/>
          <w:tab w:val="right" w:pos="9638"/>
        </w:tabs>
        <w:suppressAutoHyphens/>
        <w:spacing w:after="120"/>
      </w:pPr>
      <w:r w:rsidRPr="006746B1">
        <w:tab/>
      </w:r>
      <w:r w:rsidRPr="006746B1">
        <w:tab/>
        <w:t>Статья 6: Право</w:t>
      </w:r>
      <w:r w:rsidR="00F441D3">
        <w:t xml:space="preserve"> </w:t>
      </w:r>
      <w:r w:rsidRPr="006746B1">
        <w:t>на свободный</w:t>
      </w:r>
      <w:r w:rsidR="00F441D3">
        <w:t xml:space="preserve"> </w:t>
      </w:r>
      <w:r w:rsidRPr="006746B1">
        <w:t>выбор трудовой</w:t>
      </w:r>
      <w:r w:rsidR="00F441D3">
        <w:t xml:space="preserve"> </w:t>
      </w:r>
      <w:r w:rsidRPr="006746B1">
        <w:t xml:space="preserve">деятельности </w:t>
      </w:r>
      <w:r w:rsidR="00C926B4">
        <w:br/>
      </w:r>
      <w:r w:rsidR="00C926B4">
        <w:tab/>
      </w:r>
      <w:r w:rsidR="00C926B4">
        <w:tab/>
      </w:r>
      <w:r w:rsidRPr="006746B1">
        <w:t>и право</w:t>
      </w:r>
      <w:r w:rsidR="00C926B4">
        <w:t xml:space="preserve"> </w:t>
      </w:r>
      <w:r w:rsidRPr="006746B1">
        <w:t>на труд</w:t>
      </w:r>
      <w:r w:rsidRPr="006746B1">
        <w:tab/>
      </w:r>
      <w:r w:rsidRPr="006746B1">
        <w:tab/>
        <w:t>6.1–6.22</w:t>
      </w:r>
      <w:r w:rsidRPr="006746B1">
        <w:tab/>
      </w:r>
      <w:r w:rsidR="003A3427" w:rsidRPr="003A3427">
        <w:t>27</w:t>
      </w:r>
    </w:p>
    <w:p w:rsidR="00D17547" w:rsidRPr="003A3427" w:rsidRDefault="00D17547" w:rsidP="00C926B4">
      <w:pPr>
        <w:tabs>
          <w:tab w:val="right" w:pos="850"/>
          <w:tab w:val="left" w:pos="1134"/>
          <w:tab w:val="left" w:pos="1559"/>
          <w:tab w:val="left" w:pos="1980"/>
          <w:tab w:val="left" w:leader="dot" w:pos="7654"/>
          <w:tab w:val="right" w:pos="8929"/>
          <w:tab w:val="right" w:pos="9638"/>
        </w:tabs>
        <w:suppressAutoHyphens/>
        <w:spacing w:after="120"/>
      </w:pPr>
      <w:r w:rsidRPr="006746B1">
        <w:tab/>
      </w:r>
      <w:r w:rsidRPr="006746B1">
        <w:tab/>
        <w:t>Статья 7: Право на справедливые и благоприятные условия труда</w:t>
      </w:r>
      <w:r w:rsidRPr="006746B1">
        <w:tab/>
      </w:r>
      <w:r w:rsidRPr="006746B1">
        <w:tab/>
        <w:t>7.1–7.49</w:t>
      </w:r>
      <w:r w:rsidRPr="006746B1">
        <w:tab/>
      </w:r>
      <w:r w:rsidR="003A3427" w:rsidRPr="003A3427">
        <w:t>34</w:t>
      </w:r>
    </w:p>
    <w:p w:rsidR="00D17547" w:rsidRPr="003A3427" w:rsidRDefault="00D17547" w:rsidP="00C926B4">
      <w:pPr>
        <w:tabs>
          <w:tab w:val="right" w:pos="850"/>
          <w:tab w:val="left" w:pos="1134"/>
          <w:tab w:val="left" w:pos="1559"/>
          <w:tab w:val="left" w:pos="1980"/>
          <w:tab w:val="left" w:leader="dot" w:pos="7654"/>
          <w:tab w:val="right" w:pos="8929"/>
          <w:tab w:val="right" w:pos="9638"/>
        </w:tabs>
        <w:suppressAutoHyphens/>
        <w:spacing w:after="120"/>
      </w:pPr>
      <w:r w:rsidRPr="006746B1">
        <w:tab/>
      </w:r>
      <w:r w:rsidRPr="006746B1">
        <w:tab/>
        <w:t>Статья 8: Право вступать в профессиональные союзы</w:t>
      </w:r>
      <w:r w:rsidRPr="006746B1">
        <w:tab/>
      </w:r>
      <w:r w:rsidRPr="006746B1">
        <w:tab/>
        <w:t>8.1–8.9</w:t>
      </w:r>
      <w:r w:rsidRPr="006746B1">
        <w:tab/>
      </w:r>
      <w:r w:rsidR="003A3427" w:rsidRPr="003A3427">
        <w:t>44</w:t>
      </w:r>
    </w:p>
    <w:p w:rsidR="00D17547" w:rsidRPr="003A3427" w:rsidRDefault="00D17547" w:rsidP="00C926B4">
      <w:pPr>
        <w:tabs>
          <w:tab w:val="right" w:pos="850"/>
          <w:tab w:val="left" w:pos="1134"/>
          <w:tab w:val="left" w:pos="1559"/>
          <w:tab w:val="left" w:pos="1980"/>
          <w:tab w:val="left" w:leader="dot" w:pos="7654"/>
          <w:tab w:val="right" w:pos="8929"/>
          <w:tab w:val="right" w:pos="9638"/>
        </w:tabs>
        <w:suppressAutoHyphens/>
        <w:spacing w:after="120"/>
      </w:pPr>
      <w:r w:rsidRPr="006746B1">
        <w:tab/>
      </w:r>
      <w:r w:rsidRPr="006746B1">
        <w:tab/>
        <w:t>Статья 9: Право на социальное обеспечение</w:t>
      </w:r>
      <w:r w:rsidRPr="006746B1">
        <w:tab/>
      </w:r>
      <w:r w:rsidRPr="006746B1">
        <w:tab/>
        <w:t>9.1–9.33</w:t>
      </w:r>
      <w:r w:rsidRPr="006746B1">
        <w:tab/>
      </w:r>
      <w:r w:rsidR="003A3427" w:rsidRPr="003A3427">
        <w:t>46</w:t>
      </w:r>
    </w:p>
    <w:p w:rsidR="00D17547" w:rsidRPr="003A3427" w:rsidRDefault="00D17547" w:rsidP="00C926B4">
      <w:pPr>
        <w:tabs>
          <w:tab w:val="right" w:pos="850"/>
          <w:tab w:val="left" w:pos="1134"/>
          <w:tab w:val="left" w:pos="1559"/>
          <w:tab w:val="left" w:pos="1980"/>
          <w:tab w:val="left" w:leader="dot" w:pos="7654"/>
          <w:tab w:val="right" w:pos="8929"/>
          <w:tab w:val="right" w:pos="9638"/>
        </w:tabs>
        <w:suppressAutoHyphens/>
        <w:spacing w:after="120"/>
      </w:pPr>
      <w:r w:rsidRPr="006746B1">
        <w:tab/>
      </w:r>
      <w:r w:rsidRPr="006746B1">
        <w:tab/>
        <w:t>Статья 10: Охрана семьи</w:t>
      </w:r>
      <w:r w:rsidRPr="006746B1">
        <w:tab/>
      </w:r>
      <w:r w:rsidRPr="006746B1">
        <w:tab/>
        <w:t>10.1–10.115</w:t>
      </w:r>
      <w:r w:rsidRPr="006746B1">
        <w:tab/>
      </w:r>
      <w:r w:rsidR="003A3427" w:rsidRPr="003A3427">
        <w:t>53</w:t>
      </w:r>
    </w:p>
    <w:p w:rsidR="00D17547" w:rsidRPr="003A3427" w:rsidRDefault="00D17547" w:rsidP="00C926B4">
      <w:pPr>
        <w:tabs>
          <w:tab w:val="right" w:pos="850"/>
          <w:tab w:val="left" w:pos="1134"/>
          <w:tab w:val="left" w:pos="1559"/>
          <w:tab w:val="left" w:pos="1980"/>
          <w:tab w:val="left" w:leader="dot" w:pos="7654"/>
          <w:tab w:val="right" w:pos="8929"/>
          <w:tab w:val="right" w:pos="9638"/>
        </w:tabs>
        <w:suppressAutoHyphens/>
        <w:spacing w:after="120"/>
      </w:pPr>
      <w:r w:rsidRPr="006746B1">
        <w:tab/>
      </w:r>
      <w:r w:rsidRPr="006746B1">
        <w:tab/>
        <w:t>Статья 11: Право на достаточный жизненный уровень</w:t>
      </w:r>
      <w:r w:rsidRPr="006746B1">
        <w:tab/>
      </w:r>
      <w:r w:rsidRPr="006746B1">
        <w:tab/>
        <w:t>11.1–11.72</w:t>
      </w:r>
      <w:r w:rsidRPr="006746B1">
        <w:tab/>
      </w:r>
      <w:r w:rsidR="003A3427" w:rsidRPr="003A3427">
        <w:t>81</w:t>
      </w:r>
    </w:p>
    <w:p w:rsidR="00D17547" w:rsidRPr="003A3427" w:rsidRDefault="00D17547" w:rsidP="00C926B4">
      <w:pPr>
        <w:tabs>
          <w:tab w:val="right" w:pos="850"/>
          <w:tab w:val="left" w:pos="1134"/>
          <w:tab w:val="left" w:pos="1559"/>
          <w:tab w:val="left" w:pos="1980"/>
          <w:tab w:val="left" w:leader="dot" w:pos="7654"/>
          <w:tab w:val="right" w:pos="8929"/>
          <w:tab w:val="right" w:pos="9638"/>
        </w:tabs>
        <w:suppressAutoHyphens/>
        <w:spacing w:after="120"/>
      </w:pPr>
      <w:r w:rsidRPr="006746B1">
        <w:tab/>
      </w:r>
      <w:r w:rsidRPr="006746B1">
        <w:tab/>
        <w:t xml:space="preserve">Статья 12: Право на здоровье </w:t>
      </w:r>
      <w:r w:rsidRPr="006746B1">
        <w:tab/>
      </w:r>
      <w:r w:rsidRPr="006746B1">
        <w:tab/>
        <w:t>12.1–12.184</w:t>
      </w:r>
      <w:r w:rsidRPr="006746B1">
        <w:tab/>
      </w:r>
      <w:r w:rsidR="003A3427" w:rsidRPr="003A3427">
        <w:t>96</w:t>
      </w:r>
    </w:p>
    <w:p w:rsidR="00D17547" w:rsidRPr="003A3427" w:rsidRDefault="00D17547" w:rsidP="00C926B4">
      <w:pPr>
        <w:tabs>
          <w:tab w:val="right" w:pos="850"/>
          <w:tab w:val="left" w:pos="1134"/>
          <w:tab w:val="left" w:pos="1559"/>
          <w:tab w:val="left" w:pos="1980"/>
          <w:tab w:val="left" w:leader="dot" w:pos="7654"/>
          <w:tab w:val="right" w:pos="8929"/>
          <w:tab w:val="right" w:pos="9638"/>
        </w:tabs>
        <w:suppressAutoHyphens/>
        <w:spacing w:after="120"/>
      </w:pPr>
      <w:r w:rsidRPr="006746B1">
        <w:tab/>
      </w:r>
      <w:r w:rsidRPr="006746B1">
        <w:tab/>
        <w:t xml:space="preserve">Статьи 13 и 14: Право на образование </w:t>
      </w:r>
      <w:r w:rsidRPr="006746B1">
        <w:tab/>
      </w:r>
      <w:r w:rsidRPr="006746B1">
        <w:tab/>
        <w:t>13.1–13.103</w:t>
      </w:r>
      <w:r w:rsidRPr="006746B1">
        <w:tab/>
      </w:r>
      <w:r w:rsidR="003A3427" w:rsidRPr="003A3427">
        <w:t>135</w:t>
      </w:r>
    </w:p>
    <w:p w:rsidR="00D17547" w:rsidRPr="006746B1" w:rsidRDefault="00D17547" w:rsidP="00C926B4">
      <w:pPr>
        <w:tabs>
          <w:tab w:val="right" w:pos="850"/>
          <w:tab w:val="left" w:pos="1134"/>
          <w:tab w:val="left" w:pos="1559"/>
          <w:tab w:val="left" w:pos="1980"/>
          <w:tab w:val="left" w:leader="dot" w:pos="7654"/>
          <w:tab w:val="right" w:pos="8929"/>
          <w:tab w:val="right" w:pos="9638"/>
        </w:tabs>
        <w:suppressAutoHyphens/>
        <w:spacing w:after="120"/>
      </w:pPr>
      <w:r w:rsidRPr="006746B1">
        <w:tab/>
      </w:r>
      <w:r w:rsidRPr="006746B1">
        <w:tab/>
        <w:t xml:space="preserve">Статья 15: Право на участие в культурной жизни, пользование </w:t>
      </w:r>
      <w:r w:rsidR="00E53490">
        <w:br/>
      </w:r>
      <w:r w:rsidRPr="006746B1">
        <w:tab/>
      </w:r>
      <w:r w:rsidRPr="006746B1">
        <w:tab/>
        <w:t>результатами научного прогресса и их практического применения</w:t>
      </w:r>
      <w:r w:rsidRPr="006746B1">
        <w:tab/>
      </w:r>
      <w:r w:rsidRPr="006746B1">
        <w:tab/>
        <w:t>15.1–15.56</w:t>
      </w:r>
      <w:r w:rsidRPr="006746B1">
        <w:tab/>
      </w:r>
      <w:r w:rsidR="003A3427" w:rsidRPr="003A3427">
        <w:t>159</w:t>
      </w:r>
    </w:p>
    <w:p w:rsidR="00D17547" w:rsidRPr="006746B1" w:rsidRDefault="00D17547" w:rsidP="00122DDF">
      <w:pPr>
        <w:tabs>
          <w:tab w:val="right" w:pos="850"/>
          <w:tab w:val="left" w:pos="1134"/>
          <w:tab w:val="left" w:pos="1559"/>
          <w:tab w:val="left" w:pos="1980"/>
          <w:tab w:val="left" w:leader="dot" w:pos="7654"/>
          <w:tab w:val="right" w:pos="8929"/>
          <w:tab w:val="right" w:pos="9638"/>
        </w:tabs>
        <w:suppressAutoHyphens/>
        <w:spacing w:after="120"/>
      </w:pPr>
      <w:r w:rsidRPr="006746B1">
        <w:tab/>
        <w:t>Приложения</w:t>
      </w:r>
    </w:p>
    <w:p w:rsidR="00D17547" w:rsidRPr="003A3427" w:rsidRDefault="00D17547" w:rsidP="00B76A38">
      <w:pPr>
        <w:tabs>
          <w:tab w:val="right" w:pos="850"/>
          <w:tab w:val="left" w:pos="1134"/>
          <w:tab w:val="left" w:pos="1559"/>
          <w:tab w:val="left" w:pos="1980"/>
          <w:tab w:val="left" w:leader="dot" w:pos="8820"/>
          <w:tab w:val="right" w:pos="8929"/>
          <w:tab w:val="right" w:pos="9638"/>
        </w:tabs>
        <w:suppressAutoHyphens/>
        <w:spacing w:after="120"/>
      </w:pPr>
      <w:r w:rsidRPr="006746B1">
        <w:tab/>
        <w:t>2</w:t>
      </w:r>
      <w:r w:rsidRPr="00A16A49">
        <w:t>A</w:t>
      </w:r>
      <w:r w:rsidRPr="006746B1">
        <w:tab/>
      </w:r>
      <w:r w:rsidRPr="00DA5569">
        <w:rPr>
          <w:i/>
        </w:rPr>
        <w:t>Секретарь юстиции против</w:t>
      </w:r>
      <w:r w:rsidR="00F441D3" w:rsidRPr="00DA5569">
        <w:rPr>
          <w:i/>
        </w:rPr>
        <w:t xml:space="preserve"> </w:t>
      </w:r>
      <w:proofErr w:type="spellStart"/>
      <w:r w:rsidRPr="00DA5569">
        <w:rPr>
          <w:i/>
        </w:rPr>
        <w:t>Яу</w:t>
      </w:r>
      <w:proofErr w:type="spellEnd"/>
      <w:r w:rsidR="00F441D3" w:rsidRPr="00DA5569">
        <w:rPr>
          <w:i/>
        </w:rPr>
        <w:t xml:space="preserve"> </w:t>
      </w:r>
      <w:proofErr w:type="spellStart"/>
      <w:r w:rsidRPr="00DA5569">
        <w:rPr>
          <w:i/>
        </w:rPr>
        <w:t>Юклунга</w:t>
      </w:r>
      <w:proofErr w:type="spellEnd"/>
      <w:r w:rsidRPr="006746B1">
        <w:tab/>
      </w:r>
      <w:r w:rsidRPr="006746B1">
        <w:tab/>
      </w:r>
      <w:r w:rsidR="00E53490">
        <w:tab/>
      </w:r>
      <w:r w:rsidR="003A3427" w:rsidRPr="003A3427">
        <w:t>172</w:t>
      </w:r>
    </w:p>
    <w:p w:rsidR="00D17547" w:rsidRPr="003A3427" w:rsidRDefault="00D17547" w:rsidP="00B76A38">
      <w:pPr>
        <w:tabs>
          <w:tab w:val="right" w:pos="850"/>
          <w:tab w:val="left" w:pos="1134"/>
          <w:tab w:val="left" w:pos="1559"/>
          <w:tab w:val="left" w:pos="1980"/>
          <w:tab w:val="left" w:leader="dot" w:pos="8820"/>
          <w:tab w:val="right" w:pos="8929"/>
          <w:tab w:val="right" w:pos="9638"/>
        </w:tabs>
        <w:suppressAutoHyphens/>
        <w:spacing w:after="120"/>
      </w:pPr>
      <w:r w:rsidRPr="006746B1">
        <w:tab/>
        <w:t>6</w:t>
      </w:r>
      <w:r w:rsidRPr="00A16A49">
        <w:t>A</w:t>
      </w:r>
      <w:r w:rsidRPr="006746B1">
        <w:tab/>
        <w:t xml:space="preserve">Профессиональная подготовка: количество учащихся в 2008/09 </w:t>
      </w:r>
      <w:r w:rsidR="00A35E26">
        <w:t>учебном году</w:t>
      </w:r>
      <w:r w:rsidRPr="006746B1">
        <w:tab/>
      </w:r>
      <w:r w:rsidR="00E53490">
        <w:tab/>
      </w:r>
      <w:r w:rsidR="00E53490">
        <w:tab/>
      </w:r>
      <w:r w:rsidR="003A3427" w:rsidRPr="003A3427">
        <w:t>173</w:t>
      </w:r>
    </w:p>
    <w:p w:rsidR="00D17547" w:rsidRPr="003A3427" w:rsidRDefault="00D17547" w:rsidP="00B76A38">
      <w:pPr>
        <w:tabs>
          <w:tab w:val="right" w:pos="850"/>
          <w:tab w:val="left" w:pos="1134"/>
          <w:tab w:val="left" w:pos="1559"/>
          <w:tab w:val="left" w:pos="1980"/>
          <w:tab w:val="left" w:leader="dot" w:pos="8820"/>
          <w:tab w:val="right" w:pos="8929"/>
          <w:tab w:val="right" w:pos="9638"/>
        </w:tabs>
        <w:suppressAutoHyphens/>
        <w:spacing w:after="120"/>
      </w:pPr>
      <w:r w:rsidRPr="006746B1">
        <w:tab/>
        <w:t>6</w:t>
      </w:r>
      <w:r w:rsidRPr="00A16A49">
        <w:t>B</w:t>
      </w:r>
      <w:r w:rsidRPr="006746B1">
        <w:tab/>
        <w:t>Статистика занятости, безработицы и неполной</w:t>
      </w:r>
      <w:r w:rsidR="00F441D3">
        <w:t xml:space="preserve"> </w:t>
      </w:r>
      <w:r w:rsidRPr="006746B1">
        <w:t>занятости</w:t>
      </w:r>
      <w:r w:rsidRPr="006746B1">
        <w:tab/>
      </w:r>
      <w:r w:rsidRPr="006746B1">
        <w:tab/>
      </w:r>
      <w:r w:rsidR="00E53490">
        <w:tab/>
      </w:r>
      <w:r w:rsidR="003A3427" w:rsidRPr="003A3427">
        <w:t>175</w:t>
      </w:r>
    </w:p>
    <w:p w:rsidR="00D17547" w:rsidRPr="003A3427" w:rsidRDefault="00D17547" w:rsidP="00B76A38">
      <w:pPr>
        <w:tabs>
          <w:tab w:val="right" w:pos="850"/>
          <w:tab w:val="left" w:pos="1134"/>
          <w:tab w:val="left" w:pos="1559"/>
          <w:tab w:val="left" w:pos="1980"/>
          <w:tab w:val="left" w:leader="dot" w:pos="8820"/>
          <w:tab w:val="right" w:pos="8929"/>
          <w:tab w:val="right" w:pos="9638"/>
        </w:tabs>
        <w:suppressAutoHyphens/>
        <w:spacing w:after="120"/>
      </w:pPr>
      <w:r w:rsidRPr="006746B1">
        <w:tab/>
        <w:t>7</w:t>
      </w:r>
      <w:r w:rsidRPr="00A16A49">
        <w:t>A</w:t>
      </w:r>
      <w:r w:rsidRPr="006746B1">
        <w:tab/>
        <w:t xml:space="preserve">Профессиональные заболевания, зарегистрированные в Гонконге </w:t>
      </w:r>
      <w:r w:rsidR="00E53490">
        <w:br/>
      </w:r>
      <w:r w:rsidR="00E53490">
        <w:tab/>
      </w:r>
      <w:r w:rsidR="00E53490">
        <w:tab/>
      </w:r>
      <w:r w:rsidRPr="006746B1">
        <w:t>в период 2000</w:t>
      </w:r>
      <w:r w:rsidR="00E53490">
        <w:t>−</w:t>
      </w:r>
      <w:r w:rsidRPr="006746B1">
        <w:t>2009</w:t>
      </w:r>
      <w:r w:rsidR="00B92291">
        <w:t> год</w:t>
      </w:r>
      <w:r w:rsidRPr="006746B1">
        <w:t xml:space="preserve">ов </w:t>
      </w:r>
      <w:r w:rsidRPr="006746B1">
        <w:tab/>
      </w:r>
      <w:r w:rsidR="00E53490">
        <w:tab/>
      </w:r>
      <w:r w:rsidR="00E53490">
        <w:tab/>
      </w:r>
      <w:r w:rsidR="003A3427" w:rsidRPr="003A3427">
        <w:t>176</w:t>
      </w:r>
    </w:p>
    <w:p w:rsidR="00D17547" w:rsidRPr="003A3427" w:rsidRDefault="00D17547" w:rsidP="00B76A38">
      <w:pPr>
        <w:tabs>
          <w:tab w:val="right" w:pos="850"/>
          <w:tab w:val="left" w:pos="1134"/>
          <w:tab w:val="left" w:pos="1559"/>
          <w:tab w:val="left" w:pos="1980"/>
          <w:tab w:val="left" w:leader="dot" w:pos="8820"/>
          <w:tab w:val="right" w:pos="8929"/>
          <w:tab w:val="right" w:pos="9638"/>
        </w:tabs>
        <w:suppressAutoHyphens/>
        <w:spacing w:after="120"/>
      </w:pPr>
      <w:r w:rsidRPr="006746B1">
        <w:tab/>
        <w:t>9</w:t>
      </w:r>
      <w:r w:rsidRPr="00A16A49">
        <w:t>A</w:t>
      </w:r>
      <w:r w:rsidRPr="006746B1">
        <w:tab/>
        <w:t xml:space="preserve">Улучшения после представления предыдущего доклада: Компенсация </w:t>
      </w:r>
      <w:r w:rsidR="00E53490">
        <w:br/>
      </w:r>
      <w:r w:rsidR="00E53490">
        <w:tab/>
      </w:r>
      <w:r w:rsidR="00E53490">
        <w:tab/>
      </w:r>
      <w:r w:rsidRPr="006746B1">
        <w:t>в соответствии с</w:t>
      </w:r>
      <w:r w:rsidR="00E53490">
        <w:t xml:space="preserve"> </w:t>
      </w:r>
      <w:r w:rsidRPr="006746B1">
        <w:t>Указ</w:t>
      </w:r>
      <w:r w:rsidR="00DA5569">
        <w:t>ом о компенсации работникам (глава</w:t>
      </w:r>
      <w:r w:rsidRPr="006746B1">
        <w:t xml:space="preserve"> 282)</w:t>
      </w:r>
      <w:r w:rsidRPr="006746B1">
        <w:tab/>
      </w:r>
      <w:r w:rsidRPr="006746B1">
        <w:tab/>
      </w:r>
      <w:r w:rsidR="00E53490">
        <w:tab/>
      </w:r>
      <w:r w:rsidR="003A3427" w:rsidRPr="003A3427">
        <w:t>177</w:t>
      </w:r>
    </w:p>
    <w:p w:rsidR="00D17547" w:rsidRPr="003A3427" w:rsidRDefault="00D17547" w:rsidP="00B76A38">
      <w:pPr>
        <w:tabs>
          <w:tab w:val="right" w:pos="850"/>
          <w:tab w:val="left" w:pos="1134"/>
          <w:tab w:val="left" w:pos="1559"/>
          <w:tab w:val="left" w:pos="1980"/>
          <w:tab w:val="left" w:leader="dot" w:pos="8820"/>
          <w:tab w:val="right" w:pos="8929"/>
          <w:tab w:val="right" w:pos="9638"/>
        </w:tabs>
        <w:suppressAutoHyphens/>
        <w:spacing w:after="120"/>
      </w:pPr>
      <w:r w:rsidRPr="006746B1">
        <w:tab/>
        <w:t>9</w:t>
      </w:r>
      <w:r w:rsidRPr="00A16A49">
        <w:t>B</w:t>
      </w:r>
      <w:r w:rsidRPr="006746B1">
        <w:tab/>
        <w:t>Компенсация в соответ</w:t>
      </w:r>
      <w:r w:rsidR="00E53490">
        <w:t xml:space="preserve">ствии с Указом о пневмокониозе </w:t>
      </w:r>
      <w:r w:rsidRPr="006746B1">
        <w:t xml:space="preserve">и </w:t>
      </w:r>
      <w:proofErr w:type="spellStart"/>
      <w:r w:rsidRPr="006746B1">
        <w:t>мезотелиоме</w:t>
      </w:r>
      <w:proofErr w:type="spellEnd"/>
      <w:r w:rsidRPr="006746B1">
        <w:t xml:space="preserve"> </w:t>
      </w:r>
      <w:r w:rsidR="00B76A38">
        <w:br/>
      </w:r>
      <w:r w:rsidR="00B76A38">
        <w:tab/>
      </w:r>
      <w:r w:rsidR="00B76A38">
        <w:tab/>
      </w:r>
      <w:r w:rsidRPr="006746B1">
        <w:t>(Компенсация)</w:t>
      </w:r>
      <w:r w:rsidR="00E53490">
        <w:t xml:space="preserve"> </w:t>
      </w:r>
      <w:r w:rsidRPr="006746B1">
        <w:t>(гл</w:t>
      </w:r>
      <w:r w:rsidR="00DA5569">
        <w:t>ава</w:t>
      </w:r>
      <w:r w:rsidRPr="006746B1">
        <w:t xml:space="preserve"> 360) </w:t>
      </w:r>
      <w:r w:rsidRPr="006746B1">
        <w:tab/>
      </w:r>
      <w:r w:rsidRPr="006746B1">
        <w:tab/>
      </w:r>
      <w:r w:rsidRPr="006746B1">
        <w:tab/>
      </w:r>
      <w:r w:rsidR="003A3427" w:rsidRPr="003A3427">
        <w:t>178</w:t>
      </w:r>
    </w:p>
    <w:p w:rsidR="00D17547" w:rsidRPr="003A3427" w:rsidRDefault="00D17547" w:rsidP="00B76A38">
      <w:pPr>
        <w:tabs>
          <w:tab w:val="right" w:pos="850"/>
          <w:tab w:val="left" w:pos="1134"/>
          <w:tab w:val="left" w:pos="1559"/>
          <w:tab w:val="left" w:pos="1980"/>
          <w:tab w:val="left" w:leader="dot" w:pos="8820"/>
          <w:tab w:val="right" w:pos="8929"/>
          <w:tab w:val="right" w:pos="9638"/>
        </w:tabs>
        <w:suppressAutoHyphens/>
        <w:spacing w:after="120"/>
      </w:pPr>
      <w:r w:rsidRPr="006746B1">
        <w:tab/>
        <w:t>9</w:t>
      </w:r>
      <w:r w:rsidRPr="00A16A49">
        <w:t>C</w:t>
      </w:r>
      <w:r w:rsidRPr="006746B1">
        <w:tab/>
        <w:t xml:space="preserve">Улучшения после представления предыдущего доклада: Указ </w:t>
      </w:r>
      <w:r w:rsidR="007D7D42">
        <w:br/>
      </w:r>
      <w:r w:rsidR="007D7D42">
        <w:tab/>
      </w:r>
      <w:r w:rsidR="007D7D42">
        <w:tab/>
      </w:r>
      <w:r w:rsidRPr="006746B1">
        <w:t xml:space="preserve">о профессиональной глухоте </w:t>
      </w:r>
      <w:r w:rsidR="007D7D42">
        <w:t xml:space="preserve">(Компенсация) (Поправка) </w:t>
      </w:r>
      <w:r w:rsidRPr="006746B1">
        <w:t>2003</w:t>
      </w:r>
      <w:r w:rsidR="00B92291">
        <w:t> год</w:t>
      </w:r>
      <w:r w:rsidRPr="006746B1">
        <w:t>а</w:t>
      </w:r>
      <w:r w:rsidRPr="006746B1">
        <w:tab/>
      </w:r>
      <w:r w:rsidRPr="006746B1">
        <w:tab/>
      </w:r>
      <w:r w:rsidR="007D7D42">
        <w:tab/>
      </w:r>
      <w:r w:rsidR="003A3427" w:rsidRPr="003A3427">
        <w:t>180</w:t>
      </w:r>
    </w:p>
    <w:p w:rsidR="00D17547" w:rsidRPr="003A3427" w:rsidRDefault="00D17547" w:rsidP="00B76A38">
      <w:pPr>
        <w:tabs>
          <w:tab w:val="right" w:pos="850"/>
          <w:tab w:val="left" w:pos="1134"/>
          <w:tab w:val="left" w:pos="1559"/>
          <w:tab w:val="left" w:pos="1980"/>
          <w:tab w:val="left" w:leader="dot" w:pos="8820"/>
          <w:tab w:val="right" w:pos="8929"/>
          <w:tab w:val="right" w:pos="9638"/>
        </w:tabs>
        <w:suppressAutoHyphens/>
        <w:spacing w:after="120"/>
      </w:pPr>
      <w:r w:rsidRPr="006746B1">
        <w:tab/>
        <w:t>9</w:t>
      </w:r>
      <w:r w:rsidRPr="00A16A49">
        <w:t>D</w:t>
      </w:r>
      <w:r w:rsidRPr="006746B1">
        <w:tab/>
        <w:t>Улучшение после</w:t>
      </w:r>
      <w:r w:rsidR="00F441D3">
        <w:t xml:space="preserve"> </w:t>
      </w:r>
      <w:r w:rsidRPr="006746B1">
        <w:t xml:space="preserve">предыдущего доклада: Указ о профессиональной </w:t>
      </w:r>
      <w:r w:rsidR="007D7D42">
        <w:br/>
      </w:r>
      <w:r w:rsidR="007D7D42">
        <w:tab/>
      </w:r>
      <w:r w:rsidR="007D7D42">
        <w:tab/>
      </w:r>
      <w:r w:rsidRPr="006746B1">
        <w:t>глухоте (Компенсация) (Поправка) 2010</w:t>
      </w:r>
      <w:r w:rsidR="00B92291">
        <w:t> год</w:t>
      </w:r>
      <w:r w:rsidRPr="006746B1">
        <w:t xml:space="preserve">а </w:t>
      </w:r>
      <w:r w:rsidRPr="006746B1">
        <w:tab/>
      </w:r>
      <w:r w:rsidRPr="006746B1">
        <w:tab/>
      </w:r>
      <w:r w:rsidR="007D7D42">
        <w:tab/>
      </w:r>
      <w:r w:rsidR="003A3427" w:rsidRPr="003A3427">
        <w:t>181</w:t>
      </w:r>
    </w:p>
    <w:p w:rsidR="00D17547" w:rsidRPr="003A3427" w:rsidRDefault="00D17547" w:rsidP="00B76A38">
      <w:pPr>
        <w:tabs>
          <w:tab w:val="right" w:pos="850"/>
          <w:tab w:val="left" w:pos="1134"/>
          <w:tab w:val="left" w:pos="1559"/>
          <w:tab w:val="left" w:pos="1980"/>
          <w:tab w:val="left" w:leader="dot" w:pos="8820"/>
          <w:tab w:val="right" w:pos="8929"/>
          <w:tab w:val="right" w:pos="9638"/>
        </w:tabs>
        <w:suppressAutoHyphens/>
        <w:spacing w:after="120"/>
      </w:pPr>
      <w:r w:rsidRPr="006746B1">
        <w:tab/>
        <w:t>10</w:t>
      </w:r>
      <w:r w:rsidRPr="00A16A49">
        <w:t>A</w:t>
      </w:r>
      <w:r w:rsidRPr="006746B1">
        <w:tab/>
        <w:t xml:space="preserve">Положения о половых преступлениях, перечисленных в Перечне 2 </w:t>
      </w:r>
      <w:r w:rsidR="00B76A38">
        <w:br/>
      </w:r>
      <w:r w:rsidR="00B76A38">
        <w:tab/>
      </w:r>
      <w:r w:rsidR="00B76A38">
        <w:tab/>
      </w:r>
      <w:r w:rsidRPr="006746B1">
        <w:t xml:space="preserve">к Указу о преступлениях, которые имеют </w:t>
      </w:r>
      <w:proofErr w:type="spellStart"/>
      <w:r w:rsidRPr="006746B1">
        <w:t>экстратерриториальные</w:t>
      </w:r>
      <w:proofErr w:type="spellEnd"/>
      <w:r w:rsidRPr="006746B1">
        <w:t xml:space="preserve"> </w:t>
      </w:r>
      <w:r w:rsidR="007D7D42">
        <w:br/>
      </w:r>
      <w:r w:rsidR="007D7D42">
        <w:tab/>
      </w:r>
      <w:r w:rsidR="007D7D42">
        <w:tab/>
      </w:r>
      <w:r w:rsidR="00B80F52">
        <w:t>последствия (глава</w:t>
      </w:r>
      <w:r w:rsidRPr="006746B1">
        <w:t xml:space="preserve"> 200) </w:t>
      </w:r>
      <w:r w:rsidRPr="006746B1">
        <w:tab/>
      </w:r>
      <w:r w:rsidR="007D7D42">
        <w:tab/>
      </w:r>
      <w:r w:rsidR="007D7D42">
        <w:tab/>
      </w:r>
      <w:r w:rsidR="003A3427" w:rsidRPr="003A3427">
        <w:t>182</w:t>
      </w:r>
    </w:p>
    <w:p w:rsidR="00D17547" w:rsidRPr="003A3427" w:rsidRDefault="00D17547" w:rsidP="00B76A38">
      <w:pPr>
        <w:tabs>
          <w:tab w:val="right" w:pos="850"/>
          <w:tab w:val="left" w:pos="1134"/>
          <w:tab w:val="left" w:pos="1559"/>
          <w:tab w:val="left" w:pos="1980"/>
          <w:tab w:val="left" w:leader="dot" w:pos="8820"/>
          <w:tab w:val="right" w:pos="8929"/>
          <w:tab w:val="right" w:pos="9638"/>
        </w:tabs>
        <w:suppressAutoHyphens/>
        <w:spacing w:after="120"/>
      </w:pPr>
      <w:r w:rsidRPr="006746B1">
        <w:tab/>
        <w:t>12</w:t>
      </w:r>
      <w:r w:rsidRPr="00A16A49">
        <w:t>A</w:t>
      </w:r>
      <w:r w:rsidRPr="006746B1">
        <w:tab/>
        <w:t>Меры, принятые для уменьшения риска</w:t>
      </w:r>
      <w:r w:rsidR="00F441D3">
        <w:t xml:space="preserve"> </w:t>
      </w:r>
      <w:r w:rsidRPr="006746B1">
        <w:t xml:space="preserve">заражения людей от домашней птицы </w:t>
      </w:r>
      <w:r w:rsidRPr="006746B1">
        <w:tab/>
      </w:r>
      <w:r w:rsidR="007D7D42">
        <w:tab/>
      </w:r>
      <w:r w:rsidR="007D7D42">
        <w:tab/>
      </w:r>
      <w:r w:rsidR="003A3427" w:rsidRPr="003A3427">
        <w:t>184</w:t>
      </w:r>
    </w:p>
    <w:p w:rsidR="00D17547" w:rsidRPr="003A3427" w:rsidRDefault="00D17547" w:rsidP="00B76A38">
      <w:pPr>
        <w:tabs>
          <w:tab w:val="right" w:pos="850"/>
          <w:tab w:val="left" w:pos="1134"/>
          <w:tab w:val="left" w:pos="1559"/>
          <w:tab w:val="left" w:pos="1980"/>
          <w:tab w:val="left" w:leader="dot" w:pos="8820"/>
          <w:tab w:val="right" w:pos="8929"/>
          <w:tab w:val="right" w:pos="9638"/>
        </w:tabs>
        <w:suppressAutoHyphens/>
        <w:spacing w:after="120"/>
      </w:pPr>
      <w:r w:rsidRPr="006746B1">
        <w:tab/>
        <w:t>13</w:t>
      </w:r>
      <w:r w:rsidRPr="00A16A49">
        <w:t>A</w:t>
      </w:r>
      <w:r w:rsidRPr="006746B1">
        <w:tab/>
        <w:t>Уровень образования в Гонконге</w:t>
      </w:r>
      <w:r w:rsidRPr="006746B1">
        <w:tab/>
      </w:r>
      <w:r w:rsidRPr="006746B1">
        <w:tab/>
      </w:r>
      <w:r w:rsidR="007D7D42">
        <w:tab/>
      </w:r>
      <w:r w:rsidR="003A3427" w:rsidRPr="003A3427">
        <w:t>185</w:t>
      </w:r>
    </w:p>
    <w:p w:rsidR="00D17547" w:rsidRPr="003A3427" w:rsidRDefault="00D17547" w:rsidP="00B76A38">
      <w:pPr>
        <w:tabs>
          <w:tab w:val="right" w:pos="850"/>
          <w:tab w:val="left" w:pos="1134"/>
          <w:tab w:val="left" w:pos="1559"/>
          <w:tab w:val="left" w:pos="1980"/>
          <w:tab w:val="left" w:leader="dot" w:pos="8820"/>
          <w:tab w:val="right" w:pos="8929"/>
          <w:tab w:val="right" w:pos="9638"/>
        </w:tabs>
        <w:suppressAutoHyphens/>
        <w:spacing w:after="120"/>
      </w:pPr>
      <w:r w:rsidRPr="006746B1">
        <w:tab/>
        <w:t>13</w:t>
      </w:r>
      <w:r w:rsidRPr="00A16A49">
        <w:t>B</w:t>
      </w:r>
      <w:r w:rsidRPr="006746B1">
        <w:tab/>
        <w:t xml:space="preserve">Программы Агентства финансовой помощи учащимся, получающим </w:t>
      </w:r>
      <w:r w:rsidR="007D7D42">
        <w:br/>
      </w:r>
      <w:r w:rsidR="007D7D42">
        <w:tab/>
      </w:r>
      <w:r w:rsidR="007D7D42">
        <w:tab/>
      </w:r>
      <w:r w:rsidRPr="006746B1">
        <w:t xml:space="preserve">высшее образование </w:t>
      </w:r>
      <w:r w:rsidRPr="006746B1">
        <w:tab/>
      </w:r>
      <w:r w:rsidR="007D7D42">
        <w:tab/>
      </w:r>
      <w:r w:rsidR="007D7D42">
        <w:tab/>
      </w:r>
      <w:r w:rsidR="003A3427" w:rsidRPr="003A3427">
        <w:t>186</w:t>
      </w:r>
    </w:p>
    <w:p w:rsidR="00D17547" w:rsidRPr="003A3427" w:rsidRDefault="00D17547" w:rsidP="00B76A38">
      <w:pPr>
        <w:tabs>
          <w:tab w:val="right" w:pos="850"/>
          <w:tab w:val="left" w:pos="1134"/>
          <w:tab w:val="left" w:pos="1559"/>
          <w:tab w:val="left" w:pos="1980"/>
          <w:tab w:val="left" w:leader="dot" w:pos="8820"/>
          <w:tab w:val="right" w:pos="8929"/>
          <w:tab w:val="right" w:pos="9638"/>
        </w:tabs>
        <w:suppressAutoHyphens/>
        <w:spacing w:after="120"/>
      </w:pPr>
      <w:r w:rsidRPr="006746B1">
        <w:tab/>
        <w:t>13</w:t>
      </w:r>
      <w:r w:rsidRPr="00A16A49">
        <w:t>C</w:t>
      </w:r>
      <w:r w:rsidRPr="006746B1">
        <w:tab/>
        <w:t>Определения различных форм инвалидности у учащихся, нуждающихся</w:t>
      </w:r>
      <w:r w:rsidR="00F441D3">
        <w:t xml:space="preserve"> </w:t>
      </w:r>
      <w:r w:rsidR="00B76A38">
        <w:br/>
      </w:r>
      <w:r w:rsidR="00B76A38">
        <w:tab/>
      </w:r>
      <w:r w:rsidR="00B76A38">
        <w:tab/>
      </w:r>
      <w:r w:rsidRPr="006746B1">
        <w:t>в дополн</w:t>
      </w:r>
      <w:r w:rsidR="007D7D42">
        <w:t xml:space="preserve">ительной поддерживающей помощи </w:t>
      </w:r>
      <w:r w:rsidRPr="006746B1">
        <w:tab/>
      </w:r>
      <w:r w:rsidRPr="006746B1">
        <w:tab/>
      </w:r>
      <w:r w:rsidR="007D7D42">
        <w:tab/>
      </w:r>
      <w:r w:rsidR="003A3427" w:rsidRPr="003A3427">
        <w:t>188</w:t>
      </w:r>
    </w:p>
    <w:p w:rsidR="00D17547" w:rsidRPr="003A3427" w:rsidRDefault="00D17547" w:rsidP="00B76A38">
      <w:pPr>
        <w:tabs>
          <w:tab w:val="right" w:pos="850"/>
          <w:tab w:val="left" w:pos="1134"/>
          <w:tab w:val="left" w:pos="1559"/>
          <w:tab w:val="left" w:pos="1980"/>
          <w:tab w:val="left" w:leader="dot" w:pos="8820"/>
          <w:tab w:val="right" w:pos="8929"/>
          <w:tab w:val="right" w:pos="9638"/>
        </w:tabs>
        <w:suppressAutoHyphens/>
        <w:spacing w:after="120"/>
      </w:pPr>
      <w:r w:rsidRPr="006746B1">
        <w:tab/>
        <w:t>13</w:t>
      </w:r>
      <w:r w:rsidRPr="00A16A49">
        <w:t>D</w:t>
      </w:r>
      <w:r w:rsidRPr="006746B1">
        <w:tab/>
        <w:t>Помощь учащимся с особыми учебными потребностями в обычных школах</w:t>
      </w:r>
      <w:r w:rsidRPr="006746B1">
        <w:tab/>
      </w:r>
      <w:r w:rsidRPr="006746B1">
        <w:tab/>
      </w:r>
      <w:r w:rsidR="007D7D42">
        <w:tab/>
      </w:r>
      <w:r w:rsidR="003A3427" w:rsidRPr="003A3427">
        <w:t>191</w:t>
      </w:r>
    </w:p>
    <w:p w:rsidR="00D17547" w:rsidRPr="006746B1" w:rsidRDefault="00D17547" w:rsidP="00122DDF">
      <w:pPr>
        <w:pStyle w:val="HChGR"/>
        <w:tabs>
          <w:tab w:val="left" w:pos="1980"/>
        </w:tabs>
      </w:pPr>
      <w:r w:rsidRPr="006746B1">
        <w:br w:type="page"/>
      </w:r>
      <w:r w:rsidRPr="006746B1">
        <w:tab/>
      </w:r>
      <w:r w:rsidRPr="006746B1">
        <w:tab/>
        <w:t>Список сокращений</w:t>
      </w:r>
    </w:p>
    <w:tbl>
      <w:tblPr>
        <w:tblStyle w:val="TabTxt"/>
        <w:tblW w:w="7370" w:type="dxa"/>
        <w:tblInd w:w="1134" w:type="dxa"/>
        <w:tblBorders>
          <w:top w:val="none" w:sz="0" w:space="0" w:color="auto"/>
          <w:bottom w:val="none" w:sz="0" w:space="0" w:color="auto"/>
        </w:tblBorders>
        <w:tblLook w:val="01E0" w:firstRow="1" w:lastRow="1" w:firstColumn="1" w:lastColumn="1" w:noHBand="0" w:noVBand="0"/>
      </w:tblPr>
      <w:tblGrid>
        <w:gridCol w:w="2134"/>
        <w:gridCol w:w="5236"/>
      </w:tblGrid>
      <w:tr w:rsidR="00064570" w:rsidRPr="00064570" w:rsidTr="00064570">
        <w:tc>
          <w:tcPr>
            <w:tcW w:w="2134" w:type="dxa"/>
          </w:tcPr>
          <w:p w:rsidR="00064570" w:rsidRPr="00064570" w:rsidRDefault="00064570" w:rsidP="00122DDF">
            <w:pPr>
              <w:tabs>
                <w:tab w:val="left" w:pos="1980"/>
              </w:tabs>
              <w:suppressAutoHyphens/>
            </w:pPr>
            <w:r w:rsidRPr="00064570">
              <w:t>АБ</w:t>
            </w:r>
          </w:p>
        </w:tc>
        <w:tc>
          <w:tcPr>
            <w:cnfStyle w:val="000100000000" w:firstRow="0" w:lastRow="0" w:firstColumn="0" w:lastColumn="1" w:oddVBand="0" w:evenVBand="0" w:oddHBand="0" w:evenHBand="0" w:firstRowFirstColumn="0" w:firstRowLastColumn="0" w:lastRowFirstColumn="0" w:lastRowLastColumn="0"/>
            <w:tcW w:w="52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Администрация больниц</w:t>
            </w:r>
          </w:p>
        </w:tc>
      </w:tr>
      <w:tr w:rsidR="00064570" w:rsidRPr="00064570" w:rsidTr="00064570">
        <w:tc>
          <w:tcPr>
            <w:tcW w:w="2134" w:type="dxa"/>
          </w:tcPr>
          <w:p w:rsidR="00064570" w:rsidRPr="00064570" w:rsidRDefault="00064570" w:rsidP="00122DDF">
            <w:pPr>
              <w:tabs>
                <w:tab w:val="left" w:pos="1980"/>
              </w:tabs>
              <w:suppressAutoHyphens/>
            </w:pPr>
            <w:r w:rsidRPr="00064570">
              <w:t>АРУКЗК</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 xml:space="preserve">Администрация Района учреждений культуры Западный </w:t>
            </w:r>
            <w:proofErr w:type="spellStart"/>
            <w:r w:rsidRPr="00064570">
              <w:t>Коулун</w:t>
            </w:r>
            <w:proofErr w:type="spellEnd"/>
            <w:r w:rsidRPr="00064570">
              <w:t xml:space="preserve"> </w:t>
            </w:r>
          </w:p>
        </w:tc>
      </w:tr>
      <w:tr w:rsidR="00064570" w:rsidRPr="00064570" w:rsidTr="00064570">
        <w:tc>
          <w:tcPr>
            <w:tcW w:w="2134" w:type="dxa"/>
          </w:tcPr>
          <w:p w:rsidR="00064570" w:rsidRPr="00064570" w:rsidRDefault="00064570" w:rsidP="00122DDF">
            <w:pPr>
              <w:tabs>
                <w:tab w:val="left" w:pos="1980"/>
              </w:tabs>
              <w:suppressAutoHyphens/>
            </w:pPr>
            <w:r w:rsidRPr="00064570">
              <w:t>АФПС</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Агентство по оказанию финансовой помощи студентам</w:t>
            </w:r>
          </w:p>
        </w:tc>
      </w:tr>
      <w:tr w:rsidR="00064570" w:rsidRPr="00064570" w:rsidTr="00064570">
        <w:tc>
          <w:tcPr>
            <w:tcW w:w="2134" w:type="dxa"/>
          </w:tcPr>
          <w:p w:rsidR="00064570" w:rsidRPr="00064570" w:rsidRDefault="00064570" w:rsidP="00122DDF">
            <w:pPr>
              <w:tabs>
                <w:tab w:val="left" w:pos="1980"/>
              </w:tabs>
              <w:suppressAutoHyphens/>
            </w:pPr>
            <w:r w:rsidRPr="00064570">
              <w:t>БВД</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Бюро внутренних дел</w:t>
            </w:r>
          </w:p>
        </w:tc>
      </w:tr>
      <w:tr w:rsidR="00064570" w:rsidRPr="00064570" w:rsidTr="00064570">
        <w:tc>
          <w:tcPr>
            <w:tcW w:w="2134" w:type="dxa"/>
          </w:tcPr>
          <w:p w:rsidR="00064570" w:rsidRPr="00064570" w:rsidRDefault="00064570" w:rsidP="00122DDF">
            <w:pPr>
              <w:tabs>
                <w:tab w:val="left" w:pos="1980"/>
              </w:tabs>
              <w:suppressAutoHyphens/>
            </w:pPr>
            <w:r w:rsidRPr="00064570">
              <w:t>БО</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Бюро образования</w:t>
            </w:r>
          </w:p>
        </w:tc>
      </w:tr>
      <w:tr w:rsidR="00064570" w:rsidRPr="00064570" w:rsidTr="00064570">
        <w:tc>
          <w:tcPr>
            <w:tcW w:w="2134" w:type="dxa"/>
          </w:tcPr>
          <w:p w:rsidR="00064570" w:rsidRPr="00064570" w:rsidRDefault="00064570" w:rsidP="00122DDF">
            <w:pPr>
              <w:tabs>
                <w:tab w:val="left" w:pos="1980"/>
              </w:tabs>
              <w:suppressAutoHyphens/>
            </w:pPr>
            <w:r w:rsidRPr="00064570">
              <w:t>БППЗ</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Бюро по вопросам продуктов питания и здравоохранения</w:t>
            </w:r>
          </w:p>
        </w:tc>
      </w:tr>
      <w:tr w:rsidR="00064570" w:rsidRPr="00064570" w:rsidTr="00064570">
        <w:tc>
          <w:tcPr>
            <w:tcW w:w="2134" w:type="dxa"/>
          </w:tcPr>
          <w:p w:rsidR="00064570" w:rsidRPr="00064570" w:rsidRDefault="00064570" w:rsidP="00122DDF">
            <w:pPr>
              <w:tabs>
                <w:tab w:val="left" w:pos="1980"/>
              </w:tabs>
              <w:suppressAutoHyphens/>
            </w:pPr>
            <w:r w:rsidRPr="00064570">
              <w:t>ВВП</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валовой внутренний продукт</w:t>
            </w:r>
          </w:p>
        </w:tc>
      </w:tr>
      <w:tr w:rsidR="00064570" w:rsidRPr="00064570" w:rsidTr="00064570">
        <w:tc>
          <w:tcPr>
            <w:tcW w:w="2134" w:type="dxa"/>
          </w:tcPr>
          <w:p w:rsidR="00064570" w:rsidRPr="00064570" w:rsidRDefault="00064570" w:rsidP="00122DDF">
            <w:pPr>
              <w:tabs>
                <w:tab w:val="left" w:pos="1980"/>
              </w:tabs>
              <w:suppressAutoHyphens/>
            </w:pPr>
            <w:r w:rsidRPr="00064570">
              <w:t>ВОИС</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 xml:space="preserve">Всемирная организация интеллектуальной собственности </w:t>
            </w:r>
          </w:p>
        </w:tc>
      </w:tr>
      <w:tr w:rsidR="00064570" w:rsidRPr="00064570" w:rsidTr="00064570">
        <w:tc>
          <w:tcPr>
            <w:tcW w:w="2134" w:type="dxa"/>
          </w:tcPr>
          <w:p w:rsidR="00064570" w:rsidRPr="00064570" w:rsidRDefault="00064570" w:rsidP="00122DDF">
            <w:pPr>
              <w:tabs>
                <w:tab w:val="left" w:pos="1980"/>
              </w:tabs>
              <w:suppressAutoHyphens/>
            </w:pPr>
            <w:r w:rsidRPr="00064570">
              <w:t>ВОЗ</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Всемирная организация здравоохранения</w:t>
            </w:r>
          </w:p>
        </w:tc>
      </w:tr>
      <w:tr w:rsidR="00064570" w:rsidRPr="00064570" w:rsidTr="00064570">
        <w:tc>
          <w:tcPr>
            <w:tcW w:w="2134" w:type="dxa"/>
          </w:tcPr>
          <w:p w:rsidR="00064570" w:rsidRPr="00064570" w:rsidRDefault="00064570" w:rsidP="00122DDF">
            <w:pPr>
              <w:tabs>
                <w:tab w:val="left" w:pos="1980"/>
              </w:tabs>
              <w:suppressAutoHyphens/>
            </w:pPr>
            <w:r w:rsidRPr="00064570">
              <w:t>ГАИИ</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Гонконгская академия исполнительских и</w:t>
            </w:r>
            <w:r w:rsidRPr="00064570">
              <w:t>с</w:t>
            </w:r>
            <w:r w:rsidRPr="00064570">
              <w:t xml:space="preserve">кусств </w:t>
            </w:r>
          </w:p>
        </w:tc>
      </w:tr>
      <w:tr w:rsidR="00064570" w:rsidRPr="00064570" w:rsidTr="00064570">
        <w:tc>
          <w:tcPr>
            <w:tcW w:w="2134" w:type="dxa"/>
          </w:tcPr>
          <w:p w:rsidR="00064570" w:rsidRPr="00064570" w:rsidRDefault="00064570" w:rsidP="00122DDF">
            <w:pPr>
              <w:tabs>
                <w:tab w:val="left" w:pos="1980"/>
              </w:tabs>
              <w:suppressAutoHyphens/>
            </w:pPr>
            <w:r w:rsidRPr="00064570">
              <w:t>ГАС</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Государственная архивная служба</w:t>
            </w:r>
          </w:p>
        </w:tc>
      </w:tr>
      <w:tr w:rsidR="00064570" w:rsidRPr="00064570" w:rsidTr="00064570">
        <w:tc>
          <w:tcPr>
            <w:tcW w:w="2134" w:type="dxa"/>
          </w:tcPr>
          <w:p w:rsidR="00064570" w:rsidRPr="00064570" w:rsidRDefault="00064570" w:rsidP="00122DDF">
            <w:pPr>
              <w:tabs>
                <w:tab w:val="left" w:pos="1980"/>
              </w:tabs>
              <w:suppressAutoHyphens/>
            </w:pPr>
            <w:r w:rsidRPr="00064570">
              <w:t>ГДСО</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Гонконгский диплом о среднем образовании</w:t>
            </w:r>
          </w:p>
        </w:tc>
      </w:tr>
      <w:tr w:rsidR="00064570" w:rsidRPr="00064570" w:rsidTr="00064570">
        <w:tc>
          <w:tcPr>
            <w:tcW w:w="2134" w:type="dxa"/>
          </w:tcPr>
          <w:p w:rsidR="00064570" w:rsidRPr="00064570" w:rsidRDefault="00064570" w:rsidP="00122DDF">
            <w:pPr>
              <w:tabs>
                <w:tab w:val="left" w:pos="1980"/>
              </w:tabs>
              <w:suppressAutoHyphens/>
            </w:pPr>
            <w:r w:rsidRPr="00064570">
              <w:t>ГЖА</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государственное жилье, сдаваемое в аренду</w:t>
            </w:r>
          </w:p>
        </w:tc>
      </w:tr>
      <w:tr w:rsidR="00064570" w:rsidRPr="00064570" w:rsidTr="00064570">
        <w:tc>
          <w:tcPr>
            <w:tcW w:w="2134" w:type="dxa"/>
          </w:tcPr>
          <w:p w:rsidR="00064570" w:rsidRPr="00064570" w:rsidRDefault="00064570" w:rsidP="00122DDF">
            <w:pPr>
              <w:tabs>
                <w:tab w:val="left" w:pos="1980"/>
              </w:tabs>
              <w:suppressAutoHyphens/>
            </w:pPr>
            <w:r w:rsidRPr="00064570">
              <w:t>ГИПО</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Гонконгский институт профессионального о</w:t>
            </w:r>
            <w:r w:rsidRPr="00064570">
              <w:t>б</w:t>
            </w:r>
            <w:r w:rsidRPr="00064570">
              <w:t>разования</w:t>
            </w:r>
          </w:p>
        </w:tc>
      </w:tr>
      <w:tr w:rsidR="00064570" w:rsidRPr="00064570" w:rsidTr="00064570">
        <w:tc>
          <w:tcPr>
            <w:tcW w:w="2134" w:type="dxa"/>
          </w:tcPr>
          <w:p w:rsidR="00064570" w:rsidRPr="00064570" w:rsidRDefault="00064570" w:rsidP="00122DDF">
            <w:pPr>
              <w:tabs>
                <w:tab w:val="left" w:pos="1980"/>
              </w:tabs>
              <w:suppressAutoHyphens/>
            </w:pPr>
            <w:r w:rsidRPr="00064570">
              <w:t>ГПС</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Городской планировочный совет</w:t>
            </w:r>
          </w:p>
        </w:tc>
      </w:tr>
      <w:tr w:rsidR="00064570" w:rsidRPr="00064570" w:rsidTr="00064570">
        <w:tc>
          <w:tcPr>
            <w:tcW w:w="2134" w:type="dxa"/>
          </w:tcPr>
          <w:p w:rsidR="00064570" w:rsidRPr="00064570" w:rsidRDefault="00064570" w:rsidP="00122DDF">
            <w:pPr>
              <w:tabs>
                <w:tab w:val="left" w:pos="1980"/>
              </w:tabs>
              <w:suppressAutoHyphens/>
            </w:pPr>
            <w:r w:rsidRPr="00064570">
              <w:t>ГСААПОУ</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Гонконгский совет по аккредитации академич</w:t>
            </w:r>
            <w:r w:rsidRPr="00064570">
              <w:t>е</w:t>
            </w:r>
            <w:r w:rsidRPr="00064570">
              <w:t>ского и профе</w:t>
            </w:r>
            <w:r w:rsidRPr="00064570">
              <w:t>с</w:t>
            </w:r>
            <w:r w:rsidRPr="00064570">
              <w:t>сионального образовательно-квалификационного уровня</w:t>
            </w:r>
          </w:p>
        </w:tc>
      </w:tr>
      <w:tr w:rsidR="00064570" w:rsidRPr="00064570" w:rsidTr="00064570">
        <w:tc>
          <w:tcPr>
            <w:tcW w:w="2134" w:type="dxa"/>
          </w:tcPr>
          <w:p w:rsidR="00064570" w:rsidRPr="00064570" w:rsidRDefault="00064570" w:rsidP="00122DDF">
            <w:pPr>
              <w:tabs>
                <w:tab w:val="left" w:pos="1980"/>
              </w:tabs>
              <w:suppressAutoHyphens/>
            </w:pPr>
            <w:r w:rsidRPr="00064570">
              <w:t>ГСОПУ</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Гонконгское свидетельство об образовании продвинутого уро</w:t>
            </w:r>
            <w:r w:rsidRPr="00064570">
              <w:t>в</w:t>
            </w:r>
            <w:r w:rsidRPr="00064570">
              <w:t>ня</w:t>
            </w:r>
          </w:p>
        </w:tc>
      </w:tr>
      <w:tr w:rsidR="00064570" w:rsidRPr="00064570" w:rsidTr="00064570">
        <w:tc>
          <w:tcPr>
            <w:tcW w:w="2134" w:type="dxa"/>
          </w:tcPr>
          <w:p w:rsidR="00064570" w:rsidRPr="00064570" w:rsidRDefault="00064570" w:rsidP="00122DDF">
            <w:pPr>
              <w:tabs>
                <w:tab w:val="left" w:pos="1980"/>
              </w:tabs>
              <w:suppressAutoHyphens/>
            </w:pPr>
            <w:r w:rsidRPr="00064570">
              <w:t>ГСРИ</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Гонконгский совет по развитию искусств</w:t>
            </w:r>
          </w:p>
        </w:tc>
      </w:tr>
      <w:tr w:rsidR="00064570" w:rsidRPr="00064570" w:rsidTr="00064570">
        <w:tc>
          <w:tcPr>
            <w:tcW w:w="2134" w:type="dxa"/>
          </w:tcPr>
          <w:p w:rsidR="00064570" w:rsidRPr="00064570" w:rsidRDefault="00064570" w:rsidP="00122DDF">
            <w:pPr>
              <w:tabs>
                <w:tab w:val="left" w:pos="1980"/>
              </w:tabs>
              <w:suppressAutoHyphens/>
            </w:pPr>
            <w:r w:rsidRPr="00064570">
              <w:t>ГСРК</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Гонконгский совет по развитию кинопромы</w:t>
            </w:r>
            <w:r w:rsidRPr="00064570">
              <w:t>ш</w:t>
            </w:r>
            <w:r w:rsidRPr="00064570">
              <w:t>ленности</w:t>
            </w:r>
          </w:p>
        </w:tc>
      </w:tr>
      <w:tr w:rsidR="00064570" w:rsidRPr="00064570" w:rsidTr="00064570">
        <w:tc>
          <w:tcPr>
            <w:tcW w:w="2134" w:type="dxa"/>
          </w:tcPr>
          <w:p w:rsidR="00064570" w:rsidRPr="00064570" w:rsidRDefault="00064570" w:rsidP="00122DDF">
            <w:pPr>
              <w:tabs>
                <w:tab w:val="left" w:pos="1980"/>
              </w:tabs>
              <w:suppressAutoHyphens/>
            </w:pPr>
            <w:r w:rsidRPr="00064570">
              <w:t>ГСО</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Гонконгское свидетельство об образовании</w:t>
            </w:r>
          </w:p>
        </w:tc>
      </w:tr>
      <w:tr w:rsidR="00064570" w:rsidRPr="00064570" w:rsidTr="00064570">
        <w:tc>
          <w:tcPr>
            <w:tcW w:w="2134" w:type="dxa"/>
          </w:tcPr>
          <w:p w:rsidR="00064570" w:rsidRPr="00064570" w:rsidRDefault="00064570" w:rsidP="00122DDF">
            <w:pPr>
              <w:tabs>
                <w:tab w:val="left" w:pos="1980"/>
              </w:tabs>
              <w:suppressAutoHyphens/>
            </w:pPr>
            <w:r w:rsidRPr="00064570">
              <w:t>ГССО</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Гонконгское свидетельство о среднем образов</w:t>
            </w:r>
            <w:r w:rsidRPr="00064570">
              <w:t>а</w:t>
            </w:r>
            <w:r w:rsidRPr="00064570">
              <w:t>нии</w:t>
            </w:r>
          </w:p>
        </w:tc>
      </w:tr>
      <w:tr w:rsidR="00064570" w:rsidRPr="00064570" w:rsidTr="00064570">
        <w:tc>
          <w:tcPr>
            <w:tcW w:w="2134" w:type="dxa"/>
          </w:tcPr>
          <w:p w:rsidR="00064570" w:rsidRPr="00064570" w:rsidRDefault="00064570" w:rsidP="00122DDF">
            <w:pPr>
              <w:tabs>
                <w:tab w:val="left" w:pos="1980"/>
              </w:tabs>
              <w:suppressAutoHyphens/>
            </w:pPr>
            <w:r w:rsidRPr="00064570">
              <w:t>ДА</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Департамент архитектуры</w:t>
            </w:r>
          </w:p>
        </w:tc>
      </w:tr>
      <w:tr w:rsidR="00064570" w:rsidRPr="00064570" w:rsidTr="00064570">
        <w:tc>
          <w:tcPr>
            <w:tcW w:w="2134" w:type="dxa"/>
          </w:tcPr>
          <w:p w:rsidR="00064570" w:rsidRPr="00064570" w:rsidRDefault="00064570" w:rsidP="00122DDF">
            <w:pPr>
              <w:tabs>
                <w:tab w:val="left" w:pos="1980"/>
              </w:tabs>
              <w:suppressAutoHyphens/>
            </w:pPr>
            <w:r w:rsidRPr="00064570">
              <w:t>ДВД</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Департамент внутренних дел</w:t>
            </w:r>
          </w:p>
        </w:tc>
      </w:tr>
      <w:tr w:rsidR="00064570" w:rsidRPr="00064570" w:rsidTr="00064570">
        <w:tc>
          <w:tcPr>
            <w:tcW w:w="2134" w:type="dxa"/>
          </w:tcPr>
          <w:p w:rsidR="00064570" w:rsidRPr="00064570" w:rsidRDefault="00064570" w:rsidP="00122DDF">
            <w:pPr>
              <w:tabs>
                <w:tab w:val="left" w:pos="1980"/>
              </w:tabs>
              <w:suppressAutoHyphens/>
            </w:pPr>
            <w:r w:rsidRPr="00064570">
              <w:t>ДВС</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Департамент водоснабжения</w:t>
            </w:r>
          </w:p>
        </w:tc>
      </w:tr>
      <w:tr w:rsidR="00064570" w:rsidRPr="00064570" w:rsidTr="00064570">
        <w:tc>
          <w:tcPr>
            <w:tcW w:w="2134" w:type="dxa"/>
          </w:tcPr>
          <w:p w:rsidR="00064570" w:rsidRPr="00064570" w:rsidRDefault="00064570" w:rsidP="00122DDF">
            <w:pPr>
              <w:tabs>
                <w:tab w:val="left" w:pos="1980"/>
              </w:tabs>
              <w:suppressAutoHyphens/>
            </w:pPr>
            <w:r w:rsidRPr="00064570">
              <w:t>ДИУ</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Департамент исправительных учреждений</w:t>
            </w:r>
          </w:p>
        </w:tc>
      </w:tr>
      <w:tr w:rsidR="00064570" w:rsidRPr="00064570" w:rsidTr="00064570">
        <w:tc>
          <w:tcPr>
            <w:tcW w:w="2134" w:type="dxa"/>
          </w:tcPr>
          <w:p w:rsidR="00064570" w:rsidRPr="00064570" w:rsidRDefault="00064570" w:rsidP="00122DDF">
            <w:pPr>
              <w:tabs>
                <w:tab w:val="left" w:pos="1980"/>
              </w:tabs>
              <w:suppressAutoHyphens/>
            </w:pPr>
            <w:r w:rsidRPr="00064570">
              <w:t>ДЖС</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Департамент жилищного строительства</w:t>
            </w:r>
          </w:p>
        </w:tc>
      </w:tr>
      <w:tr w:rsidR="00064570" w:rsidRPr="00064570" w:rsidTr="00064570">
        <w:tc>
          <w:tcPr>
            <w:tcW w:w="2134" w:type="dxa"/>
          </w:tcPr>
          <w:p w:rsidR="00064570" w:rsidRPr="00064570" w:rsidRDefault="00064570" w:rsidP="00122DDF">
            <w:pPr>
              <w:tabs>
                <w:tab w:val="left" w:pos="1980"/>
              </w:tabs>
              <w:suppressAutoHyphens/>
            </w:pPr>
            <w:r w:rsidRPr="00064570">
              <w:t>ДЗ</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Департамент здравоохранения</w:t>
            </w:r>
          </w:p>
        </w:tc>
      </w:tr>
      <w:tr w:rsidR="00064570" w:rsidRPr="00064570" w:rsidTr="00064570">
        <w:tc>
          <w:tcPr>
            <w:tcW w:w="2134" w:type="dxa"/>
          </w:tcPr>
          <w:p w:rsidR="00064570" w:rsidRPr="00064570" w:rsidRDefault="00064570" w:rsidP="00122DDF">
            <w:pPr>
              <w:tabs>
                <w:tab w:val="left" w:pos="1980"/>
              </w:tabs>
              <w:suppressAutoHyphens/>
            </w:pPr>
            <w:r w:rsidRPr="00064570">
              <w:t>Доклад</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третий доклад САРГ, представляемый в соо</w:t>
            </w:r>
            <w:r w:rsidRPr="00064570">
              <w:t>т</w:t>
            </w:r>
            <w:r w:rsidRPr="00064570">
              <w:t>ветствии с Пактом</w:t>
            </w:r>
          </w:p>
        </w:tc>
      </w:tr>
      <w:tr w:rsidR="00064570" w:rsidRPr="00064570" w:rsidTr="00064570">
        <w:tc>
          <w:tcPr>
            <w:tcW w:w="2134" w:type="dxa"/>
          </w:tcPr>
          <w:p w:rsidR="00064570" w:rsidRPr="00064570" w:rsidRDefault="00064570" w:rsidP="00122DDF">
            <w:pPr>
              <w:tabs>
                <w:tab w:val="left" w:pos="1980"/>
              </w:tabs>
              <w:suppressAutoHyphens/>
            </w:pPr>
            <w:r w:rsidRPr="00064570">
              <w:t>ДООТ</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Движение за охрану оплаты труда уборщиков и сотрудников охраны</w:t>
            </w:r>
          </w:p>
        </w:tc>
      </w:tr>
      <w:tr w:rsidR="00064570" w:rsidRPr="00064570" w:rsidTr="00064570">
        <w:tc>
          <w:tcPr>
            <w:tcW w:w="2134" w:type="dxa"/>
          </w:tcPr>
          <w:p w:rsidR="00064570" w:rsidRPr="00064570" w:rsidRDefault="00064570" w:rsidP="00122DDF">
            <w:pPr>
              <w:tabs>
                <w:tab w:val="left" w:pos="1980"/>
              </w:tabs>
              <w:suppressAutoHyphens/>
            </w:pPr>
            <w:r w:rsidRPr="00064570">
              <w:t>ДПЭГ</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Департамент продовольственной и экологической гигиены</w:t>
            </w:r>
          </w:p>
        </w:tc>
      </w:tr>
      <w:tr w:rsidR="00064570" w:rsidRPr="00064570" w:rsidTr="00064570">
        <w:tc>
          <w:tcPr>
            <w:tcW w:w="2134" w:type="dxa"/>
          </w:tcPr>
          <w:p w:rsidR="00064570" w:rsidRPr="00064570" w:rsidRDefault="00064570" w:rsidP="00122DDF">
            <w:pPr>
              <w:tabs>
                <w:tab w:val="left" w:pos="1980"/>
              </w:tabs>
              <w:suppressAutoHyphens/>
            </w:pPr>
            <w:r w:rsidRPr="00064570">
              <w:t>ДРКУ</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Департамент рекреационных и культурных у</w:t>
            </w:r>
            <w:r w:rsidRPr="00064570">
              <w:t>с</w:t>
            </w:r>
            <w:r w:rsidRPr="00064570">
              <w:t>луг</w:t>
            </w:r>
          </w:p>
        </w:tc>
      </w:tr>
      <w:tr w:rsidR="00064570" w:rsidRPr="00064570" w:rsidTr="00064570">
        <w:tc>
          <w:tcPr>
            <w:tcW w:w="2134" w:type="dxa"/>
          </w:tcPr>
          <w:p w:rsidR="00064570" w:rsidRPr="00064570" w:rsidRDefault="00064570" w:rsidP="00122DDF">
            <w:pPr>
              <w:tabs>
                <w:tab w:val="left" w:pos="1980"/>
              </w:tabs>
              <w:suppressAutoHyphens/>
            </w:pPr>
            <w:r w:rsidRPr="00064570">
              <w:t>ДСО</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Департамент социального обеспечения</w:t>
            </w:r>
          </w:p>
        </w:tc>
      </w:tr>
      <w:tr w:rsidR="00064570" w:rsidRPr="00064570" w:rsidTr="00064570">
        <w:tc>
          <w:tcPr>
            <w:tcW w:w="2134" w:type="dxa"/>
          </w:tcPr>
          <w:p w:rsidR="00064570" w:rsidRPr="00064570" w:rsidRDefault="00064570" w:rsidP="00122DDF">
            <w:pPr>
              <w:tabs>
                <w:tab w:val="left" w:pos="1980"/>
              </w:tabs>
              <w:suppressAutoHyphens/>
            </w:pPr>
            <w:r w:rsidRPr="00064570">
              <w:t>ЕКСИТЕРС</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Переход к интенсивному лечению и ранней реабилитации пациентов с хроническими психическими забол</w:t>
            </w:r>
            <w:r w:rsidRPr="00064570">
              <w:t>е</w:t>
            </w:r>
            <w:r w:rsidRPr="00064570">
              <w:t>ваниями</w:t>
            </w:r>
          </w:p>
        </w:tc>
      </w:tr>
      <w:tr w:rsidR="00064570" w:rsidRPr="00064570" w:rsidTr="00064570">
        <w:tc>
          <w:tcPr>
            <w:tcW w:w="2134" w:type="dxa"/>
          </w:tcPr>
          <w:p w:rsidR="00064570" w:rsidRPr="00064570" w:rsidRDefault="00064570" w:rsidP="00122DDF">
            <w:pPr>
              <w:tabs>
                <w:tab w:val="left" w:pos="1980"/>
              </w:tabs>
              <w:suppressAutoHyphens/>
            </w:pPr>
            <w:r w:rsidRPr="00064570">
              <w:t>ЗППП</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заболевания, передающиеся половым путем</w:t>
            </w:r>
          </w:p>
        </w:tc>
      </w:tr>
      <w:tr w:rsidR="00064570" w:rsidRPr="00064570" w:rsidTr="00064570">
        <w:tc>
          <w:tcPr>
            <w:tcW w:w="2134" w:type="dxa"/>
          </w:tcPr>
          <w:p w:rsidR="00064570" w:rsidRPr="00064570" w:rsidRDefault="00064570" w:rsidP="00122DDF">
            <w:pPr>
              <w:tabs>
                <w:tab w:val="left" w:pos="1980"/>
              </w:tabs>
              <w:suppressAutoHyphens/>
            </w:pPr>
            <w:r w:rsidRPr="00064570">
              <w:t>ЗС</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Законодательный совет</w:t>
            </w:r>
          </w:p>
        </w:tc>
      </w:tr>
      <w:tr w:rsidR="00064570" w:rsidRPr="00064570" w:rsidTr="00064570">
        <w:tc>
          <w:tcPr>
            <w:tcW w:w="2134" w:type="dxa"/>
          </w:tcPr>
          <w:p w:rsidR="00064570" w:rsidRPr="00064570" w:rsidRDefault="00064570" w:rsidP="00122DDF">
            <w:pPr>
              <w:tabs>
                <w:tab w:val="left" w:pos="1980"/>
              </w:tabs>
              <w:suppressAutoHyphens/>
            </w:pPr>
            <w:r w:rsidRPr="00064570">
              <w:t>ИДР</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 xml:space="preserve">иностранные домашние работники </w:t>
            </w:r>
          </w:p>
        </w:tc>
      </w:tr>
      <w:tr w:rsidR="00064570" w:rsidRPr="00064570" w:rsidTr="00064570">
        <w:tc>
          <w:tcPr>
            <w:tcW w:w="2134" w:type="dxa"/>
          </w:tcPr>
          <w:p w:rsidR="00064570" w:rsidRPr="00064570" w:rsidRDefault="00064570" w:rsidP="00122DDF">
            <w:pPr>
              <w:tabs>
                <w:tab w:val="left" w:pos="1980"/>
              </w:tabs>
              <w:suppressAutoHyphens/>
            </w:pPr>
            <w:r w:rsidRPr="00064570">
              <w:t>ИКГ</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Исследовательская консультативная группа</w:t>
            </w:r>
          </w:p>
        </w:tc>
      </w:tr>
      <w:tr w:rsidR="00064570" w:rsidRPr="00064570" w:rsidTr="00064570">
        <w:tc>
          <w:tcPr>
            <w:tcW w:w="2134" w:type="dxa"/>
          </w:tcPr>
          <w:p w:rsidR="00064570" w:rsidRPr="00064570" w:rsidRDefault="00064570" w:rsidP="00122DDF">
            <w:pPr>
              <w:tabs>
                <w:tab w:val="left" w:pos="1980"/>
              </w:tabs>
              <w:suppressAutoHyphens/>
            </w:pPr>
            <w:r w:rsidRPr="00064570">
              <w:t xml:space="preserve">ИЦПКСО </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индекс цен, основанный на потребительской корзине социал</w:t>
            </w:r>
            <w:r w:rsidRPr="00064570">
              <w:t>ь</w:t>
            </w:r>
            <w:r w:rsidRPr="00064570">
              <w:t xml:space="preserve">ного обеспечения </w:t>
            </w:r>
          </w:p>
        </w:tc>
      </w:tr>
      <w:tr w:rsidR="00064570" w:rsidRPr="00064570" w:rsidTr="00064570">
        <w:tc>
          <w:tcPr>
            <w:tcW w:w="2134" w:type="dxa"/>
          </w:tcPr>
          <w:p w:rsidR="00064570" w:rsidRPr="00064570" w:rsidRDefault="00064570" w:rsidP="00122DDF">
            <w:pPr>
              <w:tabs>
                <w:tab w:val="left" w:pos="1980"/>
              </w:tabs>
              <w:suppressAutoHyphens/>
            </w:pPr>
            <w:r w:rsidRPr="00064570">
              <w:t>КБН</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Комиссия по борьбе с нищетой</w:t>
            </w:r>
          </w:p>
        </w:tc>
      </w:tr>
      <w:tr w:rsidR="00064570" w:rsidRPr="00064570" w:rsidTr="00064570">
        <w:tc>
          <w:tcPr>
            <w:tcW w:w="2134" w:type="dxa"/>
          </w:tcPr>
          <w:p w:rsidR="00064570" w:rsidRPr="00064570" w:rsidRDefault="00064570" w:rsidP="00122DDF">
            <w:pPr>
              <w:tabs>
                <w:tab w:val="left" w:pos="1980"/>
              </w:tabs>
              <w:suppressAutoHyphens/>
            </w:pPr>
            <w:r w:rsidRPr="00064570">
              <w:t>КДЖ</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Комиссия по делам женщин</w:t>
            </w:r>
          </w:p>
        </w:tc>
      </w:tr>
      <w:tr w:rsidR="00064570" w:rsidRPr="00064570" w:rsidTr="00064570">
        <w:tc>
          <w:tcPr>
            <w:tcW w:w="2134" w:type="dxa"/>
          </w:tcPr>
          <w:p w:rsidR="00064570" w:rsidRPr="00064570" w:rsidRDefault="00064570" w:rsidP="00122DDF">
            <w:pPr>
              <w:tabs>
                <w:tab w:val="left" w:pos="1980"/>
              </w:tabs>
              <w:suppressAutoHyphens/>
            </w:pPr>
            <w:r w:rsidRPr="00064570">
              <w:t>КДМ</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Комиссия по делам молодежи</w:t>
            </w:r>
          </w:p>
        </w:tc>
      </w:tr>
      <w:tr w:rsidR="00064570" w:rsidRPr="00064570" w:rsidTr="00064570">
        <w:tc>
          <w:tcPr>
            <w:tcW w:w="2134" w:type="dxa"/>
          </w:tcPr>
          <w:p w:rsidR="00064570" w:rsidRPr="00064570" w:rsidRDefault="00064570" w:rsidP="00122DDF">
            <w:pPr>
              <w:tabs>
                <w:tab w:val="left" w:pos="1980"/>
              </w:tabs>
              <w:suppressAutoHyphens/>
            </w:pPr>
            <w:r w:rsidRPr="00064570">
              <w:t>КККВ</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Консультативный комитет по качеству вод</w:t>
            </w:r>
            <w:r w:rsidRPr="00064570">
              <w:t>о</w:t>
            </w:r>
            <w:r w:rsidRPr="00064570">
              <w:t>снабжения</w:t>
            </w:r>
          </w:p>
        </w:tc>
      </w:tr>
      <w:tr w:rsidR="00064570" w:rsidRPr="00064570" w:rsidTr="00064570">
        <w:tc>
          <w:tcPr>
            <w:tcW w:w="2134" w:type="dxa"/>
          </w:tcPr>
          <w:p w:rsidR="00064570" w:rsidRPr="00064570" w:rsidRDefault="00064570" w:rsidP="00122DDF">
            <w:pPr>
              <w:tabs>
                <w:tab w:val="left" w:pos="1980"/>
              </w:tabs>
              <w:suppressAutoHyphens/>
            </w:pPr>
            <w:r w:rsidRPr="00064570">
              <w:t>ККР</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 xml:space="preserve">Консультативный комитет по реабилитации </w:t>
            </w:r>
          </w:p>
        </w:tc>
      </w:tr>
      <w:tr w:rsidR="00064570" w:rsidRPr="00064570" w:rsidTr="00064570">
        <w:tc>
          <w:tcPr>
            <w:tcW w:w="2134" w:type="dxa"/>
          </w:tcPr>
          <w:p w:rsidR="00064570" w:rsidRPr="00064570" w:rsidRDefault="00064570" w:rsidP="00122DDF">
            <w:pPr>
              <w:tabs>
                <w:tab w:val="left" w:pos="1980"/>
              </w:tabs>
              <w:suppressAutoHyphens/>
            </w:pPr>
            <w:r w:rsidRPr="00064570">
              <w:t>КЛДЖ</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Конвенция о ликвидации всех форм дискрим</w:t>
            </w:r>
            <w:r w:rsidRPr="00064570">
              <w:t>и</w:t>
            </w:r>
            <w:r w:rsidRPr="00064570">
              <w:t>нации в отнош</w:t>
            </w:r>
            <w:r w:rsidRPr="00064570">
              <w:t>е</w:t>
            </w:r>
            <w:r w:rsidRPr="00064570">
              <w:t>нии женщин</w:t>
            </w:r>
          </w:p>
        </w:tc>
      </w:tr>
      <w:tr w:rsidR="00064570" w:rsidRPr="00064570" w:rsidTr="00064570">
        <w:tc>
          <w:tcPr>
            <w:tcW w:w="2134" w:type="dxa"/>
          </w:tcPr>
          <w:p w:rsidR="00064570" w:rsidRPr="00064570" w:rsidRDefault="00064570" w:rsidP="00122DDF">
            <w:pPr>
              <w:tabs>
                <w:tab w:val="left" w:pos="1980"/>
              </w:tabs>
              <w:suppressAutoHyphens/>
            </w:pPr>
            <w:r w:rsidRPr="00064570">
              <w:t>КП</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клинические психологи</w:t>
            </w:r>
          </w:p>
        </w:tc>
      </w:tr>
      <w:tr w:rsidR="00064570" w:rsidRPr="00064570" w:rsidTr="00064570">
        <w:tc>
          <w:tcPr>
            <w:tcW w:w="2134" w:type="dxa"/>
          </w:tcPr>
          <w:p w:rsidR="00064570" w:rsidRPr="00064570" w:rsidRDefault="00064570" w:rsidP="00122DDF">
            <w:pPr>
              <w:tabs>
                <w:tab w:val="left" w:pos="1980"/>
              </w:tabs>
              <w:suppressAutoHyphens/>
            </w:pPr>
            <w:r w:rsidRPr="00064570">
              <w:t>КПИ</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Конвенция о правах инвалидов</w:t>
            </w:r>
          </w:p>
        </w:tc>
      </w:tr>
      <w:tr w:rsidR="00064570" w:rsidRPr="00064570" w:rsidTr="00064570">
        <w:tc>
          <w:tcPr>
            <w:tcW w:w="2134" w:type="dxa"/>
          </w:tcPr>
          <w:p w:rsidR="00064570" w:rsidRPr="00064570" w:rsidRDefault="00064570" w:rsidP="00122DDF">
            <w:pPr>
              <w:tabs>
                <w:tab w:val="left" w:pos="1980"/>
              </w:tabs>
              <w:suppressAutoHyphens/>
            </w:pPr>
            <w:r w:rsidRPr="00064570">
              <w:t>КП-ДС/ЦУД</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Комплексная программа в детских с</w:t>
            </w:r>
            <w:r w:rsidRPr="00064570">
              <w:t>а</w:t>
            </w:r>
            <w:r w:rsidRPr="00064570">
              <w:t>дах/Центре ухода за дет</w:t>
            </w:r>
            <w:r w:rsidRPr="00064570">
              <w:t>ь</w:t>
            </w:r>
            <w:r w:rsidRPr="00064570">
              <w:t>ми</w:t>
            </w:r>
          </w:p>
        </w:tc>
      </w:tr>
      <w:tr w:rsidR="00064570" w:rsidRPr="00064570" w:rsidTr="00064570">
        <w:tc>
          <w:tcPr>
            <w:tcW w:w="2134" w:type="dxa"/>
          </w:tcPr>
          <w:p w:rsidR="00064570" w:rsidRPr="00064570" w:rsidRDefault="00064570" w:rsidP="00122DDF">
            <w:pPr>
              <w:tabs>
                <w:tab w:val="left" w:pos="1980"/>
              </w:tabs>
              <w:suppressAutoHyphens/>
            </w:pPr>
            <w:r w:rsidRPr="00064570">
              <w:t>КПР</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Конвенция о правах ребенка</w:t>
            </w:r>
          </w:p>
        </w:tc>
      </w:tr>
      <w:tr w:rsidR="00064570" w:rsidRPr="00064570" w:rsidTr="00064570">
        <w:tc>
          <w:tcPr>
            <w:tcW w:w="2134" w:type="dxa"/>
          </w:tcPr>
          <w:p w:rsidR="00064570" w:rsidRPr="00064570" w:rsidRDefault="00064570" w:rsidP="00122DDF">
            <w:pPr>
              <w:tabs>
                <w:tab w:val="left" w:pos="1980"/>
              </w:tabs>
              <w:suppressAutoHyphens/>
            </w:pPr>
            <w:r w:rsidRPr="00064570">
              <w:t>Комитет</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Комитет по экономическим, социальным и культурным правам</w:t>
            </w:r>
          </w:p>
        </w:tc>
      </w:tr>
      <w:tr w:rsidR="00064570" w:rsidRPr="00064570" w:rsidTr="00064570">
        <w:tc>
          <w:tcPr>
            <w:tcW w:w="2134" w:type="dxa"/>
          </w:tcPr>
          <w:p w:rsidR="00064570" w:rsidRPr="00064570" w:rsidRDefault="00064570" w:rsidP="00122DDF">
            <w:pPr>
              <w:tabs>
                <w:tab w:val="left" w:pos="1980"/>
              </w:tabs>
              <w:suppressAutoHyphens/>
            </w:pPr>
            <w:r w:rsidRPr="00064570">
              <w:t>КРВ</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Комиссия по равным возможностям</w:t>
            </w:r>
          </w:p>
        </w:tc>
      </w:tr>
      <w:tr w:rsidR="00064570" w:rsidRPr="00064570" w:rsidTr="00064570">
        <w:tc>
          <w:tcPr>
            <w:tcW w:w="2134" w:type="dxa"/>
          </w:tcPr>
          <w:p w:rsidR="00064570" w:rsidRPr="00064570" w:rsidRDefault="00064570" w:rsidP="00122DDF">
            <w:pPr>
              <w:tabs>
                <w:tab w:val="left" w:pos="1980"/>
              </w:tabs>
              <w:suppressAutoHyphens/>
            </w:pPr>
            <w:r w:rsidRPr="00064570">
              <w:t>КРГО</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Комитет по развитию гражданского образов</w:t>
            </w:r>
            <w:r w:rsidRPr="00064570">
              <w:t>а</w:t>
            </w:r>
            <w:r w:rsidRPr="00064570">
              <w:t>ния</w:t>
            </w:r>
          </w:p>
        </w:tc>
      </w:tr>
      <w:tr w:rsidR="00064570" w:rsidRPr="00064570" w:rsidTr="00064570">
        <w:tc>
          <w:tcPr>
            <w:tcW w:w="2134" w:type="dxa"/>
          </w:tcPr>
          <w:p w:rsidR="00064570" w:rsidRPr="00064570" w:rsidRDefault="00064570" w:rsidP="00122DDF">
            <w:pPr>
              <w:tabs>
                <w:tab w:val="left" w:pos="1980"/>
              </w:tabs>
              <w:suppressAutoHyphens/>
            </w:pPr>
            <w:r w:rsidRPr="00064570">
              <w:t>КРЖ</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Комитет по рассмотрению жалоб населения</w:t>
            </w:r>
          </w:p>
        </w:tc>
      </w:tr>
      <w:tr w:rsidR="00064570" w:rsidRPr="00064570" w:rsidTr="00064570">
        <w:tc>
          <w:tcPr>
            <w:tcW w:w="2134" w:type="dxa"/>
          </w:tcPr>
          <w:p w:rsidR="00064570" w:rsidRPr="00064570" w:rsidRDefault="00064570" w:rsidP="00122DDF">
            <w:pPr>
              <w:tabs>
                <w:tab w:val="left" w:pos="1980"/>
              </w:tabs>
              <w:suppressAutoHyphens/>
            </w:pPr>
            <w:r w:rsidRPr="00064570">
              <w:t>КРРС</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Комитет по развитию рабочей силы</w:t>
            </w:r>
          </w:p>
        </w:tc>
      </w:tr>
      <w:tr w:rsidR="00064570" w:rsidRPr="00064570" w:rsidTr="00064570">
        <w:tc>
          <w:tcPr>
            <w:tcW w:w="2134" w:type="dxa"/>
          </w:tcPr>
          <w:p w:rsidR="00064570" w:rsidRPr="00064570" w:rsidRDefault="00064570" w:rsidP="00122DDF">
            <w:pPr>
              <w:tabs>
                <w:tab w:val="left" w:pos="1980"/>
              </w:tabs>
              <w:suppressAutoHyphens/>
            </w:pPr>
            <w:r w:rsidRPr="00064570">
              <w:t>КСО</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консультативные и статутные органы</w:t>
            </w:r>
          </w:p>
        </w:tc>
      </w:tr>
      <w:tr w:rsidR="00064570" w:rsidRPr="00064570" w:rsidTr="00064570">
        <w:tc>
          <w:tcPr>
            <w:tcW w:w="2134" w:type="dxa"/>
          </w:tcPr>
          <w:p w:rsidR="00064570" w:rsidRPr="00064570" w:rsidRDefault="00064570" w:rsidP="00122DDF">
            <w:pPr>
              <w:tabs>
                <w:tab w:val="left" w:pos="1980"/>
              </w:tabs>
              <w:suppressAutoHyphens/>
            </w:pPr>
            <w:r w:rsidRPr="00064570">
              <w:t>КТКМ</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клиника традиционной китайской медицины</w:t>
            </w:r>
          </w:p>
        </w:tc>
      </w:tr>
      <w:tr w:rsidR="00064570" w:rsidRPr="00064570" w:rsidTr="00064570">
        <w:tc>
          <w:tcPr>
            <w:tcW w:w="2134" w:type="dxa"/>
          </w:tcPr>
          <w:p w:rsidR="00064570" w:rsidRPr="00064570" w:rsidRDefault="00064570" w:rsidP="00122DDF">
            <w:pPr>
              <w:tabs>
                <w:tab w:val="left" w:pos="1980"/>
              </w:tabs>
              <w:suppressAutoHyphens/>
            </w:pPr>
            <w:r w:rsidRPr="00064570">
              <w:t>КУГ</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Комитет по университетским грантам</w:t>
            </w:r>
          </w:p>
        </w:tc>
      </w:tr>
      <w:tr w:rsidR="00064570" w:rsidRPr="00064570" w:rsidTr="00064570">
        <w:tc>
          <w:tcPr>
            <w:tcW w:w="2134" w:type="dxa"/>
          </w:tcPr>
          <w:p w:rsidR="00064570" w:rsidRPr="00064570" w:rsidRDefault="00064570" w:rsidP="00122DDF">
            <w:pPr>
              <w:tabs>
                <w:tab w:val="left" w:pos="1980"/>
              </w:tabs>
              <w:suppressAutoHyphens/>
            </w:pPr>
            <w:r w:rsidRPr="00064570">
              <w:t>КЦЛЗПВ</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консультационные центры для лиц, злоупотре</w:t>
            </w:r>
            <w:r w:rsidRPr="00064570">
              <w:t>б</w:t>
            </w:r>
            <w:r w:rsidRPr="00064570">
              <w:t>ляющих псих</w:t>
            </w:r>
            <w:r w:rsidRPr="00064570">
              <w:t>о</w:t>
            </w:r>
            <w:r w:rsidRPr="00064570">
              <w:t>тропными веществами</w:t>
            </w:r>
          </w:p>
        </w:tc>
      </w:tr>
      <w:tr w:rsidR="00064570" w:rsidRPr="00064570" w:rsidTr="00064570">
        <w:tc>
          <w:tcPr>
            <w:tcW w:w="2134" w:type="dxa"/>
          </w:tcPr>
          <w:p w:rsidR="00064570" w:rsidRPr="00064570" w:rsidRDefault="00064570" w:rsidP="00122DDF">
            <w:pPr>
              <w:tabs>
                <w:tab w:val="left" w:pos="1980"/>
              </w:tabs>
              <w:suppressAutoHyphens/>
            </w:pPr>
            <w:r w:rsidRPr="00064570">
              <w:t>КЦСО</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Комплексные центры социального обслужив</w:t>
            </w:r>
            <w:r w:rsidRPr="00064570">
              <w:t>а</w:t>
            </w:r>
            <w:r w:rsidRPr="00064570">
              <w:t>ния</w:t>
            </w:r>
          </w:p>
        </w:tc>
      </w:tr>
      <w:tr w:rsidR="00064570" w:rsidRPr="00064570" w:rsidTr="00064570">
        <w:tc>
          <w:tcPr>
            <w:tcW w:w="2134" w:type="dxa"/>
          </w:tcPr>
          <w:p w:rsidR="00064570" w:rsidRPr="00064570" w:rsidRDefault="00064570" w:rsidP="00122DDF">
            <w:pPr>
              <w:tabs>
                <w:tab w:val="left" w:pos="1980"/>
              </w:tabs>
              <w:suppressAutoHyphens/>
            </w:pPr>
            <w:r w:rsidRPr="00064570">
              <w:t>ЛДР</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 xml:space="preserve">лечение дефектов речи </w:t>
            </w:r>
          </w:p>
        </w:tc>
      </w:tr>
      <w:tr w:rsidR="00064570" w:rsidRPr="00064570" w:rsidTr="00064570">
        <w:tc>
          <w:tcPr>
            <w:tcW w:w="2134" w:type="dxa"/>
          </w:tcPr>
          <w:p w:rsidR="00064570" w:rsidRPr="00064570" w:rsidRDefault="00064570" w:rsidP="00122DDF">
            <w:pPr>
              <w:tabs>
                <w:tab w:val="left" w:pos="1980"/>
              </w:tabs>
              <w:suppressAutoHyphens/>
            </w:pPr>
            <w:r w:rsidRPr="00064570">
              <w:t>ЛОВ</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лица с ограниченными возможностями</w:t>
            </w:r>
          </w:p>
        </w:tc>
      </w:tr>
      <w:tr w:rsidR="00064570" w:rsidRPr="00064570" w:rsidTr="00064570">
        <w:tc>
          <w:tcPr>
            <w:tcW w:w="2134" w:type="dxa"/>
          </w:tcPr>
          <w:p w:rsidR="00064570" w:rsidRPr="00064570" w:rsidRDefault="00064570" w:rsidP="00122DDF">
            <w:pPr>
              <w:tabs>
                <w:tab w:val="left" w:pos="1980"/>
              </w:tabs>
              <w:suppressAutoHyphens/>
            </w:pPr>
            <w:r w:rsidRPr="00064570">
              <w:t>МДРОТ</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минимально допустимый размер оплаты труда</w:t>
            </w:r>
          </w:p>
        </w:tc>
      </w:tr>
      <w:tr w:rsidR="00064570" w:rsidRPr="00064570" w:rsidTr="00064570">
        <w:tc>
          <w:tcPr>
            <w:tcW w:w="2134" w:type="dxa"/>
          </w:tcPr>
          <w:p w:rsidR="00064570" w:rsidRPr="00064570" w:rsidRDefault="00064570" w:rsidP="00122DDF">
            <w:pPr>
              <w:tabs>
                <w:tab w:val="left" w:pos="1980"/>
              </w:tabs>
              <w:suppressAutoHyphens/>
            </w:pPr>
            <w:r w:rsidRPr="00064570">
              <w:t>МКЛРД</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Международная конвенция о ликвидации всех форм расовой дискриминации</w:t>
            </w:r>
          </w:p>
        </w:tc>
      </w:tr>
      <w:tr w:rsidR="00064570" w:rsidRPr="00064570" w:rsidTr="00064570">
        <w:tc>
          <w:tcPr>
            <w:tcW w:w="2134" w:type="dxa"/>
          </w:tcPr>
          <w:p w:rsidR="00064570" w:rsidRPr="00064570" w:rsidRDefault="00064570" w:rsidP="00122DDF">
            <w:pPr>
              <w:tabs>
                <w:tab w:val="left" w:pos="1980"/>
              </w:tabs>
              <w:suppressAutoHyphens/>
            </w:pPr>
            <w:r w:rsidRPr="00064570">
              <w:t>МПГПП</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Международный пакт о гражданских и полит</w:t>
            </w:r>
            <w:r w:rsidRPr="00064570">
              <w:t>и</w:t>
            </w:r>
            <w:r w:rsidRPr="00064570">
              <w:t>ческих правах</w:t>
            </w:r>
          </w:p>
        </w:tc>
      </w:tr>
      <w:tr w:rsidR="00064570" w:rsidRPr="00064570" w:rsidTr="00064570">
        <w:tc>
          <w:tcPr>
            <w:tcW w:w="2134" w:type="dxa"/>
          </w:tcPr>
          <w:p w:rsidR="00064570" w:rsidRPr="00064570" w:rsidRDefault="00064570" w:rsidP="00122DDF">
            <w:pPr>
              <w:tabs>
                <w:tab w:val="left" w:pos="1980"/>
              </w:tabs>
              <w:suppressAutoHyphens/>
            </w:pPr>
            <w:r w:rsidRPr="00064570">
              <w:t>МКСЗ</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Международная классификация счетов здрав</w:t>
            </w:r>
            <w:r w:rsidRPr="00064570">
              <w:t>о</w:t>
            </w:r>
            <w:r w:rsidRPr="00064570">
              <w:t>охранения</w:t>
            </w:r>
          </w:p>
        </w:tc>
      </w:tr>
      <w:tr w:rsidR="00064570" w:rsidRPr="00064570" w:rsidTr="00064570">
        <w:tc>
          <w:tcPr>
            <w:tcW w:w="2134" w:type="dxa"/>
          </w:tcPr>
          <w:p w:rsidR="00064570" w:rsidRPr="00064570" w:rsidRDefault="00064570" w:rsidP="00122DDF">
            <w:pPr>
              <w:tabs>
                <w:tab w:val="left" w:pos="1980"/>
              </w:tabs>
              <w:suppressAutoHyphens/>
            </w:pPr>
            <w:r w:rsidRPr="00064570">
              <w:t>МОАСО</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Международный общий аттестат о среднем о</w:t>
            </w:r>
            <w:r w:rsidRPr="00064570">
              <w:t>б</w:t>
            </w:r>
            <w:r w:rsidRPr="00064570">
              <w:t xml:space="preserve">разовании </w:t>
            </w:r>
          </w:p>
        </w:tc>
      </w:tr>
      <w:tr w:rsidR="00064570" w:rsidRPr="00064570" w:rsidTr="00064570">
        <w:tc>
          <w:tcPr>
            <w:tcW w:w="2134" w:type="dxa"/>
          </w:tcPr>
          <w:p w:rsidR="00064570" w:rsidRPr="00064570" w:rsidRDefault="00064570" w:rsidP="00122DDF">
            <w:pPr>
              <w:tabs>
                <w:tab w:val="left" w:pos="1980"/>
              </w:tabs>
              <w:suppressAutoHyphens/>
            </w:pPr>
            <w:r w:rsidRPr="00064570">
              <w:t>МРОТЗ</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минимальный размер оплаты труда, установленный законом</w:t>
            </w:r>
          </w:p>
        </w:tc>
      </w:tr>
      <w:tr w:rsidR="00064570" w:rsidRPr="00064570" w:rsidTr="00064570">
        <w:tc>
          <w:tcPr>
            <w:tcW w:w="2134" w:type="dxa"/>
          </w:tcPr>
          <w:p w:rsidR="00064570" w:rsidRPr="00064570" w:rsidRDefault="00064570" w:rsidP="00122DDF">
            <w:pPr>
              <w:tabs>
                <w:tab w:val="left" w:pos="1980"/>
              </w:tabs>
              <w:suppressAutoHyphens/>
            </w:pPr>
            <w:r w:rsidRPr="00064570">
              <w:t>НИБ</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неинфекционные болезни</w:t>
            </w:r>
          </w:p>
        </w:tc>
      </w:tr>
      <w:tr w:rsidR="00064570" w:rsidRPr="00064570" w:rsidTr="00064570">
        <w:tc>
          <w:tcPr>
            <w:tcW w:w="2134" w:type="dxa"/>
          </w:tcPr>
          <w:p w:rsidR="00064570" w:rsidRPr="00064570" w:rsidRDefault="00064570" w:rsidP="00122DDF">
            <w:pPr>
              <w:tabs>
                <w:tab w:val="left" w:pos="1980"/>
              </w:tabs>
              <w:suppressAutoHyphens/>
            </w:pPr>
            <w:r w:rsidRPr="00064570">
              <w:t>НИОКР</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научные исследования и опытно-конструкторские разработки</w:t>
            </w:r>
          </w:p>
        </w:tc>
      </w:tr>
      <w:tr w:rsidR="00064570" w:rsidRPr="00064570" w:rsidTr="00064570">
        <w:tc>
          <w:tcPr>
            <w:tcW w:w="2134" w:type="dxa"/>
          </w:tcPr>
          <w:p w:rsidR="00064570" w:rsidRPr="00064570" w:rsidRDefault="00064570" w:rsidP="00122DDF">
            <w:pPr>
              <w:tabs>
                <w:tab w:val="left" w:pos="1980"/>
              </w:tabs>
              <w:suppressAutoHyphens/>
            </w:pPr>
            <w:r w:rsidRPr="00064570">
              <w:t>НК</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наркологические клиники</w:t>
            </w:r>
          </w:p>
        </w:tc>
      </w:tr>
      <w:tr w:rsidR="00064570" w:rsidRPr="00064570" w:rsidTr="00064570">
        <w:tc>
          <w:tcPr>
            <w:tcW w:w="2134" w:type="dxa"/>
          </w:tcPr>
          <w:p w:rsidR="00064570" w:rsidRPr="00064570" w:rsidRDefault="00064570" w:rsidP="00122DDF">
            <w:pPr>
              <w:tabs>
                <w:tab w:val="left" w:pos="1980"/>
              </w:tabs>
              <w:suppressAutoHyphens/>
            </w:pPr>
            <w:r w:rsidRPr="00064570">
              <w:t>НКН</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нематериальное культурное наследие</w:t>
            </w:r>
          </w:p>
        </w:tc>
      </w:tr>
      <w:tr w:rsidR="00064570" w:rsidRPr="00064570" w:rsidTr="00064570">
        <w:tc>
          <w:tcPr>
            <w:tcW w:w="2134" w:type="dxa"/>
          </w:tcPr>
          <w:p w:rsidR="00064570" w:rsidRPr="00064570" w:rsidRDefault="00954145" w:rsidP="00122DDF">
            <w:pPr>
              <w:tabs>
                <w:tab w:val="left" w:pos="1980"/>
              </w:tabs>
              <w:suppressAutoHyphens/>
            </w:pPr>
            <w:r>
              <w:t>НВКЯ</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лица, не владеющие китайским языком</w:t>
            </w:r>
          </w:p>
        </w:tc>
      </w:tr>
      <w:tr w:rsidR="00064570" w:rsidRPr="00064570" w:rsidTr="00064570">
        <w:tc>
          <w:tcPr>
            <w:tcW w:w="2134" w:type="dxa"/>
          </w:tcPr>
          <w:p w:rsidR="00064570" w:rsidRPr="00064570" w:rsidRDefault="00064570" w:rsidP="00122DDF">
            <w:pPr>
              <w:tabs>
                <w:tab w:val="left" w:pos="1980"/>
              </w:tabs>
              <w:suppressAutoHyphens/>
            </w:pPr>
            <w:r w:rsidRPr="00064570">
              <w:t>НПО</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неправительственные организации</w:t>
            </w:r>
          </w:p>
        </w:tc>
      </w:tr>
      <w:tr w:rsidR="00064570" w:rsidRPr="00064570" w:rsidTr="00064570">
        <w:tc>
          <w:tcPr>
            <w:tcW w:w="2134" w:type="dxa"/>
          </w:tcPr>
          <w:p w:rsidR="00064570" w:rsidRPr="00064570" w:rsidRDefault="00064570" w:rsidP="00122DDF">
            <w:pPr>
              <w:tabs>
                <w:tab w:val="left" w:pos="1980"/>
              </w:tabs>
              <w:suppressAutoHyphens/>
            </w:pPr>
            <w:r w:rsidRPr="00064570">
              <w:t>НС</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нарушения слуха</w:t>
            </w:r>
          </w:p>
        </w:tc>
      </w:tr>
      <w:tr w:rsidR="00064570" w:rsidRPr="00064570" w:rsidTr="00064570">
        <w:tc>
          <w:tcPr>
            <w:tcW w:w="2134" w:type="dxa"/>
          </w:tcPr>
          <w:p w:rsidR="00064570" w:rsidRPr="00064570" w:rsidRDefault="00064570" w:rsidP="00122DDF">
            <w:pPr>
              <w:tabs>
                <w:tab w:val="left" w:pos="1980"/>
              </w:tabs>
              <w:suppressAutoHyphens/>
            </w:pPr>
            <w:r w:rsidRPr="00064570">
              <w:t>НСЗГ</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Национальные счета здравоохранения Гонконга</w:t>
            </w:r>
          </w:p>
        </w:tc>
      </w:tr>
      <w:tr w:rsidR="00064570" w:rsidRPr="00064570" w:rsidTr="00064570">
        <w:tc>
          <w:tcPr>
            <w:tcW w:w="2134" w:type="dxa"/>
          </w:tcPr>
          <w:p w:rsidR="00064570" w:rsidRPr="00064570" w:rsidRDefault="00064570" w:rsidP="00122DDF">
            <w:pPr>
              <w:tabs>
                <w:tab w:val="left" w:pos="1980"/>
              </w:tabs>
              <w:suppressAutoHyphens/>
            </w:pPr>
            <w:r w:rsidRPr="00064570">
              <w:t>НСШ</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новая старшая средняя школа</w:t>
            </w:r>
          </w:p>
        </w:tc>
      </w:tr>
      <w:tr w:rsidR="00064570" w:rsidRPr="00064570" w:rsidTr="00064570">
        <w:tc>
          <w:tcPr>
            <w:tcW w:w="2134" w:type="dxa"/>
          </w:tcPr>
          <w:p w:rsidR="00064570" w:rsidRPr="00064570" w:rsidRDefault="00064570" w:rsidP="00122DDF">
            <w:pPr>
              <w:tabs>
                <w:tab w:val="left" w:pos="1980"/>
              </w:tabs>
              <w:suppressAutoHyphens/>
            </w:pPr>
            <w:r w:rsidRPr="00064570">
              <w:t>ОГИСО</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 xml:space="preserve">Отдел </w:t>
            </w:r>
            <w:proofErr w:type="spellStart"/>
            <w:r w:rsidRPr="00064570">
              <w:t>гендерной</w:t>
            </w:r>
            <w:proofErr w:type="spellEnd"/>
            <w:r w:rsidRPr="00064570">
              <w:t xml:space="preserve"> идентичности и сексуальной ориентации</w:t>
            </w:r>
          </w:p>
        </w:tc>
      </w:tr>
      <w:tr w:rsidR="00064570" w:rsidRPr="00064570" w:rsidTr="00064570">
        <w:tc>
          <w:tcPr>
            <w:tcW w:w="2134" w:type="dxa"/>
          </w:tcPr>
          <w:p w:rsidR="00064570" w:rsidRPr="00064570" w:rsidRDefault="00064570" w:rsidP="00122DDF">
            <w:pPr>
              <w:tabs>
                <w:tab w:val="left" w:pos="1980"/>
              </w:tabs>
              <w:suppressAutoHyphens/>
            </w:pPr>
            <w:r w:rsidRPr="00064570">
              <w:t>ООКУ</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Гонконгская оценка образовательно-квалификационного уровня</w:t>
            </w:r>
          </w:p>
        </w:tc>
      </w:tr>
      <w:tr w:rsidR="00064570" w:rsidRPr="00064570" w:rsidTr="00064570">
        <w:tc>
          <w:tcPr>
            <w:tcW w:w="2134" w:type="dxa"/>
          </w:tcPr>
          <w:p w:rsidR="00064570" w:rsidRPr="00064570" w:rsidRDefault="00064570" w:rsidP="00122DDF">
            <w:pPr>
              <w:tabs>
                <w:tab w:val="left" w:pos="1980"/>
              </w:tabs>
              <w:suppressAutoHyphens/>
            </w:pPr>
            <w:r w:rsidRPr="00064570">
              <w:t>ООП</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особые образовательные потребности</w:t>
            </w:r>
          </w:p>
        </w:tc>
      </w:tr>
      <w:tr w:rsidR="00064570" w:rsidRPr="00064570" w:rsidTr="00064570">
        <w:tc>
          <w:tcPr>
            <w:tcW w:w="2134" w:type="dxa"/>
          </w:tcPr>
          <w:p w:rsidR="00064570" w:rsidRPr="00064570" w:rsidRDefault="00064570" w:rsidP="00122DDF">
            <w:pPr>
              <w:tabs>
                <w:tab w:val="left" w:pos="1980"/>
              </w:tabs>
              <w:suppressAutoHyphens/>
            </w:pPr>
            <w:r w:rsidRPr="00064570">
              <w:t>ОРД</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обследование расходов домохозяйств</w:t>
            </w:r>
          </w:p>
        </w:tc>
      </w:tr>
      <w:tr w:rsidR="00064570" w:rsidRPr="00064570" w:rsidTr="00064570">
        <w:tc>
          <w:tcPr>
            <w:tcW w:w="2134" w:type="dxa"/>
          </w:tcPr>
          <w:p w:rsidR="00064570" w:rsidRPr="00064570" w:rsidRDefault="00064570" w:rsidP="00122DDF">
            <w:pPr>
              <w:tabs>
                <w:tab w:val="left" w:pos="1980"/>
              </w:tabs>
              <w:suppressAutoHyphens/>
            </w:pPr>
            <w:r w:rsidRPr="00064570">
              <w:t>ОРФ</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 xml:space="preserve">Обязательный резервный фонд </w:t>
            </w:r>
          </w:p>
        </w:tc>
      </w:tr>
      <w:tr w:rsidR="00064570" w:rsidRPr="00064570" w:rsidTr="00064570">
        <w:tc>
          <w:tcPr>
            <w:tcW w:w="2134" w:type="dxa"/>
          </w:tcPr>
          <w:p w:rsidR="00064570" w:rsidRPr="00064570" w:rsidRDefault="00064570" w:rsidP="00122DDF">
            <w:pPr>
              <w:tabs>
                <w:tab w:val="left" w:pos="1980"/>
              </w:tabs>
              <w:suppressAutoHyphens/>
            </w:pPr>
            <w:r w:rsidRPr="00064570">
              <w:t>ОС</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окружные советы</w:t>
            </w:r>
          </w:p>
        </w:tc>
      </w:tr>
      <w:tr w:rsidR="00064570" w:rsidRPr="00064570" w:rsidTr="00064570">
        <w:tc>
          <w:tcPr>
            <w:tcW w:w="2134" w:type="dxa"/>
          </w:tcPr>
          <w:p w:rsidR="00064570" w:rsidRPr="00064570" w:rsidRDefault="00064570" w:rsidP="00122DDF">
            <w:pPr>
              <w:tabs>
                <w:tab w:val="left" w:pos="1980"/>
              </w:tabs>
              <w:suppressAutoHyphens/>
            </w:pPr>
            <w:r w:rsidRPr="00064570">
              <w:t>ОЭСР</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Организация экономического сотрудничества и развития</w:t>
            </w:r>
          </w:p>
        </w:tc>
      </w:tr>
      <w:tr w:rsidR="00064570" w:rsidRPr="00064570" w:rsidTr="00064570">
        <w:tc>
          <w:tcPr>
            <w:tcW w:w="2134" w:type="dxa"/>
          </w:tcPr>
          <w:p w:rsidR="00064570" w:rsidRPr="00064570" w:rsidRDefault="00064570" w:rsidP="00122DDF">
            <w:pPr>
              <w:tabs>
                <w:tab w:val="left" w:pos="1980"/>
              </w:tabs>
              <w:suppressAutoHyphens/>
            </w:pPr>
            <w:r w:rsidRPr="00064570">
              <w:t>Пакт</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Международный пакт об экономических, соц</w:t>
            </w:r>
            <w:r w:rsidRPr="00064570">
              <w:t>и</w:t>
            </w:r>
            <w:r w:rsidRPr="00064570">
              <w:t>альных и кул</w:t>
            </w:r>
            <w:r w:rsidRPr="00064570">
              <w:t>ь</w:t>
            </w:r>
            <w:r w:rsidRPr="00064570">
              <w:t>турных правах</w:t>
            </w:r>
          </w:p>
        </w:tc>
      </w:tr>
      <w:tr w:rsidR="00064570" w:rsidRPr="00064570" w:rsidTr="00064570">
        <w:tc>
          <w:tcPr>
            <w:tcW w:w="2134" w:type="dxa"/>
          </w:tcPr>
          <w:p w:rsidR="00064570" w:rsidRPr="00064570" w:rsidRDefault="00064570" w:rsidP="00122DDF">
            <w:pPr>
              <w:tabs>
                <w:tab w:val="left" w:pos="1980"/>
              </w:tabs>
              <w:suppressAutoHyphens/>
            </w:pPr>
            <w:r w:rsidRPr="00064570">
              <w:t>ПАТС</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Позитивное воспитание молодежи через целостную социальную программу: Программа Ж</w:t>
            </w:r>
            <w:r w:rsidRPr="00064570">
              <w:t>о</w:t>
            </w:r>
            <w:r w:rsidRPr="00064570">
              <w:t>кейского клуба Гонконга по оказанию расш</w:t>
            </w:r>
            <w:r w:rsidRPr="00064570">
              <w:t>и</w:t>
            </w:r>
            <w:r w:rsidRPr="00064570">
              <w:t>ренной помощи молодежи</w:t>
            </w:r>
          </w:p>
        </w:tc>
      </w:tr>
      <w:tr w:rsidR="00064570" w:rsidRPr="00064570" w:rsidTr="00064570">
        <w:tc>
          <w:tcPr>
            <w:tcW w:w="2134" w:type="dxa"/>
          </w:tcPr>
          <w:p w:rsidR="00064570" w:rsidRPr="00064570" w:rsidRDefault="00064570" w:rsidP="00122DDF">
            <w:pPr>
              <w:tabs>
                <w:tab w:val="left" w:pos="1980"/>
              </w:tabs>
              <w:suppressAutoHyphens/>
            </w:pPr>
            <w:r w:rsidRPr="00064570">
              <w:t>ПВДО</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Программа ваучеров дошкольного образования</w:t>
            </w:r>
          </w:p>
        </w:tc>
      </w:tr>
      <w:tr w:rsidR="00064570" w:rsidRPr="00064570" w:rsidTr="00064570">
        <w:tc>
          <w:tcPr>
            <w:tcW w:w="2134" w:type="dxa"/>
          </w:tcPr>
          <w:p w:rsidR="00064570" w:rsidRPr="00064570" w:rsidRDefault="00064570" w:rsidP="00122DDF">
            <w:pPr>
              <w:tabs>
                <w:tab w:val="left" w:pos="1980"/>
              </w:tabs>
              <w:suppressAutoHyphens/>
            </w:pPr>
            <w:r w:rsidRPr="00064570">
              <w:t>ПВСП</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Программа всеобъемлющей социальной пом</w:t>
            </w:r>
            <w:r w:rsidRPr="00064570">
              <w:t>о</w:t>
            </w:r>
            <w:r w:rsidRPr="00064570">
              <w:t>щи</w:t>
            </w:r>
          </w:p>
        </w:tc>
      </w:tr>
      <w:tr w:rsidR="00064570" w:rsidRPr="00064570" w:rsidTr="00064570">
        <w:tc>
          <w:tcPr>
            <w:tcW w:w="2134" w:type="dxa"/>
          </w:tcPr>
          <w:p w:rsidR="00064570" w:rsidRPr="00064570" w:rsidRDefault="00064570" w:rsidP="00122DDF">
            <w:pPr>
              <w:tabs>
                <w:tab w:val="left" w:pos="1980"/>
              </w:tabs>
              <w:suppressAutoHyphens/>
            </w:pPr>
            <w:r w:rsidRPr="00064570">
              <w:t>ПГ</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птичий грипп</w:t>
            </w:r>
          </w:p>
        </w:tc>
      </w:tr>
      <w:tr w:rsidR="00064570" w:rsidRPr="00064570" w:rsidTr="00064570">
        <w:tc>
          <w:tcPr>
            <w:tcW w:w="2134" w:type="dxa"/>
          </w:tcPr>
          <w:p w:rsidR="00064570" w:rsidRPr="00064570" w:rsidRDefault="00064570" w:rsidP="00122DDF">
            <w:pPr>
              <w:tabs>
                <w:tab w:val="left" w:pos="1980"/>
              </w:tabs>
              <w:suppressAutoHyphens/>
            </w:pPr>
            <w:r w:rsidRPr="00064570">
              <w:t xml:space="preserve">Первоначальный </w:t>
            </w:r>
            <w:r w:rsidR="00A533BF" w:rsidRPr="00064570">
              <w:t>доклад</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 xml:space="preserve">первоначальный доклад, представленный САРГ </w:t>
            </w:r>
            <w:r w:rsidR="00A533BF" w:rsidRPr="00064570">
              <w:t>в 1999</w:t>
            </w:r>
            <w:r w:rsidR="00B92291">
              <w:t> год</w:t>
            </w:r>
            <w:r w:rsidR="00A533BF" w:rsidRPr="00064570">
              <w:t>у</w:t>
            </w:r>
          </w:p>
        </w:tc>
      </w:tr>
      <w:tr w:rsidR="00064570" w:rsidRPr="00064570" w:rsidTr="00064570">
        <w:tc>
          <w:tcPr>
            <w:tcW w:w="2134" w:type="dxa"/>
          </w:tcPr>
          <w:p w:rsidR="00064570" w:rsidRPr="00064570" w:rsidRDefault="00064570" w:rsidP="00122DDF">
            <w:pPr>
              <w:tabs>
                <w:tab w:val="left" w:pos="1980"/>
              </w:tabs>
              <w:suppressAutoHyphens/>
            </w:pPr>
            <w:r w:rsidRPr="00064570">
              <w:t>ПИД</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 xml:space="preserve">Проект </w:t>
            </w:r>
            <w:proofErr w:type="spellStart"/>
            <w:r w:rsidRPr="00064570">
              <w:t>И-джин</w:t>
            </w:r>
            <w:proofErr w:type="spellEnd"/>
          </w:p>
        </w:tc>
      </w:tr>
      <w:tr w:rsidR="00064570" w:rsidRPr="00064570" w:rsidTr="00064570">
        <w:tc>
          <w:tcPr>
            <w:tcW w:w="2134" w:type="dxa"/>
          </w:tcPr>
          <w:p w:rsidR="00064570" w:rsidRPr="00064570" w:rsidRDefault="00064570" w:rsidP="00122DDF">
            <w:pPr>
              <w:tabs>
                <w:tab w:val="left" w:pos="1980"/>
              </w:tabs>
              <w:suppressAutoHyphens/>
            </w:pPr>
            <w:r w:rsidRPr="00064570">
              <w:t>ППДГПД</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Программа присмотра за детьми в группах пр</w:t>
            </w:r>
            <w:r w:rsidRPr="00064570">
              <w:t>о</w:t>
            </w:r>
            <w:r w:rsidRPr="00064570">
              <w:t>дленного дня</w:t>
            </w:r>
          </w:p>
        </w:tc>
      </w:tr>
      <w:tr w:rsidR="00064570" w:rsidRPr="00064570" w:rsidTr="00064570">
        <w:tc>
          <w:tcPr>
            <w:tcW w:w="2134" w:type="dxa"/>
          </w:tcPr>
          <w:p w:rsidR="00064570" w:rsidRPr="00064570" w:rsidRDefault="00064570" w:rsidP="00122DDF">
            <w:pPr>
              <w:tabs>
                <w:tab w:val="left" w:pos="1980"/>
              </w:tabs>
              <w:suppressAutoHyphens/>
            </w:pPr>
            <w:r w:rsidRPr="00064570">
              <w:t>ПППМ</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Программа профессиональной подготовки м</w:t>
            </w:r>
            <w:r w:rsidRPr="00064570">
              <w:t>о</w:t>
            </w:r>
            <w:r w:rsidRPr="00064570">
              <w:t>лодежи</w:t>
            </w:r>
          </w:p>
        </w:tc>
      </w:tr>
      <w:tr w:rsidR="00064570" w:rsidRPr="00064570" w:rsidTr="00064570">
        <w:tc>
          <w:tcPr>
            <w:tcW w:w="2134" w:type="dxa"/>
          </w:tcPr>
          <w:p w:rsidR="00064570" w:rsidRPr="00064570" w:rsidRDefault="00064570" w:rsidP="00122DDF">
            <w:pPr>
              <w:tabs>
                <w:tab w:val="left" w:pos="1980"/>
              </w:tabs>
              <w:suppressAutoHyphens/>
            </w:pPr>
            <w:r w:rsidRPr="00064570">
              <w:t>ППМТД</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Программа подготовки молодежи к трудовой деятельности</w:t>
            </w:r>
          </w:p>
        </w:tc>
      </w:tr>
      <w:tr w:rsidR="00064570" w:rsidRPr="00064570" w:rsidTr="00064570">
        <w:tc>
          <w:tcPr>
            <w:tcW w:w="2134" w:type="dxa"/>
          </w:tcPr>
          <w:p w:rsidR="00064570" w:rsidRPr="00064570" w:rsidRDefault="00064570" w:rsidP="00122DDF">
            <w:pPr>
              <w:tabs>
                <w:tab w:val="left" w:pos="1980"/>
              </w:tabs>
              <w:suppressAutoHyphens/>
            </w:pPr>
            <w:r w:rsidRPr="00064570">
              <w:t>ПТНОМ</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Программа формирования трудовых навыков и обучения мол</w:t>
            </w:r>
            <w:r w:rsidRPr="00064570">
              <w:t>о</w:t>
            </w:r>
            <w:r w:rsidRPr="00064570">
              <w:t>дежи</w:t>
            </w:r>
          </w:p>
        </w:tc>
      </w:tr>
      <w:tr w:rsidR="00064570" w:rsidRPr="00064570" w:rsidTr="00064570">
        <w:tc>
          <w:tcPr>
            <w:tcW w:w="2134" w:type="dxa"/>
          </w:tcPr>
          <w:p w:rsidR="00064570" w:rsidRPr="00064570" w:rsidRDefault="00064570" w:rsidP="00122DDF">
            <w:pPr>
              <w:tabs>
                <w:tab w:val="left" w:pos="1980"/>
              </w:tabs>
              <w:suppressAutoHyphens/>
            </w:pPr>
            <w:r w:rsidRPr="00064570">
              <w:t>Полиция</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полицейские силы Гонконга</w:t>
            </w:r>
          </w:p>
        </w:tc>
      </w:tr>
      <w:tr w:rsidR="00064570" w:rsidRPr="00064570" w:rsidTr="00064570">
        <w:tc>
          <w:tcPr>
            <w:tcW w:w="2134" w:type="dxa"/>
          </w:tcPr>
          <w:p w:rsidR="00064570" w:rsidRPr="00064570" w:rsidRDefault="00064570" w:rsidP="00122DDF">
            <w:pPr>
              <w:tabs>
                <w:tab w:val="left" w:pos="1980"/>
              </w:tabs>
              <w:suppressAutoHyphens/>
            </w:pPr>
            <w:r w:rsidRPr="00064570">
              <w:t>ПОСС</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Программа содействия опоре на собственные силы</w:t>
            </w:r>
          </w:p>
        </w:tc>
      </w:tr>
      <w:tr w:rsidR="00064570" w:rsidRPr="00064570" w:rsidTr="00064570">
        <w:tc>
          <w:tcPr>
            <w:tcW w:w="2134" w:type="dxa"/>
          </w:tcPr>
          <w:p w:rsidR="00064570" w:rsidRPr="00064570" w:rsidRDefault="00064570" w:rsidP="00122DDF">
            <w:pPr>
              <w:tabs>
                <w:tab w:val="left" w:pos="1980"/>
              </w:tabs>
              <w:suppressAutoHyphens/>
            </w:pPr>
            <w:r w:rsidRPr="00064570">
              <w:t>ПРД</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послеродовая депрессия</w:t>
            </w:r>
          </w:p>
        </w:tc>
      </w:tr>
      <w:tr w:rsidR="00064570" w:rsidRPr="00064570" w:rsidTr="00064570">
        <w:tc>
          <w:tcPr>
            <w:tcW w:w="2134" w:type="dxa"/>
          </w:tcPr>
          <w:p w:rsidR="00064570" w:rsidRPr="00064570" w:rsidRDefault="00064570" w:rsidP="00122DDF">
            <w:pPr>
              <w:tabs>
                <w:tab w:val="left" w:pos="1980"/>
              </w:tabs>
              <w:suppressAutoHyphens/>
            </w:pPr>
            <w:r w:rsidRPr="00064570">
              <w:t>Предыдущий</w:t>
            </w:r>
            <w:r w:rsidR="00A533BF" w:rsidRPr="00064570">
              <w:t xml:space="preserve"> доклад</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второй доклад САРГ, представленный в соо</w:t>
            </w:r>
            <w:r w:rsidRPr="00064570">
              <w:t>т</w:t>
            </w:r>
            <w:r w:rsidRPr="00064570">
              <w:t>ветствии с</w:t>
            </w:r>
            <w:r w:rsidR="00A533BF">
              <w:rPr>
                <w:lang w:val="en-US"/>
              </w:rPr>
              <w:t> </w:t>
            </w:r>
            <w:r w:rsidR="00A533BF" w:rsidRPr="00064570">
              <w:t>Пактом в 2003</w:t>
            </w:r>
            <w:r w:rsidR="00B92291">
              <w:t> год</w:t>
            </w:r>
            <w:r w:rsidR="00A533BF" w:rsidRPr="00064570">
              <w:t>у</w:t>
            </w:r>
          </w:p>
        </w:tc>
      </w:tr>
      <w:tr w:rsidR="00064570" w:rsidRPr="00064570" w:rsidTr="00064570">
        <w:tc>
          <w:tcPr>
            <w:tcW w:w="2134" w:type="dxa"/>
          </w:tcPr>
          <w:p w:rsidR="00064570" w:rsidRPr="00064570" w:rsidRDefault="00064570" w:rsidP="00122DDF">
            <w:pPr>
              <w:tabs>
                <w:tab w:val="left" w:pos="1980"/>
              </w:tabs>
              <w:suppressAutoHyphens/>
            </w:pPr>
            <w:r w:rsidRPr="00064570">
              <w:t xml:space="preserve">Предыдущие </w:t>
            </w:r>
            <w:r w:rsidR="00A533BF" w:rsidRPr="00064570">
              <w:t>Заключительные замечания Комитета</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Заключительные замечания Комитета от 13 мая 2005</w:t>
            </w:r>
            <w:r w:rsidR="00B92291">
              <w:rPr>
                <w:lang w:val="en-US"/>
              </w:rPr>
              <w:t> </w:t>
            </w:r>
            <w:r w:rsidR="00B92291" w:rsidRPr="00B92291">
              <w:t>год</w:t>
            </w:r>
            <w:r w:rsidRPr="00064570">
              <w:t>а</w:t>
            </w:r>
          </w:p>
        </w:tc>
      </w:tr>
      <w:tr w:rsidR="00064570" w:rsidRPr="00064570" w:rsidTr="00064570">
        <w:tc>
          <w:tcPr>
            <w:tcW w:w="2134" w:type="dxa"/>
          </w:tcPr>
          <w:p w:rsidR="00064570" w:rsidRPr="00064570" w:rsidRDefault="00064570" w:rsidP="00122DDF">
            <w:pPr>
              <w:tabs>
                <w:tab w:val="left" w:pos="1980"/>
              </w:tabs>
              <w:suppressAutoHyphens/>
            </w:pPr>
            <w:r w:rsidRPr="00064570">
              <w:t>ПСП</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Программа социальных пособий</w:t>
            </w:r>
          </w:p>
        </w:tc>
      </w:tr>
      <w:tr w:rsidR="00064570" w:rsidRPr="00064570" w:rsidTr="00064570">
        <w:tc>
          <w:tcPr>
            <w:tcW w:w="2134" w:type="dxa"/>
          </w:tcPr>
          <w:p w:rsidR="00064570" w:rsidRPr="00064570" w:rsidRDefault="00064570" w:rsidP="00122DDF">
            <w:pPr>
              <w:tabs>
                <w:tab w:val="left" w:pos="1980"/>
              </w:tabs>
              <w:suppressAutoHyphens/>
            </w:pPr>
            <w:r w:rsidRPr="00064570">
              <w:t>Разрешение</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разрешение на проезд в Гонконг и Макао</w:t>
            </w:r>
          </w:p>
        </w:tc>
      </w:tr>
      <w:tr w:rsidR="00064570" w:rsidRPr="00064570" w:rsidTr="00064570">
        <w:tc>
          <w:tcPr>
            <w:tcW w:w="2134" w:type="dxa"/>
          </w:tcPr>
          <w:p w:rsidR="00064570" w:rsidRPr="00064570" w:rsidRDefault="00064570" w:rsidP="00122DDF">
            <w:pPr>
              <w:tabs>
                <w:tab w:val="left" w:pos="1980"/>
              </w:tabs>
              <w:suppressAutoHyphens/>
            </w:pPr>
            <w:r w:rsidRPr="00064570">
              <w:t>РВТРЦ</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равное вознаграждение за труд равной ценн</w:t>
            </w:r>
            <w:r w:rsidRPr="00064570">
              <w:t>о</w:t>
            </w:r>
            <w:r w:rsidRPr="00064570">
              <w:t>сти</w:t>
            </w:r>
          </w:p>
        </w:tc>
      </w:tr>
      <w:tr w:rsidR="00064570" w:rsidRPr="00064570" w:rsidTr="00064570">
        <w:tc>
          <w:tcPr>
            <w:tcW w:w="2134" w:type="dxa"/>
          </w:tcPr>
          <w:p w:rsidR="00064570" w:rsidRPr="00064570" w:rsidRDefault="00064570" w:rsidP="00122DDF">
            <w:pPr>
              <w:tabs>
                <w:tab w:val="left" w:pos="1980"/>
              </w:tabs>
              <w:suppressAutoHyphens/>
            </w:pPr>
            <w:r w:rsidRPr="00064570">
              <w:t>РГН</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Рабочая группа по проблемам нищеты</w:t>
            </w:r>
          </w:p>
        </w:tc>
      </w:tr>
      <w:tr w:rsidR="00064570" w:rsidRPr="00064570" w:rsidTr="00064570">
        <w:tc>
          <w:tcPr>
            <w:tcW w:w="2134" w:type="dxa"/>
          </w:tcPr>
          <w:p w:rsidR="00064570" w:rsidRPr="00064570" w:rsidRDefault="00064570" w:rsidP="00122DDF">
            <w:pPr>
              <w:tabs>
                <w:tab w:val="left" w:pos="1980"/>
              </w:tabs>
              <w:suppressAutoHyphens/>
            </w:pPr>
            <w:r w:rsidRPr="00064570">
              <w:t>РКБТ</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Рамочная конвенция по борьбе против табака</w:t>
            </w:r>
          </w:p>
        </w:tc>
      </w:tr>
      <w:tr w:rsidR="00064570" w:rsidRPr="00064570" w:rsidTr="00064570">
        <w:tc>
          <w:tcPr>
            <w:tcW w:w="2134" w:type="dxa"/>
          </w:tcPr>
          <w:p w:rsidR="00064570" w:rsidRPr="00064570" w:rsidRDefault="00064570" w:rsidP="00122DDF">
            <w:pPr>
              <w:tabs>
                <w:tab w:val="left" w:pos="1980"/>
              </w:tabs>
              <w:suppressAutoHyphens/>
            </w:pPr>
            <w:r w:rsidRPr="00064570">
              <w:t>РКУЗК</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 xml:space="preserve">Район учреждений культуры Западный </w:t>
            </w:r>
            <w:proofErr w:type="spellStart"/>
            <w:r w:rsidRPr="00064570">
              <w:t>Коулун</w:t>
            </w:r>
            <w:proofErr w:type="spellEnd"/>
          </w:p>
        </w:tc>
      </w:tr>
      <w:tr w:rsidR="00064570" w:rsidRPr="00064570" w:rsidTr="00064570">
        <w:tc>
          <w:tcPr>
            <w:tcW w:w="2134" w:type="dxa"/>
          </w:tcPr>
          <w:p w:rsidR="00064570" w:rsidRPr="00064570" w:rsidRDefault="00064570" w:rsidP="00122DDF">
            <w:pPr>
              <w:tabs>
                <w:tab w:val="left" w:pos="1980"/>
              </w:tabs>
              <w:suppressAutoHyphens/>
            </w:pPr>
            <w:r w:rsidRPr="00064570">
              <w:t>РПАС</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Районный проект активной старости</w:t>
            </w:r>
          </w:p>
        </w:tc>
      </w:tr>
      <w:tr w:rsidR="00064570" w:rsidRPr="00064570" w:rsidTr="00064570">
        <w:tc>
          <w:tcPr>
            <w:tcW w:w="2134" w:type="dxa"/>
          </w:tcPr>
          <w:p w:rsidR="00064570" w:rsidRPr="00064570" w:rsidRDefault="00064570" w:rsidP="00122DDF">
            <w:pPr>
              <w:tabs>
                <w:tab w:val="left" w:pos="1980"/>
              </w:tabs>
              <w:suppressAutoHyphens/>
            </w:pPr>
            <w:r w:rsidRPr="00064570">
              <w:t>РП 1997</w:t>
            </w:r>
            <w:r w:rsidR="00B92291">
              <w:t> год</w:t>
            </w:r>
            <w:r w:rsidRPr="00064570">
              <w:t>а</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Руководство по проектированию: беспрепятс</w:t>
            </w:r>
            <w:r w:rsidRPr="00064570">
              <w:t>т</w:t>
            </w:r>
            <w:r w:rsidRPr="00064570">
              <w:t>венный доступ 1997</w:t>
            </w:r>
            <w:r w:rsidR="00B92291">
              <w:t> год</w:t>
            </w:r>
            <w:r w:rsidRPr="00064570">
              <w:t>а</w:t>
            </w:r>
          </w:p>
        </w:tc>
      </w:tr>
      <w:tr w:rsidR="00064570" w:rsidRPr="00064570" w:rsidTr="00064570">
        <w:tc>
          <w:tcPr>
            <w:tcW w:w="2134" w:type="dxa"/>
          </w:tcPr>
          <w:p w:rsidR="00064570" w:rsidRPr="00064570" w:rsidRDefault="00064570" w:rsidP="00122DDF">
            <w:pPr>
              <w:tabs>
                <w:tab w:val="left" w:pos="1980"/>
              </w:tabs>
              <w:suppressAutoHyphens/>
            </w:pPr>
            <w:r w:rsidRPr="00064570">
              <w:t>РП 2008</w:t>
            </w:r>
            <w:r w:rsidR="00B92291">
              <w:t> год</w:t>
            </w:r>
            <w:r w:rsidRPr="00064570">
              <w:t>а</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Руководство по проектированию: беспрепятс</w:t>
            </w:r>
            <w:r w:rsidRPr="00064570">
              <w:t>т</w:t>
            </w:r>
            <w:r w:rsidRPr="00064570">
              <w:t>венный доступ 2008</w:t>
            </w:r>
            <w:r w:rsidR="00B92291">
              <w:t> год</w:t>
            </w:r>
            <w:r w:rsidRPr="00064570">
              <w:t>а</w:t>
            </w:r>
          </w:p>
        </w:tc>
      </w:tr>
      <w:tr w:rsidR="00064570" w:rsidRPr="00064570" w:rsidTr="00064570">
        <w:tc>
          <w:tcPr>
            <w:tcW w:w="2134" w:type="dxa"/>
          </w:tcPr>
          <w:p w:rsidR="00064570" w:rsidRPr="00064570" w:rsidRDefault="00064570" w:rsidP="00122DDF">
            <w:pPr>
              <w:tabs>
                <w:tab w:val="left" w:pos="1980"/>
              </w:tabs>
              <w:suppressAutoHyphens/>
            </w:pPr>
            <w:r w:rsidRPr="00064570">
              <w:t>РПППД</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Районный проект поддержки присмотру за детьми</w:t>
            </w:r>
          </w:p>
        </w:tc>
      </w:tr>
      <w:tr w:rsidR="00064570" w:rsidRPr="00064570" w:rsidTr="00064570">
        <w:tc>
          <w:tcPr>
            <w:tcW w:w="2134" w:type="dxa"/>
          </w:tcPr>
          <w:p w:rsidR="00064570" w:rsidRPr="00064570" w:rsidRDefault="00064570" w:rsidP="00122DDF">
            <w:pPr>
              <w:tabs>
                <w:tab w:val="left" w:pos="1980"/>
              </w:tabs>
              <w:suppressAutoHyphens/>
            </w:pPr>
            <w:r w:rsidRPr="00064570">
              <w:t>РТГ</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Радио и телевидение Гонконга</w:t>
            </w:r>
          </w:p>
        </w:tc>
      </w:tr>
      <w:tr w:rsidR="00064570" w:rsidRPr="00064570" w:rsidTr="00064570">
        <w:tc>
          <w:tcPr>
            <w:tcW w:w="2134" w:type="dxa"/>
          </w:tcPr>
          <w:p w:rsidR="00064570" w:rsidRPr="00064570" w:rsidRDefault="00064570" w:rsidP="00122DDF">
            <w:pPr>
              <w:tabs>
                <w:tab w:val="left" w:pos="1980"/>
              </w:tabs>
              <w:suppressAutoHyphens/>
            </w:pPr>
            <w:r w:rsidRPr="00064570">
              <w:t>САРГ</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Специальный административный район Гонконг Китайской Н</w:t>
            </w:r>
            <w:r w:rsidRPr="00064570">
              <w:t>а</w:t>
            </w:r>
            <w:r w:rsidRPr="00064570">
              <w:t>родной Республики</w:t>
            </w:r>
          </w:p>
        </w:tc>
      </w:tr>
      <w:tr w:rsidR="00064570" w:rsidRPr="00064570" w:rsidTr="00064570">
        <w:tc>
          <w:tcPr>
            <w:tcW w:w="2134" w:type="dxa"/>
          </w:tcPr>
          <w:p w:rsidR="00064570" w:rsidRPr="00064570" w:rsidRDefault="00064570" w:rsidP="00122DDF">
            <w:pPr>
              <w:tabs>
                <w:tab w:val="left" w:pos="1980"/>
              </w:tabs>
              <w:suppressAutoHyphens/>
            </w:pPr>
            <w:r w:rsidRPr="00064570">
              <w:t>СБКЗОЖ</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Совет по борьбе с курением и здоровому образу жизни Гонконга</w:t>
            </w:r>
          </w:p>
        </w:tc>
      </w:tr>
      <w:tr w:rsidR="00064570" w:rsidRPr="00064570" w:rsidTr="00064570">
        <w:tc>
          <w:tcPr>
            <w:tcW w:w="2134" w:type="dxa"/>
          </w:tcPr>
          <w:p w:rsidR="00064570" w:rsidRPr="00064570" w:rsidRDefault="00064570" w:rsidP="00122DDF">
            <w:pPr>
              <w:tabs>
                <w:tab w:val="left" w:pos="1980"/>
              </w:tabs>
              <w:suppressAutoHyphens/>
            </w:pPr>
            <w:r w:rsidRPr="00064570">
              <w:t>СВРР</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Служба всестороннего развития ребенка</w:t>
            </w:r>
          </w:p>
        </w:tc>
      </w:tr>
      <w:tr w:rsidR="00064570" w:rsidRPr="00064570" w:rsidTr="00064570">
        <w:tc>
          <w:tcPr>
            <w:tcW w:w="2134" w:type="dxa"/>
          </w:tcPr>
          <w:p w:rsidR="00064570" w:rsidRPr="00064570" w:rsidRDefault="00064570" w:rsidP="00122DDF">
            <w:pPr>
              <w:tabs>
                <w:tab w:val="left" w:pos="1980"/>
              </w:tabs>
              <w:suppressAutoHyphens/>
            </w:pPr>
            <w:r w:rsidRPr="00064570">
              <w:t>СОД</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счет общих доходов правительства</w:t>
            </w:r>
          </w:p>
        </w:tc>
      </w:tr>
      <w:tr w:rsidR="00064570" w:rsidRPr="00064570" w:rsidTr="00064570">
        <w:tc>
          <w:tcPr>
            <w:tcW w:w="2134" w:type="dxa"/>
          </w:tcPr>
          <w:p w:rsidR="00064570" w:rsidRPr="00064570" w:rsidRDefault="00064570" w:rsidP="00122DDF">
            <w:pPr>
              <w:tabs>
                <w:tab w:val="left" w:pos="1980"/>
              </w:tabs>
              <w:suppressAutoHyphens/>
            </w:pPr>
            <w:r w:rsidRPr="00064570">
              <w:t>СОЗС</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Служба охраны здоровья семьи</w:t>
            </w:r>
          </w:p>
        </w:tc>
      </w:tr>
      <w:tr w:rsidR="00064570" w:rsidRPr="00064570" w:rsidTr="00064570">
        <w:tc>
          <w:tcPr>
            <w:tcW w:w="2134" w:type="dxa"/>
          </w:tcPr>
          <w:p w:rsidR="00064570" w:rsidRPr="00064570" w:rsidRDefault="00064570" w:rsidP="00122DDF">
            <w:pPr>
              <w:tabs>
                <w:tab w:val="left" w:pos="1980"/>
              </w:tabs>
              <w:suppressAutoHyphens/>
            </w:pPr>
            <w:r w:rsidRPr="00064570">
              <w:t>СП</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социальное пособие</w:t>
            </w:r>
          </w:p>
        </w:tc>
      </w:tr>
      <w:tr w:rsidR="00064570" w:rsidRPr="00064570" w:rsidTr="00064570">
        <w:tc>
          <w:tcPr>
            <w:tcW w:w="2134" w:type="dxa"/>
          </w:tcPr>
          <w:p w:rsidR="00064570" w:rsidRPr="00064570" w:rsidRDefault="00064570" w:rsidP="00122DDF">
            <w:pPr>
              <w:tabs>
                <w:tab w:val="left" w:pos="1980"/>
              </w:tabs>
              <w:suppressAutoHyphens/>
            </w:pPr>
            <w:r w:rsidRPr="00064570">
              <w:t>СПО</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Совет по профессиональному образованию</w:t>
            </w:r>
          </w:p>
        </w:tc>
      </w:tr>
      <w:tr w:rsidR="00064570" w:rsidRPr="00064570" w:rsidTr="00064570">
        <w:tc>
          <w:tcPr>
            <w:tcW w:w="2134" w:type="dxa"/>
          </w:tcPr>
          <w:p w:rsidR="00064570" w:rsidRPr="00064570" w:rsidRDefault="00064570" w:rsidP="00122DDF">
            <w:pPr>
              <w:tabs>
                <w:tab w:val="left" w:pos="1980"/>
              </w:tabs>
              <w:suppressAutoHyphens/>
            </w:pPr>
            <w:r w:rsidRPr="00064570">
              <w:t>СПП</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свидетельство о праве на проживание</w:t>
            </w:r>
          </w:p>
        </w:tc>
      </w:tr>
      <w:tr w:rsidR="00064570" w:rsidRPr="00064570" w:rsidTr="00064570">
        <w:tc>
          <w:tcPr>
            <w:tcW w:w="2134" w:type="dxa"/>
          </w:tcPr>
          <w:p w:rsidR="00064570" w:rsidRPr="00064570" w:rsidRDefault="00064570" w:rsidP="00122DDF">
            <w:pPr>
              <w:tabs>
                <w:tab w:val="left" w:pos="1980"/>
              </w:tabs>
              <w:suppressAutoHyphens/>
            </w:pPr>
            <w:r w:rsidRPr="00064570">
              <w:t>СПР</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Совет по переподготовке работников</w:t>
            </w:r>
          </w:p>
        </w:tc>
      </w:tr>
      <w:tr w:rsidR="00064570" w:rsidRPr="00064570" w:rsidTr="00064570">
        <w:tc>
          <w:tcPr>
            <w:tcW w:w="2134" w:type="dxa"/>
          </w:tcPr>
          <w:p w:rsidR="00064570" w:rsidRPr="00064570" w:rsidRDefault="00064570" w:rsidP="00122DDF">
            <w:pPr>
              <w:tabs>
                <w:tab w:val="left" w:pos="1980"/>
              </w:tabs>
              <w:suppressAutoHyphens/>
            </w:pPr>
            <w:r w:rsidRPr="00064570">
              <w:t>СРС</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судьи и работники судов</w:t>
            </w:r>
          </w:p>
        </w:tc>
      </w:tr>
      <w:tr w:rsidR="00064570" w:rsidRPr="00064570" w:rsidTr="00064570">
        <w:tc>
          <w:tcPr>
            <w:tcW w:w="2134" w:type="dxa"/>
          </w:tcPr>
          <w:p w:rsidR="00064570" w:rsidRPr="00064570" w:rsidRDefault="00064570" w:rsidP="00122DDF">
            <w:pPr>
              <w:tabs>
                <w:tab w:val="left" w:pos="1980"/>
              </w:tabs>
              <w:suppressAutoHyphens/>
            </w:pPr>
            <w:r w:rsidRPr="00064570">
              <w:t>ССК</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Спецификация стандартов компетенции</w:t>
            </w:r>
          </w:p>
        </w:tc>
      </w:tr>
      <w:tr w:rsidR="00064570" w:rsidRPr="00064570" w:rsidTr="00064570">
        <w:tc>
          <w:tcPr>
            <w:tcW w:w="2134" w:type="dxa"/>
          </w:tcPr>
          <w:p w:rsidR="00064570" w:rsidRPr="00064570" w:rsidRDefault="00064570" w:rsidP="00122DDF">
            <w:pPr>
              <w:tabs>
                <w:tab w:val="left" w:pos="1980"/>
              </w:tabs>
              <w:suppressAutoHyphens/>
            </w:pPr>
            <w:r w:rsidRPr="00064570">
              <w:t>СУПРП</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Совместная университетская программа приема студентов</w:t>
            </w:r>
          </w:p>
        </w:tc>
      </w:tr>
      <w:tr w:rsidR="00064570" w:rsidRPr="00064570" w:rsidTr="00064570">
        <w:tc>
          <w:tcPr>
            <w:tcW w:w="2134" w:type="dxa"/>
          </w:tcPr>
          <w:p w:rsidR="00064570" w:rsidRPr="00064570" w:rsidRDefault="00064570" w:rsidP="00122DDF">
            <w:pPr>
              <w:tabs>
                <w:tab w:val="left" w:pos="1980"/>
              </w:tabs>
              <w:suppressAutoHyphens/>
            </w:pPr>
            <w:r w:rsidRPr="00064570">
              <w:t>СЦУД</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Специализированный центр ухода за детьми</w:t>
            </w:r>
          </w:p>
        </w:tc>
      </w:tr>
      <w:tr w:rsidR="00064570" w:rsidRPr="00064570" w:rsidTr="00064570">
        <w:tc>
          <w:tcPr>
            <w:tcW w:w="2134" w:type="dxa"/>
          </w:tcPr>
          <w:p w:rsidR="00064570" w:rsidRPr="00064570" w:rsidRDefault="00064570" w:rsidP="00122DDF">
            <w:pPr>
              <w:tabs>
                <w:tab w:val="left" w:pos="1980"/>
              </w:tabs>
              <w:suppressAutoHyphens/>
            </w:pPr>
            <w:r w:rsidRPr="00064570">
              <w:t>ТОРС</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тяжелый острый респираторный синдром</w:t>
            </w:r>
          </w:p>
        </w:tc>
      </w:tr>
      <w:tr w:rsidR="00064570" w:rsidRPr="00064570" w:rsidTr="00064570">
        <w:tc>
          <w:tcPr>
            <w:tcW w:w="2134" w:type="dxa"/>
          </w:tcPr>
          <w:p w:rsidR="00064570" w:rsidRPr="00064570" w:rsidRDefault="00064570" w:rsidP="00122DDF">
            <w:pPr>
              <w:tabs>
                <w:tab w:val="left" w:pos="1980"/>
              </w:tabs>
              <w:suppressAutoHyphens/>
            </w:pPr>
            <w:r w:rsidRPr="00064570">
              <w:t>ТСА</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территориальная система оценки</w:t>
            </w:r>
          </w:p>
        </w:tc>
      </w:tr>
      <w:tr w:rsidR="00064570" w:rsidRPr="00064570" w:rsidTr="00064570">
        <w:tc>
          <w:tcPr>
            <w:tcW w:w="2134" w:type="dxa"/>
          </w:tcPr>
          <w:p w:rsidR="00064570" w:rsidRPr="00064570" w:rsidRDefault="00064570" w:rsidP="00122DDF">
            <w:pPr>
              <w:tabs>
                <w:tab w:val="left" w:pos="1980"/>
              </w:tabs>
              <w:suppressAutoHyphens/>
            </w:pPr>
            <w:r w:rsidRPr="00064570">
              <w:t>ТТ</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трудотерапия</w:t>
            </w:r>
          </w:p>
        </w:tc>
      </w:tr>
      <w:tr w:rsidR="00064570" w:rsidRPr="00064570" w:rsidTr="00064570">
        <w:tc>
          <w:tcPr>
            <w:tcW w:w="2134" w:type="dxa"/>
          </w:tcPr>
          <w:p w:rsidR="00064570" w:rsidRPr="00064570" w:rsidRDefault="00064570" w:rsidP="00122DDF">
            <w:pPr>
              <w:tabs>
                <w:tab w:val="left" w:pos="1980"/>
              </w:tabs>
              <w:suppressAutoHyphens/>
            </w:pPr>
            <w:r w:rsidRPr="00064570">
              <w:t xml:space="preserve">УВКБ-ГК </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Гонконгское представительство Управления Верховного комиссара Организации Объед</w:t>
            </w:r>
            <w:r w:rsidRPr="00064570">
              <w:t>и</w:t>
            </w:r>
            <w:r w:rsidRPr="00064570">
              <w:t>ненных Наций по делам беженцев</w:t>
            </w:r>
          </w:p>
        </w:tc>
      </w:tr>
      <w:tr w:rsidR="00064570" w:rsidRPr="00064570" w:rsidTr="00064570">
        <w:tc>
          <w:tcPr>
            <w:tcW w:w="2134" w:type="dxa"/>
          </w:tcPr>
          <w:p w:rsidR="00064570" w:rsidRPr="00064570" w:rsidRDefault="00064570" w:rsidP="00122DDF">
            <w:pPr>
              <w:tabs>
                <w:tab w:val="left" w:pos="1980"/>
              </w:tabs>
              <w:suppressAutoHyphens/>
            </w:pPr>
            <w:r w:rsidRPr="00064570">
              <w:t>УДИ</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Указ о предупреждении дискриминации в о</w:t>
            </w:r>
            <w:r w:rsidRPr="00064570">
              <w:t>т</w:t>
            </w:r>
            <w:r w:rsidRPr="00064570">
              <w:t>ношении инвалидов</w:t>
            </w:r>
          </w:p>
        </w:tc>
      </w:tr>
      <w:tr w:rsidR="00064570" w:rsidRPr="00064570" w:rsidTr="00064570">
        <w:tc>
          <w:tcPr>
            <w:tcW w:w="2134" w:type="dxa"/>
          </w:tcPr>
          <w:p w:rsidR="00064570" w:rsidRPr="00064570" w:rsidRDefault="00064570" w:rsidP="00122DDF">
            <w:pPr>
              <w:tabs>
                <w:tab w:val="left" w:pos="1980"/>
              </w:tabs>
              <w:suppressAutoHyphens/>
            </w:pPr>
            <w:r w:rsidRPr="00064570">
              <w:t>УДСП</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Указ о предупреждении дискриминации по пр</w:t>
            </w:r>
            <w:r w:rsidRPr="00064570">
              <w:t>и</w:t>
            </w:r>
            <w:r w:rsidRPr="00064570">
              <w:t xml:space="preserve">знаку семейного положения </w:t>
            </w:r>
          </w:p>
        </w:tc>
      </w:tr>
      <w:tr w:rsidR="00064570" w:rsidRPr="00064570" w:rsidTr="00064570">
        <w:tc>
          <w:tcPr>
            <w:tcW w:w="2134" w:type="dxa"/>
          </w:tcPr>
          <w:p w:rsidR="00064570" w:rsidRPr="00064570" w:rsidRDefault="00064570" w:rsidP="00122DDF">
            <w:pPr>
              <w:tabs>
                <w:tab w:val="left" w:pos="1980"/>
              </w:tabs>
              <w:suppressAutoHyphens/>
            </w:pPr>
            <w:r w:rsidRPr="00064570">
              <w:t>УИЦП</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Управление исторических ценностей и памя</w:t>
            </w:r>
            <w:r w:rsidRPr="00064570">
              <w:t>т</w:t>
            </w:r>
            <w:r w:rsidRPr="00064570">
              <w:t>ников</w:t>
            </w:r>
          </w:p>
        </w:tc>
      </w:tr>
      <w:tr w:rsidR="00064570" w:rsidRPr="00064570" w:rsidTr="00064570">
        <w:tc>
          <w:tcPr>
            <w:tcW w:w="2134" w:type="dxa"/>
          </w:tcPr>
          <w:p w:rsidR="00064570" w:rsidRPr="00064570" w:rsidRDefault="00064570" w:rsidP="00122DDF">
            <w:pPr>
              <w:tabs>
                <w:tab w:val="left" w:pos="1980"/>
              </w:tabs>
              <w:suppressAutoHyphens/>
            </w:pPr>
            <w:r w:rsidRPr="00064570">
              <w:t>УККН</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Управление комиссара по культурному насл</w:t>
            </w:r>
            <w:r w:rsidRPr="00064570">
              <w:t>е</w:t>
            </w:r>
            <w:r w:rsidRPr="00064570">
              <w:t>дию</w:t>
            </w:r>
          </w:p>
        </w:tc>
      </w:tr>
      <w:tr w:rsidR="00064570" w:rsidRPr="00064570" w:rsidTr="00064570">
        <w:tc>
          <w:tcPr>
            <w:tcW w:w="2134" w:type="dxa"/>
          </w:tcPr>
          <w:p w:rsidR="00064570" w:rsidRPr="00064570" w:rsidRDefault="00064570" w:rsidP="00122DDF">
            <w:pPr>
              <w:tabs>
                <w:tab w:val="left" w:pos="1980"/>
              </w:tabs>
              <w:suppressAutoHyphens/>
            </w:pPr>
            <w:r w:rsidRPr="00064570">
              <w:t>УО</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умственная отсталость</w:t>
            </w:r>
          </w:p>
        </w:tc>
      </w:tr>
      <w:tr w:rsidR="00064570" w:rsidRPr="00064570" w:rsidTr="00064570">
        <w:tc>
          <w:tcPr>
            <w:tcW w:w="2134" w:type="dxa"/>
          </w:tcPr>
          <w:p w:rsidR="00064570" w:rsidRPr="00064570" w:rsidRDefault="00064570" w:rsidP="00122DDF">
            <w:pPr>
              <w:tabs>
                <w:tab w:val="left" w:pos="1980"/>
              </w:tabs>
              <w:suppressAutoHyphens/>
            </w:pPr>
            <w:r w:rsidRPr="00064570">
              <w:t>УПДП</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Указ о предупреждении дискриминации по пр</w:t>
            </w:r>
            <w:r w:rsidRPr="00064570">
              <w:t>и</w:t>
            </w:r>
            <w:r w:rsidRPr="00064570">
              <w:t>знаку пола</w:t>
            </w:r>
          </w:p>
        </w:tc>
      </w:tr>
      <w:tr w:rsidR="00064570" w:rsidRPr="00064570" w:rsidTr="00064570">
        <w:tc>
          <w:tcPr>
            <w:tcW w:w="2134" w:type="dxa"/>
          </w:tcPr>
          <w:p w:rsidR="00064570" w:rsidRPr="00064570" w:rsidRDefault="00064570" w:rsidP="00122DDF">
            <w:pPr>
              <w:tabs>
                <w:tab w:val="left" w:pos="1980"/>
              </w:tabs>
              <w:suppressAutoHyphens/>
            </w:pPr>
            <w:r w:rsidRPr="00064570">
              <w:t>УПРД</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Указ о предупреждении расовой дискримин</w:t>
            </w:r>
            <w:r w:rsidRPr="00064570">
              <w:t>а</w:t>
            </w:r>
            <w:r w:rsidRPr="00064570">
              <w:t>ции</w:t>
            </w:r>
          </w:p>
        </w:tc>
      </w:tr>
      <w:tr w:rsidR="00064570" w:rsidRPr="00064570" w:rsidTr="00064570">
        <w:tc>
          <w:tcPr>
            <w:tcW w:w="2134" w:type="dxa"/>
          </w:tcPr>
          <w:p w:rsidR="00064570" w:rsidRPr="00064570" w:rsidRDefault="00064570" w:rsidP="00122DDF">
            <w:pPr>
              <w:tabs>
                <w:tab w:val="left" w:pos="1980"/>
              </w:tabs>
              <w:suppressAutoHyphens/>
            </w:pPr>
            <w:r w:rsidRPr="00064570">
              <w:t>УТСО</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Управление труда и социального обеспечения</w:t>
            </w:r>
          </w:p>
        </w:tc>
      </w:tr>
      <w:tr w:rsidR="00064570" w:rsidRPr="00064570" w:rsidTr="00064570">
        <w:tc>
          <w:tcPr>
            <w:tcW w:w="2134" w:type="dxa"/>
          </w:tcPr>
          <w:p w:rsidR="00064570" w:rsidRPr="00064570" w:rsidRDefault="00064570" w:rsidP="00122DDF">
            <w:pPr>
              <w:tabs>
                <w:tab w:val="left" w:pos="1980"/>
              </w:tabs>
              <w:suppressAutoHyphens/>
            </w:pPr>
            <w:r w:rsidRPr="00064570">
              <w:t>ФИ</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физическая инвалидность</w:t>
            </w:r>
          </w:p>
        </w:tc>
      </w:tr>
      <w:tr w:rsidR="00064570" w:rsidRPr="00064570" w:rsidTr="00064570">
        <w:tc>
          <w:tcPr>
            <w:tcW w:w="2134" w:type="dxa"/>
          </w:tcPr>
          <w:p w:rsidR="00064570" w:rsidRPr="00064570" w:rsidRDefault="00064570" w:rsidP="00122DDF">
            <w:pPr>
              <w:tabs>
                <w:tab w:val="left" w:pos="1980"/>
              </w:tabs>
              <w:suppressAutoHyphens/>
            </w:pPr>
            <w:r w:rsidRPr="00064570">
              <w:t>ФИТ</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Фонд инновационной технологии</w:t>
            </w:r>
          </w:p>
        </w:tc>
      </w:tr>
      <w:tr w:rsidR="00064570" w:rsidRPr="00064570" w:rsidTr="00064570">
        <w:tc>
          <w:tcPr>
            <w:tcW w:w="2134" w:type="dxa"/>
          </w:tcPr>
          <w:p w:rsidR="00064570" w:rsidRPr="00064570" w:rsidRDefault="00064570" w:rsidP="00122DDF">
            <w:pPr>
              <w:tabs>
                <w:tab w:val="left" w:pos="1980"/>
              </w:tabs>
              <w:suppressAutoHyphens/>
            </w:pPr>
            <w:r w:rsidRPr="00064570">
              <w:t>ФРР</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Фонд развития ребенка</w:t>
            </w:r>
          </w:p>
        </w:tc>
      </w:tr>
      <w:tr w:rsidR="00064570" w:rsidRPr="00064570" w:rsidTr="00064570">
        <w:tc>
          <w:tcPr>
            <w:tcW w:w="2134" w:type="dxa"/>
          </w:tcPr>
          <w:p w:rsidR="00064570" w:rsidRPr="00064570" w:rsidRDefault="00064570" w:rsidP="00122DDF">
            <w:pPr>
              <w:tabs>
                <w:tab w:val="left" w:pos="1980"/>
              </w:tabs>
              <w:suppressAutoHyphens/>
            </w:pPr>
            <w:r w:rsidRPr="00064570">
              <w:t>ФТ</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физиотерапия</w:t>
            </w:r>
          </w:p>
        </w:tc>
      </w:tr>
      <w:tr w:rsidR="00064570" w:rsidRPr="00064570" w:rsidTr="00064570">
        <w:tc>
          <w:tcPr>
            <w:tcW w:w="2134" w:type="dxa"/>
          </w:tcPr>
          <w:p w:rsidR="00064570" w:rsidRPr="00064570" w:rsidRDefault="00064570" w:rsidP="00122DDF">
            <w:pPr>
              <w:tabs>
                <w:tab w:val="left" w:pos="1980"/>
              </w:tabs>
              <w:suppressAutoHyphens/>
            </w:pPr>
            <w:r w:rsidRPr="00064570">
              <w:t>ЦБПП</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Центр безопасности пищевых продуктов</w:t>
            </w:r>
          </w:p>
        </w:tc>
      </w:tr>
      <w:tr w:rsidR="00064570" w:rsidRPr="00064570" w:rsidTr="00064570">
        <w:tc>
          <w:tcPr>
            <w:tcW w:w="2134" w:type="dxa"/>
          </w:tcPr>
          <w:p w:rsidR="00064570" w:rsidRPr="00064570" w:rsidRDefault="00064570" w:rsidP="00122DDF">
            <w:pPr>
              <w:tabs>
                <w:tab w:val="left" w:pos="1980"/>
              </w:tabs>
              <w:suppressAutoHyphens/>
            </w:pPr>
            <w:r w:rsidRPr="00064570">
              <w:t>ЦВПУ</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центры взаимопомощи по присмотру и уходу за детьми</w:t>
            </w:r>
          </w:p>
        </w:tc>
      </w:tr>
      <w:tr w:rsidR="00064570" w:rsidRPr="00064570" w:rsidTr="00064570">
        <w:tc>
          <w:tcPr>
            <w:tcW w:w="2134" w:type="dxa"/>
          </w:tcPr>
          <w:p w:rsidR="00064570" w:rsidRPr="00064570" w:rsidRDefault="00064570" w:rsidP="00122DDF">
            <w:pPr>
              <w:tabs>
                <w:tab w:val="left" w:pos="1980"/>
              </w:tabs>
              <w:suppressAutoHyphens/>
            </w:pPr>
            <w:r w:rsidRPr="00064570">
              <w:t>ЦДОП</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Центр дошкольного образования и подготовки</w:t>
            </w:r>
          </w:p>
        </w:tc>
      </w:tr>
      <w:tr w:rsidR="00064570" w:rsidRPr="00064570" w:rsidTr="00064570">
        <w:tc>
          <w:tcPr>
            <w:tcW w:w="2134" w:type="dxa"/>
          </w:tcPr>
          <w:p w:rsidR="00064570" w:rsidRPr="00064570" w:rsidRDefault="00064570" w:rsidP="00122DDF">
            <w:pPr>
              <w:tabs>
                <w:tab w:val="left" w:pos="1980"/>
              </w:tabs>
              <w:suppressAutoHyphens/>
            </w:pPr>
            <w:r w:rsidRPr="00064570">
              <w:t>Целевая</w:t>
            </w:r>
            <w:r w:rsidR="00D7303F" w:rsidRPr="00064570">
              <w:t xml:space="preserve"> группа</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Целевая группа высокого уровня по проблеме наркомании среди молодежи</w:t>
            </w:r>
          </w:p>
        </w:tc>
      </w:tr>
      <w:tr w:rsidR="00064570" w:rsidRPr="00064570" w:rsidTr="00064570">
        <w:tc>
          <w:tcPr>
            <w:tcW w:w="2134" w:type="dxa"/>
          </w:tcPr>
          <w:p w:rsidR="00064570" w:rsidRPr="00064570" w:rsidRDefault="00064570" w:rsidP="00122DDF">
            <w:pPr>
              <w:tabs>
                <w:tab w:val="left" w:pos="1980"/>
              </w:tabs>
              <w:suppressAutoHyphens/>
            </w:pPr>
            <w:r w:rsidRPr="00064570">
              <w:t>ЦКСОС</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центры комплексного социального обслужив</w:t>
            </w:r>
            <w:r w:rsidRPr="00064570">
              <w:t>а</w:t>
            </w:r>
            <w:r w:rsidRPr="00064570">
              <w:t>ния семей</w:t>
            </w:r>
          </w:p>
        </w:tc>
      </w:tr>
      <w:tr w:rsidR="00064570" w:rsidRPr="00064570" w:rsidTr="00064570">
        <w:tc>
          <w:tcPr>
            <w:tcW w:w="2134" w:type="dxa"/>
          </w:tcPr>
          <w:p w:rsidR="00064570" w:rsidRPr="00064570" w:rsidRDefault="00064570" w:rsidP="00122DDF">
            <w:pPr>
              <w:tabs>
                <w:tab w:val="left" w:pos="1980"/>
              </w:tabs>
              <w:suppressAutoHyphens/>
            </w:pPr>
            <w:r w:rsidRPr="00064570">
              <w:t>ЦЛРН</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центры лечения и реабилитации наркоманов</w:t>
            </w:r>
          </w:p>
        </w:tc>
      </w:tr>
      <w:tr w:rsidR="00064570" w:rsidRPr="00064570" w:rsidTr="00064570">
        <w:tc>
          <w:tcPr>
            <w:tcW w:w="2134" w:type="dxa"/>
          </w:tcPr>
          <w:p w:rsidR="00064570" w:rsidRPr="00064570" w:rsidRDefault="00064570" w:rsidP="00122DDF">
            <w:pPr>
              <w:tabs>
                <w:tab w:val="left" w:pos="1980"/>
              </w:tabs>
              <w:suppressAutoHyphens/>
            </w:pPr>
            <w:r w:rsidRPr="00064570">
              <w:t>ЦРЗН</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Центральный регистр случаев злоупотребления наркотиками</w:t>
            </w:r>
          </w:p>
        </w:tc>
      </w:tr>
      <w:tr w:rsidR="00064570" w:rsidRPr="00064570" w:rsidTr="00064570">
        <w:tc>
          <w:tcPr>
            <w:tcW w:w="2134" w:type="dxa"/>
          </w:tcPr>
          <w:p w:rsidR="00064570" w:rsidRPr="00064570" w:rsidRDefault="00064570" w:rsidP="00122DDF">
            <w:pPr>
              <w:tabs>
                <w:tab w:val="left" w:pos="1980"/>
              </w:tabs>
              <w:suppressAutoHyphens/>
            </w:pPr>
            <w:r w:rsidRPr="00064570">
              <w:t>ЦОМД</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центры охраны материнства и детства</w:t>
            </w:r>
          </w:p>
        </w:tc>
      </w:tr>
      <w:tr w:rsidR="00064570" w:rsidRPr="00064570" w:rsidTr="00064570">
        <w:tc>
          <w:tcPr>
            <w:tcW w:w="2134" w:type="dxa"/>
          </w:tcPr>
          <w:p w:rsidR="00064570" w:rsidRPr="00064570" w:rsidRDefault="00064570" w:rsidP="00122DDF">
            <w:pPr>
              <w:tabs>
                <w:tab w:val="left" w:pos="1980"/>
              </w:tabs>
              <w:suppressAutoHyphens/>
            </w:pPr>
            <w:r w:rsidRPr="00064570">
              <w:t>ЦППР</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Центр поддержки по профессиональной реаб</w:t>
            </w:r>
            <w:r w:rsidRPr="00064570">
              <w:t>и</w:t>
            </w:r>
            <w:r w:rsidRPr="00064570">
              <w:t xml:space="preserve">литации </w:t>
            </w:r>
          </w:p>
        </w:tc>
      </w:tr>
      <w:tr w:rsidR="00064570" w:rsidRPr="00064570" w:rsidTr="00064570">
        <w:tc>
          <w:tcPr>
            <w:tcW w:w="2134" w:type="dxa"/>
          </w:tcPr>
          <w:p w:rsidR="00064570" w:rsidRPr="00064570" w:rsidRDefault="00064570" w:rsidP="00122DDF">
            <w:pPr>
              <w:tabs>
                <w:tab w:val="left" w:pos="1980"/>
              </w:tabs>
              <w:suppressAutoHyphens/>
            </w:pPr>
            <w:r w:rsidRPr="00064570">
              <w:t>ШБИС</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Школа бизнеса и информационных систем</w:t>
            </w:r>
          </w:p>
        </w:tc>
      </w:tr>
      <w:tr w:rsidR="00064570" w:rsidRPr="00064570" w:rsidTr="00064570">
        <w:tc>
          <w:tcPr>
            <w:tcW w:w="2134" w:type="dxa"/>
          </w:tcPr>
          <w:p w:rsidR="00064570" w:rsidRPr="00064570" w:rsidRDefault="00064570" w:rsidP="00122DDF">
            <w:pPr>
              <w:tabs>
                <w:tab w:val="left" w:pos="1980"/>
              </w:tabs>
              <w:suppressAutoHyphens/>
            </w:pPr>
            <w:r w:rsidRPr="00064570">
              <w:t>ЭМК</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электронная медицинская карта</w:t>
            </w:r>
          </w:p>
        </w:tc>
      </w:tr>
      <w:tr w:rsidR="00064570" w:rsidRPr="00064570" w:rsidTr="00064570">
        <w:tc>
          <w:tcPr>
            <w:tcW w:w="2134" w:type="dxa"/>
          </w:tcPr>
          <w:p w:rsidR="00064570" w:rsidRPr="00064570" w:rsidRDefault="00064570" w:rsidP="00122DDF">
            <w:pPr>
              <w:tabs>
                <w:tab w:val="left" w:pos="1980"/>
              </w:tabs>
              <w:suppressAutoHyphens/>
            </w:pPr>
            <w:r w:rsidRPr="00064570">
              <w:t>ЮНЕСКО</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Организация Объединенных Наций по вопросам образования, науки и культуры</w:t>
            </w:r>
          </w:p>
        </w:tc>
      </w:tr>
      <w:tr w:rsidR="00064570" w:rsidRPr="00064570" w:rsidTr="00064570">
        <w:tc>
          <w:tcPr>
            <w:tcW w:w="2134" w:type="dxa"/>
          </w:tcPr>
          <w:p w:rsidR="00064570" w:rsidRPr="00064570" w:rsidRDefault="00064570" w:rsidP="00122DDF">
            <w:pPr>
              <w:tabs>
                <w:tab w:val="left" w:pos="1980"/>
              </w:tabs>
              <w:suppressAutoHyphens/>
            </w:pPr>
            <w:r w:rsidRPr="00064570">
              <w:t>ЯЗО</w:t>
            </w:r>
          </w:p>
        </w:tc>
        <w:tc>
          <w:tcPr>
            <w:cnfStyle w:val="000100000000" w:firstRow="0" w:lastRow="0" w:firstColumn="0" w:lastColumn="1" w:oddVBand="0" w:evenVBand="0" w:oddHBand="0" w:evenHBand="0" w:firstRowFirstColumn="0" w:firstRowLastColumn="0" w:lastRowFirstColumn="0" w:lastRowLastColumn="0"/>
            <w:tcW w:w="5236" w:type="dxa"/>
            <w:tcBorders>
              <w:left w:val="none" w:sz="0" w:space="0" w:color="auto"/>
              <w:bottom w:val="none" w:sz="0" w:space="0" w:color="auto"/>
              <w:right w:val="none" w:sz="0" w:space="0" w:color="auto"/>
              <w:tl2br w:val="none" w:sz="0" w:space="0" w:color="auto"/>
              <w:tr2bl w:val="none" w:sz="0" w:space="0" w:color="auto"/>
            </w:tcBorders>
          </w:tcPr>
          <w:p w:rsidR="00064570" w:rsidRPr="00064570" w:rsidRDefault="00064570" w:rsidP="00122DDF">
            <w:pPr>
              <w:tabs>
                <w:tab w:val="left" w:pos="1980"/>
              </w:tabs>
              <w:suppressAutoHyphens/>
            </w:pPr>
            <w:r w:rsidRPr="00064570">
              <w:t xml:space="preserve">язык обучения </w:t>
            </w:r>
          </w:p>
        </w:tc>
      </w:tr>
    </w:tbl>
    <w:p w:rsidR="00BE3E96" w:rsidRPr="009C0777" w:rsidRDefault="00D7303F" w:rsidP="00122DDF">
      <w:pPr>
        <w:pStyle w:val="HChGR"/>
        <w:tabs>
          <w:tab w:val="left" w:pos="1980"/>
        </w:tabs>
      </w:pPr>
      <w:r>
        <w:rPr>
          <w:lang w:val="en-US"/>
        </w:rPr>
        <w:br w:type="page"/>
      </w:r>
      <w:r w:rsidR="00BE3E96">
        <w:rPr>
          <w:lang w:val="en-US"/>
        </w:rPr>
        <w:tab/>
      </w:r>
      <w:r w:rsidR="00BE3E96">
        <w:rPr>
          <w:lang w:val="en-US"/>
        </w:rPr>
        <w:tab/>
      </w:r>
      <w:r w:rsidR="00BE3E96" w:rsidRPr="00D94BED">
        <w:t>Вступление</w:t>
      </w:r>
    </w:p>
    <w:p w:rsidR="00BE3E96" w:rsidRPr="009C0777" w:rsidRDefault="00BE3E96" w:rsidP="00122DDF">
      <w:pPr>
        <w:pStyle w:val="SingleTxtGR"/>
        <w:tabs>
          <w:tab w:val="clear" w:pos="1701"/>
          <w:tab w:val="left" w:pos="1980"/>
        </w:tabs>
      </w:pPr>
      <w:r w:rsidRPr="009C0777">
        <w:tab/>
        <w:t>Настоящий доклад (доклад) является третьим по счету докладом, представленным Специальный административным районом Гонконг Китайской Народной Республики (САРГ) в соответствии с Международным пактом об эк</w:t>
      </w:r>
      <w:r w:rsidRPr="009C0777">
        <w:t>о</w:t>
      </w:r>
      <w:r w:rsidRPr="009C0777">
        <w:t>номических, социальных и культурных правах (Пакт).</w:t>
      </w:r>
      <w:r>
        <w:t xml:space="preserve"> </w:t>
      </w:r>
      <w:r w:rsidRPr="009C0777">
        <w:t>Он является составной частью второго периодического доклада, представленного Китаем в соответс</w:t>
      </w:r>
      <w:r w:rsidRPr="009C0777">
        <w:t>т</w:t>
      </w:r>
      <w:r w:rsidRPr="009C0777">
        <w:t>вии с Пактом. В нем Комитету по экономическим, социальным и культурным правам (Комитет) сообщается обновленная информация о событиях, произ</w:t>
      </w:r>
      <w:r w:rsidRPr="009C0777">
        <w:t>о</w:t>
      </w:r>
      <w:r w:rsidRPr="009C0777">
        <w:t>шедших после представления второго доклада САРГ (предыдущий доклад), к</w:t>
      </w:r>
      <w:r w:rsidRPr="009C0777">
        <w:t>о</w:t>
      </w:r>
      <w:r w:rsidRPr="009C0777">
        <w:t>торый являлся составной частью первоначального доклада Китая, представле</w:t>
      </w:r>
      <w:r w:rsidRPr="009C0777">
        <w:t>н</w:t>
      </w:r>
      <w:r w:rsidRPr="009C0777">
        <w:t>ного в июне 2003</w:t>
      </w:r>
      <w:r w:rsidR="00B92291">
        <w:t> год</w:t>
      </w:r>
      <w:r w:rsidRPr="009C0777">
        <w:t>а. Настоящий доклад одновременно представляется в кач</w:t>
      </w:r>
      <w:r w:rsidRPr="009C0777">
        <w:t>е</w:t>
      </w:r>
      <w:r w:rsidRPr="009C0777">
        <w:t>стве ответа на Заключительные замечания от 13 мая 2005</w:t>
      </w:r>
      <w:r w:rsidR="00B92291">
        <w:t> год</w:t>
      </w:r>
      <w:r w:rsidRPr="009C0777">
        <w:t>а (предыдущие З</w:t>
      </w:r>
      <w:r w:rsidRPr="009C0777">
        <w:t>а</w:t>
      </w:r>
      <w:r w:rsidRPr="009C0777">
        <w:t>ключительные замечания), сделанные после заслушивания Комитетом пред</w:t>
      </w:r>
      <w:r w:rsidRPr="009C0777">
        <w:t>ы</w:t>
      </w:r>
      <w:r w:rsidRPr="009C0777">
        <w:t xml:space="preserve">дущего доклада на его </w:t>
      </w:r>
      <w:r>
        <w:t>тридцать четвертой</w:t>
      </w:r>
      <w:r w:rsidRPr="009C0777">
        <w:t xml:space="preserve"> сессии, состоявшейся 27</w:t>
      </w:r>
      <w:r>
        <w:t>−</w:t>
      </w:r>
      <w:r w:rsidRPr="009C0777">
        <w:t>29 апреля 2005</w:t>
      </w:r>
      <w:r w:rsidR="00B92291">
        <w:t> год</w:t>
      </w:r>
      <w:r w:rsidRPr="009C0777">
        <w:t>а.</w:t>
      </w:r>
    </w:p>
    <w:p w:rsidR="00BE3E96" w:rsidRPr="009C0777" w:rsidRDefault="00BE3E96" w:rsidP="00122DDF">
      <w:pPr>
        <w:pStyle w:val="SingleTxtGR"/>
        <w:tabs>
          <w:tab w:val="clear" w:pos="1701"/>
          <w:tab w:val="left" w:pos="1980"/>
        </w:tabs>
      </w:pPr>
      <w:r w:rsidRPr="009C0777">
        <w:tab/>
        <w:t>После опубликования предыдущих Заключительных замечаний Ком</w:t>
      </w:r>
      <w:r w:rsidRPr="009C0777">
        <w:t>и</w:t>
      </w:r>
      <w:r w:rsidRPr="009C0777">
        <w:t>тета в мае 2005</w:t>
      </w:r>
      <w:r w:rsidR="00B92291">
        <w:t> год</w:t>
      </w:r>
      <w:r w:rsidRPr="009C0777">
        <w:t>а мы широко распространили их на всех уровнях общества, включая Законодательный совет (ЗС), соответствующие</w:t>
      </w:r>
      <w:r>
        <w:t xml:space="preserve"> </w:t>
      </w:r>
      <w:r w:rsidRPr="009C0777">
        <w:t>государственные учр</w:t>
      </w:r>
      <w:r w:rsidRPr="009C0777">
        <w:t>е</w:t>
      </w:r>
      <w:r w:rsidRPr="009C0777">
        <w:t>ждения и департаменты, судебные органы, неправительственные организации (НПО) и другие заинтересованные стороны. Для ознакомления общественности они также были размещены на</w:t>
      </w:r>
      <w:r>
        <w:t xml:space="preserve"> </w:t>
      </w:r>
      <w:proofErr w:type="spellStart"/>
      <w:r>
        <w:t>веб</w:t>
      </w:r>
      <w:r w:rsidRPr="009C0777">
        <w:t>сайте</w:t>
      </w:r>
      <w:proofErr w:type="spellEnd"/>
      <w:r w:rsidRPr="009C0777">
        <w:t xml:space="preserve"> правительства.</w:t>
      </w:r>
    </w:p>
    <w:p w:rsidR="00BE3E96" w:rsidRPr="009C0777" w:rsidRDefault="00BE3E96" w:rsidP="00122DDF">
      <w:pPr>
        <w:pStyle w:val="SingleTxtGR"/>
        <w:tabs>
          <w:tab w:val="clear" w:pos="1701"/>
          <w:tab w:val="left" w:pos="1980"/>
        </w:tabs>
      </w:pPr>
      <w:r w:rsidRPr="009C0777">
        <w:tab/>
        <w:t>Мы обязались</w:t>
      </w:r>
      <w:r>
        <w:t xml:space="preserve"> в полной мере уче</w:t>
      </w:r>
      <w:r w:rsidR="00034840">
        <w:t>с</w:t>
      </w:r>
      <w:r>
        <w:t>ть</w:t>
      </w:r>
      <w:r w:rsidRPr="009C0777">
        <w:t xml:space="preserve"> озабоченности и рекомендации Комитета, высказанные в связи с докладом САРГ. При подготовке доклада мы, в соответствии со сложившейся практикой, наметили план широких тематич</w:t>
      </w:r>
      <w:r w:rsidRPr="009C0777">
        <w:t>е</w:t>
      </w:r>
      <w:r w:rsidRPr="009C0777">
        <w:t>ских разделов и отдельных тем, которые мы собирались осветить в докладе. План консультаций был широко распространен среди всех заинтересованных сторон, включая ЗС и Форум по правам человека, Комитет по содействию рас</w:t>
      </w:r>
      <w:r w:rsidRPr="009C0777">
        <w:t>о</w:t>
      </w:r>
      <w:r w:rsidRPr="009C0777">
        <w:t>вой гармонии, Форум этнических меньшинств и Форум по правам ребенка (к</w:t>
      </w:r>
      <w:r w:rsidRPr="009C0777">
        <w:t>о</w:t>
      </w:r>
      <w:r w:rsidRPr="009C0777">
        <w:t>торые включают правозащитные организации, группы этнических меньшинств, детские и молодежные организации и НПО). Он также был размещен в Инте</w:t>
      </w:r>
      <w:r w:rsidRPr="009C0777">
        <w:t>р</w:t>
      </w:r>
      <w:r w:rsidRPr="009C0777">
        <w:t>нете. Общественности было предложено представить в период с 11 января по 19 февраля 2010</w:t>
      </w:r>
      <w:r w:rsidR="00B92291">
        <w:t> год</w:t>
      </w:r>
      <w:r w:rsidRPr="009C0777">
        <w:t>а свои замечания относительно осуществления Пакта пр</w:t>
      </w:r>
      <w:r w:rsidRPr="009C0777">
        <w:t>а</w:t>
      </w:r>
      <w:r w:rsidRPr="009C0777">
        <w:t>вительством по указанной проблематике. Общественности также предлагалось представить свои соображения относительно тем, которые следовало бы осв</w:t>
      </w:r>
      <w:r w:rsidRPr="009C0777">
        <w:t>е</w:t>
      </w:r>
      <w:r w:rsidRPr="009C0777">
        <w:t>тить в докладе.</w:t>
      </w:r>
    </w:p>
    <w:p w:rsidR="00BE3E96" w:rsidRPr="009C0777" w:rsidRDefault="00BE3E96" w:rsidP="00122DDF">
      <w:pPr>
        <w:pStyle w:val="SingleTxtGR"/>
        <w:tabs>
          <w:tab w:val="clear" w:pos="1701"/>
          <w:tab w:val="left" w:pos="1980"/>
        </w:tabs>
      </w:pPr>
      <w:r w:rsidRPr="009C0777">
        <w:tab/>
        <w:t>Этот план обсуждался на двух сессиях Комиссии по конституционным</w:t>
      </w:r>
      <w:r>
        <w:t xml:space="preserve"> </w:t>
      </w:r>
      <w:r w:rsidRPr="009C0777">
        <w:t>вопросам Законодательного совета, причем в ходе одной из этих сессий пре</w:t>
      </w:r>
      <w:r w:rsidRPr="009C0777">
        <w:t>д</w:t>
      </w:r>
      <w:r w:rsidRPr="009C0777">
        <w:t>ставителям заинтересованных НПО была предоставлена возможность выск</w:t>
      </w:r>
      <w:r w:rsidRPr="009C0777">
        <w:t>а</w:t>
      </w:r>
      <w:r w:rsidRPr="009C0777">
        <w:t>зать свои соображения.</w:t>
      </w:r>
      <w:r>
        <w:t xml:space="preserve"> </w:t>
      </w:r>
      <w:r w:rsidRPr="009C0777">
        <w:t>Чтобы узнать их точку зрения, было также организов</w:t>
      </w:r>
      <w:r w:rsidRPr="009C0777">
        <w:t>а</w:t>
      </w:r>
      <w:r w:rsidRPr="009C0777">
        <w:t>но совещание с членами Форума по правам человека, Комитета по содействию расовой гармонии и Форума по правам ребенка. При подготовке доклада мы тщательно рассмотрели полученные от них соображения и замечания. Согласно установившейся практике</w:t>
      </w:r>
      <w:r>
        <w:t xml:space="preserve"> </w:t>
      </w:r>
      <w:r w:rsidRPr="009C0777">
        <w:t>вопросы, затронутые комментаторами, наряду с соо</w:t>
      </w:r>
      <w:r w:rsidRPr="009C0777">
        <w:t>т</w:t>
      </w:r>
      <w:r w:rsidRPr="009C0777">
        <w:t>ветствующими ответами правительства САРГ были включены, там, где это применимо, в соответствующие разделы доклада.</w:t>
      </w:r>
    </w:p>
    <w:p w:rsidR="00BE3E96" w:rsidRPr="009C0777" w:rsidRDefault="00BE3E96" w:rsidP="00122DDF">
      <w:pPr>
        <w:pStyle w:val="SingleTxtGR"/>
        <w:tabs>
          <w:tab w:val="clear" w:pos="1701"/>
          <w:tab w:val="left" w:pos="1980"/>
        </w:tabs>
      </w:pPr>
      <w:r w:rsidRPr="009C0777">
        <w:tab/>
        <w:t>Поскольку в представленном в 1999</w:t>
      </w:r>
      <w:r w:rsidR="00B92291">
        <w:t> год</w:t>
      </w:r>
      <w:r w:rsidRPr="009C0777">
        <w:t>у первоначальном докладе САРГ (первоначальный доклад) и в предыдущем докладе уже содержалась по</w:t>
      </w:r>
      <w:r w:rsidRPr="009C0777">
        <w:t>д</w:t>
      </w:r>
      <w:r w:rsidRPr="009C0777">
        <w:t>робная информация о действующих законодательстве, политике и практике, призванных обеспечить соблюдение Гонконгом положений Пакта</w:t>
      </w:r>
      <w:r>
        <w:t xml:space="preserve"> и эта инфо</w:t>
      </w:r>
      <w:r>
        <w:t>р</w:t>
      </w:r>
      <w:r>
        <w:t>мация</w:t>
      </w:r>
      <w:r w:rsidRPr="009C0777">
        <w:t xml:space="preserve"> не изменил</w:t>
      </w:r>
      <w:r>
        <w:t>а</w:t>
      </w:r>
      <w:r w:rsidRPr="009C0777">
        <w:t>сь или изменил</w:t>
      </w:r>
      <w:r>
        <w:t>а</w:t>
      </w:r>
      <w:r w:rsidRPr="009C0777">
        <w:t>сь незначительно, мы не стали повторять эти опис</w:t>
      </w:r>
      <w:r w:rsidRPr="009C0777">
        <w:t>а</w:t>
      </w:r>
      <w:r w:rsidRPr="009C0777">
        <w:t>ния и</w:t>
      </w:r>
      <w:r>
        <w:t xml:space="preserve"> </w:t>
      </w:r>
      <w:r w:rsidRPr="009C0777">
        <w:t>пояснения в настоящем докладе.</w:t>
      </w:r>
    </w:p>
    <w:p w:rsidR="00BE3E96" w:rsidRPr="009C0777" w:rsidRDefault="00BE3E96" w:rsidP="00122DDF">
      <w:pPr>
        <w:pStyle w:val="SingleTxtGR"/>
        <w:tabs>
          <w:tab w:val="clear" w:pos="1701"/>
          <w:tab w:val="left" w:pos="1980"/>
        </w:tabs>
      </w:pPr>
      <w:r w:rsidRPr="009C0777">
        <w:tab/>
        <w:t>Настоящий доклад был распространен среди заинтересованных ст</w:t>
      </w:r>
      <w:r w:rsidRPr="009C0777">
        <w:t>о</w:t>
      </w:r>
      <w:r w:rsidRPr="009C0777">
        <w:t>рон, включая ЗС, членов упомянутых форумов и заинтересованных НПО; он будет доступен для широкой общественности</w:t>
      </w:r>
      <w:r>
        <w:t xml:space="preserve"> </w:t>
      </w:r>
      <w:r w:rsidRPr="009C0777">
        <w:t>в центрах Службы общественных о</w:t>
      </w:r>
      <w:r w:rsidRPr="009C0777">
        <w:t>б</w:t>
      </w:r>
      <w:r w:rsidRPr="009C0777">
        <w:t>ращений Департамента внутренних дел (ДВД),</w:t>
      </w:r>
      <w:r>
        <w:t xml:space="preserve"> публичных библиотеках и на </w:t>
      </w:r>
      <w:proofErr w:type="spellStart"/>
      <w:r>
        <w:t>веб</w:t>
      </w:r>
      <w:r w:rsidRPr="009C0777">
        <w:t>сайте</w:t>
      </w:r>
      <w:proofErr w:type="spellEnd"/>
      <w:r w:rsidRPr="009C0777">
        <w:t xml:space="preserve"> правительства.</w:t>
      </w:r>
    </w:p>
    <w:p w:rsidR="00BE3E96" w:rsidRPr="009C0777" w:rsidRDefault="00BE3E96" w:rsidP="00122DDF">
      <w:pPr>
        <w:pStyle w:val="HChGR"/>
        <w:tabs>
          <w:tab w:val="left" w:pos="1980"/>
        </w:tabs>
      </w:pPr>
      <w:r w:rsidRPr="009C0777">
        <w:tab/>
      </w:r>
      <w:r w:rsidRPr="009C0777">
        <w:tab/>
        <w:t xml:space="preserve">Статья 1: Прогресс и развитие демократии </w:t>
      </w:r>
    </w:p>
    <w:p w:rsidR="00BE3E96" w:rsidRPr="009C0777" w:rsidRDefault="00BE3E96" w:rsidP="00122DDF">
      <w:pPr>
        <w:pStyle w:val="SingleTxtGR"/>
        <w:tabs>
          <w:tab w:val="clear" w:pos="1701"/>
          <w:tab w:val="left" w:pos="1980"/>
        </w:tabs>
      </w:pPr>
      <w:r w:rsidRPr="009C0777">
        <w:t>1.1</w:t>
      </w:r>
      <w:r w:rsidRPr="009C0777">
        <w:tab/>
        <w:t>Нынешнее состояние конституционного развития Гонконга будет ра</w:t>
      </w:r>
      <w:r w:rsidRPr="009C0777">
        <w:t>с</w:t>
      </w:r>
      <w:r w:rsidRPr="009C0777">
        <w:t xml:space="preserve">смотрено в третьем докладе САРГ в соответствии с Международным пактом о гражданских и политических правах (МПГПП), который, как ожидается, будет представлен </w:t>
      </w:r>
      <w:r>
        <w:t>до конца</w:t>
      </w:r>
      <w:r w:rsidRPr="009C0777">
        <w:t xml:space="preserve"> 2010</w:t>
      </w:r>
      <w:r w:rsidR="00B92291">
        <w:t> год</w:t>
      </w:r>
      <w:r w:rsidRPr="009C0777">
        <w:t>а.</w:t>
      </w:r>
    </w:p>
    <w:p w:rsidR="00BE3E96" w:rsidRPr="009C0777" w:rsidRDefault="00BE3E96" w:rsidP="00122DDF">
      <w:pPr>
        <w:pStyle w:val="HChGR"/>
        <w:tabs>
          <w:tab w:val="left" w:pos="1980"/>
        </w:tabs>
      </w:pPr>
      <w:r w:rsidRPr="009C0777">
        <w:tab/>
      </w:r>
      <w:r w:rsidRPr="009C0777">
        <w:tab/>
        <w:t>Статья 2: Постепенная реализация прав, закрепленных в Па</w:t>
      </w:r>
      <w:r w:rsidRPr="009C0777">
        <w:t>к</w:t>
      </w:r>
      <w:r w:rsidRPr="009C0777">
        <w:t xml:space="preserve">те, и осуществление этих прав </w:t>
      </w:r>
      <w:r>
        <w:br/>
      </w:r>
      <w:r w:rsidRPr="009C0777">
        <w:t>без дискриминации</w:t>
      </w:r>
    </w:p>
    <w:p w:rsidR="00BE3E96" w:rsidRPr="009C0777" w:rsidRDefault="00BE3E96" w:rsidP="00122DDF">
      <w:pPr>
        <w:pStyle w:val="H1GR"/>
        <w:tabs>
          <w:tab w:val="left" w:pos="1980"/>
        </w:tabs>
      </w:pPr>
      <w:r w:rsidRPr="009C0777">
        <w:tab/>
      </w:r>
      <w:r w:rsidRPr="009C0777">
        <w:tab/>
        <w:t>Законодательство, запрещающее расовую дискримин</w:t>
      </w:r>
      <w:r w:rsidRPr="009C0777">
        <w:t>а</w:t>
      </w:r>
      <w:r w:rsidRPr="009C0777">
        <w:t>цию</w:t>
      </w:r>
    </w:p>
    <w:p w:rsidR="00BE3E96" w:rsidRPr="009C0777" w:rsidRDefault="00BE3E96" w:rsidP="00122DDF">
      <w:pPr>
        <w:pStyle w:val="SingleTxtGR"/>
        <w:tabs>
          <w:tab w:val="clear" w:pos="1701"/>
          <w:tab w:val="left" w:pos="1980"/>
        </w:tabs>
      </w:pPr>
      <w:r w:rsidRPr="009C0777">
        <w:t>2.1</w:t>
      </w:r>
      <w:r w:rsidRPr="009C0777">
        <w:tab/>
        <w:t>Как уже отмечалось в пунктах 2.4 и 2.5</w:t>
      </w:r>
      <w:r w:rsidRPr="00F408EC">
        <w:rPr>
          <w:rStyle w:val="FootnoteReference"/>
        </w:rPr>
        <w:footnoteReference w:id="4"/>
      </w:r>
      <w:r w:rsidRPr="009C0777">
        <w:t xml:space="preserve"> предыдущего доклада, прав</w:t>
      </w:r>
      <w:r w:rsidRPr="009C0777">
        <w:t>и</w:t>
      </w:r>
      <w:r w:rsidRPr="009C0777">
        <w:t>тельство САРГ рассмотрело вопрос о законодательстве, запрещающем расовую дискриминацию. Проанализировав замечания общественности в процессе ко</w:t>
      </w:r>
      <w:r w:rsidRPr="009C0777">
        <w:t>н</w:t>
      </w:r>
      <w:r w:rsidRPr="009C0777">
        <w:t>сультаций, закончившимся в 2005</w:t>
      </w:r>
      <w:r w:rsidR="00B92291">
        <w:t> год</w:t>
      </w:r>
      <w:r w:rsidRPr="009C0777">
        <w:t xml:space="preserve">у, правительство представило </w:t>
      </w:r>
      <w:r>
        <w:t>законопр</w:t>
      </w:r>
      <w:r>
        <w:t>о</w:t>
      </w:r>
      <w:r>
        <w:t xml:space="preserve">ект </w:t>
      </w:r>
      <w:r w:rsidRPr="009C0777">
        <w:t>о предупреждении расовой дискриминации, который после тщательного рассмотрения был принят ЗС в июле 2008</w:t>
      </w:r>
      <w:r w:rsidR="00B92291">
        <w:t> год</w:t>
      </w:r>
      <w:r w:rsidRPr="009C0777">
        <w:t>а.</w:t>
      </w:r>
    </w:p>
    <w:p w:rsidR="00BE3E96" w:rsidRPr="009C0777" w:rsidRDefault="00BE3E96" w:rsidP="00122DDF">
      <w:pPr>
        <w:pStyle w:val="SingleTxtGR"/>
        <w:tabs>
          <w:tab w:val="clear" w:pos="1701"/>
          <w:tab w:val="left" w:pos="1980"/>
        </w:tabs>
      </w:pPr>
      <w:r w:rsidRPr="009C0777">
        <w:t>2.2</w:t>
      </w:r>
      <w:r w:rsidRPr="009C0777">
        <w:tab/>
        <w:t>Указ о предупреждении расовой дискриминации (УПРД)</w:t>
      </w:r>
      <w:r>
        <w:t xml:space="preserve"> </w:t>
      </w:r>
      <w:r w:rsidRPr="009C0777">
        <w:t>(глава 602 свода законов Гонконга, в дальнейшем</w:t>
      </w:r>
      <w:r>
        <w:t xml:space="preserve"> </w:t>
      </w:r>
      <w:r w:rsidRPr="009C0777">
        <w:t xml:space="preserve">упоминающаяся в виде сокращения </w:t>
      </w:r>
      <w:r w:rsidR="00D7303F">
        <w:t>гл</w:t>
      </w:r>
      <w:r w:rsidR="00D7303F">
        <w:t>а</w:t>
      </w:r>
      <w:r w:rsidR="00D7303F">
        <w:t>ва </w:t>
      </w:r>
      <w:r w:rsidRPr="009C0777">
        <w:t>602), который вступил в полную силу в июле 2009</w:t>
      </w:r>
      <w:r w:rsidR="00B92291">
        <w:t> год</w:t>
      </w:r>
      <w:r w:rsidRPr="009C0777">
        <w:t>а, призван обеспечить правовую защиту физических лиц от дискриминации, нарушения прав и ди</w:t>
      </w:r>
      <w:r w:rsidRPr="009C0777">
        <w:t>ф</w:t>
      </w:r>
      <w:r w:rsidRPr="009C0777">
        <w:t xml:space="preserve">фамации на расовой почве. Он объявляет незаконной как </w:t>
      </w:r>
      <w:r>
        <w:t>прямую</w:t>
      </w:r>
      <w:r w:rsidRPr="009C0777">
        <w:t>, так и</w:t>
      </w:r>
      <w:r>
        <w:t xml:space="preserve"> косве</w:t>
      </w:r>
      <w:r>
        <w:t>н</w:t>
      </w:r>
      <w:r>
        <w:t>ную</w:t>
      </w:r>
      <w:r w:rsidRPr="009C0777">
        <w:t xml:space="preserve"> расовую дискриминацию в прописанных областях деятельности, включая образование, трудоустройство и обеспечение товарами, услугами, объектами жизнеде</w:t>
      </w:r>
      <w:r w:rsidRPr="009C0777">
        <w:t>я</w:t>
      </w:r>
      <w:r w:rsidRPr="009C0777">
        <w:t xml:space="preserve">тельности и жильем. В нем закреплен </w:t>
      </w:r>
      <w:proofErr w:type="spellStart"/>
      <w:r w:rsidRPr="009C0777">
        <w:t>международно</w:t>
      </w:r>
      <w:proofErr w:type="spellEnd"/>
      <w:r w:rsidRPr="009C0777">
        <w:t xml:space="preserve"> признанный принцип </w:t>
      </w:r>
      <w:r>
        <w:t>соразмерности</w:t>
      </w:r>
      <w:r w:rsidRPr="009C0777">
        <w:t xml:space="preserve"> при определении фактов </w:t>
      </w:r>
      <w:r>
        <w:t>косвенной</w:t>
      </w:r>
      <w:r w:rsidRPr="009C0777">
        <w:t xml:space="preserve"> дискриминации. Он также квалифицирует как противоправные деяния притеснения на расовой почве в конкретных областях (т.е. враждебное поведение в обстоятельствах, в которых р</w:t>
      </w:r>
      <w:r w:rsidRPr="009C0777">
        <w:t>а</w:t>
      </w:r>
      <w:r w:rsidRPr="009C0777">
        <w:t>зумный человек, взвесив все обстоятельства, мог бы предположить, что другой человек будет оскорблен, унижен или запуган подобным поведен</w:t>
      </w:r>
      <w:r w:rsidRPr="009C0777">
        <w:t>и</w:t>
      </w:r>
      <w:r w:rsidRPr="009C0777">
        <w:t>ем). К тому же УПРД запрещает другие незаконные действия, принимающие форму расовой дискриминации, в том числе дискриминационную практику и рекламу, пособничество, подстрекательство или склонение других к дискрим</w:t>
      </w:r>
      <w:r w:rsidRPr="009C0777">
        <w:t>и</w:t>
      </w:r>
      <w:r w:rsidRPr="009C0777">
        <w:t>нации, а также</w:t>
      </w:r>
      <w:r>
        <w:t xml:space="preserve"> </w:t>
      </w:r>
      <w:r w:rsidRPr="009C0777">
        <w:t>диффамацию. Хотя УПРД не принуждает к позитивным дейс</w:t>
      </w:r>
      <w:r w:rsidRPr="009C0777">
        <w:t>т</w:t>
      </w:r>
      <w:r w:rsidRPr="009C0777">
        <w:t>виям, в законе конкретно прописываются специальные меры, призванные удо</w:t>
      </w:r>
      <w:r w:rsidRPr="009C0777">
        <w:t>в</w:t>
      </w:r>
      <w:r w:rsidRPr="009C0777">
        <w:t xml:space="preserve">летворить особые потребности лиц, принадлежащих к </w:t>
      </w:r>
      <w:r>
        <w:t>определенной</w:t>
      </w:r>
      <w:r w:rsidRPr="009C0777">
        <w:t xml:space="preserve"> расовой группе.</w:t>
      </w:r>
    </w:p>
    <w:p w:rsidR="00BE3E96" w:rsidRPr="009C0777" w:rsidRDefault="00BE3E96" w:rsidP="00122DDF">
      <w:pPr>
        <w:pStyle w:val="SingleTxtGR"/>
        <w:tabs>
          <w:tab w:val="clear" w:pos="1701"/>
          <w:tab w:val="left" w:pos="1980"/>
        </w:tabs>
      </w:pPr>
      <w:r w:rsidRPr="009C0777">
        <w:t>2.3</w:t>
      </w:r>
      <w:r w:rsidRPr="009C0777">
        <w:tab/>
        <w:t>На Комиссию по равным возможностям (КРВ), являющуюся незав</w:t>
      </w:r>
      <w:r w:rsidRPr="009C0777">
        <w:t>и</w:t>
      </w:r>
      <w:r w:rsidRPr="009C0777">
        <w:t>симым статутным органом, возложен надзор за осуществление УПРД. В соо</w:t>
      </w:r>
      <w:r w:rsidRPr="009C0777">
        <w:t>т</w:t>
      </w:r>
      <w:r w:rsidRPr="009C0777">
        <w:t>ветствии с УПРД КРВ наде</w:t>
      </w:r>
      <w:r>
        <w:t>ляется функциями и полномочиями по</w:t>
      </w:r>
      <w:r w:rsidRPr="009C0777">
        <w:t xml:space="preserve"> ликвидаци</w:t>
      </w:r>
      <w:r>
        <w:t>и</w:t>
      </w:r>
      <w:r w:rsidRPr="009C0777">
        <w:t xml:space="preserve"> расовой дискриминации и поощрени</w:t>
      </w:r>
      <w:r>
        <w:t>ю</w:t>
      </w:r>
      <w:r w:rsidRPr="009C0777">
        <w:t xml:space="preserve"> создани</w:t>
      </w:r>
      <w:r>
        <w:t>я</w:t>
      </w:r>
      <w:r w:rsidRPr="009C0777">
        <w:t xml:space="preserve"> равных возможностей для представителей различных расовых групп и гармонии между ними. В соотве</w:t>
      </w:r>
      <w:r w:rsidRPr="009C0777">
        <w:t>т</w:t>
      </w:r>
      <w:r w:rsidRPr="009C0777">
        <w:t>ствии с УПРД она уполномочивается</w:t>
      </w:r>
      <w:r>
        <w:t xml:space="preserve"> </w:t>
      </w:r>
      <w:r w:rsidRPr="009C0777">
        <w:t>проводить официальные расследования и получать информацию о фактах расовой дискриминации. КРВ имеет право ра</w:t>
      </w:r>
      <w:r w:rsidRPr="009C0777">
        <w:t>с</w:t>
      </w:r>
      <w:r w:rsidRPr="009C0777">
        <w:t xml:space="preserve">сматривать </w:t>
      </w:r>
      <w:r>
        <w:t>индивидуальные</w:t>
      </w:r>
      <w:r w:rsidRPr="009C0777">
        <w:t xml:space="preserve"> жалобы и оказывать юридическую помощь. Кроме того, КРВ может давать рекомендации любому лицу или правительству относ</w:t>
      </w:r>
      <w:r w:rsidRPr="009C0777">
        <w:t>и</w:t>
      </w:r>
      <w:r w:rsidRPr="009C0777">
        <w:t>тельно</w:t>
      </w:r>
      <w:r>
        <w:t xml:space="preserve"> </w:t>
      </w:r>
      <w:r w:rsidRPr="009C0777">
        <w:t xml:space="preserve">изменений законодательства и процедур или иные рекомендации </w:t>
      </w:r>
      <w:r>
        <w:t>по</w:t>
      </w:r>
      <w:r w:rsidRPr="009C0777">
        <w:t xml:space="preserve"> р</w:t>
      </w:r>
      <w:r w:rsidRPr="009C0777">
        <w:t>е</w:t>
      </w:r>
      <w:r w:rsidRPr="009C0777">
        <w:t>зультат</w:t>
      </w:r>
      <w:r>
        <w:t>ам</w:t>
      </w:r>
      <w:r w:rsidRPr="009C0777">
        <w:t xml:space="preserve"> своих официальных расследований.</w:t>
      </w:r>
    </w:p>
    <w:p w:rsidR="00BE3E96" w:rsidRPr="009C0777" w:rsidRDefault="00BE3E96" w:rsidP="00122DDF">
      <w:pPr>
        <w:pStyle w:val="SingleTxtGR"/>
        <w:tabs>
          <w:tab w:val="clear" w:pos="1701"/>
          <w:tab w:val="left" w:pos="1980"/>
        </w:tabs>
      </w:pPr>
      <w:r w:rsidRPr="009C0777">
        <w:t>2.4</w:t>
      </w:r>
      <w:r w:rsidRPr="009C0777">
        <w:tab/>
        <w:t>Для выполнения этих задач правительство выделяет КРВ дополн</w:t>
      </w:r>
      <w:r w:rsidRPr="009C0777">
        <w:t>и</w:t>
      </w:r>
      <w:r w:rsidRPr="009C0777">
        <w:t>тельные</w:t>
      </w:r>
      <w:r>
        <w:t xml:space="preserve"> </w:t>
      </w:r>
      <w:r w:rsidRPr="009C0777">
        <w:t>ресурсы. КРВ издала Кодекс практики в сфере занятости в соответс</w:t>
      </w:r>
      <w:r w:rsidRPr="009C0777">
        <w:t>т</w:t>
      </w:r>
      <w:r w:rsidRPr="009C0777">
        <w:t>вии с УПРД, который вступил в силу в июле 2009</w:t>
      </w:r>
      <w:r w:rsidR="00B92291">
        <w:t> год</w:t>
      </w:r>
      <w:r w:rsidRPr="009C0777">
        <w:t>а. Он служит практич</w:t>
      </w:r>
      <w:r w:rsidRPr="009C0777">
        <w:t>е</w:t>
      </w:r>
      <w:r w:rsidRPr="009C0777">
        <w:t>ским руководством по предупреждению расовой дискриминации и притеснений в области занятости и содействует расовому равенству и гармонии в вопросах занятости.</w:t>
      </w:r>
    </w:p>
    <w:p w:rsidR="00BE3E96" w:rsidRPr="009C0777" w:rsidRDefault="00BE3E96" w:rsidP="00122DDF">
      <w:pPr>
        <w:pStyle w:val="SingleTxtGR"/>
        <w:tabs>
          <w:tab w:val="clear" w:pos="1701"/>
          <w:tab w:val="left" w:pos="1980"/>
        </w:tabs>
      </w:pPr>
      <w:r w:rsidRPr="009C0777">
        <w:t>2.5</w:t>
      </w:r>
      <w:r w:rsidRPr="009C0777">
        <w:tab/>
        <w:t>Некоторые комментаторы утверждали, что УПРД не обеспечивает з</w:t>
      </w:r>
      <w:r w:rsidRPr="009C0777">
        <w:t>а</w:t>
      </w:r>
      <w:r w:rsidRPr="009C0777">
        <w:t>щиту некоторым группам, в частности таким, как новоприбывшие</w:t>
      </w:r>
      <w:r>
        <w:t xml:space="preserve"> </w:t>
      </w:r>
      <w:r w:rsidRPr="009C0777">
        <w:t>лица из м</w:t>
      </w:r>
      <w:r w:rsidRPr="009C0777">
        <w:t>а</w:t>
      </w:r>
      <w:r w:rsidRPr="009C0777">
        <w:t>терикового Китая. Комитет также настоятельно призвал правительство распр</w:t>
      </w:r>
      <w:r w:rsidRPr="009C0777">
        <w:t>о</w:t>
      </w:r>
      <w:r w:rsidRPr="009C0777">
        <w:t xml:space="preserve">странить предусмотренную законом защиту на эту конкретную группу. </w:t>
      </w:r>
      <w:r>
        <w:t>На деле</w:t>
      </w:r>
      <w:r w:rsidRPr="009C0777">
        <w:t xml:space="preserve"> действие УПРД распространяется без исключения на всех лиц в Гонконге и г</w:t>
      </w:r>
      <w:r w:rsidRPr="009C0777">
        <w:t>а</w:t>
      </w:r>
      <w:r w:rsidRPr="009C0777">
        <w:t>рантирует защиту их прав от дискриминационных нарушений по признаку р</w:t>
      </w:r>
      <w:r w:rsidRPr="009C0777">
        <w:t>а</w:t>
      </w:r>
      <w:r w:rsidRPr="009C0777">
        <w:t>сы. Он не исключает новоприбывших из материкового Китая лиц из</w:t>
      </w:r>
      <w:r>
        <w:t xml:space="preserve"> </w:t>
      </w:r>
      <w:r w:rsidRPr="009C0777">
        <w:t>сферы св</w:t>
      </w:r>
      <w:r w:rsidRPr="009C0777">
        <w:t>о</w:t>
      </w:r>
      <w:r w:rsidRPr="009C0777">
        <w:t>его действия. Новоприбывшие с материка лица в равной степени пользуются защитой УПРД от дискриминации по признаку расы.</w:t>
      </w:r>
    </w:p>
    <w:p w:rsidR="00BE3E96" w:rsidRPr="009C0777" w:rsidRDefault="00BE3E96" w:rsidP="00122DDF">
      <w:pPr>
        <w:pStyle w:val="SingleTxtGR"/>
        <w:tabs>
          <w:tab w:val="clear" w:pos="1701"/>
          <w:tab w:val="left" w:pos="1980"/>
        </w:tabs>
      </w:pPr>
      <w:r w:rsidRPr="009C0777">
        <w:t>2.6</w:t>
      </w:r>
      <w:r w:rsidRPr="009C0777">
        <w:tab/>
        <w:t>Стоит отметить, что различие между этой группой и большинством других постоянных жителей Гонконга не основывается на расе. Подавляющее большинство новоприбывших с материка лиц имеют такое же этническое пр</w:t>
      </w:r>
      <w:r w:rsidRPr="009C0777">
        <w:t>о</w:t>
      </w:r>
      <w:r w:rsidRPr="009C0777">
        <w:t>исхождение, что и большинство постоянных жителей</w:t>
      </w:r>
      <w:r>
        <w:t xml:space="preserve"> </w:t>
      </w:r>
      <w:r w:rsidRPr="009C0777">
        <w:t>Гонконга. Различия в а</w:t>
      </w:r>
      <w:r w:rsidRPr="009C0777">
        <w:t>к</w:t>
      </w:r>
      <w:r w:rsidRPr="009C0777">
        <w:t>центе, диалекте или личных привычках не выделяют их в отдельную расовую группу. Невзирая на это, соответствующие государственные ведомства и депа</w:t>
      </w:r>
      <w:r w:rsidRPr="009C0777">
        <w:t>р</w:t>
      </w:r>
      <w:r w:rsidRPr="009C0777">
        <w:t xml:space="preserve">таменты оказывают всяческую поддержку новоприбывшим с материка лицам, </w:t>
      </w:r>
      <w:r>
        <w:t xml:space="preserve">с тем </w:t>
      </w:r>
      <w:r w:rsidRPr="009C0777">
        <w:t>чтобы они могли беспрепятственно обосноваться в Гонконге и интегрир</w:t>
      </w:r>
      <w:r w:rsidRPr="009C0777">
        <w:t>о</w:t>
      </w:r>
      <w:r w:rsidRPr="009C0777">
        <w:t>ваться в местную общину.</w:t>
      </w:r>
    </w:p>
    <w:p w:rsidR="00BE3E96" w:rsidRPr="009C0777" w:rsidRDefault="00BE3E96" w:rsidP="00122DDF">
      <w:pPr>
        <w:pStyle w:val="SingleTxtGR"/>
        <w:tabs>
          <w:tab w:val="clear" w:pos="1701"/>
          <w:tab w:val="left" w:pos="1980"/>
        </w:tabs>
      </w:pPr>
      <w:r w:rsidRPr="009C0777">
        <w:t>2.7</w:t>
      </w:r>
      <w:r w:rsidRPr="009C0777">
        <w:tab/>
        <w:t>Комитет и некоторые комментаторы также рекомендовали изменить соответствующие положения действующего иммиграционного законодательс</w:t>
      </w:r>
      <w:r w:rsidRPr="009C0777">
        <w:t>т</w:t>
      </w:r>
      <w:r w:rsidRPr="009C0777">
        <w:t>ва, регулирующего въезд, сроки пребывания и выезд из САРГ, чтобы обесп</w:t>
      </w:r>
      <w:r w:rsidRPr="009C0777">
        <w:t>е</w:t>
      </w:r>
      <w:r w:rsidRPr="009C0777">
        <w:t>чить полное соблюдение и последовательность законодательства, запрещающ</w:t>
      </w:r>
      <w:r w:rsidRPr="009C0777">
        <w:t>е</w:t>
      </w:r>
      <w:r w:rsidRPr="009C0777">
        <w:t>го расовую дискриминацию. В разделе 55 УПРД говорится, что он не затрагив</w:t>
      </w:r>
      <w:r w:rsidRPr="009C0777">
        <w:t>а</w:t>
      </w:r>
      <w:r w:rsidRPr="009C0777">
        <w:t xml:space="preserve">ет никакие иммиграционные законы. Без такого положения лицо, которое не имеет права </w:t>
      </w:r>
      <w:r>
        <w:t xml:space="preserve">на </w:t>
      </w:r>
      <w:r w:rsidRPr="009C0777">
        <w:t>въезд</w:t>
      </w:r>
      <w:r>
        <w:t xml:space="preserve"> в Гонконг</w:t>
      </w:r>
      <w:r w:rsidRPr="009C0777">
        <w:t xml:space="preserve"> или </w:t>
      </w:r>
      <w:r>
        <w:t xml:space="preserve">на </w:t>
      </w:r>
      <w:r w:rsidRPr="009C0777">
        <w:t xml:space="preserve">пребывания в </w:t>
      </w:r>
      <w:r>
        <w:t>нем</w:t>
      </w:r>
      <w:r w:rsidRPr="009C0777">
        <w:t xml:space="preserve"> и которому отказано в</w:t>
      </w:r>
      <w:r>
        <w:t xml:space="preserve"> </w:t>
      </w:r>
      <w:r w:rsidRPr="009C0777">
        <w:t>высадке на берег, могло бы воспользоваться УПРД и опротестовать соответс</w:t>
      </w:r>
      <w:r w:rsidRPr="009C0777">
        <w:t>т</w:t>
      </w:r>
      <w:r w:rsidRPr="009C0777">
        <w:t>вующее реше</w:t>
      </w:r>
      <w:r>
        <w:t>ние в о</w:t>
      </w:r>
      <w:r w:rsidRPr="009C0777">
        <w:t>кружном суде или обратиться с жалобой в КРВ. Это увел</w:t>
      </w:r>
      <w:r w:rsidRPr="009C0777">
        <w:t>и</w:t>
      </w:r>
      <w:r w:rsidRPr="009C0777">
        <w:t>чило бы риск обременительной тяжбы и способно ослабить эффективность и</w:t>
      </w:r>
      <w:r w:rsidRPr="009C0777">
        <w:t>м</w:t>
      </w:r>
      <w:r w:rsidRPr="009C0777">
        <w:t>миграц</w:t>
      </w:r>
      <w:r w:rsidRPr="009C0777">
        <w:t>и</w:t>
      </w:r>
      <w:r w:rsidRPr="009C0777">
        <w:t>онного контроля Гонконга.</w:t>
      </w:r>
    </w:p>
    <w:p w:rsidR="00BE3E96" w:rsidRPr="009C0777" w:rsidRDefault="00BE3E96" w:rsidP="00122DDF">
      <w:pPr>
        <w:pStyle w:val="SingleTxtGR"/>
        <w:keepLines/>
        <w:tabs>
          <w:tab w:val="clear" w:pos="1701"/>
          <w:tab w:val="left" w:pos="1980"/>
        </w:tabs>
      </w:pPr>
      <w:r w:rsidRPr="009C0777">
        <w:t>2.8</w:t>
      </w:r>
      <w:r w:rsidRPr="009C0777">
        <w:tab/>
        <w:t>Кроме того, согласно Международной конвенции о ликвидации всех форм</w:t>
      </w:r>
      <w:r>
        <w:t xml:space="preserve"> расовой дискриминации (МКЛРД) "</w:t>
      </w:r>
      <w:r w:rsidRPr="009C0777">
        <w:t>иммиграционный статус</w:t>
      </w:r>
      <w:r>
        <w:t>"</w:t>
      </w:r>
      <w:r w:rsidRPr="009C0777">
        <w:t xml:space="preserve"> не квалиф</w:t>
      </w:r>
      <w:r w:rsidRPr="009C0777">
        <w:t>и</w:t>
      </w:r>
      <w:r w:rsidRPr="009C0777">
        <w:t>цируется как запрещенная дискриминационная мера. В статье 1(2) Междун</w:t>
      </w:r>
      <w:r w:rsidRPr="009C0777">
        <w:t>а</w:t>
      </w:r>
      <w:r w:rsidRPr="009C0777">
        <w:t xml:space="preserve">родной конвенции о ликвидации всех форм расовой дискриминации </w:t>
      </w:r>
      <w:r>
        <w:t>(МКЛРД) в частности говорится: "</w:t>
      </w:r>
      <w:r w:rsidRPr="009C0777">
        <w:t>Настоящая Конвенция не применяется к различиям, и</w:t>
      </w:r>
      <w:r w:rsidRPr="009C0777">
        <w:t>с</w:t>
      </w:r>
      <w:r w:rsidRPr="009C0777">
        <w:t xml:space="preserve">ключениям, ограничениям или предпочтениям, которые государства-участники настоящей Конвенции проводят или делают между гражданами и </w:t>
      </w:r>
      <w:proofErr w:type="spellStart"/>
      <w:r w:rsidRPr="009C0777">
        <w:t>неграждан</w:t>
      </w:r>
      <w:r w:rsidRPr="009C0777">
        <w:t>а</w:t>
      </w:r>
      <w:r w:rsidRPr="009C0777">
        <w:t>ми</w:t>
      </w:r>
      <w:proofErr w:type="spellEnd"/>
      <w:r>
        <w:t>"</w:t>
      </w:r>
      <w:r w:rsidRPr="009C0777">
        <w:t>.</w:t>
      </w:r>
    </w:p>
    <w:p w:rsidR="00BE3E96" w:rsidRPr="009C0777" w:rsidRDefault="00BE3E96" w:rsidP="00122DDF">
      <w:pPr>
        <w:pStyle w:val="SingleTxtGR"/>
        <w:tabs>
          <w:tab w:val="clear" w:pos="1701"/>
          <w:tab w:val="left" w:pos="1980"/>
        </w:tabs>
      </w:pPr>
      <w:r w:rsidRPr="009C0777">
        <w:t>2.9</w:t>
      </w:r>
      <w:r w:rsidRPr="009C0777">
        <w:tab/>
        <w:t xml:space="preserve">В </w:t>
      </w:r>
      <w:r>
        <w:t xml:space="preserve">общепринятой </w:t>
      </w:r>
      <w:r w:rsidRPr="009C0777">
        <w:t>международной практике каждая страна или терр</w:t>
      </w:r>
      <w:r w:rsidRPr="009C0777">
        <w:t>и</w:t>
      </w:r>
      <w:r w:rsidRPr="009C0777">
        <w:t>тория имеет свое собственное иммиграционное законодательство, в рамках к</w:t>
      </w:r>
      <w:r w:rsidRPr="009C0777">
        <w:t>о</w:t>
      </w:r>
      <w:r w:rsidRPr="009C0777">
        <w:t>торого может формулироваться визовая политика, регулирующая в целях э</w:t>
      </w:r>
      <w:r w:rsidRPr="009C0777">
        <w:t>ф</w:t>
      </w:r>
      <w:r w:rsidRPr="009C0777">
        <w:t>фективного иммиграционного контроля порядок въезда и пребывания прие</w:t>
      </w:r>
      <w:r w:rsidRPr="009C0777">
        <w:t>з</w:t>
      </w:r>
      <w:r w:rsidRPr="009C0777">
        <w:t>жих. Любая визовая политика, сформулированная таким образом, служит ва</w:t>
      </w:r>
      <w:r w:rsidRPr="009C0777">
        <w:t>ж</w:t>
      </w:r>
      <w:r w:rsidRPr="009C0777">
        <w:t>ным средс</w:t>
      </w:r>
      <w:r w:rsidRPr="009C0777">
        <w:t>т</w:t>
      </w:r>
      <w:r w:rsidRPr="009C0777">
        <w:t>вом защиты интересов и благосостояния ее граждан.</w:t>
      </w:r>
    </w:p>
    <w:p w:rsidR="00BE3E96" w:rsidRPr="009C0777" w:rsidRDefault="00BE3E96" w:rsidP="00122DDF">
      <w:pPr>
        <w:pStyle w:val="SingleTxtGR"/>
        <w:tabs>
          <w:tab w:val="clear" w:pos="1701"/>
          <w:tab w:val="left" w:pos="1980"/>
        </w:tabs>
      </w:pPr>
      <w:r w:rsidRPr="009C0777">
        <w:t>2.10</w:t>
      </w:r>
      <w:r w:rsidRPr="009C0777">
        <w:tab/>
        <w:t xml:space="preserve">Любое лицо, в отношении которого </w:t>
      </w:r>
      <w:r>
        <w:t>Департаментом</w:t>
      </w:r>
      <w:r w:rsidRPr="009C0777">
        <w:t xml:space="preserve"> иммиграции пр</w:t>
      </w:r>
      <w:r w:rsidRPr="009C0777">
        <w:t>и</w:t>
      </w:r>
      <w:r w:rsidRPr="009C0777">
        <w:t>нято соответствующее отрицательное решение</w:t>
      </w:r>
      <w:r>
        <w:t xml:space="preserve">, </w:t>
      </w:r>
      <w:r w:rsidRPr="009C0777">
        <w:t xml:space="preserve">например решение об отказе ему/ей в разрешении высадиться или оставаться в Гонконге, может </w:t>
      </w:r>
      <w:r>
        <w:t>обжаловать</w:t>
      </w:r>
      <w:r w:rsidRPr="009C0777">
        <w:t xml:space="preserve"> его в соответствии с разделом 53 Указа об иммиграции (гл</w:t>
      </w:r>
      <w:r>
        <w:t xml:space="preserve">ава </w:t>
      </w:r>
      <w:r w:rsidRPr="009C0777">
        <w:t>115) у Главного секр</w:t>
      </w:r>
      <w:r w:rsidRPr="009C0777">
        <w:t>е</w:t>
      </w:r>
      <w:r w:rsidRPr="009C0777">
        <w:t>таря администрации. Это лицо может также добиваться в суде разрешения на</w:t>
      </w:r>
      <w:r>
        <w:t xml:space="preserve"> </w:t>
      </w:r>
      <w:r w:rsidRPr="009C0777">
        <w:t>судебный пересмотр соответствующего решения.</w:t>
      </w:r>
    </w:p>
    <w:p w:rsidR="00BE3E96" w:rsidRPr="009C0777" w:rsidRDefault="00BE3E96" w:rsidP="00122DDF">
      <w:pPr>
        <w:pStyle w:val="H1GR"/>
        <w:tabs>
          <w:tab w:val="left" w:pos="1980"/>
        </w:tabs>
      </w:pPr>
      <w:r w:rsidRPr="009C0777">
        <w:tab/>
      </w:r>
      <w:r w:rsidRPr="009C0777">
        <w:tab/>
        <w:t xml:space="preserve">Дискриминация по признаку сексуальной ориентации </w:t>
      </w:r>
    </w:p>
    <w:p w:rsidR="00BE3E96" w:rsidRPr="009C0777" w:rsidRDefault="00BE3E96" w:rsidP="00122DDF">
      <w:pPr>
        <w:pStyle w:val="SingleTxtGR"/>
        <w:tabs>
          <w:tab w:val="clear" w:pos="1701"/>
          <w:tab w:val="left" w:pos="1980"/>
        </w:tabs>
      </w:pPr>
      <w:r w:rsidRPr="009C0777">
        <w:t>2.11</w:t>
      </w:r>
      <w:r w:rsidRPr="009C0777">
        <w:tab/>
        <w:t>В пункте 78</w:t>
      </w:r>
      <w:r>
        <w:t xml:space="preserve"> </w:t>
      </w:r>
      <w:r w:rsidRPr="009C0777">
        <w:rPr>
          <w:lang w:val="en-GB"/>
        </w:rPr>
        <w:t>a</w:t>
      </w:r>
      <w:r w:rsidRPr="009C0777">
        <w:t>) предыдущих Заключительных замечаний была выск</w:t>
      </w:r>
      <w:r w:rsidRPr="009C0777">
        <w:t>а</w:t>
      </w:r>
      <w:r w:rsidRPr="009C0777">
        <w:t xml:space="preserve">зана озабоченность в связи с тем, что действующее </w:t>
      </w:r>
      <w:proofErr w:type="spellStart"/>
      <w:r w:rsidRPr="009C0777">
        <w:t>антидискриминационное</w:t>
      </w:r>
      <w:proofErr w:type="spellEnd"/>
      <w:r w:rsidRPr="009C0777">
        <w:t xml:space="preserve"> законодательство не охватывает, в частности, дискриминацию по признаку се</w:t>
      </w:r>
      <w:r w:rsidRPr="009C0777">
        <w:t>к</w:t>
      </w:r>
      <w:r w:rsidRPr="009C0777">
        <w:t>суал</w:t>
      </w:r>
      <w:r w:rsidRPr="009C0777">
        <w:t>ь</w:t>
      </w:r>
      <w:r w:rsidRPr="009C0777">
        <w:t>ной ориентации.</w:t>
      </w:r>
    </w:p>
    <w:p w:rsidR="00BE3E96" w:rsidRDefault="00BE3E96" w:rsidP="00122DDF">
      <w:pPr>
        <w:pStyle w:val="SingleTxtGR"/>
        <w:tabs>
          <w:tab w:val="clear" w:pos="1701"/>
          <w:tab w:val="left" w:pos="1980"/>
        </w:tabs>
      </w:pPr>
      <w:r w:rsidRPr="009C0777">
        <w:t>2.12</w:t>
      </w:r>
      <w:r w:rsidRPr="009C0777">
        <w:tab/>
        <w:t xml:space="preserve">В деле </w:t>
      </w:r>
      <w:r w:rsidRPr="009C0777">
        <w:rPr>
          <w:i/>
        </w:rPr>
        <w:t xml:space="preserve">Секретарь юстиции против </w:t>
      </w:r>
      <w:proofErr w:type="spellStart"/>
      <w:r w:rsidRPr="009C0777">
        <w:rPr>
          <w:i/>
        </w:rPr>
        <w:t>Яу</w:t>
      </w:r>
      <w:proofErr w:type="spellEnd"/>
      <w:r w:rsidRPr="009C0777">
        <w:rPr>
          <w:i/>
        </w:rPr>
        <w:t xml:space="preserve"> </w:t>
      </w:r>
      <w:proofErr w:type="spellStart"/>
      <w:r w:rsidRPr="009C0777">
        <w:rPr>
          <w:i/>
        </w:rPr>
        <w:t>Юклунга</w:t>
      </w:r>
      <w:proofErr w:type="spellEnd"/>
      <w:r w:rsidRPr="009C0777">
        <w:t xml:space="preserve"> (Приложение 2</w:t>
      </w:r>
      <w:r w:rsidRPr="009C0777">
        <w:rPr>
          <w:lang w:val="en-GB"/>
        </w:rPr>
        <w:t>A</w:t>
      </w:r>
      <w:r w:rsidRPr="009C0777">
        <w:t>) Высший апелляционный суд определил, что в соответствии как со статьей 25 Основного закона, так со статьей 22 гонконгского Билля о правах, которая</w:t>
      </w:r>
      <w:r>
        <w:t xml:space="preserve"> </w:t>
      </w:r>
      <w:r w:rsidRPr="009C0777">
        <w:t>обеспечивает выполнение статьи 26 МПГПП,</w:t>
      </w:r>
      <w:r>
        <w:t xml:space="preserve"> </w:t>
      </w:r>
      <w:r w:rsidRPr="009C0777">
        <w:t>дискриминация по признаку се</w:t>
      </w:r>
      <w:r w:rsidRPr="009C0777">
        <w:t>к</w:t>
      </w:r>
      <w:r w:rsidRPr="009C0777">
        <w:t xml:space="preserve">суальной ориентации </w:t>
      </w:r>
      <w:r>
        <w:t>явно</w:t>
      </w:r>
      <w:r w:rsidRPr="009C0777">
        <w:t xml:space="preserve"> противоречит Конституции.</w:t>
      </w:r>
    </w:p>
    <w:p w:rsidR="00BE3E96" w:rsidRPr="006C4856" w:rsidRDefault="00BE3E96" w:rsidP="00122DDF">
      <w:pPr>
        <w:pStyle w:val="SingleTxtGR"/>
        <w:tabs>
          <w:tab w:val="clear" w:pos="1701"/>
          <w:tab w:val="left" w:pos="1980"/>
        </w:tabs>
      </w:pPr>
      <w:r w:rsidRPr="006C4856">
        <w:t>2.13</w:t>
      </w:r>
      <w:r w:rsidRPr="006C4856">
        <w:tab/>
        <w:t>Некоторые комментаторы запросили информацию о плане и сроках принятия законодательного акта о предупреждении дискриминации по призн</w:t>
      </w:r>
      <w:r w:rsidRPr="006C4856">
        <w:t>а</w:t>
      </w:r>
      <w:r w:rsidRPr="006C4856">
        <w:t xml:space="preserve">ку сексуальной ориентации. До этого правительство назначило независимого консультанта для проведения опроса с целью выяснить отношение населения к </w:t>
      </w:r>
      <w:r>
        <w:t>гомосексуалистам</w:t>
      </w:r>
      <w:r w:rsidRPr="006C4856">
        <w:t>. Согласно результатам этого опроса, опубл</w:t>
      </w:r>
      <w:r>
        <w:t>икованным в ма</w:t>
      </w:r>
      <w:r>
        <w:t>р</w:t>
      </w:r>
      <w:r>
        <w:t>те 2006</w:t>
      </w:r>
      <w:r w:rsidR="00B92291">
        <w:t> год</w:t>
      </w:r>
      <w:r>
        <w:t>а, 35,</w:t>
      </w:r>
      <w:r w:rsidRPr="006C4856">
        <w:t>4% опрошенных лиц считали, что в данный момент правител</w:t>
      </w:r>
      <w:r w:rsidRPr="006C4856">
        <w:t>ь</w:t>
      </w:r>
      <w:r w:rsidRPr="006C4856">
        <w:t>ству не следует</w:t>
      </w:r>
      <w:r>
        <w:t xml:space="preserve"> </w:t>
      </w:r>
      <w:r w:rsidRPr="006C4856">
        <w:t>принимать законодательство, запрещающее дискриминацию по пр</w:t>
      </w:r>
      <w:r w:rsidRPr="006C4856">
        <w:t>и</w:t>
      </w:r>
      <w:r w:rsidRPr="006C4856">
        <w:t>знаку</w:t>
      </w:r>
      <w:r>
        <w:t xml:space="preserve"> сексуальной ориентации, а 28,</w:t>
      </w:r>
      <w:r w:rsidRPr="006C4856">
        <w:t>7% придерживал</w:t>
      </w:r>
      <w:r>
        <w:t>ись противоположного мнения. 33,</w:t>
      </w:r>
      <w:r w:rsidRPr="006C4856">
        <w:t>7% не имели на этот счет определенного мнения.</w:t>
      </w:r>
    </w:p>
    <w:p w:rsidR="00BE3E96" w:rsidRPr="006C4856" w:rsidRDefault="00BE3E96" w:rsidP="00122DDF">
      <w:pPr>
        <w:pStyle w:val="SingleTxtGR"/>
        <w:tabs>
          <w:tab w:val="clear" w:pos="1701"/>
          <w:tab w:val="left" w:pos="1980"/>
        </w:tabs>
      </w:pPr>
      <w:r w:rsidRPr="006C4856">
        <w:t>2.14</w:t>
      </w:r>
      <w:r w:rsidRPr="006C4856">
        <w:tab/>
        <w:t>С учетом результатов опроса наше взвешенное мнение не отличается от мнения, высказанного в предыдущем докладе, т.е. в данный момент наиболее эффективными средствами решения проблемы дискриминации в этой области являются саморегулирование и просвещение, а не законодательство. Мы пр</w:t>
      </w:r>
      <w:r w:rsidRPr="006C4856">
        <w:t>о</w:t>
      </w:r>
      <w:r w:rsidRPr="006C4856">
        <w:t>должим бороться с дискриминационным отношением и содействовать равным возможностям в том, что касается сексуальной ориентации, с помощью пр</w:t>
      </w:r>
      <w:r w:rsidRPr="006C4856">
        <w:t>о</w:t>
      </w:r>
      <w:r w:rsidRPr="006C4856">
        <w:t xml:space="preserve">свещения общественности и административных средств, </w:t>
      </w:r>
      <w:r>
        <w:t>с тем чтобы</w:t>
      </w:r>
      <w:r w:rsidRPr="006C4856">
        <w:t xml:space="preserve"> культив</w:t>
      </w:r>
      <w:r w:rsidRPr="006C4856">
        <w:t>и</w:t>
      </w:r>
      <w:r w:rsidRPr="006C4856">
        <w:t>ровать в обществе атмосферу</w:t>
      </w:r>
      <w:r>
        <w:t xml:space="preserve"> </w:t>
      </w:r>
      <w:r w:rsidRPr="006C4856">
        <w:t>взаимопонимания, терпимости и взаимного ув</w:t>
      </w:r>
      <w:r w:rsidRPr="006C4856">
        <w:t>а</w:t>
      </w:r>
      <w:r w:rsidRPr="006C4856">
        <w:t>жения.</w:t>
      </w:r>
    </w:p>
    <w:p w:rsidR="00BE3E96" w:rsidRPr="006C4856" w:rsidRDefault="00BE3E96" w:rsidP="00122DDF">
      <w:pPr>
        <w:pStyle w:val="SingleTxtGR"/>
        <w:tabs>
          <w:tab w:val="clear" w:pos="1701"/>
          <w:tab w:val="left" w:pos="1980"/>
        </w:tabs>
      </w:pPr>
      <w:r w:rsidRPr="006C4856">
        <w:t>2.15</w:t>
      </w:r>
      <w:r w:rsidRPr="006C4856">
        <w:tab/>
        <w:t>В 1998</w:t>
      </w:r>
      <w:r w:rsidR="00B92291">
        <w:t> год</w:t>
      </w:r>
      <w:r w:rsidRPr="006C4856">
        <w:t>у мы учредили Программу финансирования равных во</w:t>
      </w:r>
      <w:r w:rsidRPr="006C4856">
        <w:t>з</w:t>
      </w:r>
      <w:r w:rsidRPr="006C4856">
        <w:t xml:space="preserve">можностей (сексуальная ориентация) для финансовой поддержки обоснованных общественных проектов, которые направлены на </w:t>
      </w:r>
      <w:r>
        <w:t>содействие</w:t>
      </w:r>
      <w:r w:rsidRPr="006C4856">
        <w:t xml:space="preserve"> созданию равных возможностей в том, что касается </w:t>
      </w:r>
      <w:proofErr w:type="spellStart"/>
      <w:r w:rsidRPr="006C4856">
        <w:t>гендерной</w:t>
      </w:r>
      <w:proofErr w:type="spellEnd"/>
      <w:r w:rsidRPr="006C4856">
        <w:t xml:space="preserve"> идентичности и сексуальной ор</w:t>
      </w:r>
      <w:r w:rsidRPr="006C4856">
        <w:t>и</w:t>
      </w:r>
      <w:r w:rsidRPr="006C4856">
        <w:t>ентации. За все</w:t>
      </w:r>
      <w:r w:rsidR="00B92291">
        <w:t> год</w:t>
      </w:r>
      <w:r w:rsidRPr="006C4856">
        <w:t>ы мы ассигновали 6</w:t>
      </w:r>
      <w:r w:rsidR="004F720A">
        <w:t> </w:t>
      </w:r>
      <w:r w:rsidR="00B63D5C">
        <w:t>млн. долл.</w:t>
      </w:r>
      <w:r w:rsidRPr="006C4856">
        <w:t xml:space="preserve"> (все денежные показатели в настоя</w:t>
      </w:r>
      <w:r>
        <w:t>щем д</w:t>
      </w:r>
      <w:r w:rsidRPr="006C4856">
        <w:t>окладе приводятся в валюте Гонконга) на финансирование де</w:t>
      </w:r>
      <w:r w:rsidRPr="006C4856">
        <w:t>я</w:t>
      </w:r>
      <w:r w:rsidRPr="006C4856">
        <w:t>тельности, содействующей достижению этих целей.</w:t>
      </w:r>
    </w:p>
    <w:p w:rsidR="00BE3E96" w:rsidRPr="006C4856" w:rsidRDefault="00BE3E96" w:rsidP="00122DDF">
      <w:pPr>
        <w:pStyle w:val="SingleTxtGR"/>
        <w:tabs>
          <w:tab w:val="clear" w:pos="1701"/>
          <w:tab w:val="left" w:pos="1980"/>
        </w:tabs>
      </w:pPr>
      <w:r w:rsidRPr="006C4856">
        <w:t>2.16</w:t>
      </w:r>
      <w:r w:rsidRPr="006C4856">
        <w:tab/>
        <w:t>По мнению одних комментаторов, ограниченные ресурсы, выделяемые на упомянутую Программу финансирования, не позволяют общественности</w:t>
      </w:r>
      <w:r>
        <w:t xml:space="preserve"> </w:t>
      </w:r>
      <w:r w:rsidRPr="006C4856">
        <w:t>адекватно воспринимать, например, правительственный Кодекс практики по предупреждению дискриминации по признаку сексуальной ориентации в сфере занятости и другие информационно-пропагандистские меры. По мнению др</w:t>
      </w:r>
      <w:r w:rsidRPr="006C4856">
        <w:t>у</w:t>
      </w:r>
      <w:r w:rsidRPr="006C4856">
        <w:t>гих, Кодекс практики устарел и не содержит критериев для измерения его э</w:t>
      </w:r>
      <w:r w:rsidRPr="006C4856">
        <w:t>ф</w:t>
      </w:r>
      <w:r w:rsidRPr="006C4856">
        <w:t>фективности. Кроме упомянутой выше Программы финансирования мы также</w:t>
      </w:r>
      <w:r>
        <w:t xml:space="preserve"> </w:t>
      </w:r>
      <w:r w:rsidRPr="006C4856">
        <w:t>реализуем различные</w:t>
      </w:r>
      <w:r>
        <w:t xml:space="preserve"> </w:t>
      </w:r>
      <w:r w:rsidRPr="006C4856">
        <w:t>информационно-пропагандистские и просветительские программы с целью создания равных возможностей для лиц различной секс</w:t>
      </w:r>
      <w:r w:rsidRPr="006C4856">
        <w:t>у</w:t>
      </w:r>
      <w:r w:rsidRPr="006C4856">
        <w:t xml:space="preserve">альной ориентации. За последние пять лет </w:t>
      </w:r>
      <w:r>
        <w:t>мы ассигновали 6,9</w:t>
      </w:r>
      <w:r w:rsidR="004F720A">
        <w:t> </w:t>
      </w:r>
      <w:r w:rsidR="00B63D5C">
        <w:t>млн. долл.</w:t>
      </w:r>
      <w:r w:rsidRPr="006C4856">
        <w:t xml:space="preserve"> на различные мероприятия, включая информационно-пропагандистские и просв</w:t>
      </w:r>
      <w:r w:rsidRPr="006C4856">
        <w:t>е</w:t>
      </w:r>
      <w:r w:rsidRPr="006C4856">
        <w:t>тительские программы в этой области.</w:t>
      </w:r>
    </w:p>
    <w:p w:rsidR="00BE3E96" w:rsidRPr="006C4856" w:rsidRDefault="00BE3E96" w:rsidP="00122DDF">
      <w:pPr>
        <w:pStyle w:val="SingleTxtGR"/>
        <w:tabs>
          <w:tab w:val="clear" w:pos="1701"/>
          <w:tab w:val="left" w:pos="1980"/>
        </w:tabs>
      </w:pPr>
      <w:r w:rsidRPr="006C4856">
        <w:t>2.17</w:t>
      </w:r>
      <w:r w:rsidRPr="006C4856">
        <w:tab/>
        <w:t>Кодекс практики по предупреждению дискриминации по признаку сексуальной ориентации в сфере занятости содействует саморегулированию со стороны работодателей и работников в деле ликвидации дискриминационной практики по признаку сексуальной ориентации в сфере занятости. Принципы, изложенные в Кодексе практики, являются актуальными</w:t>
      </w:r>
      <w:r>
        <w:t xml:space="preserve"> </w:t>
      </w:r>
      <w:r w:rsidRPr="006C4856">
        <w:t>и сегодня, и мы будем прислушиваться к мнению заинтересованных сторон и надлежащим образом пересматривать Кодекс практики. Мы также активно продвигаем Кодекс пра</w:t>
      </w:r>
      <w:r w:rsidRPr="006C4856">
        <w:t>к</w:t>
      </w:r>
      <w:r w:rsidRPr="006C4856">
        <w:t>тики в правительстве и частном секторе через различные каналы, в частности такие, как клубы</w:t>
      </w:r>
      <w:r>
        <w:t xml:space="preserve"> </w:t>
      </w:r>
      <w:r w:rsidRPr="006C4856">
        <w:t>менеджеров по людским ресурсам, организованные Департ</w:t>
      </w:r>
      <w:r w:rsidRPr="006C4856">
        <w:t>а</w:t>
      </w:r>
      <w:r w:rsidRPr="006C4856">
        <w:t>ментом труда. Мы получаем положительные отклики клубов менеджеров по людским ресурсам в отношении Кодекса практики в ходе брифингов, которые мы для них организуем.</w:t>
      </w:r>
    </w:p>
    <w:p w:rsidR="00BE3E96" w:rsidRPr="006C4856" w:rsidRDefault="00BE3E96" w:rsidP="00122DDF">
      <w:pPr>
        <w:pStyle w:val="SingleTxtGR"/>
        <w:tabs>
          <w:tab w:val="clear" w:pos="1701"/>
          <w:tab w:val="left" w:pos="1980"/>
        </w:tabs>
      </w:pPr>
      <w:r w:rsidRPr="006C4856">
        <w:t>2.18</w:t>
      </w:r>
      <w:r w:rsidRPr="006C4856">
        <w:tab/>
        <w:t>В качестве неотъемлемой части наших усилий по обеспечению равных возможностей для людей иной сексуальной ориентации в мае 2005</w:t>
      </w:r>
      <w:r w:rsidR="00B92291">
        <w:t> год</w:t>
      </w:r>
      <w:r w:rsidRPr="006C4856">
        <w:t>а мы со</w:t>
      </w:r>
      <w:r w:rsidRPr="006C4856">
        <w:t>з</w:t>
      </w:r>
      <w:r w:rsidRPr="006C4856">
        <w:t>дали</w:t>
      </w:r>
      <w:r>
        <w:t xml:space="preserve"> </w:t>
      </w:r>
      <w:r w:rsidRPr="006C4856">
        <w:t xml:space="preserve">Отдел </w:t>
      </w:r>
      <w:proofErr w:type="spellStart"/>
      <w:r w:rsidRPr="006C4856">
        <w:t>гендерной</w:t>
      </w:r>
      <w:proofErr w:type="spellEnd"/>
      <w:r w:rsidRPr="006C4856">
        <w:t xml:space="preserve"> идентичности и сексуальной ориентации (ОГИСО) для оказания специализированных услуг в этой области. ОГИСО имеет горячую линию</w:t>
      </w:r>
      <w:r>
        <w:t xml:space="preserve"> </w:t>
      </w:r>
      <w:r w:rsidRPr="006C4856">
        <w:t>для приема обращений и жалоб по вопросам, связанным с сексуальной ориентацией, и осуществляет информационно-пропагандистские и просвет</w:t>
      </w:r>
      <w:r w:rsidRPr="006C4856">
        <w:t>и</w:t>
      </w:r>
      <w:r w:rsidRPr="006C4856">
        <w:t>тельские программы. Одни комментаторы в</w:t>
      </w:r>
      <w:r w:rsidRPr="006C4856">
        <w:t>ы</w:t>
      </w:r>
      <w:r w:rsidRPr="006C4856">
        <w:t xml:space="preserve">разили обеспокоенность по поводу эффективности посреднических функций, выполняемых ОГИСО в </w:t>
      </w:r>
      <w:r>
        <w:t>процессе рассмотрения</w:t>
      </w:r>
      <w:r w:rsidRPr="006C4856">
        <w:t xml:space="preserve"> жалоб, а другие просили правительство обеспечить, чтобы все утверждения и сообщения о нарушениях прав человека, основанных на секс</w:t>
      </w:r>
      <w:r w:rsidRPr="006C4856">
        <w:t>у</w:t>
      </w:r>
      <w:r w:rsidRPr="006C4856">
        <w:t xml:space="preserve">альной ориентации и </w:t>
      </w:r>
      <w:proofErr w:type="spellStart"/>
      <w:r w:rsidRPr="006C4856">
        <w:t>гендерной</w:t>
      </w:r>
      <w:proofErr w:type="spellEnd"/>
      <w:r w:rsidRPr="006C4856">
        <w:t xml:space="preserve"> идентичности, расследовались оперативно и беспристрастно, а нарушители привлекались к судебной ответственности. Ка</w:t>
      </w:r>
      <w:r w:rsidRPr="006C4856">
        <w:t>ж</w:t>
      </w:r>
      <w:r w:rsidRPr="006C4856">
        <w:t>дая жалоба, полученная ОГИСО, внимательно рассматривается. Несмотря на различные факторы, которые затрагивают посредническую работу, включая сложный характер жалоб и неготовность</w:t>
      </w:r>
      <w:r>
        <w:t xml:space="preserve"> </w:t>
      </w:r>
      <w:r w:rsidRPr="006C4856">
        <w:t>заинтересованных сторон к сотрудн</w:t>
      </w:r>
      <w:r w:rsidRPr="006C4856">
        <w:t>и</w:t>
      </w:r>
      <w:r w:rsidRPr="006C4856">
        <w:t>честву, были жалобы, которые удалось успешно разрешить путем посреднич</w:t>
      </w:r>
      <w:r w:rsidRPr="006C4856">
        <w:t>е</w:t>
      </w:r>
      <w:r w:rsidRPr="006C4856">
        <w:t>ства. Мы продолжим изыскивать наиболее приемлемые методы ведения п</w:t>
      </w:r>
      <w:r w:rsidRPr="006C4856">
        <w:t>о</w:t>
      </w:r>
      <w:r w:rsidRPr="006C4856">
        <w:t>среднической работы и оказывать соответствующую помощь заявителям, уч</w:t>
      </w:r>
      <w:r w:rsidRPr="006C4856">
        <w:t>и</w:t>
      </w:r>
      <w:r w:rsidRPr="006C4856">
        <w:t>тывая при этом различные обстоятельства каждой жалобы. Мы также продо</w:t>
      </w:r>
      <w:r w:rsidRPr="006C4856">
        <w:t>л</w:t>
      </w:r>
      <w:r w:rsidRPr="006C4856">
        <w:t xml:space="preserve">жим совершенствовать </w:t>
      </w:r>
      <w:r>
        <w:t>"</w:t>
      </w:r>
      <w:r w:rsidRPr="006C4856">
        <w:t>горячую линию</w:t>
      </w:r>
      <w:r>
        <w:t>"</w:t>
      </w:r>
      <w:r w:rsidRPr="006C4856">
        <w:t>, имеющуюся у ОГИСО для приема жалоб.</w:t>
      </w:r>
    </w:p>
    <w:p w:rsidR="00BE3E96" w:rsidRPr="006C4856" w:rsidRDefault="00BE3E96" w:rsidP="00122DDF">
      <w:pPr>
        <w:pStyle w:val="SingleTxtGR"/>
        <w:tabs>
          <w:tab w:val="clear" w:pos="1701"/>
          <w:tab w:val="left" w:pos="1980"/>
        </w:tabs>
      </w:pPr>
      <w:r w:rsidRPr="006C4856">
        <w:t>2.19</w:t>
      </w:r>
      <w:r w:rsidRPr="006C4856">
        <w:tab/>
        <w:t>Помимо вышесказанного</w:t>
      </w:r>
      <w:r>
        <w:t>,</w:t>
      </w:r>
      <w:r w:rsidRPr="006C4856">
        <w:t xml:space="preserve"> мы продолжим также обмениваться мн</w:t>
      </w:r>
      <w:r w:rsidRPr="006C4856">
        <w:t>е</w:t>
      </w:r>
      <w:r w:rsidRPr="006C4856">
        <w:t>ниями с НПО по вопросам, касающимся сексуальных меньшинств в Гонконге, через созданный в 2004</w:t>
      </w:r>
      <w:r w:rsidR="00B92291">
        <w:t> год</w:t>
      </w:r>
      <w:r w:rsidRPr="006C4856">
        <w:t>у Форум сексуальных меньшинств. По мнению н</w:t>
      </w:r>
      <w:r w:rsidRPr="006C4856">
        <w:t>е</w:t>
      </w:r>
      <w:r w:rsidRPr="006C4856">
        <w:t>которых наблюдателей, Форум оказался неэффективным в качестве площадки для ди</w:t>
      </w:r>
      <w:r w:rsidRPr="006C4856">
        <w:t>а</w:t>
      </w:r>
      <w:r w:rsidRPr="006C4856">
        <w:t>лога между группами сексуальных меньшинств и государственными должностными лицами. Представители различных государственных</w:t>
      </w:r>
      <w:r>
        <w:t xml:space="preserve"> </w:t>
      </w:r>
      <w:r w:rsidRPr="006C4856">
        <w:t>организ</w:t>
      </w:r>
      <w:r w:rsidRPr="006C4856">
        <w:t>а</w:t>
      </w:r>
      <w:r w:rsidRPr="006C4856">
        <w:t>ций и департаментов посещают Форум с момента его создания</w:t>
      </w:r>
      <w:r>
        <w:t xml:space="preserve"> для</w:t>
      </w:r>
      <w:r w:rsidRPr="006C4856">
        <w:t xml:space="preserve"> </w:t>
      </w:r>
      <w:r>
        <w:t>обмена</w:t>
      </w:r>
      <w:r w:rsidRPr="006C4856">
        <w:t xml:space="preserve"> мн</w:t>
      </w:r>
      <w:r w:rsidRPr="006C4856">
        <w:t>е</w:t>
      </w:r>
      <w:r w:rsidRPr="006C4856">
        <w:t>ниями с его участниками по всем представляющим интерес темам, включая п</w:t>
      </w:r>
      <w:r w:rsidRPr="006C4856">
        <w:t>о</w:t>
      </w:r>
      <w:r w:rsidRPr="006C4856">
        <w:t>литику и способы борьбы с насилием в отношениях между однополыми пар</w:t>
      </w:r>
      <w:r w:rsidRPr="006C4856">
        <w:t>т</w:t>
      </w:r>
      <w:r w:rsidRPr="006C4856">
        <w:t xml:space="preserve">нерами, </w:t>
      </w:r>
      <w:r>
        <w:t>распространение</w:t>
      </w:r>
      <w:r w:rsidRPr="006C4856">
        <w:t xml:space="preserve"> полового воспитания в школах,</w:t>
      </w:r>
      <w:r>
        <w:t xml:space="preserve"> </w:t>
      </w:r>
      <w:r w:rsidRPr="006C4856">
        <w:t>вспомогательные у</w:t>
      </w:r>
      <w:r w:rsidRPr="006C4856">
        <w:t>с</w:t>
      </w:r>
      <w:r w:rsidRPr="006C4856">
        <w:t>луги, которые оказывает Департамент</w:t>
      </w:r>
      <w:r>
        <w:t xml:space="preserve"> </w:t>
      </w:r>
      <w:r w:rsidRPr="006C4856">
        <w:t>социального обеспечения (ДСО) секс</w:t>
      </w:r>
      <w:r w:rsidRPr="006C4856">
        <w:t>у</w:t>
      </w:r>
      <w:r w:rsidRPr="006C4856">
        <w:t>альным меньшинствам, и оказание социальной помощи учащимся, которые сталкиваются в школах с дискриминацией по признаку</w:t>
      </w:r>
      <w:r>
        <w:t xml:space="preserve"> </w:t>
      </w:r>
      <w:r w:rsidRPr="006C4856">
        <w:t>сексуальной ориент</w:t>
      </w:r>
      <w:r w:rsidRPr="006C4856">
        <w:t>а</w:t>
      </w:r>
      <w:r w:rsidRPr="006C4856">
        <w:t xml:space="preserve">ции. </w:t>
      </w:r>
      <w:r>
        <w:t>В целях содействия</w:t>
      </w:r>
      <w:r w:rsidRPr="006C4856">
        <w:t xml:space="preserve"> обсуждениям соответствующие ведомства и департ</w:t>
      </w:r>
      <w:r w:rsidRPr="006C4856">
        <w:t>а</w:t>
      </w:r>
      <w:r w:rsidRPr="006C4856">
        <w:t>менты предоставляют участникам Форума подробную информацию. Мы</w:t>
      </w:r>
      <w:r>
        <w:t xml:space="preserve"> </w:t>
      </w:r>
      <w:r w:rsidRPr="006C4856">
        <w:t>пр</w:t>
      </w:r>
      <w:r w:rsidRPr="006C4856">
        <w:t>о</w:t>
      </w:r>
      <w:r w:rsidRPr="006C4856">
        <w:t>должим приглашать представителей соответствующих организаций и департ</w:t>
      </w:r>
      <w:r w:rsidRPr="006C4856">
        <w:t>а</w:t>
      </w:r>
      <w:r w:rsidRPr="006C4856">
        <w:t>ментов</w:t>
      </w:r>
      <w:r>
        <w:t xml:space="preserve"> </w:t>
      </w:r>
      <w:r w:rsidRPr="006C4856">
        <w:t>на такие встречи, когда это</w:t>
      </w:r>
      <w:r>
        <w:t xml:space="preserve"> </w:t>
      </w:r>
      <w:r w:rsidRPr="006C4856">
        <w:t>целесообразно для обсуждения вопросов, представляющих интерес для Фор</w:t>
      </w:r>
      <w:r w:rsidRPr="006C4856">
        <w:t>у</w:t>
      </w:r>
      <w:r w:rsidRPr="006C4856">
        <w:t>ма.</w:t>
      </w:r>
    </w:p>
    <w:p w:rsidR="00BE3E96" w:rsidRPr="006C4856" w:rsidRDefault="00BE3E96" w:rsidP="00122DDF">
      <w:pPr>
        <w:pStyle w:val="SingleTxtGR"/>
        <w:tabs>
          <w:tab w:val="clear" w:pos="1701"/>
          <w:tab w:val="left" w:pos="1980"/>
        </w:tabs>
      </w:pPr>
      <w:r w:rsidRPr="006C4856">
        <w:t>2.20</w:t>
      </w:r>
      <w:r w:rsidRPr="006C4856">
        <w:tab/>
      </w:r>
      <w:r>
        <w:t>В связи с вопросом</w:t>
      </w:r>
      <w:r w:rsidRPr="006C4856">
        <w:t xml:space="preserve"> об обращении с детьми иной сексуальной орие</w:t>
      </w:r>
      <w:r w:rsidRPr="006C4856">
        <w:t>н</w:t>
      </w:r>
      <w:r w:rsidRPr="006C4856">
        <w:t xml:space="preserve">тации или </w:t>
      </w:r>
      <w:proofErr w:type="spellStart"/>
      <w:r w:rsidRPr="006C4856">
        <w:t>гендерной</w:t>
      </w:r>
      <w:proofErr w:type="spellEnd"/>
      <w:r w:rsidRPr="006C4856">
        <w:t xml:space="preserve"> идентичности в</w:t>
      </w:r>
      <w:r>
        <w:t xml:space="preserve"> </w:t>
      </w:r>
      <w:r w:rsidRPr="006C4856">
        <w:t>исправительных домах и приютах и</w:t>
      </w:r>
      <w:r>
        <w:t xml:space="preserve"> </w:t>
      </w:r>
      <w:r w:rsidRPr="006C4856">
        <w:t>во</w:t>
      </w:r>
      <w:r w:rsidRPr="006C4856">
        <w:t>с</w:t>
      </w:r>
      <w:r w:rsidRPr="006C4856">
        <w:t>питания надлежащего отзывчивого отношения у сотрудников правоохранител</w:t>
      </w:r>
      <w:r w:rsidRPr="006C4856">
        <w:t>ь</w:t>
      </w:r>
      <w:r w:rsidRPr="006C4856">
        <w:t>ных органов, который был поднят некоторыми комментаторами</w:t>
      </w:r>
      <w:r>
        <w:t xml:space="preserve">, </w:t>
      </w:r>
      <w:r w:rsidRPr="006C4856">
        <w:t>мы хотели бы отметить, что персонал детских приютов в полной мере осознает необход</w:t>
      </w:r>
      <w:r w:rsidRPr="006C4856">
        <w:t>и</w:t>
      </w:r>
      <w:r w:rsidRPr="006C4856">
        <w:t xml:space="preserve">мость </w:t>
      </w:r>
      <w:proofErr w:type="spellStart"/>
      <w:r>
        <w:t>уделения</w:t>
      </w:r>
      <w:proofErr w:type="spellEnd"/>
      <w:r>
        <w:t xml:space="preserve"> особого внимания</w:t>
      </w:r>
      <w:r w:rsidRPr="006C4856">
        <w:t xml:space="preserve"> детям иной сексуальной ориентации или </w:t>
      </w:r>
      <w:proofErr w:type="spellStart"/>
      <w:r w:rsidRPr="006C4856">
        <w:t>гендерной</w:t>
      </w:r>
      <w:proofErr w:type="spellEnd"/>
      <w:r w:rsidRPr="006C4856">
        <w:t xml:space="preserve"> идентичности. Поставщики услуг разработали специальные руков</w:t>
      </w:r>
      <w:r w:rsidRPr="006C4856">
        <w:t>о</w:t>
      </w:r>
      <w:r w:rsidRPr="006C4856">
        <w:t>дства для персонала</w:t>
      </w:r>
      <w:r>
        <w:t xml:space="preserve"> исправительных домов и приютов</w:t>
      </w:r>
      <w:r w:rsidRPr="006C4856">
        <w:t xml:space="preserve"> </w:t>
      </w:r>
      <w:r>
        <w:t xml:space="preserve">для защиты интересов </w:t>
      </w:r>
      <w:r w:rsidRPr="006C4856">
        <w:t>находящихся под пр</w:t>
      </w:r>
      <w:r w:rsidRPr="006C4856">
        <w:t>и</w:t>
      </w:r>
      <w:r w:rsidRPr="006C4856">
        <w:t>смотром детей. Что касается самих исправительных домов для детей и подростков, то они были спроектированы и построены с таким ра</w:t>
      </w:r>
      <w:r w:rsidRPr="006C4856">
        <w:t>с</w:t>
      </w:r>
      <w:r w:rsidRPr="006C4856">
        <w:t>четом, чтобы придать больше гибкости режиму раздельного содержания и о</w:t>
      </w:r>
      <w:r w:rsidRPr="006C4856">
        <w:t>б</w:t>
      </w:r>
      <w:r w:rsidRPr="006C4856">
        <w:t>служивания его контингента. Благодаря надлежащему распорядку дня разли</w:t>
      </w:r>
      <w:r w:rsidRPr="006C4856">
        <w:t>ч</w:t>
      </w:r>
      <w:r w:rsidRPr="006C4856">
        <w:t>ные детские и подростковые группы обычно не могут без необходимости о</w:t>
      </w:r>
      <w:r w:rsidRPr="006C4856">
        <w:t>б</w:t>
      </w:r>
      <w:r w:rsidRPr="006C4856">
        <w:t>щаться друг с другом, и ни при каких</w:t>
      </w:r>
      <w:r>
        <w:t xml:space="preserve"> </w:t>
      </w:r>
      <w:r w:rsidRPr="006C4856">
        <w:t>обстоятельствах дети и подростки не о</w:t>
      </w:r>
      <w:r w:rsidRPr="006C4856">
        <w:t>с</w:t>
      </w:r>
      <w:r w:rsidRPr="006C4856">
        <w:t>таются без присмотра. Пе</w:t>
      </w:r>
      <w:r w:rsidRPr="006C4856">
        <w:t>р</w:t>
      </w:r>
      <w:r w:rsidRPr="006C4856">
        <w:t>сонал исправительных домов проходит надлежащую профессиональную подготовку, призванную повысить</w:t>
      </w:r>
      <w:r>
        <w:t xml:space="preserve"> </w:t>
      </w:r>
      <w:r w:rsidRPr="006C4856">
        <w:t xml:space="preserve">его осведомленность </w:t>
      </w:r>
      <w:r w:rsidR="00D11791">
        <w:t xml:space="preserve">и </w:t>
      </w:r>
      <w:r>
        <w:t xml:space="preserve">способность должным образом учитывать различные потребности детского и подросткового контингента с иной сексуальной ориентацией или </w:t>
      </w:r>
      <w:proofErr w:type="spellStart"/>
      <w:r>
        <w:t>гендерной</w:t>
      </w:r>
      <w:proofErr w:type="spellEnd"/>
      <w:r>
        <w:t xml:space="preserve"> идентичностью. В целях социального развития ДСО предоставляет также су</w:t>
      </w:r>
      <w:r>
        <w:t>б</w:t>
      </w:r>
      <w:r>
        <w:t>сидии НПО на создание при школах общежитий. Персонал, обслуживающий общежития, также проходит соответствующую подготовку.</w:t>
      </w:r>
    </w:p>
    <w:p w:rsidR="00BE3E96" w:rsidRPr="006C4856" w:rsidRDefault="00BE3E96" w:rsidP="00122DDF">
      <w:pPr>
        <w:pStyle w:val="SingleTxtGR"/>
        <w:tabs>
          <w:tab w:val="clear" w:pos="1701"/>
          <w:tab w:val="left" w:pos="1980"/>
        </w:tabs>
      </w:pPr>
      <w:r w:rsidRPr="006C4856">
        <w:t>2.21</w:t>
      </w:r>
      <w:r w:rsidRPr="006C4856">
        <w:tab/>
      </w:r>
      <w:r>
        <w:t>В том что касается подготовки сотрудников правоохранительных о</w:t>
      </w:r>
      <w:r>
        <w:t>р</w:t>
      </w:r>
      <w:r>
        <w:t>ганов по указанным вопросам, в ходе вводного курса и последующего практ</w:t>
      </w:r>
      <w:r>
        <w:t>и</w:t>
      </w:r>
      <w:r>
        <w:t xml:space="preserve">ческого обучения, </w:t>
      </w:r>
      <w:r w:rsidRPr="006C4856">
        <w:t>которое обеспечивает Департамент исправительных учре</w:t>
      </w:r>
      <w:r w:rsidRPr="006C4856">
        <w:t>ж</w:t>
      </w:r>
      <w:r w:rsidRPr="006C4856">
        <w:t xml:space="preserve">дений (ДИУ), их персонал постоянно получает инструкции, требующие уделять внимание сексуальной ориентации и </w:t>
      </w:r>
      <w:proofErr w:type="spellStart"/>
      <w:r w:rsidRPr="006C4856">
        <w:t>гендерной</w:t>
      </w:r>
      <w:proofErr w:type="spellEnd"/>
      <w:r w:rsidRPr="006C4856">
        <w:t xml:space="preserve"> идентичности лиц, содерж</w:t>
      </w:r>
      <w:r w:rsidRPr="006C4856">
        <w:t>а</w:t>
      </w:r>
      <w:r w:rsidRPr="006C4856">
        <w:t>щихся в этих учреждениях. Если содержащееся под стражей соответствующее лицо нуждается в какой-либо помощи, ему обеспечивается консультация псих</w:t>
      </w:r>
      <w:r w:rsidRPr="006C4856">
        <w:t>о</w:t>
      </w:r>
      <w:r w:rsidRPr="006C4856">
        <w:t>лога. С</w:t>
      </w:r>
      <w:r w:rsidR="007C0492">
        <w:t> </w:t>
      </w:r>
      <w:r w:rsidRPr="006C4856">
        <w:t>другой стороны, Таможенный и акцизный департамент выполняет пр</w:t>
      </w:r>
      <w:r w:rsidRPr="006C4856">
        <w:t>е</w:t>
      </w:r>
      <w:r w:rsidRPr="006C4856">
        <w:t>дусмотренные законом требования и</w:t>
      </w:r>
      <w:r>
        <w:t xml:space="preserve"> </w:t>
      </w:r>
      <w:r w:rsidRPr="006C4856">
        <w:t>процедуры, введенные в действие прав</w:t>
      </w:r>
      <w:r w:rsidRPr="006C4856">
        <w:t>и</w:t>
      </w:r>
      <w:r w:rsidRPr="006C4856">
        <w:t>тельством в отношении разработки внутренних инструкций и организации учебных курсов, касающихся равных во</w:t>
      </w:r>
      <w:r w:rsidRPr="006C4856">
        <w:t>з</w:t>
      </w:r>
      <w:r w:rsidRPr="006C4856">
        <w:t>можностей.</w:t>
      </w:r>
    </w:p>
    <w:p w:rsidR="00BE3E96" w:rsidRPr="006C4856" w:rsidRDefault="00BE3E96" w:rsidP="00122DDF">
      <w:pPr>
        <w:pStyle w:val="H1GR"/>
        <w:tabs>
          <w:tab w:val="left" w:pos="1980"/>
        </w:tabs>
      </w:pPr>
      <w:r w:rsidRPr="006C4856">
        <w:tab/>
      </w:r>
      <w:r w:rsidRPr="006C4856">
        <w:tab/>
        <w:t xml:space="preserve">Дискриминация по </w:t>
      </w:r>
      <w:r>
        <w:t>признаку возраста</w:t>
      </w:r>
    </w:p>
    <w:p w:rsidR="00BE3E96" w:rsidRPr="006C4856" w:rsidRDefault="00BE3E96" w:rsidP="00122DDF">
      <w:pPr>
        <w:pStyle w:val="SingleTxtGR"/>
        <w:tabs>
          <w:tab w:val="clear" w:pos="1701"/>
          <w:tab w:val="left" w:pos="1980"/>
        </w:tabs>
      </w:pPr>
      <w:r w:rsidRPr="006C4856">
        <w:t>2.22</w:t>
      </w:r>
      <w:r w:rsidRPr="006C4856">
        <w:tab/>
        <w:t xml:space="preserve">Мы боремся с дискриминацией по </w:t>
      </w:r>
      <w:r>
        <w:t>признаку возраста</w:t>
      </w:r>
      <w:r w:rsidRPr="006C4856">
        <w:t xml:space="preserve"> в сфере занят</w:t>
      </w:r>
      <w:r w:rsidRPr="006C4856">
        <w:t>о</w:t>
      </w:r>
      <w:r w:rsidRPr="006C4856">
        <w:t>сти и придаем большое значение защите прав работников и созданию равных возможностей в этой сфере. С этой целью мы</w:t>
      </w:r>
      <w:r>
        <w:t xml:space="preserve"> </w:t>
      </w:r>
      <w:r w:rsidRPr="006C4856">
        <w:t>призываем работодателей прин</w:t>
      </w:r>
      <w:r w:rsidRPr="006C4856">
        <w:t>и</w:t>
      </w:r>
      <w:r w:rsidRPr="006C4856">
        <w:t>мать во внимание способности, а не возраст работников и разработать комплекс п</w:t>
      </w:r>
      <w:r w:rsidRPr="006C4856">
        <w:t>о</w:t>
      </w:r>
      <w:r w:rsidRPr="006C4856">
        <w:t>следовательных критериев для оценки трудовых возможностей лиц, ищущих работу, и работников. В дополнение к опросу общественного мнения относ</w:t>
      </w:r>
      <w:r w:rsidRPr="006C4856">
        <w:t>и</w:t>
      </w:r>
      <w:r w:rsidRPr="006C4856">
        <w:t xml:space="preserve">тельно дискриминации по </w:t>
      </w:r>
      <w:r>
        <w:t>признаку возраста</w:t>
      </w:r>
      <w:r w:rsidRPr="006C4856">
        <w:t xml:space="preserve"> при найме на работу, о котором мы упоминали в пункте 2.8 предыдущего доклада,</w:t>
      </w:r>
      <w:r>
        <w:t xml:space="preserve"> </w:t>
      </w:r>
      <w:r w:rsidRPr="006C4856">
        <w:t>в период с декабря 2008</w:t>
      </w:r>
      <w:r w:rsidR="00B92291">
        <w:t> год</w:t>
      </w:r>
      <w:r w:rsidRPr="006C4856">
        <w:t>а по март 2009</w:t>
      </w:r>
      <w:r w:rsidR="00B92291">
        <w:t> год</w:t>
      </w:r>
      <w:r w:rsidRPr="006C4856">
        <w:t>а мы провели массовый опрос домашних хозяйств относител</w:t>
      </w:r>
      <w:r w:rsidRPr="006C4856">
        <w:t>ь</w:t>
      </w:r>
      <w:r w:rsidRPr="006C4856">
        <w:t>но значения возрастног</w:t>
      </w:r>
      <w:r>
        <w:t>о фактора, чтобы выяснить мнения</w:t>
      </w:r>
      <w:r w:rsidRPr="006C4856">
        <w:t xml:space="preserve"> общественности. Этот опрос показал, что значительная часть населения не считает возраст ва</w:t>
      </w:r>
      <w:r w:rsidRPr="006C4856">
        <w:t>ж</w:t>
      </w:r>
      <w:r w:rsidRPr="006C4856">
        <w:t xml:space="preserve">ным фактором в сфере занятости и что дискриминация по </w:t>
      </w:r>
      <w:r>
        <w:t>признаку возраста</w:t>
      </w:r>
      <w:r w:rsidRPr="006C4856">
        <w:t>, похоже,</w:t>
      </w:r>
      <w:r>
        <w:t xml:space="preserve"> </w:t>
      </w:r>
      <w:r w:rsidRPr="006C4856">
        <w:t>не распространена в этой сфере. В связи с этим мы считаем целесоо</w:t>
      </w:r>
      <w:r w:rsidRPr="006C4856">
        <w:t>б</w:t>
      </w:r>
      <w:r w:rsidRPr="006C4856">
        <w:t>раз</w:t>
      </w:r>
      <w:r>
        <w:t>ным</w:t>
      </w:r>
      <w:r w:rsidRPr="006C4856">
        <w:t xml:space="preserve"> содействовать дальнейшему созданию равных возможностей в сфере занятости путем </w:t>
      </w:r>
      <w:r>
        <w:t xml:space="preserve">проведения </w:t>
      </w:r>
      <w:r w:rsidRPr="006C4856">
        <w:t>информационно-пропагандистских кампаний и у</w:t>
      </w:r>
      <w:r w:rsidRPr="006C4856">
        <w:t>к</w:t>
      </w:r>
      <w:r w:rsidRPr="006C4856">
        <w:t>репления системы профессиональной подготовки и переподготовки для труд</w:t>
      </w:r>
      <w:r w:rsidRPr="006C4856">
        <w:t>о</w:t>
      </w:r>
      <w:r w:rsidRPr="006C4856">
        <w:t>устройства работников всех возрастов. Мы будем внимательно отслеживать с</w:t>
      </w:r>
      <w:r w:rsidRPr="006C4856">
        <w:t>и</w:t>
      </w:r>
      <w:r w:rsidRPr="006C4856">
        <w:t>туацию путем, например, проведения</w:t>
      </w:r>
      <w:r>
        <w:t xml:space="preserve"> </w:t>
      </w:r>
      <w:r w:rsidRPr="006C4856">
        <w:t>рег</w:t>
      </w:r>
      <w:r w:rsidRPr="006C4856">
        <w:t>у</w:t>
      </w:r>
      <w:r w:rsidRPr="006C4856">
        <w:t>лярных опросов.</w:t>
      </w:r>
    </w:p>
    <w:p w:rsidR="00BE3E96" w:rsidRPr="006C4856" w:rsidRDefault="00BE3E96" w:rsidP="00122DDF">
      <w:pPr>
        <w:pStyle w:val="H1GR"/>
        <w:tabs>
          <w:tab w:val="left" w:pos="1980"/>
        </w:tabs>
      </w:pPr>
      <w:r w:rsidRPr="006C4856">
        <w:tab/>
      </w:r>
      <w:r w:rsidRPr="006C4856">
        <w:tab/>
        <w:t>Защита от насилия в отношениях между однополыми партнерами</w:t>
      </w:r>
    </w:p>
    <w:p w:rsidR="00BE3E96" w:rsidRDefault="00BE3E96" w:rsidP="00122DDF">
      <w:pPr>
        <w:pStyle w:val="SingleTxtGR"/>
        <w:tabs>
          <w:tab w:val="clear" w:pos="1701"/>
          <w:tab w:val="left" w:pos="1980"/>
        </w:tabs>
      </w:pPr>
      <w:r w:rsidRPr="006C4856">
        <w:t>2.23</w:t>
      </w:r>
      <w:r w:rsidRPr="006C4856">
        <w:tab/>
        <w:t>Вступивший в силу 1 января 2010</w:t>
      </w:r>
      <w:r w:rsidR="00B92291">
        <w:t> год</w:t>
      </w:r>
      <w:r w:rsidRPr="006C4856">
        <w:t>а Указ о предупреждении нас</w:t>
      </w:r>
      <w:r w:rsidRPr="006C4856">
        <w:t>и</w:t>
      </w:r>
      <w:r w:rsidRPr="006C4856">
        <w:t>лия в бытов</w:t>
      </w:r>
      <w:r>
        <w:t>ых и супружеских отношениях (глава</w:t>
      </w:r>
      <w:r w:rsidRPr="006C4856">
        <w:t xml:space="preserve"> 189) распространяет защиту, предусмотренную предыдущим Указом о предупреждении насилия в семье, в форме</w:t>
      </w:r>
      <w:r>
        <w:t xml:space="preserve"> </w:t>
      </w:r>
      <w:r w:rsidRPr="006C4856">
        <w:t>запрещающего досаждение судебного приказа на сожитель</w:t>
      </w:r>
      <w:r>
        <w:t>ство</w:t>
      </w:r>
      <w:r w:rsidRPr="006C4856">
        <w:t xml:space="preserve"> двух лиц, будь то однополых или разнополых, которые </w:t>
      </w:r>
      <w:r>
        <w:t>проживают совместно и находятся в близких отношениях</w:t>
      </w:r>
      <w:r w:rsidRPr="006C4856">
        <w:t>.</w:t>
      </w:r>
    </w:p>
    <w:p w:rsidR="00BE3E96" w:rsidRPr="006C4869" w:rsidRDefault="00BE3E96" w:rsidP="00122DDF">
      <w:pPr>
        <w:pStyle w:val="SingleTxtGR"/>
        <w:tabs>
          <w:tab w:val="clear" w:pos="1701"/>
          <w:tab w:val="left" w:pos="1980"/>
        </w:tabs>
      </w:pPr>
      <w:r w:rsidRPr="006C4869">
        <w:t>2.24</w:t>
      </w:r>
      <w:r w:rsidRPr="006C4869">
        <w:tab/>
      </w:r>
      <w:r>
        <w:t>В том ч</w:t>
      </w:r>
      <w:r w:rsidRPr="006C4869">
        <w:t xml:space="preserve">то касается </w:t>
      </w:r>
      <w:r>
        <w:t>просвещения</w:t>
      </w:r>
      <w:r w:rsidRPr="006C4869">
        <w:t xml:space="preserve"> социальных работников и сотрудн</w:t>
      </w:r>
      <w:r w:rsidRPr="006C4869">
        <w:t>и</w:t>
      </w:r>
      <w:r w:rsidRPr="006C4869">
        <w:t>ков правоохранительных органов и их обучения способам вмешательства в сл</w:t>
      </w:r>
      <w:r w:rsidRPr="006C4869">
        <w:t>у</w:t>
      </w:r>
      <w:r w:rsidRPr="006C4869">
        <w:t>чаях насилия в однополых сожительствах, в Кодексе практики для</w:t>
      </w:r>
      <w:r>
        <w:t xml:space="preserve"> </w:t>
      </w:r>
      <w:r w:rsidRPr="006C4869">
        <w:t>зарегистр</w:t>
      </w:r>
      <w:r w:rsidRPr="006C4869">
        <w:t>и</w:t>
      </w:r>
      <w:r w:rsidRPr="006C4869">
        <w:t>рованных социальных работников, выпущенно</w:t>
      </w:r>
      <w:r>
        <w:t>м</w:t>
      </w:r>
      <w:r w:rsidRPr="006C4869">
        <w:t xml:space="preserve"> Советом по регистрации соц</w:t>
      </w:r>
      <w:r w:rsidRPr="006C4869">
        <w:t>и</w:t>
      </w:r>
      <w:r w:rsidRPr="006C4869">
        <w:t xml:space="preserve">альных работников, независимым органом, </w:t>
      </w:r>
      <w:r>
        <w:t xml:space="preserve">созданным на основании закона и </w:t>
      </w:r>
      <w:r w:rsidRPr="006C4869">
        <w:t xml:space="preserve">отвечающим за регистрацию социальных работников в САРГ, недвусмысленно говорится, что социальные работники </w:t>
      </w:r>
      <w:r>
        <w:t>должны уважать</w:t>
      </w:r>
      <w:r w:rsidRPr="006C4869">
        <w:t xml:space="preserve"> уникальную ценность личности и достоинство каждого человека независимо от его сексуальной ор</w:t>
      </w:r>
      <w:r w:rsidRPr="006C4869">
        <w:t>и</w:t>
      </w:r>
      <w:r w:rsidRPr="006C4869">
        <w:t xml:space="preserve">ентации. Социальные работники решают все </w:t>
      </w:r>
      <w:r>
        <w:t xml:space="preserve">вопросы </w:t>
      </w:r>
      <w:r w:rsidRPr="006C4869">
        <w:t>на основе конфиденц</w:t>
      </w:r>
      <w:r w:rsidRPr="006C4869">
        <w:t>и</w:t>
      </w:r>
      <w:r w:rsidRPr="006C4869">
        <w:t>альности</w:t>
      </w:r>
      <w:r>
        <w:t xml:space="preserve"> </w:t>
      </w:r>
      <w:r w:rsidRPr="006C4869">
        <w:t xml:space="preserve">в соответствии с принципами, изложенными в этом Кодексе. В том что касается подготовки социальных работников, некоторые высшие учебные заведения, в которых </w:t>
      </w:r>
      <w:r>
        <w:t>ведется такая подготовка</w:t>
      </w:r>
      <w:r w:rsidRPr="006C4869">
        <w:t>, уже включили тему гомосекс</w:t>
      </w:r>
      <w:r w:rsidRPr="006C4869">
        <w:t>у</w:t>
      </w:r>
      <w:r w:rsidRPr="006C4869">
        <w:t>альности в свои учебные программы социальной работы. ДСО и НПО орган</w:t>
      </w:r>
      <w:r w:rsidRPr="006C4869">
        <w:t>и</w:t>
      </w:r>
      <w:r w:rsidRPr="006C4869">
        <w:t>зуют также профессиональную подготовку социальных работников и клинич</w:t>
      </w:r>
      <w:r w:rsidRPr="006C4869">
        <w:t>е</w:t>
      </w:r>
      <w:r w:rsidRPr="006C4869">
        <w:t xml:space="preserve">ских психологов без отрыва от работы, в том числе </w:t>
      </w:r>
      <w:r>
        <w:t>на основе</w:t>
      </w:r>
      <w:r w:rsidRPr="006C4869">
        <w:t xml:space="preserve"> учебных курсов по вопросам человеческой сексуальности, работы с людьми иной сексуальной ориентации, исследования сексуальной ориентации, сексуальной идентичности и привлекательности, </w:t>
      </w:r>
      <w:proofErr w:type="spellStart"/>
      <w:r w:rsidRPr="006C4869">
        <w:t>гендерной</w:t>
      </w:r>
      <w:proofErr w:type="spellEnd"/>
      <w:r w:rsidRPr="006C4869">
        <w:t xml:space="preserve"> идентичности и ранимости и сексуальности подростков. После вступления в силу</w:t>
      </w:r>
      <w:r>
        <w:t xml:space="preserve"> </w:t>
      </w:r>
      <w:r w:rsidRPr="006C4869">
        <w:t>Указа о предупреждении насилия в быт</w:t>
      </w:r>
      <w:r w:rsidRPr="006C4869">
        <w:t>о</w:t>
      </w:r>
      <w:r w:rsidRPr="006C4869">
        <w:t>вых и супр</w:t>
      </w:r>
      <w:r w:rsidRPr="006C4869">
        <w:t>у</w:t>
      </w:r>
      <w:r w:rsidRPr="006C4869">
        <w:t xml:space="preserve">жеских отношениях ДСО активизировал также профессиональную подготовку социальных работников </w:t>
      </w:r>
      <w:r>
        <w:t>в целях более глубокого понимания</w:t>
      </w:r>
      <w:r w:rsidRPr="006C4869">
        <w:t xml:space="preserve"> псих</w:t>
      </w:r>
      <w:r w:rsidRPr="006C4869">
        <w:t>о</w:t>
      </w:r>
      <w:r w:rsidRPr="006C4869">
        <w:t>логиче</w:t>
      </w:r>
      <w:r>
        <w:t>ских</w:t>
      </w:r>
      <w:r w:rsidRPr="006C4869">
        <w:t xml:space="preserve"> аспект</w:t>
      </w:r>
      <w:r>
        <w:t>ов</w:t>
      </w:r>
      <w:r w:rsidRPr="006C4869">
        <w:t xml:space="preserve"> насилия в отношениях между однополыми партнерами и способ</w:t>
      </w:r>
      <w:r>
        <w:t>ов</w:t>
      </w:r>
      <w:r w:rsidRPr="006C4869">
        <w:t xml:space="preserve"> его предупреждения. В связи с этим для социальных работников был организован ряд брифингов и учебных курсов. </w:t>
      </w:r>
      <w:r>
        <w:t xml:space="preserve">Во исполнение Указа </w:t>
      </w:r>
      <w:r w:rsidRPr="006C4869">
        <w:t>Полице</w:t>
      </w:r>
      <w:r w:rsidRPr="006C4869">
        <w:t>й</w:t>
      </w:r>
      <w:r w:rsidRPr="006C4869">
        <w:t xml:space="preserve">ские силы Гонконга (Полиция) также провели учебу своих сотрудников, </w:t>
      </w:r>
      <w:r>
        <w:t xml:space="preserve">с тем </w:t>
      </w:r>
      <w:r w:rsidRPr="006C4869">
        <w:t>чтобы пов</w:t>
      </w:r>
      <w:r w:rsidRPr="006C4869">
        <w:t>ы</w:t>
      </w:r>
      <w:r w:rsidRPr="006C4869">
        <w:t xml:space="preserve">сить их </w:t>
      </w:r>
      <w:r>
        <w:t>готовность к действиям в подобных ситуациях</w:t>
      </w:r>
      <w:r w:rsidRPr="006C4869">
        <w:t>.</w:t>
      </w:r>
    </w:p>
    <w:p w:rsidR="00BE3E96" w:rsidRPr="006C4869" w:rsidRDefault="00BE3E96" w:rsidP="00122DDF">
      <w:pPr>
        <w:pStyle w:val="H1GR"/>
        <w:tabs>
          <w:tab w:val="left" w:pos="1980"/>
        </w:tabs>
        <w:spacing w:line="240" w:lineRule="atLeast"/>
      </w:pPr>
      <w:r w:rsidRPr="006C4869">
        <w:tab/>
      </w:r>
      <w:r w:rsidRPr="006C4869">
        <w:tab/>
        <w:t>Защита лиц с ограниченными возможностями</w:t>
      </w:r>
    </w:p>
    <w:p w:rsidR="00BE3E96" w:rsidRPr="006C4869" w:rsidRDefault="00BE3E96" w:rsidP="00122DDF">
      <w:pPr>
        <w:pStyle w:val="H23GR"/>
        <w:tabs>
          <w:tab w:val="left" w:pos="1980"/>
        </w:tabs>
        <w:spacing w:line="240" w:lineRule="atLeast"/>
      </w:pPr>
      <w:r w:rsidRPr="006C4869">
        <w:tab/>
      </w:r>
      <w:r w:rsidRPr="006C4869">
        <w:tab/>
        <w:t>Содействие интеграции лиц с ограниченными возможностями</w:t>
      </w:r>
    </w:p>
    <w:p w:rsidR="00BE3E96" w:rsidRPr="006C4869" w:rsidRDefault="00BE3E96" w:rsidP="00122DDF">
      <w:pPr>
        <w:pStyle w:val="SingleTxtGR"/>
        <w:tabs>
          <w:tab w:val="clear" w:pos="1701"/>
          <w:tab w:val="left" w:pos="1980"/>
        </w:tabs>
      </w:pPr>
      <w:r w:rsidRPr="006C4869">
        <w:t>2.25</w:t>
      </w:r>
      <w:r w:rsidRPr="006C4869">
        <w:tab/>
        <w:t>В период с 2002–2003</w:t>
      </w:r>
      <w:r w:rsidR="00B92291">
        <w:t> год</w:t>
      </w:r>
      <w:r w:rsidRPr="006C4869">
        <w:t>ов по 2008–2009</w:t>
      </w:r>
      <w:r w:rsidR="00B92291">
        <w:t> год</w:t>
      </w:r>
      <w:r w:rsidRPr="006C4869">
        <w:t>ы правительство выд</w:t>
      </w:r>
      <w:r w:rsidRPr="006C4869">
        <w:t>е</w:t>
      </w:r>
      <w:r w:rsidRPr="006C4869">
        <w:t>лило более 13</w:t>
      </w:r>
      <w:r w:rsidR="004F720A">
        <w:t> </w:t>
      </w:r>
      <w:r w:rsidR="00B63D5C">
        <w:t>млн. долл.</w:t>
      </w:r>
      <w:r w:rsidRPr="006C4869">
        <w:t xml:space="preserve"> на просвещение населения и </w:t>
      </w:r>
      <w:proofErr w:type="spellStart"/>
      <w:r w:rsidRPr="006C4869">
        <w:t>информационно-пропаган</w:t>
      </w:r>
      <w:r>
        <w:t>-</w:t>
      </w:r>
      <w:r w:rsidRPr="006C4869">
        <w:t>дистские</w:t>
      </w:r>
      <w:proofErr w:type="spellEnd"/>
      <w:r w:rsidRPr="006C4869">
        <w:t xml:space="preserve"> кампании с целью содействовать интеграции инвалидов в общество.</w:t>
      </w:r>
    </w:p>
    <w:p w:rsidR="00BE3E96" w:rsidRPr="006C4869" w:rsidRDefault="00BE3E96" w:rsidP="00122DDF">
      <w:pPr>
        <w:pStyle w:val="SingleTxtGR"/>
        <w:tabs>
          <w:tab w:val="clear" w:pos="1701"/>
          <w:tab w:val="left" w:pos="1980"/>
        </w:tabs>
      </w:pPr>
      <w:r w:rsidRPr="006C4869">
        <w:t>2.26</w:t>
      </w:r>
      <w:r w:rsidRPr="006C4869">
        <w:tab/>
        <w:t>Конвенция Организации Объединенных Наций о правах инвалидов (КПИ) вступила в силу для Китая, в том числе для САРГ, 31 августа 2008</w:t>
      </w:r>
      <w:r w:rsidR="00B92291">
        <w:t> год</w:t>
      </w:r>
      <w:r w:rsidRPr="006C4869">
        <w:t xml:space="preserve">а. </w:t>
      </w:r>
      <w:r>
        <w:t>Для того ч</w:t>
      </w:r>
      <w:r w:rsidRPr="006C4869">
        <w:t>тобы укрепить дух КПИ и признанные в ней базовые ценности, в 2010</w:t>
      </w:r>
      <w:r>
        <w:t>−</w:t>
      </w:r>
      <w:r w:rsidRPr="006C4869">
        <w:t>2011</w:t>
      </w:r>
      <w:r w:rsidR="00B92291">
        <w:t> год</w:t>
      </w:r>
      <w:r w:rsidRPr="006C4869">
        <w:t>ах правительство увеличило ассигнования на соответствующие массовые просветительские мероприятия до 12</w:t>
      </w:r>
      <w:r w:rsidR="004F720A">
        <w:t> </w:t>
      </w:r>
      <w:r w:rsidR="00B63D5C">
        <w:t>млн. долл.</w:t>
      </w:r>
      <w:r w:rsidRPr="006C4869">
        <w:t xml:space="preserve"> по сравнению с 2</w:t>
      </w:r>
      <w:r w:rsidR="004F720A">
        <w:t> </w:t>
      </w:r>
      <w:r w:rsidR="00B63D5C">
        <w:t>млн. долл.</w:t>
      </w:r>
      <w:r w:rsidRPr="006C4869">
        <w:t xml:space="preserve"> в 2009</w:t>
      </w:r>
      <w:r>
        <w:t>−</w:t>
      </w:r>
      <w:r w:rsidRPr="006C4869">
        <w:t>2010</w:t>
      </w:r>
      <w:r w:rsidR="00B92291">
        <w:t> год</w:t>
      </w:r>
      <w:r w:rsidRPr="006C4869">
        <w:t xml:space="preserve">ах. </w:t>
      </w:r>
      <w:r>
        <w:t>Помимо ассигнований</w:t>
      </w:r>
      <w:r w:rsidRPr="006C4869">
        <w:t xml:space="preserve"> на организацию разли</w:t>
      </w:r>
      <w:r w:rsidRPr="006C4869">
        <w:t>ч</w:t>
      </w:r>
      <w:r w:rsidRPr="006C4869">
        <w:t>ных крупных пропагандистских мероприятий</w:t>
      </w:r>
      <w:r>
        <w:t xml:space="preserve"> на всей </w:t>
      </w:r>
      <w:r w:rsidRPr="006C4869">
        <w:t>территории</w:t>
      </w:r>
      <w:r>
        <w:t>,</w:t>
      </w:r>
      <w:r w:rsidRPr="006C4869">
        <w:t xml:space="preserve"> правительс</w:t>
      </w:r>
      <w:r w:rsidRPr="006C4869">
        <w:t>т</w:t>
      </w:r>
      <w:r w:rsidRPr="006C4869">
        <w:t xml:space="preserve">во также предоставляет субсидии НПО и окружным советам (ОС) на </w:t>
      </w:r>
      <w:r>
        <w:t>провед</w:t>
      </w:r>
      <w:r>
        <w:t>е</w:t>
      </w:r>
      <w:r>
        <w:t>ние</w:t>
      </w:r>
      <w:r w:rsidRPr="006C4869">
        <w:t xml:space="preserve"> соответствующ</w:t>
      </w:r>
      <w:r>
        <w:t>ей рекламно-информационной деятельности в целях охвата всех слоев</w:t>
      </w:r>
      <w:r w:rsidRPr="006C4869">
        <w:t xml:space="preserve"> общества. В 2009</w:t>
      </w:r>
      <w:r w:rsidR="00B92291">
        <w:t> год</w:t>
      </w:r>
      <w:r w:rsidRPr="006C4869">
        <w:t xml:space="preserve">у правительство и различные НПО </w:t>
      </w:r>
      <w:r>
        <w:t>осуществ</w:t>
      </w:r>
      <w:r>
        <w:t>и</w:t>
      </w:r>
      <w:r>
        <w:t xml:space="preserve">ли </w:t>
      </w:r>
      <w:r w:rsidRPr="006C4869">
        <w:t>34 просветительски</w:t>
      </w:r>
      <w:r>
        <w:t xml:space="preserve">е </w:t>
      </w:r>
      <w:r w:rsidRPr="006C4869">
        <w:t xml:space="preserve">программы для общественности на тему </w:t>
      </w:r>
      <w:r>
        <w:t>"</w:t>
      </w:r>
      <w:r w:rsidRPr="006C4869">
        <w:t>Всесторо</w:t>
      </w:r>
      <w:r w:rsidRPr="006C4869">
        <w:t>н</w:t>
      </w:r>
      <w:r w:rsidRPr="006C4869">
        <w:t>нее укрепление духа КПИ и межведомственного сотрудничества во имя п</w:t>
      </w:r>
      <w:r w:rsidRPr="006C4869">
        <w:t>о</w:t>
      </w:r>
      <w:r w:rsidRPr="006C4869">
        <w:t xml:space="preserve">строения равноправного и </w:t>
      </w:r>
      <w:r>
        <w:t>открытого</w:t>
      </w:r>
      <w:r w:rsidRPr="006C4869">
        <w:t xml:space="preserve"> общества</w:t>
      </w:r>
      <w:r>
        <w:t>"</w:t>
      </w:r>
      <w:r w:rsidRPr="006C4869">
        <w:t>. В рамках проведения Всемирного дня психического здоровья и Международного дня инвалидов в Гонконге были о</w:t>
      </w:r>
      <w:r w:rsidRPr="006C4869">
        <w:t>р</w:t>
      </w:r>
      <w:r w:rsidRPr="006C4869">
        <w:t>ганизованы также информационно-пропагандистские меропри</w:t>
      </w:r>
      <w:r w:rsidRPr="006C4869">
        <w:t>я</w:t>
      </w:r>
      <w:r w:rsidRPr="006C4869">
        <w:t>тия. Кроме того, правительство активизировало подготовку государственных сл</w:t>
      </w:r>
      <w:r w:rsidRPr="006C4869">
        <w:t>у</w:t>
      </w:r>
      <w:r w:rsidRPr="006C4869">
        <w:t>жащих с целью углубить их навыки</w:t>
      </w:r>
      <w:r>
        <w:t xml:space="preserve"> </w:t>
      </w:r>
      <w:r w:rsidRPr="006C4869">
        <w:t>применения КПИ в своей повседневной р</w:t>
      </w:r>
      <w:r w:rsidRPr="006C4869">
        <w:t>а</w:t>
      </w:r>
      <w:r w:rsidRPr="006C4869">
        <w:t>боте.</w:t>
      </w:r>
    </w:p>
    <w:p w:rsidR="00BE3E96" w:rsidRPr="006C4869" w:rsidRDefault="00BE3E96" w:rsidP="00122DDF">
      <w:pPr>
        <w:pStyle w:val="SingleTxtGR"/>
        <w:tabs>
          <w:tab w:val="clear" w:pos="1701"/>
          <w:tab w:val="left" w:pos="1980"/>
        </w:tabs>
      </w:pPr>
      <w:r w:rsidRPr="006C4869">
        <w:t>2.27</w:t>
      </w:r>
      <w:r w:rsidRPr="006C4869">
        <w:tab/>
      </w:r>
      <w:r>
        <w:t>Для того ч</w:t>
      </w:r>
      <w:r w:rsidRPr="006C4869">
        <w:t>тобы повысить уровень осведомленности общественности о психическом здоровье, содействовать благосклонному отношению окружающих к людям с психическими заболеваниями и поощрять социальную интеграцию лиц, выздоравливающих после психических заболеваний, Управление труда и социального обеспечения (УТСО) в сотрудничестве с различными государс</w:t>
      </w:r>
      <w:r w:rsidRPr="006C4869">
        <w:t>т</w:t>
      </w:r>
      <w:r w:rsidRPr="006C4869">
        <w:t>венными учреждениями, НПО и средствами массовой информации начиная с 1995</w:t>
      </w:r>
      <w:r w:rsidR="00B92291">
        <w:t> год</w:t>
      </w:r>
      <w:r w:rsidRPr="006C4869">
        <w:t>а ежегодно проводит Месячник психического здоровья. В ходе этого мероприятия на всей территории и в округах проводятся также информацио</w:t>
      </w:r>
      <w:r w:rsidRPr="006C4869">
        <w:t>н</w:t>
      </w:r>
      <w:r w:rsidRPr="006C4869">
        <w:t>но-пропагандистские</w:t>
      </w:r>
      <w:r>
        <w:t xml:space="preserve"> </w:t>
      </w:r>
      <w:r w:rsidRPr="006C4869">
        <w:t>кампании. Консультативный комитет по реабилитации (ККР) принимает на окружном уровне энергичные меры с целью воспитания у окружающих</w:t>
      </w:r>
      <w:r>
        <w:t xml:space="preserve"> </w:t>
      </w:r>
      <w:r w:rsidRPr="006C4869">
        <w:t>благожелательного отношения к людям, выздоравливающим п</w:t>
      </w:r>
      <w:r w:rsidRPr="006C4869">
        <w:t>о</w:t>
      </w:r>
      <w:r w:rsidRPr="006C4869">
        <w:t>сле психических заболеваний, и увеличения социальной помощи этим людям, чтобы они могли интегрироваться в жизнь общества, включая сотрудничество с 18 ОС по проведению информационно-пропагандистских мероприятий и выд</w:t>
      </w:r>
      <w:r w:rsidRPr="006C4869">
        <w:t>е</w:t>
      </w:r>
      <w:r w:rsidRPr="006C4869">
        <w:t xml:space="preserve">лению субсидий различным местным организациям в округах на реализацию массовых просветительских программ по таким темам, как </w:t>
      </w:r>
      <w:r>
        <w:t>"</w:t>
      </w:r>
      <w:r w:rsidRPr="006C4869">
        <w:t>психическое зд</w:t>
      </w:r>
      <w:r w:rsidRPr="006C4869">
        <w:t>о</w:t>
      </w:r>
      <w:r w:rsidRPr="006C4869">
        <w:t>ровье</w:t>
      </w:r>
      <w:r>
        <w:t>"</w:t>
      </w:r>
      <w:r w:rsidRPr="006C4869">
        <w:t xml:space="preserve"> и </w:t>
      </w:r>
      <w:r>
        <w:t>"</w:t>
      </w:r>
      <w:r w:rsidRPr="006C4869">
        <w:t>создание</w:t>
      </w:r>
      <w:r>
        <w:t xml:space="preserve"> открытого </w:t>
      </w:r>
      <w:r w:rsidRPr="006C4869">
        <w:t xml:space="preserve">общества </w:t>
      </w:r>
      <w:r>
        <w:t xml:space="preserve">с доступной средой обитания </w:t>
      </w:r>
      <w:r w:rsidRPr="006C4869">
        <w:t>для инв</w:t>
      </w:r>
      <w:r w:rsidRPr="006C4869">
        <w:t>а</w:t>
      </w:r>
      <w:r w:rsidRPr="006C4869">
        <w:t>лидов</w:t>
      </w:r>
      <w:r>
        <w:t>"</w:t>
      </w:r>
      <w:r w:rsidRPr="006C4869">
        <w:t xml:space="preserve">, </w:t>
      </w:r>
      <w:r>
        <w:t xml:space="preserve">с тем </w:t>
      </w:r>
      <w:r w:rsidRPr="006C4869">
        <w:t>чтобы содействовать их интеграции в жизнь общества.</w:t>
      </w:r>
    </w:p>
    <w:p w:rsidR="00BE3E96" w:rsidRPr="006C4869" w:rsidRDefault="00BE3E96" w:rsidP="007F18DC">
      <w:pPr>
        <w:pStyle w:val="SingleTxtGR"/>
        <w:tabs>
          <w:tab w:val="clear" w:pos="1701"/>
          <w:tab w:val="left" w:pos="1980"/>
        </w:tabs>
        <w:spacing w:line="220" w:lineRule="atLeast"/>
      </w:pPr>
      <w:r w:rsidRPr="006C4869">
        <w:t>2.28</w:t>
      </w:r>
      <w:r w:rsidRPr="006C4869">
        <w:tab/>
      </w:r>
      <w:r>
        <w:t>В том ч</w:t>
      </w:r>
      <w:r w:rsidRPr="006C4869">
        <w:t>то касается вопроса об использовании жестового языка люд</w:t>
      </w:r>
      <w:r w:rsidRPr="006C4869">
        <w:t>ь</w:t>
      </w:r>
      <w:r w:rsidRPr="006C4869">
        <w:t>ми с нарушениями слуха, поднятого некоторыми комментаторами, УТСО пр</w:t>
      </w:r>
      <w:r w:rsidRPr="006C4869">
        <w:t>е</w:t>
      </w:r>
      <w:r w:rsidRPr="006C4869">
        <w:t>исполнено решимости</w:t>
      </w:r>
      <w:r>
        <w:t xml:space="preserve"> </w:t>
      </w:r>
      <w:r w:rsidRPr="006C4869">
        <w:t>и впредь призывать соответствующие</w:t>
      </w:r>
      <w:r>
        <w:t xml:space="preserve"> </w:t>
      </w:r>
      <w:r w:rsidRPr="006C4869">
        <w:t>ведомства и учр</w:t>
      </w:r>
      <w:r w:rsidRPr="006C4869">
        <w:t>е</w:t>
      </w:r>
      <w:r w:rsidRPr="006C4869">
        <w:t>ждения критически пересматривать свои процедуры и меры и содействовать примен</w:t>
      </w:r>
      <w:r w:rsidRPr="006C4869">
        <w:t>е</w:t>
      </w:r>
      <w:r w:rsidRPr="006C4869">
        <w:t>нию доступных средств общения, в том числе жестового языка. В этом отношении ККР готовится созвать рабочую группу, консультирующую прав</w:t>
      </w:r>
      <w:r w:rsidRPr="006C4869">
        <w:t>и</w:t>
      </w:r>
      <w:r w:rsidRPr="006C4869">
        <w:t>тельство по вопросу о</w:t>
      </w:r>
      <w:r>
        <w:t xml:space="preserve"> </w:t>
      </w:r>
      <w:r w:rsidRPr="006C4869">
        <w:t>расширении использования жестового языка. Членами этой раб</w:t>
      </w:r>
      <w:r w:rsidRPr="006C4869">
        <w:t>о</w:t>
      </w:r>
      <w:r w:rsidRPr="006C4869">
        <w:t xml:space="preserve">чей группы являются люди с нарушениями слуха, </w:t>
      </w:r>
      <w:proofErr w:type="spellStart"/>
      <w:r w:rsidRPr="006C4869">
        <w:t>сурдопереводчики</w:t>
      </w:r>
      <w:proofErr w:type="spellEnd"/>
      <w:r w:rsidRPr="006C4869">
        <w:t>, представители</w:t>
      </w:r>
      <w:r>
        <w:t xml:space="preserve"> </w:t>
      </w:r>
      <w:r w:rsidRPr="006C4869">
        <w:t>сектора реабилитации и сектора образования и соответству</w:t>
      </w:r>
      <w:r w:rsidRPr="006C4869">
        <w:t>ю</w:t>
      </w:r>
      <w:r w:rsidRPr="006C4869">
        <w:t>щих государственных ведомств и департаментов. Меры и услуги</w:t>
      </w:r>
      <w:r>
        <w:t xml:space="preserve"> </w:t>
      </w:r>
      <w:r w:rsidRPr="006C4869">
        <w:t>в интересах учащихся с нарушениями слуха подробно рассматриваются в рамках статей 13 и 14, посв</w:t>
      </w:r>
      <w:r w:rsidRPr="006C4869">
        <w:t>я</w:t>
      </w:r>
      <w:r w:rsidRPr="006C4869">
        <w:t>щенных праву на образование.</w:t>
      </w:r>
    </w:p>
    <w:p w:rsidR="00BE3E96" w:rsidRPr="006C4869" w:rsidRDefault="00BE3E96" w:rsidP="00122DDF">
      <w:pPr>
        <w:pStyle w:val="H23GR"/>
        <w:tabs>
          <w:tab w:val="left" w:pos="1980"/>
        </w:tabs>
        <w:spacing w:line="240" w:lineRule="atLeast"/>
      </w:pPr>
      <w:r w:rsidRPr="006C4869">
        <w:tab/>
      </w:r>
      <w:r w:rsidRPr="006C4869">
        <w:tab/>
        <w:t>Осуществление Указа о предупреждении дискриминации в</w:t>
      </w:r>
      <w:r>
        <w:t xml:space="preserve"> </w:t>
      </w:r>
      <w:r w:rsidRPr="006C4869">
        <w:t>отношении инвалидов (гл</w:t>
      </w:r>
      <w:r>
        <w:t>ава</w:t>
      </w:r>
      <w:r w:rsidRPr="006C4869">
        <w:t xml:space="preserve"> 487)</w:t>
      </w:r>
    </w:p>
    <w:p w:rsidR="00BE3E96" w:rsidRPr="006C4869" w:rsidRDefault="00BE3E96" w:rsidP="007F18DC">
      <w:pPr>
        <w:pStyle w:val="H4GR"/>
        <w:tabs>
          <w:tab w:val="left" w:pos="1148"/>
          <w:tab w:val="left" w:pos="1980"/>
        </w:tabs>
        <w:spacing w:before="120" w:line="240" w:lineRule="atLeast"/>
      </w:pPr>
      <w:r w:rsidRPr="006C4869">
        <w:tab/>
      </w:r>
      <w:r w:rsidR="00122DDF">
        <w:tab/>
      </w:r>
      <w:r w:rsidRPr="006C4869">
        <w:t>Запросы и жалобы</w:t>
      </w:r>
    </w:p>
    <w:p w:rsidR="00BE3E96" w:rsidRPr="006C4869" w:rsidRDefault="00BE3E96" w:rsidP="007F18DC">
      <w:pPr>
        <w:pStyle w:val="SingleTxtGR"/>
        <w:tabs>
          <w:tab w:val="clear" w:pos="1701"/>
          <w:tab w:val="left" w:pos="1980"/>
        </w:tabs>
        <w:spacing w:line="220" w:lineRule="atLeast"/>
      </w:pPr>
      <w:r w:rsidRPr="006C4869">
        <w:t>2.29</w:t>
      </w:r>
      <w:r w:rsidRPr="006C4869">
        <w:tab/>
        <w:t>В период с января 2007</w:t>
      </w:r>
      <w:r w:rsidR="00B92291">
        <w:t> год</w:t>
      </w:r>
      <w:r w:rsidRPr="006C4869">
        <w:t>а по декабрь 2009</w:t>
      </w:r>
      <w:r w:rsidR="00B92291">
        <w:t> год</w:t>
      </w:r>
      <w:r w:rsidRPr="006C4869">
        <w:t>а КРВ получила</w:t>
      </w:r>
      <w:r>
        <w:t xml:space="preserve"> </w:t>
      </w:r>
      <w:r w:rsidRPr="006C4869">
        <w:t>7</w:t>
      </w:r>
      <w:r w:rsidR="00B92291">
        <w:t> </w:t>
      </w:r>
      <w:r w:rsidRPr="006C4869">
        <w:t>085</w:t>
      </w:r>
      <w:r w:rsidR="00B92291">
        <w:t> </w:t>
      </w:r>
      <w:r w:rsidRPr="006C4869">
        <w:t>конкретных запросов (потенциальных жалоб)</w:t>
      </w:r>
      <w:r w:rsidRPr="006C4869">
        <w:rPr>
          <w:vertAlign w:val="superscript"/>
          <w:lang w:val="en-GB"/>
        </w:rPr>
        <w:footnoteReference w:id="5"/>
      </w:r>
      <w:r w:rsidRPr="006C4869">
        <w:t xml:space="preserve"> и расследовала 1</w:t>
      </w:r>
      <w:r w:rsidR="00B92291">
        <w:t> </w:t>
      </w:r>
      <w:r w:rsidRPr="006C4869">
        <w:t>853 ж</w:t>
      </w:r>
      <w:r w:rsidRPr="006C4869">
        <w:t>а</w:t>
      </w:r>
      <w:r w:rsidRPr="006C4869">
        <w:t>лоб</w:t>
      </w:r>
      <w:r>
        <w:t>ы</w:t>
      </w:r>
      <w:r w:rsidRPr="006C4869">
        <w:t>, касающи</w:t>
      </w:r>
      <w:r>
        <w:t>е</w:t>
      </w:r>
      <w:r w:rsidRPr="006C4869">
        <w:t>ся Указа о предупреждении дискриминации в отношении инв</w:t>
      </w:r>
      <w:r w:rsidRPr="006C4869">
        <w:t>а</w:t>
      </w:r>
      <w:r w:rsidRPr="006C4869">
        <w:t>лидов (УДИ).</w:t>
      </w:r>
    </w:p>
    <w:tbl>
      <w:tblPr>
        <w:tblStyle w:val="TabNum"/>
        <w:tblW w:w="7370" w:type="dxa"/>
        <w:tblInd w:w="1134" w:type="dxa"/>
        <w:tblLayout w:type="fixed"/>
        <w:tblLook w:val="01E0" w:firstRow="1" w:lastRow="1" w:firstColumn="1" w:lastColumn="1" w:noHBand="0" w:noVBand="0"/>
      </w:tblPr>
      <w:tblGrid>
        <w:gridCol w:w="4474"/>
        <w:gridCol w:w="965"/>
        <w:gridCol w:w="965"/>
        <w:gridCol w:w="966"/>
        <w:tblGridChange w:id="4">
          <w:tblGrid>
            <w:gridCol w:w="4474"/>
            <w:gridCol w:w="965"/>
            <w:gridCol w:w="965"/>
            <w:gridCol w:w="966"/>
          </w:tblGrid>
        </w:tblGridChange>
      </w:tblGrid>
      <w:tr w:rsidR="00BE3E96" w:rsidRPr="00F11826" w:rsidTr="00B92291">
        <w:trPr>
          <w:tblHeader/>
        </w:trPr>
        <w:tc>
          <w:tcPr>
            <w:cnfStyle w:val="001000000000" w:firstRow="0" w:lastRow="0" w:firstColumn="1" w:lastColumn="0" w:oddVBand="0" w:evenVBand="0" w:oddHBand="0" w:evenHBand="0" w:firstRowFirstColumn="0" w:firstRowLastColumn="0" w:lastRowFirstColumn="0" w:lastRowLastColumn="0"/>
            <w:tcW w:w="4474" w:type="dxa"/>
            <w:tcBorders>
              <w:bottom w:val="single" w:sz="12" w:space="0" w:color="auto"/>
            </w:tcBorders>
            <w:shd w:val="clear" w:color="auto" w:fill="auto"/>
          </w:tcPr>
          <w:p w:rsidR="00BE3E96" w:rsidRPr="00F11826" w:rsidRDefault="00BE3E96" w:rsidP="00122DDF">
            <w:pPr>
              <w:tabs>
                <w:tab w:val="left" w:pos="1980"/>
              </w:tabs>
              <w:spacing w:line="220" w:lineRule="exact"/>
              <w:rPr>
                <w:i/>
                <w:sz w:val="16"/>
              </w:rPr>
            </w:pPr>
          </w:p>
        </w:tc>
        <w:tc>
          <w:tcPr>
            <w:tcW w:w="965" w:type="dxa"/>
            <w:tcBorders>
              <w:top w:val="single" w:sz="4" w:space="0" w:color="auto"/>
              <w:bottom w:val="single" w:sz="12" w:space="0" w:color="auto"/>
            </w:tcBorders>
            <w:shd w:val="clear" w:color="auto" w:fill="auto"/>
          </w:tcPr>
          <w:p w:rsidR="00BE3E96" w:rsidRPr="00F11826" w:rsidRDefault="00BE3E96" w:rsidP="00122DDF">
            <w:pPr>
              <w:tabs>
                <w:tab w:val="left" w:pos="1980"/>
              </w:tabs>
              <w:spacing w:line="220" w:lineRule="exact"/>
              <w:cnfStyle w:val="000000000000" w:firstRow="0" w:lastRow="0" w:firstColumn="0" w:lastColumn="0" w:oddVBand="0" w:evenVBand="0" w:oddHBand="0" w:evenHBand="0" w:firstRowFirstColumn="0" w:firstRowLastColumn="0" w:lastRowFirstColumn="0" w:lastRowLastColumn="0"/>
              <w:rPr>
                <w:i/>
                <w:sz w:val="16"/>
              </w:rPr>
            </w:pPr>
            <w:r w:rsidRPr="00F11826">
              <w:rPr>
                <w:i/>
                <w:sz w:val="16"/>
              </w:rPr>
              <w:t>2007</w:t>
            </w:r>
          </w:p>
        </w:tc>
        <w:tc>
          <w:tcPr>
            <w:tcW w:w="965" w:type="dxa"/>
            <w:tcBorders>
              <w:top w:val="single" w:sz="4" w:space="0" w:color="auto"/>
              <w:bottom w:val="single" w:sz="12" w:space="0" w:color="auto"/>
            </w:tcBorders>
            <w:shd w:val="clear" w:color="auto" w:fill="auto"/>
          </w:tcPr>
          <w:p w:rsidR="00BE3E96" w:rsidRPr="00F11826" w:rsidRDefault="00BE3E96" w:rsidP="00122DDF">
            <w:pPr>
              <w:tabs>
                <w:tab w:val="left" w:pos="1980"/>
              </w:tabs>
              <w:spacing w:line="220" w:lineRule="exact"/>
              <w:cnfStyle w:val="000000000000" w:firstRow="0" w:lastRow="0" w:firstColumn="0" w:lastColumn="0" w:oddVBand="0" w:evenVBand="0" w:oddHBand="0" w:evenHBand="0" w:firstRowFirstColumn="0" w:firstRowLastColumn="0" w:lastRowFirstColumn="0" w:lastRowLastColumn="0"/>
              <w:rPr>
                <w:i/>
                <w:sz w:val="16"/>
              </w:rPr>
            </w:pPr>
            <w:r w:rsidRPr="00F11826">
              <w:rPr>
                <w:i/>
                <w:sz w:val="16"/>
              </w:rPr>
              <w:t>2008</w:t>
            </w:r>
          </w:p>
        </w:tc>
        <w:tc>
          <w:tcPr>
            <w:tcW w:w="966" w:type="dxa"/>
            <w:tcBorders>
              <w:top w:val="single" w:sz="4" w:space="0" w:color="auto"/>
              <w:bottom w:val="single" w:sz="12" w:space="0" w:color="auto"/>
            </w:tcBorders>
            <w:shd w:val="clear" w:color="auto" w:fill="auto"/>
          </w:tcPr>
          <w:p w:rsidR="00BE3E96" w:rsidRPr="00F11826" w:rsidRDefault="00BE3E96" w:rsidP="00122DDF">
            <w:pPr>
              <w:tabs>
                <w:tab w:val="left" w:pos="1980"/>
              </w:tabs>
              <w:spacing w:line="220" w:lineRule="exact"/>
              <w:cnfStyle w:val="000000000000" w:firstRow="0" w:lastRow="0" w:firstColumn="0" w:lastColumn="0" w:oddVBand="0" w:evenVBand="0" w:oddHBand="0" w:evenHBand="0" w:firstRowFirstColumn="0" w:firstRowLastColumn="0" w:lastRowFirstColumn="0" w:lastRowLastColumn="0"/>
              <w:rPr>
                <w:i/>
                <w:sz w:val="16"/>
              </w:rPr>
            </w:pPr>
            <w:r w:rsidRPr="00F11826">
              <w:rPr>
                <w:i/>
                <w:sz w:val="16"/>
              </w:rPr>
              <w:t>2009</w:t>
            </w:r>
          </w:p>
        </w:tc>
      </w:tr>
      <w:tr w:rsidR="00BE3E96" w:rsidRPr="00F11826" w:rsidTr="00B92291">
        <w:tc>
          <w:tcPr>
            <w:cnfStyle w:val="001000000000" w:firstRow="0" w:lastRow="0" w:firstColumn="1" w:lastColumn="0" w:oddVBand="0" w:evenVBand="0" w:oddHBand="0" w:evenHBand="0" w:firstRowFirstColumn="0" w:firstRowLastColumn="0" w:lastRowFirstColumn="0" w:lastRowLastColumn="0"/>
            <w:tcW w:w="4474" w:type="dxa"/>
            <w:tcBorders>
              <w:top w:val="single" w:sz="12" w:space="0" w:color="auto"/>
            </w:tcBorders>
          </w:tcPr>
          <w:p w:rsidR="00BE3E96" w:rsidRPr="00F11826" w:rsidRDefault="00BE3E96" w:rsidP="00122DDF">
            <w:pPr>
              <w:tabs>
                <w:tab w:val="left" w:pos="1980"/>
              </w:tabs>
              <w:spacing w:line="220" w:lineRule="exact"/>
            </w:pPr>
            <w:r w:rsidRPr="00F11826">
              <w:t>Конкретные запросы (потенциальные жал</w:t>
            </w:r>
            <w:r w:rsidRPr="00F11826">
              <w:t>о</w:t>
            </w:r>
            <w:r w:rsidRPr="00F11826">
              <w:t>бы)</w:t>
            </w:r>
          </w:p>
        </w:tc>
        <w:tc>
          <w:tcPr>
            <w:tcW w:w="965" w:type="dxa"/>
            <w:tcBorders>
              <w:top w:val="single" w:sz="12" w:space="0" w:color="auto"/>
            </w:tcBorders>
          </w:tcPr>
          <w:p w:rsidR="00BE3E96" w:rsidRPr="00F11826" w:rsidRDefault="00BE3E96" w:rsidP="00122DDF">
            <w:pPr>
              <w:tabs>
                <w:tab w:val="left" w:pos="1980"/>
              </w:tabs>
              <w:spacing w:line="220" w:lineRule="exact"/>
              <w:cnfStyle w:val="000000000000" w:firstRow="0" w:lastRow="0" w:firstColumn="0" w:lastColumn="0" w:oddVBand="0" w:evenVBand="0" w:oddHBand="0" w:evenHBand="0" w:firstRowFirstColumn="0" w:firstRowLastColumn="0" w:lastRowFirstColumn="0" w:lastRowLastColumn="0"/>
            </w:pPr>
            <w:r w:rsidRPr="00F11826">
              <w:t>2 362</w:t>
            </w:r>
          </w:p>
        </w:tc>
        <w:tc>
          <w:tcPr>
            <w:tcW w:w="965" w:type="dxa"/>
            <w:tcBorders>
              <w:top w:val="single" w:sz="12" w:space="0" w:color="auto"/>
            </w:tcBorders>
          </w:tcPr>
          <w:p w:rsidR="00BE3E96" w:rsidRPr="00F11826" w:rsidRDefault="00BE3E96" w:rsidP="00122DDF">
            <w:pPr>
              <w:tabs>
                <w:tab w:val="left" w:pos="1980"/>
              </w:tabs>
              <w:spacing w:line="220" w:lineRule="exact"/>
              <w:cnfStyle w:val="000000000000" w:firstRow="0" w:lastRow="0" w:firstColumn="0" w:lastColumn="0" w:oddVBand="0" w:evenVBand="0" w:oddHBand="0" w:evenHBand="0" w:firstRowFirstColumn="0" w:firstRowLastColumn="0" w:lastRowFirstColumn="0" w:lastRowLastColumn="0"/>
            </w:pPr>
            <w:r w:rsidRPr="00F11826">
              <w:t>2 362</w:t>
            </w:r>
          </w:p>
        </w:tc>
        <w:tc>
          <w:tcPr>
            <w:tcW w:w="966" w:type="dxa"/>
            <w:tcBorders>
              <w:top w:val="single" w:sz="12" w:space="0" w:color="auto"/>
            </w:tcBorders>
          </w:tcPr>
          <w:p w:rsidR="00BE3E96" w:rsidRPr="00F11826" w:rsidRDefault="00BE3E96" w:rsidP="00122DDF">
            <w:pPr>
              <w:tabs>
                <w:tab w:val="left" w:pos="1980"/>
              </w:tabs>
              <w:spacing w:line="220" w:lineRule="exact"/>
              <w:cnfStyle w:val="000000000000" w:firstRow="0" w:lastRow="0" w:firstColumn="0" w:lastColumn="0" w:oddVBand="0" w:evenVBand="0" w:oddHBand="0" w:evenHBand="0" w:firstRowFirstColumn="0" w:firstRowLastColumn="0" w:lastRowFirstColumn="0" w:lastRowLastColumn="0"/>
            </w:pPr>
            <w:r w:rsidRPr="00F11826">
              <w:t>2 361</w:t>
            </w:r>
          </w:p>
        </w:tc>
      </w:tr>
      <w:tr w:rsidR="00BE3E96" w:rsidRPr="00F11826" w:rsidTr="00B92291">
        <w:tc>
          <w:tcPr>
            <w:cnfStyle w:val="001000000000" w:firstRow="0" w:lastRow="0" w:firstColumn="1" w:lastColumn="0" w:oddVBand="0" w:evenVBand="0" w:oddHBand="0" w:evenHBand="0" w:firstRowFirstColumn="0" w:firstRowLastColumn="0" w:lastRowFirstColumn="0" w:lastRowLastColumn="0"/>
            <w:tcW w:w="4474" w:type="dxa"/>
          </w:tcPr>
          <w:p w:rsidR="00BE3E96" w:rsidRPr="00F11826" w:rsidRDefault="00BE3E96" w:rsidP="00122DDF">
            <w:pPr>
              <w:tabs>
                <w:tab w:val="left" w:pos="1980"/>
              </w:tabs>
              <w:spacing w:line="220" w:lineRule="exact"/>
            </w:pPr>
            <w:r w:rsidRPr="00F11826">
              <w:t>Расследованные жалоб</w:t>
            </w:r>
            <w:r>
              <w:t>ы</w:t>
            </w:r>
          </w:p>
        </w:tc>
        <w:tc>
          <w:tcPr>
            <w:tcW w:w="965" w:type="dxa"/>
          </w:tcPr>
          <w:p w:rsidR="00BE3E96" w:rsidRPr="00F11826" w:rsidRDefault="00BE3E96" w:rsidP="00122DDF">
            <w:pPr>
              <w:tabs>
                <w:tab w:val="left" w:pos="1980"/>
              </w:tabs>
              <w:spacing w:line="220" w:lineRule="exact"/>
              <w:cnfStyle w:val="000000000000" w:firstRow="0" w:lastRow="0" w:firstColumn="0" w:lastColumn="0" w:oddVBand="0" w:evenVBand="0" w:oddHBand="0" w:evenHBand="0" w:firstRowFirstColumn="0" w:firstRowLastColumn="0" w:lastRowFirstColumn="0" w:lastRowLastColumn="0"/>
            </w:pPr>
            <w:r w:rsidRPr="00F11826">
              <w:t>601</w:t>
            </w:r>
          </w:p>
        </w:tc>
        <w:tc>
          <w:tcPr>
            <w:tcW w:w="965" w:type="dxa"/>
          </w:tcPr>
          <w:p w:rsidR="00BE3E96" w:rsidRPr="00F11826" w:rsidRDefault="00BE3E96" w:rsidP="00122DDF">
            <w:pPr>
              <w:tabs>
                <w:tab w:val="left" w:pos="1980"/>
              </w:tabs>
              <w:spacing w:line="220" w:lineRule="exact"/>
              <w:cnfStyle w:val="000000000000" w:firstRow="0" w:lastRow="0" w:firstColumn="0" w:lastColumn="0" w:oddVBand="0" w:evenVBand="0" w:oddHBand="0" w:evenHBand="0" w:firstRowFirstColumn="0" w:firstRowLastColumn="0" w:lastRowFirstColumn="0" w:lastRowLastColumn="0"/>
            </w:pPr>
            <w:r w:rsidRPr="00F11826">
              <w:t>592</w:t>
            </w:r>
          </w:p>
        </w:tc>
        <w:tc>
          <w:tcPr>
            <w:tcW w:w="966" w:type="dxa"/>
          </w:tcPr>
          <w:p w:rsidR="00BE3E96" w:rsidRPr="00F11826" w:rsidRDefault="00BE3E96" w:rsidP="00122DDF">
            <w:pPr>
              <w:tabs>
                <w:tab w:val="left" w:pos="1980"/>
              </w:tabs>
              <w:spacing w:line="220" w:lineRule="exact"/>
              <w:cnfStyle w:val="000000000000" w:firstRow="0" w:lastRow="0" w:firstColumn="0" w:lastColumn="0" w:oddVBand="0" w:evenVBand="0" w:oddHBand="0" w:evenHBand="0" w:firstRowFirstColumn="0" w:firstRowLastColumn="0" w:lastRowFirstColumn="0" w:lastRowLastColumn="0"/>
            </w:pPr>
            <w:r w:rsidRPr="00F11826">
              <w:t>660</w:t>
            </w:r>
          </w:p>
        </w:tc>
      </w:tr>
      <w:tr w:rsidR="00BE3E96" w:rsidRPr="00F11826" w:rsidTr="00F936A8">
        <w:tc>
          <w:tcPr>
            <w:cnfStyle w:val="001000000000" w:firstRow="0" w:lastRow="0" w:firstColumn="1" w:lastColumn="0" w:oddVBand="0" w:evenVBand="0" w:oddHBand="0" w:evenHBand="0" w:firstRowFirstColumn="0" w:firstRowLastColumn="0" w:lastRowFirstColumn="0" w:lastRowLastColumn="0"/>
            <w:tcW w:w="7370" w:type="dxa"/>
            <w:gridSpan w:val="4"/>
          </w:tcPr>
          <w:p w:rsidR="00BE3E96" w:rsidRPr="00F11826" w:rsidRDefault="00BE3E96" w:rsidP="00122DDF">
            <w:pPr>
              <w:tabs>
                <w:tab w:val="left" w:pos="1980"/>
              </w:tabs>
              <w:spacing w:line="220" w:lineRule="exact"/>
            </w:pPr>
            <w:r w:rsidRPr="00F11826">
              <w:t>Характер жалоб</w:t>
            </w:r>
          </w:p>
        </w:tc>
      </w:tr>
      <w:tr w:rsidR="00BE3E96" w:rsidRPr="00F11826" w:rsidTr="00B92291">
        <w:tc>
          <w:tcPr>
            <w:cnfStyle w:val="001000000000" w:firstRow="0" w:lastRow="0" w:firstColumn="1" w:lastColumn="0" w:oddVBand="0" w:evenVBand="0" w:oddHBand="0" w:evenHBand="0" w:firstRowFirstColumn="0" w:firstRowLastColumn="0" w:lastRowFirstColumn="0" w:lastRowLastColumn="0"/>
            <w:tcW w:w="4474" w:type="dxa"/>
            <w:tcBorders>
              <w:top w:val="nil"/>
            </w:tcBorders>
          </w:tcPr>
          <w:p w:rsidR="00BE3E96" w:rsidRPr="00F11826" w:rsidRDefault="00BE3E96" w:rsidP="00122DDF">
            <w:pPr>
              <w:tabs>
                <w:tab w:val="left" w:pos="1980"/>
              </w:tabs>
              <w:spacing w:line="220" w:lineRule="exact"/>
            </w:pPr>
            <w:r w:rsidRPr="00F11826">
              <w:t>Дискриминация в отношении инвалидов</w:t>
            </w:r>
          </w:p>
        </w:tc>
        <w:tc>
          <w:tcPr>
            <w:tcW w:w="965" w:type="dxa"/>
            <w:tcBorders>
              <w:top w:val="nil"/>
              <w:bottom w:val="nil"/>
            </w:tcBorders>
          </w:tcPr>
          <w:p w:rsidR="00BE3E96" w:rsidRPr="00F11826" w:rsidRDefault="00BE3E96" w:rsidP="00122DDF">
            <w:pPr>
              <w:tabs>
                <w:tab w:val="left" w:pos="1980"/>
              </w:tabs>
              <w:spacing w:line="220" w:lineRule="exact"/>
              <w:cnfStyle w:val="000000000000" w:firstRow="0" w:lastRow="0" w:firstColumn="0" w:lastColumn="0" w:oddVBand="0" w:evenVBand="0" w:oddHBand="0" w:evenHBand="0" w:firstRowFirstColumn="0" w:firstRowLastColumn="0" w:lastRowFirstColumn="0" w:lastRowLastColumn="0"/>
            </w:pPr>
            <w:r w:rsidRPr="00F11826">
              <w:t>510</w:t>
            </w:r>
          </w:p>
        </w:tc>
        <w:tc>
          <w:tcPr>
            <w:tcW w:w="965" w:type="dxa"/>
            <w:tcBorders>
              <w:top w:val="nil"/>
              <w:bottom w:val="nil"/>
            </w:tcBorders>
          </w:tcPr>
          <w:p w:rsidR="00BE3E96" w:rsidRPr="00F11826" w:rsidRDefault="00BE3E96" w:rsidP="00122DDF">
            <w:pPr>
              <w:tabs>
                <w:tab w:val="left" w:pos="1980"/>
              </w:tabs>
              <w:spacing w:line="220" w:lineRule="exact"/>
              <w:cnfStyle w:val="000000000000" w:firstRow="0" w:lastRow="0" w:firstColumn="0" w:lastColumn="0" w:oddVBand="0" w:evenVBand="0" w:oddHBand="0" w:evenHBand="0" w:firstRowFirstColumn="0" w:firstRowLastColumn="0" w:lastRowFirstColumn="0" w:lastRowLastColumn="0"/>
            </w:pPr>
            <w:r w:rsidRPr="00F11826">
              <w:t>524</w:t>
            </w:r>
          </w:p>
        </w:tc>
        <w:tc>
          <w:tcPr>
            <w:tcW w:w="966" w:type="dxa"/>
            <w:tcBorders>
              <w:top w:val="nil"/>
              <w:bottom w:val="nil"/>
            </w:tcBorders>
          </w:tcPr>
          <w:p w:rsidR="00BE3E96" w:rsidRPr="00F11826" w:rsidRDefault="00BE3E96" w:rsidP="00122DDF">
            <w:pPr>
              <w:tabs>
                <w:tab w:val="left" w:pos="1980"/>
              </w:tabs>
              <w:spacing w:line="220" w:lineRule="exact"/>
              <w:cnfStyle w:val="000000000000" w:firstRow="0" w:lastRow="0" w:firstColumn="0" w:lastColumn="0" w:oddVBand="0" w:evenVBand="0" w:oddHBand="0" w:evenHBand="0" w:firstRowFirstColumn="0" w:firstRowLastColumn="0" w:lastRowFirstColumn="0" w:lastRowLastColumn="0"/>
            </w:pPr>
            <w:r w:rsidRPr="00F11826">
              <w:t>584</w:t>
            </w:r>
          </w:p>
        </w:tc>
      </w:tr>
      <w:tr w:rsidR="00BE3E96" w:rsidRPr="00F11826" w:rsidTr="00B92291">
        <w:tc>
          <w:tcPr>
            <w:cnfStyle w:val="001000000000" w:firstRow="0" w:lastRow="0" w:firstColumn="1" w:lastColumn="0" w:oddVBand="0" w:evenVBand="0" w:oddHBand="0" w:evenHBand="0" w:firstRowFirstColumn="0" w:firstRowLastColumn="0" w:lastRowFirstColumn="0" w:lastRowLastColumn="0"/>
            <w:tcW w:w="4474" w:type="dxa"/>
            <w:tcBorders>
              <w:top w:val="nil"/>
            </w:tcBorders>
          </w:tcPr>
          <w:p w:rsidR="00BE3E96" w:rsidRPr="00F11826" w:rsidRDefault="00BE3E96" w:rsidP="00122DDF">
            <w:pPr>
              <w:tabs>
                <w:tab w:val="left" w:pos="1980"/>
              </w:tabs>
              <w:spacing w:line="220" w:lineRule="exact"/>
            </w:pPr>
            <w:r w:rsidRPr="00F11826">
              <w:t>Притеснение инвалидов</w:t>
            </w:r>
          </w:p>
        </w:tc>
        <w:tc>
          <w:tcPr>
            <w:tcW w:w="965" w:type="dxa"/>
            <w:tcBorders>
              <w:top w:val="nil"/>
            </w:tcBorders>
          </w:tcPr>
          <w:p w:rsidR="00BE3E96" w:rsidRPr="00F11826" w:rsidRDefault="00BE3E96" w:rsidP="00122DDF">
            <w:pPr>
              <w:tabs>
                <w:tab w:val="left" w:pos="1980"/>
              </w:tabs>
              <w:spacing w:line="220" w:lineRule="exact"/>
              <w:cnfStyle w:val="000000000000" w:firstRow="0" w:lastRow="0" w:firstColumn="0" w:lastColumn="0" w:oddVBand="0" w:evenVBand="0" w:oddHBand="0" w:evenHBand="0" w:firstRowFirstColumn="0" w:firstRowLastColumn="0" w:lastRowFirstColumn="0" w:lastRowLastColumn="0"/>
            </w:pPr>
            <w:r w:rsidRPr="00F11826">
              <w:t>69</w:t>
            </w:r>
          </w:p>
        </w:tc>
        <w:tc>
          <w:tcPr>
            <w:tcW w:w="965" w:type="dxa"/>
            <w:tcBorders>
              <w:top w:val="nil"/>
            </w:tcBorders>
          </w:tcPr>
          <w:p w:rsidR="00BE3E96" w:rsidRPr="00F11826" w:rsidRDefault="00BE3E96" w:rsidP="00122DDF">
            <w:pPr>
              <w:tabs>
                <w:tab w:val="left" w:pos="1980"/>
              </w:tabs>
              <w:spacing w:line="220" w:lineRule="exact"/>
              <w:cnfStyle w:val="000000000000" w:firstRow="0" w:lastRow="0" w:firstColumn="0" w:lastColumn="0" w:oddVBand="0" w:evenVBand="0" w:oddHBand="0" w:evenHBand="0" w:firstRowFirstColumn="0" w:firstRowLastColumn="0" w:lastRowFirstColumn="0" w:lastRowLastColumn="0"/>
            </w:pPr>
            <w:r w:rsidRPr="00F11826">
              <w:t>47</w:t>
            </w:r>
          </w:p>
        </w:tc>
        <w:tc>
          <w:tcPr>
            <w:tcW w:w="966" w:type="dxa"/>
            <w:tcBorders>
              <w:top w:val="nil"/>
            </w:tcBorders>
          </w:tcPr>
          <w:p w:rsidR="00BE3E96" w:rsidRPr="00F11826" w:rsidRDefault="00BE3E96" w:rsidP="00122DDF">
            <w:pPr>
              <w:tabs>
                <w:tab w:val="left" w:pos="1980"/>
              </w:tabs>
              <w:spacing w:line="220" w:lineRule="exact"/>
              <w:cnfStyle w:val="000000000000" w:firstRow="0" w:lastRow="0" w:firstColumn="0" w:lastColumn="0" w:oddVBand="0" w:evenVBand="0" w:oddHBand="0" w:evenHBand="0" w:firstRowFirstColumn="0" w:firstRowLastColumn="0" w:lastRowFirstColumn="0" w:lastRowLastColumn="0"/>
            </w:pPr>
            <w:r w:rsidRPr="00F11826">
              <w:t>50</w:t>
            </w:r>
          </w:p>
        </w:tc>
      </w:tr>
      <w:tr w:rsidR="00BE3E96" w:rsidRPr="00F11826" w:rsidTr="00B92291">
        <w:tc>
          <w:tcPr>
            <w:cnfStyle w:val="001000000000" w:firstRow="0" w:lastRow="0" w:firstColumn="1" w:lastColumn="0" w:oddVBand="0" w:evenVBand="0" w:oddHBand="0" w:evenHBand="0" w:firstRowFirstColumn="0" w:firstRowLastColumn="0" w:lastRowFirstColumn="0" w:lastRowLastColumn="0"/>
            <w:tcW w:w="4474" w:type="dxa"/>
          </w:tcPr>
          <w:p w:rsidR="00BE3E96" w:rsidRPr="00F11826" w:rsidRDefault="00BE3E96" w:rsidP="00122DDF">
            <w:pPr>
              <w:tabs>
                <w:tab w:val="left" w:pos="1980"/>
              </w:tabs>
              <w:spacing w:line="220" w:lineRule="exact"/>
            </w:pPr>
            <w:r w:rsidRPr="00F11826">
              <w:t>Диффамация инвалидов</w:t>
            </w:r>
          </w:p>
        </w:tc>
        <w:tc>
          <w:tcPr>
            <w:tcW w:w="965" w:type="dxa"/>
          </w:tcPr>
          <w:p w:rsidR="00BE3E96" w:rsidRPr="00F11826" w:rsidRDefault="00BE3E96" w:rsidP="00122DDF">
            <w:pPr>
              <w:tabs>
                <w:tab w:val="left" w:pos="1980"/>
              </w:tabs>
              <w:spacing w:line="220" w:lineRule="exact"/>
              <w:cnfStyle w:val="000000000000" w:firstRow="0" w:lastRow="0" w:firstColumn="0" w:lastColumn="0" w:oddVBand="0" w:evenVBand="0" w:oddHBand="0" w:evenHBand="0" w:firstRowFirstColumn="0" w:firstRowLastColumn="0" w:lastRowFirstColumn="0" w:lastRowLastColumn="0"/>
            </w:pPr>
            <w:r w:rsidRPr="00F11826">
              <w:t>9</w:t>
            </w:r>
          </w:p>
        </w:tc>
        <w:tc>
          <w:tcPr>
            <w:tcW w:w="965" w:type="dxa"/>
          </w:tcPr>
          <w:p w:rsidR="00BE3E96" w:rsidRPr="00F11826" w:rsidRDefault="00BE3E96" w:rsidP="00122DDF">
            <w:pPr>
              <w:tabs>
                <w:tab w:val="left" w:pos="1980"/>
              </w:tabs>
              <w:spacing w:line="220" w:lineRule="exact"/>
              <w:cnfStyle w:val="000000000000" w:firstRow="0" w:lastRow="0" w:firstColumn="0" w:lastColumn="0" w:oddVBand="0" w:evenVBand="0" w:oddHBand="0" w:evenHBand="0" w:firstRowFirstColumn="0" w:firstRowLastColumn="0" w:lastRowFirstColumn="0" w:lastRowLastColumn="0"/>
            </w:pPr>
            <w:r w:rsidRPr="00F11826">
              <w:t>10</w:t>
            </w:r>
          </w:p>
        </w:tc>
        <w:tc>
          <w:tcPr>
            <w:tcW w:w="966" w:type="dxa"/>
          </w:tcPr>
          <w:p w:rsidR="00BE3E96" w:rsidRPr="00F11826" w:rsidRDefault="00BE3E96" w:rsidP="00122DDF">
            <w:pPr>
              <w:tabs>
                <w:tab w:val="left" w:pos="1980"/>
              </w:tabs>
              <w:spacing w:line="220" w:lineRule="exact"/>
              <w:cnfStyle w:val="000000000000" w:firstRow="0" w:lastRow="0" w:firstColumn="0" w:lastColumn="0" w:oddVBand="0" w:evenVBand="0" w:oddHBand="0" w:evenHBand="0" w:firstRowFirstColumn="0" w:firstRowLastColumn="0" w:lastRowFirstColumn="0" w:lastRowLastColumn="0"/>
            </w:pPr>
            <w:r w:rsidRPr="00F11826">
              <w:t>17</w:t>
            </w:r>
          </w:p>
        </w:tc>
      </w:tr>
      <w:tr w:rsidR="00BE3E96" w:rsidRPr="00F11826" w:rsidTr="00B92291">
        <w:tc>
          <w:tcPr>
            <w:cnfStyle w:val="001000000000" w:firstRow="0" w:lastRow="0" w:firstColumn="1" w:lastColumn="0" w:oddVBand="0" w:evenVBand="0" w:oddHBand="0" w:evenHBand="0" w:firstRowFirstColumn="0" w:firstRowLastColumn="0" w:lastRowFirstColumn="0" w:lastRowLastColumn="0"/>
            <w:tcW w:w="4474" w:type="dxa"/>
          </w:tcPr>
          <w:p w:rsidR="00BE3E96" w:rsidRPr="00F11826" w:rsidRDefault="00BE3E96" w:rsidP="00122DDF">
            <w:pPr>
              <w:tabs>
                <w:tab w:val="left" w:pos="1980"/>
              </w:tabs>
              <w:spacing w:line="220" w:lineRule="exact"/>
            </w:pPr>
            <w:proofErr w:type="spellStart"/>
            <w:r w:rsidRPr="00F11826">
              <w:t>Виктимизация</w:t>
            </w:r>
            <w:proofErr w:type="spellEnd"/>
          </w:p>
        </w:tc>
        <w:tc>
          <w:tcPr>
            <w:tcW w:w="965" w:type="dxa"/>
          </w:tcPr>
          <w:p w:rsidR="00BE3E96" w:rsidRPr="00F11826" w:rsidRDefault="00BE3E96" w:rsidP="00122DDF">
            <w:pPr>
              <w:tabs>
                <w:tab w:val="left" w:pos="1980"/>
              </w:tabs>
              <w:spacing w:line="220" w:lineRule="exact"/>
              <w:cnfStyle w:val="000000000000" w:firstRow="0" w:lastRow="0" w:firstColumn="0" w:lastColumn="0" w:oddVBand="0" w:evenVBand="0" w:oddHBand="0" w:evenHBand="0" w:firstRowFirstColumn="0" w:firstRowLastColumn="0" w:lastRowFirstColumn="0" w:lastRowLastColumn="0"/>
            </w:pPr>
            <w:r w:rsidRPr="00F11826">
              <w:t>13</w:t>
            </w:r>
          </w:p>
        </w:tc>
        <w:tc>
          <w:tcPr>
            <w:tcW w:w="965" w:type="dxa"/>
          </w:tcPr>
          <w:p w:rsidR="00BE3E96" w:rsidRPr="00F11826" w:rsidRDefault="00BE3E96" w:rsidP="00122DDF">
            <w:pPr>
              <w:tabs>
                <w:tab w:val="left" w:pos="1980"/>
              </w:tabs>
              <w:spacing w:line="220" w:lineRule="exact"/>
              <w:cnfStyle w:val="000000000000" w:firstRow="0" w:lastRow="0" w:firstColumn="0" w:lastColumn="0" w:oddVBand="0" w:evenVBand="0" w:oddHBand="0" w:evenHBand="0" w:firstRowFirstColumn="0" w:firstRowLastColumn="0" w:lastRowFirstColumn="0" w:lastRowLastColumn="0"/>
            </w:pPr>
            <w:r w:rsidRPr="00F11826">
              <w:t>11</w:t>
            </w:r>
          </w:p>
        </w:tc>
        <w:tc>
          <w:tcPr>
            <w:tcW w:w="966" w:type="dxa"/>
          </w:tcPr>
          <w:p w:rsidR="00BE3E96" w:rsidRPr="00F11826" w:rsidRDefault="00BE3E96" w:rsidP="00122DDF">
            <w:pPr>
              <w:tabs>
                <w:tab w:val="left" w:pos="1980"/>
              </w:tabs>
              <w:spacing w:line="220" w:lineRule="exact"/>
              <w:cnfStyle w:val="000000000000" w:firstRow="0" w:lastRow="0" w:firstColumn="0" w:lastColumn="0" w:oddVBand="0" w:evenVBand="0" w:oddHBand="0" w:evenHBand="0" w:firstRowFirstColumn="0" w:firstRowLastColumn="0" w:lastRowFirstColumn="0" w:lastRowLastColumn="0"/>
            </w:pPr>
            <w:r w:rsidRPr="00F11826">
              <w:t>9</w:t>
            </w:r>
          </w:p>
        </w:tc>
      </w:tr>
      <w:tr w:rsidR="00BE3E96" w:rsidRPr="00F11826" w:rsidTr="00F936A8">
        <w:tc>
          <w:tcPr>
            <w:cnfStyle w:val="001000000000" w:firstRow="0" w:lastRow="0" w:firstColumn="1" w:lastColumn="0" w:oddVBand="0" w:evenVBand="0" w:oddHBand="0" w:evenHBand="0" w:firstRowFirstColumn="0" w:firstRowLastColumn="0" w:lastRowFirstColumn="0" w:lastRowLastColumn="0"/>
            <w:tcW w:w="7370" w:type="dxa"/>
            <w:gridSpan w:val="4"/>
          </w:tcPr>
          <w:p w:rsidR="00BE3E96" w:rsidRPr="00F11826" w:rsidRDefault="00BE3E96" w:rsidP="00122DDF">
            <w:pPr>
              <w:tabs>
                <w:tab w:val="left" w:pos="1980"/>
              </w:tabs>
              <w:spacing w:line="220" w:lineRule="exact"/>
            </w:pPr>
            <w:r w:rsidRPr="00F11826">
              <w:t>Область жалоб</w:t>
            </w:r>
          </w:p>
        </w:tc>
      </w:tr>
      <w:tr w:rsidR="00BE3E96" w:rsidRPr="00F11826" w:rsidTr="00B92291">
        <w:tc>
          <w:tcPr>
            <w:cnfStyle w:val="001000000000" w:firstRow="0" w:lastRow="0" w:firstColumn="1" w:lastColumn="0" w:oddVBand="0" w:evenVBand="0" w:oddHBand="0" w:evenHBand="0" w:firstRowFirstColumn="0" w:firstRowLastColumn="0" w:lastRowFirstColumn="0" w:lastRowLastColumn="0"/>
            <w:tcW w:w="4474" w:type="dxa"/>
          </w:tcPr>
          <w:p w:rsidR="00BE3E96" w:rsidRPr="00F11826" w:rsidRDefault="00BE3E96" w:rsidP="00122DDF">
            <w:pPr>
              <w:tabs>
                <w:tab w:val="left" w:pos="1980"/>
              </w:tabs>
              <w:spacing w:line="220" w:lineRule="exact"/>
            </w:pPr>
            <w:r w:rsidRPr="00F11826">
              <w:t>Касающиеся занятости</w:t>
            </w:r>
          </w:p>
        </w:tc>
        <w:tc>
          <w:tcPr>
            <w:tcW w:w="965" w:type="dxa"/>
          </w:tcPr>
          <w:p w:rsidR="00BE3E96" w:rsidRPr="00F11826" w:rsidRDefault="00BE3E96" w:rsidP="00122DDF">
            <w:pPr>
              <w:tabs>
                <w:tab w:val="left" w:pos="1980"/>
              </w:tabs>
              <w:spacing w:line="220" w:lineRule="exact"/>
              <w:cnfStyle w:val="000000000000" w:firstRow="0" w:lastRow="0" w:firstColumn="0" w:lastColumn="0" w:oddVBand="0" w:evenVBand="0" w:oddHBand="0" w:evenHBand="0" w:firstRowFirstColumn="0" w:firstRowLastColumn="0" w:lastRowFirstColumn="0" w:lastRowLastColumn="0"/>
            </w:pPr>
            <w:r w:rsidRPr="00F11826">
              <w:t>470</w:t>
            </w:r>
          </w:p>
        </w:tc>
        <w:tc>
          <w:tcPr>
            <w:tcW w:w="965" w:type="dxa"/>
          </w:tcPr>
          <w:p w:rsidR="00BE3E96" w:rsidRPr="00F11826" w:rsidRDefault="00BE3E96" w:rsidP="00122DDF">
            <w:pPr>
              <w:tabs>
                <w:tab w:val="left" w:pos="1980"/>
              </w:tabs>
              <w:spacing w:line="220" w:lineRule="exact"/>
              <w:cnfStyle w:val="000000000000" w:firstRow="0" w:lastRow="0" w:firstColumn="0" w:lastColumn="0" w:oddVBand="0" w:evenVBand="0" w:oddHBand="0" w:evenHBand="0" w:firstRowFirstColumn="0" w:firstRowLastColumn="0" w:lastRowFirstColumn="0" w:lastRowLastColumn="0"/>
            </w:pPr>
            <w:r w:rsidRPr="00F11826">
              <w:t>467</w:t>
            </w:r>
          </w:p>
        </w:tc>
        <w:tc>
          <w:tcPr>
            <w:tcW w:w="966" w:type="dxa"/>
          </w:tcPr>
          <w:p w:rsidR="00BE3E96" w:rsidRPr="00F11826" w:rsidRDefault="00BE3E96" w:rsidP="00122DDF">
            <w:pPr>
              <w:tabs>
                <w:tab w:val="left" w:pos="1980"/>
              </w:tabs>
              <w:spacing w:line="220" w:lineRule="exact"/>
              <w:cnfStyle w:val="000000000000" w:firstRow="0" w:lastRow="0" w:firstColumn="0" w:lastColumn="0" w:oddVBand="0" w:evenVBand="0" w:oddHBand="0" w:evenHBand="0" w:firstRowFirstColumn="0" w:firstRowLastColumn="0" w:lastRowFirstColumn="0" w:lastRowLastColumn="0"/>
            </w:pPr>
            <w:r w:rsidRPr="00F11826">
              <w:t>498</w:t>
            </w:r>
          </w:p>
        </w:tc>
      </w:tr>
      <w:tr w:rsidR="00BE3E96" w:rsidRPr="00F11826" w:rsidTr="00B92291">
        <w:tc>
          <w:tcPr>
            <w:cnfStyle w:val="001000000000" w:firstRow="0" w:lastRow="0" w:firstColumn="1" w:lastColumn="0" w:oddVBand="0" w:evenVBand="0" w:oddHBand="0" w:evenHBand="0" w:firstRowFirstColumn="0" w:firstRowLastColumn="0" w:lastRowFirstColumn="0" w:lastRowLastColumn="0"/>
            <w:tcW w:w="4474" w:type="dxa"/>
          </w:tcPr>
          <w:p w:rsidR="00BE3E96" w:rsidRPr="00F11826" w:rsidRDefault="00BE3E96" w:rsidP="00122DDF">
            <w:pPr>
              <w:tabs>
                <w:tab w:val="left" w:pos="1980"/>
              </w:tabs>
              <w:spacing w:line="220" w:lineRule="exact"/>
            </w:pPr>
            <w:r w:rsidRPr="00F11826">
              <w:t xml:space="preserve">Не касающиеся занятости </w:t>
            </w:r>
          </w:p>
        </w:tc>
        <w:tc>
          <w:tcPr>
            <w:tcW w:w="965" w:type="dxa"/>
          </w:tcPr>
          <w:p w:rsidR="00BE3E96" w:rsidRPr="00F11826" w:rsidRDefault="00BE3E96" w:rsidP="00122DDF">
            <w:pPr>
              <w:tabs>
                <w:tab w:val="left" w:pos="1980"/>
              </w:tabs>
              <w:spacing w:line="220" w:lineRule="exact"/>
              <w:cnfStyle w:val="000000000000" w:firstRow="0" w:lastRow="0" w:firstColumn="0" w:lastColumn="0" w:oddVBand="0" w:evenVBand="0" w:oddHBand="0" w:evenHBand="0" w:firstRowFirstColumn="0" w:firstRowLastColumn="0" w:lastRowFirstColumn="0" w:lastRowLastColumn="0"/>
            </w:pPr>
            <w:r w:rsidRPr="00F11826">
              <w:t>131</w:t>
            </w:r>
          </w:p>
        </w:tc>
        <w:tc>
          <w:tcPr>
            <w:tcW w:w="965" w:type="dxa"/>
          </w:tcPr>
          <w:p w:rsidR="00BE3E96" w:rsidRPr="00F11826" w:rsidRDefault="00BE3E96" w:rsidP="00122DDF">
            <w:pPr>
              <w:tabs>
                <w:tab w:val="left" w:pos="1980"/>
              </w:tabs>
              <w:spacing w:line="220" w:lineRule="exact"/>
              <w:cnfStyle w:val="000000000000" w:firstRow="0" w:lastRow="0" w:firstColumn="0" w:lastColumn="0" w:oddVBand="0" w:evenVBand="0" w:oddHBand="0" w:evenHBand="0" w:firstRowFirstColumn="0" w:firstRowLastColumn="0" w:lastRowFirstColumn="0" w:lastRowLastColumn="0"/>
            </w:pPr>
            <w:r w:rsidRPr="00F11826">
              <w:t>125</w:t>
            </w:r>
          </w:p>
        </w:tc>
        <w:tc>
          <w:tcPr>
            <w:tcW w:w="966" w:type="dxa"/>
          </w:tcPr>
          <w:p w:rsidR="00BE3E96" w:rsidRPr="00F11826" w:rsidRDefault="00BE3E96" w:rsidP="00122DDF">
            <w:pPr>
              <w:tabs>
                <w:tab w:val="left" w:pos="1980"/>
              </w:tabs>
              <w:spacing w:line="220" w:lineRule="exact"/>
              <w:cnfStyle w:val="000000000000" w:firstRow="0" w:lastRow="0" w:firstColumn="0" w:lastColumn="0" w:oddVBand="0" w:evenVBand="0" w:oddHBand="0" w:evenHBand="0" w:firstRowFirstColumn="0" w:firstRowLastColumn="0" w:lastRowFirstColumn="0" w:lastRowLastColumn="0"/>
            </w:pPr>
            <w:r w:rsidRPr="00F11826">
              <w:t>162</w:t>
            </w:r>
          </w:p>
        </w:tc>
      </w:tr>
      <w:tr w:rsidR="00BE3E96" w:rsidRPr="00F11826" w:rsidTr="00F936A8">
        <w:tc>
          <w:tcPr>
            <w:cnfStyle w:val="001000000000" w:firstRow="0" w:lastRow="0" w:firstColumn="1" w:lastColumn="0" w:oddVBand="0" w:evenVBand="0" w:oddHBand="0" w:evenHBand="0" w:firstRowFirstColumn="0" w:firstRowLastColumn="0" w:lastRowFirstColumn="0" w:lastRowLastColumn="0"/>
            <w:tcW w:w="7370" w:type="dxa"/>
            <w:gridSpan w:val="4"/>
          </w:tcPr>
          <w:p w:rsidR="00BE3E96" w:rsidRPr="00F11826" w:rsidRDefault="00BE3E96" w:rsidP="00122DDF">
            <w:pPr>
              <w:tabs>
                <w:tab w:val="left" w:pos="1980"/>
              </w:tabs>
              <w:spacing w:line="220" w:lineRule="exact"/>
            </w:pPr>
            <w:r w:rsidRPr="00F11826">
              <w:t xml:space="preserve">Стремление к примирению </w:t>
            </w:r>
          </w:p>
        </w:tc>
      </w:tr>
      <w:tr w:rsidR="00BE3E96" w:rsidRPr="00F11826" w:rsidTr="00B92291">
        <w:tc>
          <w:tcPr>
            <w:cnfStyle w:val="001000000000" w:firstRow="0" w:lastRow="0" w:firstColumn="1" w:lastColumn="0" w:oddVBand="0" w:evenVBand="0" w:oddHBand="0" w:evenHBand="0" w:firstRowFirstColumn="0" w:firstRowLastColumn="0" w:lastRowFirstColumn="0" w:lastRowLastColumn="0"/>
            <w:tcW w:w="4474" w:type="dxa"/>
          </w:tcPr>
          <w:p w:rsidR="00BE3E96" w:rsidRPr="00F11826" w:rsidRDefault="00BE3E96" w:rsidP="00122DDF">
            <w:pPr>
              <w:tabs>
                <w:tab w:val="left" w:pos="1980"/>
              </w:tabs>
              <w:spacing w:line="220" w:lineRule="exact"/>
            </w:pPr>
            <w:r w:rsidRPr="00F11826">
              <w:t xml:space="preserve">Попытки примирения </w:t>
            </w:r>
          </w:p>
        </w:tc>
        <w:tc>
          <w:tcPr>
            <w:tcW w:w="965" w:type="dxa"/>
          </w:tcPr>
          <w:p w:rsidR="00BE3E96" w:rsidRPr="00F11826" w:rsidRDefault="00BE3E96" w:rsidP="00122DDF">
            <w:pPr>
              <w:tabs>
                <w:tab w:val="left" w:pos="1980"/>
              </w:tabs>
              <w:spacing w:line="220" w:lineRule="exact"/>
              <w:cnfStyle w:val="000000000000" w:firstRow="0" w:lastRow="0" w:firstColumn="0" w:lastColumn="0" w:oddVBand="0" w:evenVBand="0" w:oddHBand="0" w:evenHBand="0" w:firstRowFirstColumn="0" w:firstRowLastColumn="0" w:lastRowFirstColumn="0" w:lastRowLastColumn="0"/>
            </w:pPr>
            <w:r w:rsidRPr="00F11826">
              <w:t>163</w:t>
            </w:r>
          </w:p>
        </w:tc>
        <w:tc>
          <w:tcPr>
            <w:tcW w:w="965" w:type="dxa"/>
          </w:tcPr>
          <w:p w:rsidR="00BE3E96" w:rsidRPr="00F11826" w:rsidRDefault="00BE3E96" w:rsidP="00122DDF">
            <w:pPr>
              <w:tabs>
                <w:tab w:val="left" w:pos="1980"/>
              </w:tabs>
              <w:spacing w:line="220" w:lineRule="exact"/>
              <w:cnfStyle w:val="000000000000" w:firstRow="0" w:lastRow="0" w:firstColumn="0" w:lastColumn="0" w:oddVBand="0" w:evenVBand="0" w:oddHBand="0" w:evenHBand="0" w:firstRowFirstColumn="0" w:firstRowLastColumn="0" w:lastRowFirstColumn="0" w:lastRowLastColumn="0"/>
            </w:pPr>
            <w:r w:rsidRPr="00F11826">
              <w:t>131</w:t>
            </w:r>
          </w:p>
        </w:tc>
        <w:tc>
          <w:tcPr>
            <w:tcW w:w="965" w:type="dxa"/>
          </w:tcPr>
          <w:p w:rsidR="00BE3E96" w:rsidRPr="00F11826" w:rsidRDefault="00BE3E96" w:rsidP="00122DDF">
            <w:pPr>
              <w:tabs>
                <w:tab w:val="left" w:pos="1980"/>
              </w:tabs>
              <w:spacing w:line="220" w:lineRule="exact"/>
              <w:cnfStyle w:val="000000000000" w:firstRow="0" w:lastRow="0" w:firstColumn="0" w:lastColumn="0" w:oddVBand="0" w:evenVBand="0" w:oddHBand="0" w:evenHBand="0" w:firstRowFirstColumn="0" w:firstRowLastColumn="0" w:lastRowFirstColumn="0" w:lastRowLastColumn="0"/>
            </w:pPr>
            <w:r w:rsidRPr="00F11826">
              <w:t>173</w:t>
            </w:r>
          </w:p>
        </w:tc>
      </w:tr>
      <w:tr w:rsidR="00BE3E96" w:rsidRPr="00F11826" w:rsidTr="00B92291">
        <w:tc>
          <w:tcPr>
            <w:cnfStyle w:val="001000000000" w:firstRow="0" w:lastRow="0" w:firstColumn="1" w:lastColumn="0" w:oddVBand="0" w:evenVBand="0" w:oddHBand="0" w:evenHBand="0" w:firstRowFirstColumn="0" w:firstRowLastColumn="0" w:lastRowFirstColumn="0" w:lastRowLastColumn="0"/>
            <w:tcW w:w="4474" w:type="dxa"/>
          </w:tcPr>
          <w:p w:rsidR="00BE3E96" w:rsidRPr="00F11826" w:rsidRDefault="00BE3E96" w:rsidP="00122DDF">
            <w:pPr>
              <w:tabs>
                <w:tab w:val="left" w:pos="1980"/>
              </w:tabs>
              <w:spacing w:line="220" w:lineRule="exact"/>
            </w:pPr>
            <w:r w:rsidRPr="00F11826">
              <w:t>Примирение</w:t>
            </w:r>
          </w:p>
        </w:tc>
        <w:tc>
          <w:tcPr>
            <w:tcW w:w="965" w:type="dxa"/>
          </w:tcPr>
          <w:p w:rsidR="00BE3E96" w:rsidRPr="00F11826" w:rsidRDefault="00BE3E96" w:rsidP="00122DDF">
            <w:pPr>
              <w:tabs>
                <w:tab w:val="left" w:pos="1980"/>
              </w:tabs>
              <w:spacing w:line="220" w:lineRule="exact"/>
              <w:cnfStyle w:val="000000000000" w:firstRow="0" w:lastRow="0" w:firstColumn="0" w:lastColumn="0" w:oddVBand="0" w:evenVBand="0" w:oddHBand="0" w:evenHBand="0" w:firstRowFirstColumn="0" w:firstRowLastColumn="0" w:lastRowFirstColumn="0" w:lastRowLastColumn="0"/>
            </w:pPr>
            <w:r w:rsidRPr="00F11826">
              <w:t>127</w:t>
            </w:r>
          </w:p>
        </w:tc>
        <w:tc>
          <w:tcPr>
            <w:tcW w:w="965" w:type="dxa"/>
          </w:tcPr>
          <w:p w:rsidR="00BE3E96" w:rsidRPr="00F11826" w:rsidRDefault="00BE3E96" w:rsidP="00122DDF">
            <w:pPr>
              <w:tabs>
                <w:tab w:val="left" w:pos="1980"/>
              </w:tabs>
              <w:spacing w:line="220" w:lineRule="exact"/>
              <w:cnfStyle w:val="000000000000" w:firstRow="0" w:lastRow="0" w:firstColumn="0" w:lastColumn="0" w:oddVBand="0" w:evenVBand="0" w:oddHBand="0" w:evenHBand="0" w:firstRowFirstColumn="0" w:firstRowLastColumn="0" w:lastRowFirstColumn="0" w:lastRowLastColumn="0"/>
            </w:pPr>
            <w:r w:rsidRPr="00F11826">
              <w:t>92</w:t>
            </w:r>
          </w:p>
        </w:tc>
        <w:tc>
          <w:tcPr>
            <w:tcW w:w="965" w:type="dxa"/>
          </w:tcPr>
          <w:p w:rsidR="00BE3E96" w:rsidRPr="00F11826" w:rsidRDefault="00BE3E96" w:rsidP="00122DDF">
            <w:pPr>
              <w:tabs>
                <w:tab w:val="left" w:pos="1980"/>
              </w:tabs>
              <w:spacing w:line="220" w:lineRule="exact"/>
              <w:cnfStyle w:val="000000000000" w:firstRow="0" w:lastRow="0" w:firstColumn="0" w:lastColumn="0" w:oddVBand="0" w:evenVBand="0" w:oddHBand="0" w:evenHBand="0" w:firstRowFirstColumn="0" w:firstRowLastColumn="0" w:lastRowFirstColumn="0" w:lastRowLastColumn="0"/>
            </w:pPr>
            <w:r w:rsidRPr="00F11826">
              <w:t>100</w:t>
            </w:r>
          </w:p>
        </w:tc>
      </w:tr>
      <w:tr w:rsidR="00BE3E96" w:rsidRPr="00F11826" w:rsidTr="00B92291">
        <w:tc>
          <w:tcPr>
            <w:cnfStyle w:val="001000000000" w:firstRow="0" w:lastRow="0" w:firstColumn="1" w:lastColumn="0" w:oddVBand="0" w:evenVBand="0" w:oddHBand="0" w:evenHBand="0" w:firstRowFirstColumn="0" w:firstRowLastColumn="0" w:lastRowFirstColumn="0" w:lastRowLastColumn="0"/>
            <w:tcW w:w="4474" w:type="dxa"/>
          </w:tcPr>
          <w:p w:rsidR="00BE3E96" w:rsidRPr="00F11826" w:rsidRDefault="00BE3E96" w:rsidP="00122DDF">
            <w:pPr>
              <w:tabs>
                <w:tab w:val="left" w:pos="1980"/>
              </w:tabs>
              <w:spacing w:line="220" w:lineRule="exact"/>
            </w:pPr>
            <w:r>
              <w:t>Неудавши</w:t>
            </w:r>
            <w:r w:rsidRPr="00F11826">
              <w:t xml:space="preserve">еся </w:t>
            </w:r>
            <w:r>
              <w:t xml:space="preserve">попытки </w:t>
            </w:r>
            <w:r w:rsidRPr="00F11826">
              <w:t>примирени</w:t>
            </w:r>
            <w:r>
              <w:t>я</w:t>
            </w:r>
          </w:p>
        </w:tc>
        <w:tc>
          <w:tcPr>
            <w:tcW w:w="965" w:type="dxa"/>
          </w:tcPr>
          <w:p w:rsidR="00BE3E96" w:rsidRPr="00F11826" w:rsidRDefault="00BE3E96" w:rsidP="00122DDF">
            <w:pPr>
              <w:tabs>
                <w:tab w:val="left" w:pos="1980"/>
              </w:tabs>
              <w:spacing w:line="220" w:lineRule="exact"/>
              <w:cnfStyle w:val="000000000000" w:firstRow="0" w:lastRow="0" w:firstColumn="0" w:lastColumn="0" w:oddVBand="0" w:evenVBand="0" w:oddHBand="0" w:evenHBand="0" w:firstRowFirstColumn="0" w:firstRowLastColumn="0" w:lastRowFirstColumn="0" w:lastRowLastColumn="0"/>
            </w:pPr>
            <w:r w:rsidRPr="00F11826">
              <w:t>36</w:t>
            </w:r>
          </w:p>
        </w:tc>
        <w:tc>
          <w:tcPr>
            <w:tcW w:w="965" w:type="dxa"/>
          </w:tcPr>
          <w:p w:rsidR="00BE3E96" w:rsidRPr="00F11826" w:rsidRDefault="00BE3E96" w:rsidP="00122DDF">
            <w:pPr>
              <w:tabs>
                <w:tab w:val="left" w:pos="1980"/>
              </w:tabs>
              <w:spacing w:line="220" w:lineRule="exact"/>
              <w:cnfStyle w:val="000000000000" w:firstRow="0" w:lastRow="0" w:firstColumn="0" w:lastColumn="0" w:oddVBand="0" w:evenVBand="0" w:oddHBand="0" w:evenHBand="0" w:firstRowFirstColumn="0" w:firstRowLastColumn="0" w:lastRowFirstColumn="0" w:lastRowLastColumn="0"/>
            </w:pPr>
            <w:r w:rsidRPr="00F11826">
              <w:t>39</w:t>
            </w:r>
          </w:p>
        </w:tc>
        <w:tc>
          <w:tcPr>
            <w:tcW w:w="965" w:type="dxa"/>
          </w:tcPr>
          <w:p w:rsidR="00BE3E96" w:rsidRPr="00F11826" w:rsidRDefault="00BE3E96" w:rsidP="00122DDF">
            <w:pPr>
              <w:tabs>
                <w:tab w:val="left" w:pos="1980"/>
              </w:tabs>
              <w:spacing w:line="220" w:lineRule="exact"/>
              <w:cnfStyle w:val="000000000000" w:firstRow="0" w:lastRow="0" w:firstColumn="0" w:lastColumn="0" w:oddVBand="0" w:evenVBand="0" w:oddHBand="0" w:evenHBand="0" w:firstRowFirstColumn="0" w:firstRowLastColumn="0" w:lastRowFirstColumn="0" w:lastRowLastColumn="0"/>
            </w:pPr>
            <w:r w:rsidRPr="00F11826">
              <w:t>73</w:t>
            </w:r>
          </w:p>
        </w:tc>
      </w:tr>
    </w:tbl>
    <w:p w:rsidR="00BE3E96" w:rsidRPr="006C4869" w:rsidRDefault="00BE3E96" w:rsidP="007F18DC">
      <w:pPr>
        <w:pStyle w:val="H4GR"/>
        <w:tabs>
          <w:tab w:val="left" w:pos="1148"/>
          <w:tab w:val="left" w:pos="1980"/>
        </w:tabs>
        <w:spacing w:before="240" w:line="240" w:lineRule="atLeast"/>
      </w:pPr>
      <w:r w:rsidRPr="007F18DC">
        <w:tab/>
      </w:r>
      <w:r w:rsidRPr="007F18DC">
        <w:tab/>
      </w:r>
      <w:r w:rsidRPr="006C4869">
        <w:t>Юридическая</w:t>
      </w:r>
      <w:r w:rsidRPr="007F18DC">
        <w:t xml:space="preserve"> </w:t>
      </w:r>
      <w:r w:rsidRPr="006C4869">
        <w:t>помощь</w:t>
      </w:r>
    </w:p>
    <w:p w:rsidR="00BE3E96" w:rsidRPr="006C4869" w:rsidRDefault="00BE3E96" w:rsidP="007F18DC">
      <w:pPr>
        <w:pStyle w:val="SingleTxtGR"/>
        <w:tabs>
          <w:tab w:val="left" w:pos="1980"/>
        </w:tabs>
        <w:spacing w:line="220" w:lineRule="atLeast"/>
      </w:pPr>
      <w:r w:rsidRPr="006C4869">
        <w:t>2.30</w:t>
      </w:r>
      <w:r w:rsidRPr="006C4869">
        <w:tab/>
        <w:t>Количество дел, рассмотренных в период между 2007 и 2009</w:t>
      </w:r>
      <w:r w:rsidR="00B92291">
        <w:t> год</w:t>
      </w:r>
      <w:r w:rsidRPr="006C4869">
        <w:t>ами:</w:t>
      </w:r>
    </w:p>
    <w:tbl>
      <w:tblPr>
        <w:tblStyle w:val="TabNum"/>
        <w:tblW w:w="7370" w:type="dxa"/>
        <w:tblInd w:w="1134" w:type="dxa"/>
        <w:tblLayout w:type="fixed"/>
        <w:tblLook w:val="01E0" w:firstRow="1" w:lastRow="1" w:firstColumn="1" w:lastColumn="1" w:noHBand="0" w:noVBand="0"/>
      </w:tblPr>
      <w:tblGrid>
        <w:gridCol w:w="560"/>
        <w:gridCol w:w="1526"/>
        <w:gridCol w:w="1610"/>
        <w:gridCol w:w="1427"/>
        <w:gridCol w:w="1106"/>
        <w:gridCol w:w="1141"/>
      </w:tblGrid>
      <w:tr w:rsidR="00BE3E96" w:rsidRPr="00B535DC" w:rsidTr="00102F51">
        <w:trPr>
          <w:tblHeader/>
        </w:trPr>
        <w:tc>
          <w:tcPr>
            <w:cnfStyle w:val="001000000000" w:firstRow="0" w:lastRow="0" w:firstColumn="1" w:lastColumn="0" w:oddVBand="0" w:evenVBand="0" w:oddHBand="0" w:evenHBand="0" w:firstRowFirstColumn="0" w:firstRowLastColumn="0" w:lastRowFirstColumn="0" w:lastRowLastColumn="0"/>
            <w:tcW w:w="560" w:type="dxa"/>
            <w:tcBorders>
              <w:bottom w:val="single" w:sz="12" w:space="0" w:color="auto"/>
            </w:tcBorders>
            <w:shd w:val="clear" w:color="auto" w:fill="auto"/>
          </w:tcPr>
          <w:p w:rsidR="00BE3E96" w:rsidRPr="00B535DC" w:rsidRDefault="00BE3E96" w:rsidP="00122DDF">
            <w:pPr>
              <w:tabs>
                <w:tab w:val="left" w:pos="1980"/>
              </w:tabs>
              <w:spacing w:line="200" w:lineRule="atLeast"/>
              <w:rPr>
                <w:i/>
                <w:sz w:val="16"/>
              </w:rPr>
            </w:pPr>
            <w:r w:rsidRPr="00B535DC">
              <w:rPr>
                <w:i/>
                <w:sz w:val="16"/>
              </w:rPr>
              <w:t>Год</w:t>
            </w:r>
          </w:p>
        </w:tc>
        <w:tc>
          <w:tcPr>
            <w:tcW w:w="1526" w:type="dxa"/>
            <w:tcBorders>
              <w:top w:val="single" w:sz="4" w:space="0" w:color="auto"/>
              <w:bottom w:val="single" w:sz="12" w:space="0" w:color="auto"/>
            </w:tcBorders>
            <w:shd w:val="clear" w:color="auto" w:fill="auto"/>
          </w:tcPr>
          <w:p w:rsidR="00BE3E96" w:rsidRPr="00B535DC" w:rsidRDefault="00BE3E96" w:rsidP="00122DDF">
            <w:pPr>
              <w:tabs>
                <w:tab w:val="left" w:pos="1980"/>
              </w:tabs>
              <w:spacing w:line="200" w:lineRule="atLeast"/>
              <w:cnfStyle w:val="000000000000" w:firstRow="0" w:lastRow="0" w:firstColumn="0" w:lastColumn="0" w:oddVBand="0" w:evenVBand="0" w:oddHBand="0" w:evenHBand="0" w:firstRowFirstColumn="0" w:firstRowLastColumn="0" w:lastRowFirstColumn="0" w:lastRowLastColumn="0"/>
              <w:rPr>
                <w:i/>
                <w:sz w:val="16"/>
              </w:rPr>
            </w:pPr>
            <w:r w:rsidRPr="00B535DC">
              <w:rPr>
                <w:i/>
                <w:sz w:val="16"/>
              </w:rPr>
              <w:t>Удовлетворе</w:t>
            </w:r>
            <w:r w:rsidRPr="00B535DC">
              <w:rPr>
                <w:i/>
                <w:sz w:val="16"/>
              </w:rPr>
              <w:t>н</w:t>
            </w:r>
            <w:r w:rsidRPr="00B535DC">
              <w:rPr>
                <w:i/>
                <w:sz w:val="16"/>
              </w:rPr>
              <w:t>ные</w:t>
            </w:r>
          </w:p>
        </w:tc>
        <w:tc>
          <w:tcPr>
            <w:tcW w:w="1610" w:type="dxa"/>
            <w:tcBorders>
              <w:top w:val="single" w:sz="4" w:space="0" w:color="auto"/>
              <w:bottom w:val="single" w:sz="12" w:space="0" w:color="auto"/>
            </w:tcBorders>
            <w:shd w:val="clear" w:color="auto" w:fill="auto"/>
          </w:tcPr>
          <w:p w:rsidR="00BE3E96" w:rsidRPr="00B535DC" w:rsidRDefault="00BE3E96" w:rsidP="00122DDF">
            <w:pPr>
              <w:tabs>
                <w:tab w:val="left" w:pos="1980"/>
              </w:tabs>
              <w:spacing w:line="200" w:lineRule="atLeast"/>
              <w:cnfStyle w:val="000000000000" w:firstRow="0" w:lastRow="0" w:firstColumn="0" w:lastColumn="0" w:oddVBand="0" w:evenVBand="0" w:oddHBand="0" w:evenHBand="0" w:firstRowFirstColumn="0" w:firstRowLastColumn="0" w:lastRowFirstColumn="0" w:lastRowLastColumn="0"/>
              <w:rPr>
                <w:i/>
                <w:sz w:val="16"/>
              </w:rPr>
            </w:pPr>
            <w:r w:rsidRPr="00B535DC">
              <w:rPr>
                <w:i/>
                <w:sz w:val="16"/>
              </w:rPr>
              <w:t>Неудовлетв</w:t>
            </w:r>
            <w:r w:rsidRPr="00B535DC">
              <w:rPr>
                <w:i/>
                <w:sz w:val="16"/>
              </w:rPr>
              <w:t>о</w:t>
            </w:r>
            <w:r w:rsidRPr="00B535DC">
              <w:rPr>
                <w:i/>
                <w:sz w:val="16"/>
              </w:rPr>
              <w:t>ренные</w:t>
            </w:r>
          </w:p>
        </w:tc>
        <w:tc>
          <w:tcPr>
            <w:tcW w:w="1427" w:type="dxa"/>
            <w:tcBorders>
              <w:top w:val="single" w:sz="4" w:space="0" w:color="auto"/>
              <w:bottom w:val="single" w:sz="12" w:space="0" w:color="auto"/>
            </w:tcBorders>
            <w:shd w:val="clear" w:color="auto" w:fill="auto"/>
          </w:tcPr>
          <w:p w:rsidR="00BE3E96" w:rsidRPr="00B535DC" w:rsidRDefault="00BE3E96" w:rsidP="00122DDF">
            <w:pPr>
              <w:tabs>
                <w:tab w:val="left" w:pos="1980"/>
              </w:tabs>
              <w:spacing w:line="200" w:lineRule="atLeast"/>
              <w:cnfStyle w:val="000000000000" w:firstRow="0" w:lastRow="0" w:firstColumn="0" w:lastColumn="0" w:oddVBand="0" w:evenVBand="0" w:oddHBand="0" w:evenHBand="0" w:firstRowFirstColumn="0" w:firstRowLastColumn="0" w:lastRowFirstColumn="0" w:lastRowLastColumn="0"/>
              <w:rPr>
                <w:i/>
                <w:sz w:val="16"/>
              </w:rPr>
            </w:pPr>
            <w:r w:rsidRPr="00B535DC">
              <w:rPr>
                <w:i/>
                <w:sz w:val="16"/>
              </w:rPr>
              <w:t>На рассмотрении</w:t>
            </w:r>
          </w:p>
        </w:tc>
        <w:tc>
          <w:tcPr>
            <w:tcW w:w="1106" w:type="dxa"/>
            <w:tcBorders>
              <w:top w:val="single" w:sz="4" w:space="0" w:color="auto"/>
              <w:bottom w:val="single" w:sz="12" w:space="0" w:color="auto"/>
            </w:tcBorders>
            <w:shd w:val="clear" w:color="auto" w:fill="auto"/>
          </w:tcPr>
          <w:p w:rsidR="00BE3E96" w:rsidRPr="00B535DC" w:rsidRDefault="00BE3E96" w:rsidP="00122DDF">
            <w:pPr>
              <w:tabs>
                <w:tab w:val="left" w:pos="1980"/>
              </w:tabs>
              <w:spacing w:line="200" w:lineRule="atLeast"/>
              <w:cnfStyle w:val="000000000000" w:firstRow="0" w:lastRow="0" w:firstColumn="0" w:lastColumn="0" w:oddVBand="0" w:evenVBand="0" w:oddHBand="0" w:evenHBand="0" w:firstRowFirstColumn="0" w:firstRowLastColumn="0" w:lastRowFirstColumn="0" w:lastRowLastColumn="0"/>
              <w:rPr>
                <w:i/>
                <w:sz w:val="16"/>
              </w:rPr>
            </w:pPr>
            <w:r w:rsidRPr="00B535DC">
              <w:rPr>
                <w:i/>
                <w:sz w:val="16"/>
              </w:rPr>
              <w:t>Отозванные</w:t>
            </w:r>
          </w:p>
        </w:tc>
        <w:tc>
          <w:tcPr>
            <w:tcW w:w="1141" w:type="dxa"/>
            <w:tcBorders>
              <w:top w:val="single" w:sz="4" w:space="0" w:color="auto"/>
              <w:bottom w:val="single" w:sz="12" w:space="0" w:color="auto"/>
            </w:tcBorders>
            <w:shd w:val="clear" w:color="auto" w:fill="auto"/>
          </w:tcPr>
          <w:p w:rsidR="00BE3E96" w:rsidRPr="00B535DC" w:rsidRDefault="00BE3E96" w:rsidP="00122DDF">
            <w:pPr>
              <w:tabs>
                <w:tab w:val="left" w:pos="1980"/>
              </w:tabs>
              <w:spacing w:line="200" w:lineRule="atLeast"/>
              <w:cnfStyle w:val="000000000000" w:firstRow="0" w:lastRow="0" w:firstColumn="0" w:lastColumn="0" w:oddVBand="0" w:evenVBand="0" w:oddHBand="0" w:evenHBand="0" w:firstRowFirstColumn="0" w:firstRowLastColumn="0" w:lastRowFirstColumn="0" w:lastRowLastColumn="0"/>
              <w:rPr>
                <w:i/>
                <w:sz w:val="16"/>
              </w:rPr>
            </w:pPr>
            <w:r w:rsidRPr="00102F51">
              <w:rPr>
                <w:b/>
                <w:i/>
                <w:sz w:val="16"/>
              </w:rPr>
              <w:t>Итого</w:t>
            </w:r>
            <w:r w:rsidR="00B92291" w:rsidRPr="00102F51">
              <w:rPr>
                <w:b/>
                <w:i/>
                <w:sz w:val="16"/>
              </w:rPr>
              <w:br/>
            </w:r>
            <w:r w:rsidRPr="00102F51">
              <w:rPr>
                <w:b/>
                <w:i/>
                <w:sz w:val="16"/>
              </w:rPr>
              <w:t>заявит</w:t>
            </w:r>
            <w:r w:rsidRPr="00102F51">
              <w:rPr>
                <w:b/>
                <w:i/>
                <w:sz w:val="16"/>
              </w:rPr>
              <w:t>е</w:t>
            </w:r>
            <w:r w:rsidRPr="00102F51">
              <w:rPr>
                <w:b/>
                <w:i/>
                <w:sz w:val="16"/>
              </w:rPr>
              <w:t>лей</w:t>
            </w:r>
            <w:r w:rsidRPr="00102F51">
              <w:rPr>
                <w:szCs w:val="18"/>
              </w:rPr>
              <w:t>*</w:t>
            </w:r>
          </w:p>
        </w:tc>
      </w:tr>
      <w:tr w:rsidR="00BE3E96" w:rsidRPr="00B535DC" w:rsidTr="00102F51">
        <w:tc>
          <w:tcPr>
            <w:cnfStyle w:val="001000000000" w:firstRow="0" w:lastRow="0" w:firstColumn="1" w:lastColumn="0" w:oddVBand="0" w:evenVBand="0" w:oddHBand="0" w:evenHBand="0" w:firstRowFirstColumn="0" w:firstRowLastColumn="0" w:lastRowFirstColumn="0" w:lastRowLastColumn="0"/>
            <w:tcW w:w="560" w:type="dxa"/>
            <w:tcBorders>
              <w:top w:val="single" w:sz="12" w:space="0" w:color="auto"/>
            </w:tcBorders>
          </w:tcPr>
          <w:p w:rsidR="00BE3E96" w:rsidRPr="00B535DC" w:rsidRDefault="00BE3E96" w:rsidP="00122DDF">
            <w:pPr>
              <w:tabs>
                <w:tab w:val="left" w:pos="1980"/>
              </w:tabs>
              <w:spacing w:line="220" w:lineRule="atLeast"/>
            </w:pPr>
            <w:r w:rsidRPr="00B535DC">
              <w:t>2007</w:t>
            </w:r>
          </w:p>
        </w:tc>
        <w:tc>
          <w:tcPr>
            <w:tcW w:w="1526" w:type="dxa"/>
            <w:tcBorders>
              <w:top w:val="single" w:sz="12" w:space="0" w:color="auto"/>
            </w:tcBorders>
          </w:tcPr>
          <w:p w:rsidR="00BE3E96" w:rsidRPr="00B535DC" w:rsidRDefault="00BE3E96" w:rsidP="00122DDF">
            <w:pPr>
              <w:tabs>
                <w:tab w:val="left" w:pos="1980"/>
              </w:tabs>
              <w:spacing w:line="220" w:lineRule="atLeast"/>
              <w:cnfStyle w:val="000000000000" w:firstRow="0" w:lastRow="0" w:firstColumn="0" w:lastColumn="0" w:oddVBand="0" w:evenVBand="0" w:oddHBand="0" w:evenHBand="0" w:firstRowFirstColumn="0" w:firstRowLastColumn="0" w:lastRowFirstColumn="0" w:lastRowLastColumn="0"/>
            </w:pPr>
            <w:r w:rsidRPr="00B535DC">
              <w:t>4</w:t>
            </w:r>
          </w:p>
        </w:tc>
        <w:tc>
          <w:tcPr>
            <w:tcW w:w="1610" w:type="dxa"/>
            <w:tcBorders>
              <w:top w:val="single" w:sz="12" w:space="0" w:color="auto"/>
            </w:tcBorders>
          </w:tcPr>
          <w:p w:rsidR="00BE3E96" w:rsidRPr="00B535DC" w:rsidRDefault="00BE3E96" w:rsidP="00122DDF">
            <w:pPr>
              <w:tabs>
                <w:tab w:val="left" w:pos="1980"/>
              </w:tabs>
              <w:spacing w:line="220" w:lineRule="atLeast"/>
              <w:cnfStyle w:val="000000000000" w:firstRow="0" w:lastRow="0" w:firstColumn="0" w:lastColumn="0" w:oddVBand="0" w:evenVBand="0" w:oddHBand="0" w:evenHBand="0" w:firstRowFirstColumn="0" w:firstRowLastColumn="0" w:lastRowFirstColumn="0" w:lastRowLastColumn="0"/>
            </w:pPr>
            <w:r w:rsidRPr="00B535DC">
              <w:t>10</w:t>
            </w:r>
          </w:p>
        </w:tc>
        <w:tc>
          <w:tcPr>
            <w:tcW w:w="1427" w:type="dxa"/>
            <w:tcBorders>
              <w:top w:val="single" w:sz="12" w:space="0" w:color="auto"/>
            </w:tcBorders>
          </w:tcPr>
          <w:p w:rsidR="00BE3E96" w:rsidRPr="00B535DC" w:rsidRDefault="00BE3E96" w:rsidP="00122DDF">
            <w:pPr>
              <w:tabs>
                <w:tab w:val="left" w:pos="1980"/>
              </w:tabs>
              <w:spacing w:line="220" w:lineRule="atLeast"/>
              <w:cnfStyle w:val="000000000000" w:firstRow="0" w:lastRow="0" w:firstColumn="0" w:lastColumn="0" w:oddVBand="0" w:evenVBand="0" w:oddHBand="0" w:evenHBand="0" w:firstRowFirstColumn="0" w:firstRowLastColumn="0" w:lastRowFirstColumn="0" w:lastRowLastColumn="0"/>
            </w:pPr>
            <w:r w:rsidRPr="00B535DC">
              <w:t>2</w:t>
            </w:r>
          </w:p>
        </w:tc>
        <w:tc>
          <w:tcPr>
            <w:tcW w:w="1106" w:type="dxa"/>
            <w:tcBorders>
              <w:top w:val="single" w:sz="12" w:space="0" w:color="auto"/>
            </w:tcBorders>
          </w:tcPr>
          <w:p w:rsidR="00BE3E96" w:rsidRPr="00B535DC" w:rsidRDefault="00BE3E96" w:rsidP="00122DDF">
            <w:pPr>
              <w:tabs>
                <w:tab w:val="left" w:pos="1980"/>
              </w:tabs>
              <w:spacing w:line="220" w:lineRule="atLeast"/>
              <w:cnfStyle w:val="000000000000" w:firstRow="0" w:lastRow="0" w:firstColumn="0" w:lastColumn="0" w:oddVBand="0" w:evenVBand="0" w:oddHBand="0" w:evenHBand="0" w:firstRowFirstColumn="0" w:firstRowLastColumn="0" w:lastRowFirstColumn="0" w:lastRowLastColumn="0"/>
            </w:pPr>
            <w:r w:rsidRPr="00B535DC">
              <w:t>1</w:t>
            </w:r>
          </w:p>
        </w:tc>
        <w:tc>
          <w:tcPr>
            <w:tcW w:w="1141" w:type="dxa"/>
            <w:tcBorders>
              <w:top w:val="single" w:sz="12" w:space="0" w:color="auto"/>
            </w:tcBorders>
          </w:tcPr>
          <w:p w:rsidR="00BE3E96" w:rsidRPr="000D64CC" w:rsidRDefault="00BE3E96" w:rsidP="00122DDF">
            <w:pPr>
              <w:tabs>
                <w:tab w:val="left" w:pos="1980"/>
              </w:tabs>
              <w:spacing w:line="220" w:lineRule="atLeast"/>
              <w:cnfStyle w:val="000000000000" w:firstRow="0" w:lastRow="0" w:firstColumn="0" w:lastColumn="0" w:oddVBand="0" w:evenVBand="0" w:oddHBand="0" w:evenHBand="0" w:firstRowFirstColumn="0" w:firstRowLastColumn="0" w:lastRowFirstColumn="0" w:lastRowLastColumn="0"/>
              <w:rPr>
                <w:b/>
              </w:rPr>
            </w:pPr>
            <w:r w:rsidRPr="000D64CC">
              <w:rPr>
                <w:b/>
              </w:rPr>
              <w:t>17</w:t>
            </w:r>
          </w:p>
        </w:tc>
      </w:tr>
      <w:tr w:rsidR="00BE3E96" w:rsidRPr="00B535DC" w:rsidTr="00102F51">
        <w:tc>
          <w:tcPr>
            <w:cnfStyle w:val="001000000000" w:firstRow="0" w:lastRow="0" w:firstColumn="1" w:lastColumn="0" w:oddVBand="0" w:evenVBand="0" w:oddHBand="0" w:evenHBand="0" w:firstRowFirstColumn="0" w:firstRowLastColumn="0" w:lastRowFirstColumn="0" w:lastRowLastColumn="0"/>
            <w:tcW w:w="560" w:type="dxa"/>
          </w:tcPr>
          <w:p w:rsidR="00BE3E96" w:rsidRPr="00B535DC" w:rsidRDefault="00BE3E96" w:rsidP="00122DDF">
            <w:pPr>
              <w:tabs>
                <w:tab w:val="left" w:pos="1980"/>
              </w:tabs>
              <w:spacing w:line="220" w:lineRule="atLeast"/>
            </w:pPr>
            <w:r w:rsidRPr="00B535DC">
              <w:t>2008</w:t>
            </w:r>
          </w:p>
        </w:tc>
        <w:tc>
          <w:tcPr>
            <w:tcW w:w="1526" w:type="dxa"/>
          </w:tcPr>
          <w:p w:rsidR="00BE3E96" w:rsidRPr="00B535DC" w:rsidRDefault="00BE3E96" w:rsidP="00122DDF">
            <w:pPr>
              <w:tabs>
                <w:tab w:val="left" w:pos="1980"/>
              </w:tabs>
              <w:spacing w:line="220" w:lineRule="atLeast"/>
              <w:cnfStyle w:val="000000000000" w:firstRow="0" w:lastRow="0" w:firstColumn="0" w:lastColumn="0" w:oddVBand="0" w:evenVBand="0" w:oddHBand="0" w:evenHBand="0" w:firstRowFirstColumn="0" w:firstRowLastColumn="0" w:lastRowFirstColumn="0" w:lastRowLastColumn="0"/>
            </w:pPr>
            <w:r w:rsidRPr="00B535DC">
              <w:t>9#</w:t>
            </w:r>
          </w:p>
        </w:tc>
        <w:tc>
          <w:tcPr>
            <w:tcW w:w="1610" w:type="dxa"/>
          </w:tcPr>
          <w:p w:rsidR="00BE3E96" w:rsidRPr="00B535DC" w:rsidRDefault="00BE3E96" w:rsidP="00122DDF">
            <w:pPr>
              <w:tabs>
                <w:tab w:val="left" w:pos="1980"/>
              </w:tabs>
              <w:spacing w:line="220" w:lineRule="atLeast"/>
              <w:cnfStyle w:val="000000000000" w:firstRow="0" w:lastRow="0" w:firstColumn="0" w:lastColumn="0" w:oddVBand="0" w:evenVBand="0" w:oddHBand="0" w:evenHBand="0" w:firstRowFirstColumn="0" w:firstRowLastColumn="0" w:lastRowFirstColumn="0" w:lastRowLastColumn="0"/>
            </w:pPr>
            <w:r w:rsidRPr="00B535DC">
              <w:t>7</w:t>
            </w:r>
          </w:p>
        </w:tc>
        <w:tc>
          <w:tcPr>
            <w:tcW w:w="1427" w:type="dxa"/>
          </w:tcPr>
          <w:p w:rsidR="00BE3E96" w:rsidRPr="00B535DC" w:rsidRDefault="00BE3E96" w:rsidP="00122DDF">
            <w:pPr>
              <w:tabs>
                <w:tab w:val="left" w:pos="1980"/>
              </w:tabs>
              <w:spacing w:line="220" w:lineRule="atLeast"/>
              <w:cnfStyle w:val="000000000000" w:firstRow="0" w:lastRow="0" w:firstColumn="0" w:lastColumn="0" w:oddVBand="0" w:evenVBand="0" w:oddHBand="0" w:evenHBand="0" w:firstRowFirstColumn="0" w:firstRowLastColumn="0" w:lastRowFirstColumn="0" w:lastRowLastColumn="0"/>
            </w:pPr>
            <w:r w:rsidRPr="00B535DC">
              <w:t>8</w:t>
            </w:r>
          </w:p>
        </w:tc>
        <w:tc>
          <w:tcPr>
            <w:tcW w:w="1106" w:type="dxa"/>
          </w:tcPr>
          <w:p w:rsidR="00BE3E96" w:rsidRPr="00B535DC" w:rsidRDefault="00BE3E96" w:rsidP="00122DDF">
            <w:pPr>
              <w:tabs>
                <w:tab w:val="left" w:pos="1980"/>
              </w:tabs>
              <w:spacing w:line="220" w:lineRule="atLeast"/>
              <w:cnfStyle w:val="000000000000" w:firstRow="0" w:lastRow="0" w:firstColumn="0" w:lastColumn="0" w:oddVBand="0" w:evenVBand="0" w:oddHBand="0" w:evenHBand="0" w:firstRowFirstColumn="0" w:firstRowLastColumn="0" w:lastRowFirstColumn="0" w:lastRowLastColumn="0"/>
            </w:pPr>
            <w:r w:rsidRPr="00B535DC">
              <w:t>0</w:t>
            </w:r>
          </w:p>
        </w:tc>
        <w:tc>
          <w:tcPr>
            <w:tcW w:w="1141" w:type="dxa"/>
          </w:tcPr>
          <w:p w:rsidR="00BE3E96" w:rsidRPr="000D64CC" w:rsidRDefault="00BE3E96" w:rsidP="00122DDF">
            <w:pPr>
              <w:tabs>
                <w:tab w:val="left" w:pos="1980"/>
              </w:tabs>
              <w:spacing w:line="220" w:lineRule="atLeast"/>
              <w:cnfStyle w:val="000000000000" w:firstRow="0" w:lastRow="0" w:firstColumn="0" w:lastColumn="0" w:oddVBand="0" w:evenVBand="0" w:oddHBand="0" w:evenHBand="0" w:firstRowFirstColumn="0" w:firstRowLastColumn="0" w:lastRowFirstColumn="0" w:lastRowLastColumn="0"/>
              <w:rPr>
                <w:b/>
              </w:rPr>
            </w:pPr>
            <w:r w:rsidRPr="000D64CC">
              <w:rPr>
                <w:b/>
              </w:rPr>
              <w:t>23</w:t>
            </w:r>
          </w:p>
        </w:tc>
      </w:tr>
      <w:tr w:rsidR="00BE3E96" w:rsidRPr="00B535DC" w:rsidTr="00102F51">
        <w:tc>
          <w:tcPr>
            <w:cnfStyle w:val="001000000000" w:firstRow="0" w:lastRow="0" w:firstColumn="1" w:lastColumn="0" w:oddVBand="0" w:evenVBand="0" w:oddHBand="0" w:evenHBand="0" w:firstRowFirstColumn="0" w:firstRowLastColumn="0" w:lastRowFirstColumn="0" w:lastRowLastColumn="0"/>
            <w:tcW w:w="560" w:type="dxa"/>
          </w:tcPr>
          <w:p w:rsidR="00BE3E96" w:rsidRPr="00B535DC" w:rsidRDefault="00BE3E96" w:rsidP="00122DDF">
            <w:pPr>
              <w:tabs>
                <w:tab w:val="left" w:pos="1980"/>
              </w:tabs>
              <w:spacing w:line="220" w:lineRule="atLeast"/>
            </w:pPr>
            <w:r w:rsidRPr="00B535DC">
              <w:t>2009</w:t>
            </w:r>
          </w:p>
        </w:tc>
        <w:tc>
          <w:tcPr>
            <w:tcW w:w="1526" w:type="dxa"/>
          </w:tcPr>
          <w:p w:rsidR="00BE3E96" w:rsidRPr="00B535DC" w:rsidRDefault="00BE3E96" w:rsidP="00122DDF">
            <w:pPr>
              <w:tabs>
                <w:tab w:val="left" w:pos="1980"/>
              </w:tabs>
              <w:spacing w:line="220" w:lineRule="atLeast"/>
              <w:cnfStyle w:val="000000000000" w:firstRow="0" w:lastRow="0" w:firstColumn="0" w:lastColumn="0" w:oddVBand="0" w:evenVBand="0" w:oddHBand="0" w:evenHBand="0" w:firstRowFirstColumn="0" w:firstRowLastColumn="0" w:lastRowFirstColumn="0" w:lastRowLastColumn="0"/>
            </w:pPr>
            <w:r w:rsidRPr="00B535DC">
              <w:t>20</w:t>
            </w:r>
          </w:p>
        </w:tc>
        <w:tc>
          <w:tcPr>
            <w:tcW w:w="1610" w:type="dxa"/>
          </w:tcPr>
          <w:p w:rsidR="00BE3E96" w:rsidRPr="00B535DC" w:rsidRDefault="00BE3E96" w:rsidP="00122DDF">
            <w:pPr>
              <w:tabs>
                <w:tab w:val="left" w:pos="1980"/>
              </w:tabs>
              <w:spacing w:line="220" w:lineRule="atLeast"/>
              <w:cnfStyle w:val="000000000000" w:firstRow="0" w:lastRow="0" w:firstColumn="0" w:lastColumn="0" w:oddVBand="0" w:evenVBand="0" w:oddHBand="0" w:evenHBand="0" w:firstRowFirstColumn="0" w:firstRowLastColumn="0" w:lastRowFirstColumn="0" w:lastRowLastColumn="0"/>
            </w:pPr>
            <w:r w:rsidRPr="00B535DC">
              <w:t>23</w:t>
            </w:r>
          </w:p>
        </w:tc>
        <w:tc>
          <w:tcPr>
            <w:tcW w:w="1427" w:type="dxa"/>
          </w:tcPr>
          <w:p w:rsidR="00BE3E96" w:rsidRPr="00B535DC" w:rsidRDefault="00BE3E96" w:rsidP="00122DDF">
            <w:pPr>
              <w:tabs>
                <w:tab w:val="left" w:pos="1980"/>
              </w:tabs>
              <w:spacing w:line="220" w:lineRule="atLeast"/>
              <w:cnfStyle w:val="000000000000" w:firstRow="0" w:lastRow="0" w:firstColumn="0" w:lastColumn="0" w:oddVBand="0" w:evenVBand="0" w:oddHBand="0" w:evenHBand="0" w:firstRowFirstColumn="0" w:firstRowLastColumn="0" w:lastRowFirstColumn="0" w:lastRowLastColumn="0"/>
            </w:pPr>
            <w:r w:rsidRPr="00B535DC">
              <w:t>4</w:t>
            </w:r>
          </w:p>
        </w:tc>
        <w:tc>
          <w:tcPr>
            <w:tcW w:w="1106" w:type="dxa"/>
          </w:tcPr>
          <w:p w:rsidR="00BE3E96" w:rsidRPr="00B535DC" w:rsidRDefault="00BE3E96" w:rsidP="00122DDF">
            <w:pPr>
              <w:tabs>
                <w:tab w:val="left" w:pos="1980"/>
              </w:tabs>
              <w:spacing w:line="220" w:lineRule="atLeast"/>
              <w:cnfStyle w:val="000000000000" w:firstRow="0" w:lastRow="0" w:firstColumn="0" w:lastColumn="0" w:oddVBand="0" w:evenVBand="0" w:oddHBand="0" w:evenHBand="0" w:firstRowFirstColumn="0" w:firstRowLastColumn="0" w:lastRowFirstColumn="0" w:lastRowLastColumn="0"/>
            </w:pPr>
            <w:r w:rsidRPr="00B535DC">
              <w:t>1</w:t>
            </w:r>
          </w:p>
        </w:tc>
        <w:tc>
          <w:tcPr>
            <w:tcW w:w="1141" w:type="dxa"/>
          </w:tcPr>
          <w:p w:rsidR="00BE3E96" w:rsidRPr="000D64CC" w:rsidRDefault="00BE3E96" w:rsidP="00122DDF">
            <w:pPr>
              <w:tabs>
                <w:tab w:val="left" w:pos="1980"/>
              </w:tabs>
              <w:spacing w:line="220" w:lineRule="atLeast"/>
              <w:cnfStyle w:val="000000000000" w:firstRow="0" w:lastRow="0" w:firstColumn="0" w:lastColumn="0" w:oddVBand="0" w:evenVBand="0" w:oddHBand="0" w:evenHBand="0" w:firstRowFirstColumn="0" w:firstRowLastColumn="0" w:lastRowFirstColumn="0" w:lastRowLastColumn="0"/>
              <w:rPr>
                <w:b/>
              </w:rPr>
            </w:pPr>
            <w:r w:rsidRPr="000D64CC">
              <w:rPr>
                <w:b/>
              </w:rPr>
              <w:t>48</w:t>
            </w:r>
          </w:p>
        </w:tc>
      </w:tr>
    </w:tbl>
    <w:p w:rsidR="001E5730" w:rsidRDefault="00BE3E96" w:rsidP="00122DDF">
      <w:pPr>
        <w:pStyle w:val="SingleTxtGR"/>
        <w:tabs>
          <w:tab w:val="left" w:pos="1980"/>
        </w:tabs>
        <w:suppressAutoHyphens/>
        <w:spacing w:before="40" w:after="0" w:line="220" w:lineRule="atLeast"/>
        <w:ind w:left="1259"/>
        <w:jc w:val="left"/>
        <w:rPr>
          <w:sz w:val="18"/>
          <w:szCs w:val="18"/>
        </w:rPr>
      </w:pPr>
      <w:r w:rsidRPr="007362E0">
        <w:rPr>
          <w:sz w:val="18"/>
          <w:szCs w:val="18"/>
        </w:rPr>
        <w:t>* Включая заявление, перенесенное с предыдущего</w:t>
      </w:r>
      <w:r w:rsidR="00B92291">
        <w:rPr>
          <w:sz w:val="18"/>
          <w:szCs w:val="18"/>
        </w:rPr>
        <w:t> год</w:t>
      </w:r>
      <w:r w:rsidRPr="007362E0">
        <w:rPr>
          <w:sz w:val="18"/>
          <w:szCs w:val="18"/>
        </w:rPr>
        <w:t>а.</w:t>
      </w:r>
    </w:p>
    <w:p w:rsidR="00BE3E96" w:rsidRPr="007362E0" w:rsidRDefault="00BE3E96" w:rsidP="00122DDF">
      <w:pPr>
        <w:pStyle w:val="SingleTxtGR"/>
        <w:tabs>
          <w:tab w:val="left" w:pos="1980"/>
        </w:tabs>
        <w:suppressAutoHyphens/>
        <w:spacing w:after="0" w:line="220" w:lineRule="atLeast"/>
        <w:ind w:left="1259"/>
        <w:jc w:val="left"/>
        <w:rPr>
          <w:sz w:val="18"/>
          <w:szCs w:val="18"/>
        </w:rPr>
      </w:pPr>
      <w:r w:rsidRPr="007362E0">
        <w:rPr>
          <w:sz w:val="18"/>
          <w:szCs w:val="18"/>
        </w:rPr>
        <w:t># Включая одно заявление, которое не было принято в 2007</w:t>
      </w:r>
      <w:r w:rsidR="00B92291">
        <w:rPr>
          <w:sz w:val="18"/>
          <w:szCs w:val="18"/>
        </w:rPr>
        <w:t> год</w:t>
      </w:r>
      <w:r w:rsidRPr="007362E0">
        <w:rPr>
          <w:sz w:val="18"/>
          <w:szCs w:val="18"/>
        </w:rPr>
        <w:t xml:space="preserve">у. По просьбе заявителя о пересмотре </w:t>
      </w:r>
      <w:r>
        <w:rPr>
          <w:sz w:val="18"/>
          <w:szCs w:val="18"/>
        </w:rPr>
        <w:t xml:space="preserve">решения </w:t>
      </w:r>
      <w:r w:rsidRPr="007362E0">
        <w:rPr>
          <w:sz w:val="18"/>
          <w:szCs w:val="18"/>
        </w:rPr>
        <w:t>заявление было принято в апреле 2008</w:t>
      </w:r>
      <w:r w:rsidR="00B92291">
        <w:rPr>
          <w:sz w:val="18"/>
          <w:szCs w:val="18"/>
        </w:rPr>
        <w:t> год</w:t>
      </w:r>
      <w:r w:rsidRPr="007362E0">
        <w:rPr>
          <w:sz w:val="18"/>
          <w:szCs w:val="18"/>
        </w:rPr>
        <w:t>а.</w:t>
      </w:r>
    </w:p>
    <w:p w:rsidR="00BE3E96" w:rsidRPr="006C4869" w:rsidRDefault="00BE3E96" w:rsidP="007F18DC">
      <w:pPr>
        <w:pStyle w:val="H4GR"/>
        <w:tabs>
          <w:tab w:val="left" w:pos="1980"/>
        </w:tabs>
        <w:spacing w:before="240" w:line="240" w:lineRule="atLeast"/>
        <w:ind w:left="1134" w:right="1179" w:hanging="1134"/>
      </w:pPr>
      <w:r w:rsidRPr="006C4869">
        <w:tab/>
      </w:r>
      <w:r w:rsidRPr="006C4869">
        <w:tab/>
        <w:t>Официальные</w:t>
      </w:r>
      <w:r>
        <w:t xml:space="preserve"> </w:t>
      </w:r>
      <w:r w:rsidRPr="006C4869">
        <w:t>исследования</w:t>
      </w:r>
      <w:r>
        <w:t xml:space="preserve"> </w:t>
      </w:r>
      <w:r w:rsidRPr="006C4869">
        <w:t>доступности</w:t>
      </w:r>
    </w:p>
    <w:p w:rsidR="00BE3E96" w:rsidRPr="006C4869" w:rsidRDefault="00BE3E96" w:rsidP="007F18DC">
      <w:pPr>
        <w:pStyle w:val="SingleTxtGR"/>
        <w:tabs>
          <w:tab w:val="clear" w:pos="1701"/>
          <w:tab w:val="left" w:pos="1980"/>
        </w:tabs>
      </w:pPr>
      <w:r w:rsidRPr="006C4869">
        <w:t>2.31</w:t>
      </w:r>
      <w:r w:rsidRPr="006C4869">
        <w:tab/>
        <w:t xml:space="preserve">Значительная доля жалоб, направленных в КРВ в соответствии с УДИ, касается доступности, т.е. </w:t>
      </w:r>
      <w:r>
        <w:t>отсутствия препятствий</w:t>
      </w:r>
      <w:r w:rsidRPr="006C4869">
        <w:t>, совместимости и возможн</w:t>
      </w:r>
      <w:r w:rsidRPr="006C4869">
        <w:t>о</w:t>
      </w:r>
      <w:r w:rsidRPr="006C4869">
        <w:t>сти использования. В связи с этим в декабре 2006</w:t>
      </w:r>
      <w:r w:rsidR="00B92291">
        <w:t> год</w:t>
      </w:r>
      <w:r w:rsidRPr="006C4869">
        <w:t>а КРВ приступила к оф</w:t>
      </w:r>
      <w:r w:rsidRPr="006C4869">
        <w:t>и</w:t>
      </w:r>
      <w:r w:rsidRPr="006C4869">
        <w:t>циальному исследованию</w:t>
      </w:r>
      <w:r>
        <w:t>, с тем</w:t>
      </w:r>
      <w:r w:rsidRPr="006C4869">
        <w:t xml:space="preserve"> чтобы</w:t>
      </w:r>
      <w:r>
        <w:t xml:space="preserve"> </w:t>
      </w:r>
      <w:r w:rsidRPr="006C4869">
        <w:t>изучить средства доступа в помещения или использования помещений и их оборудования в государственном аренду</w:t>
      </w:r>
      <w:r w:rsidRPr="006C4869">
        <w:t>е</w:t>
      </w:r>
      <w:r w:rsidRPr="006C4869">
        <w:t>мом жилищном фонде и</w:t>
      </w:r>
      <w:r>
        <w:t xml:space="preserve"> </w:t>
      </w:r>
      <w:r w:rsidRPr="006C4869">
        <w:t>общественных зданиях и сооружениях</w:t>
      </w:r>
      <w:r>
        <w:t xml:space="preserve"> на предмет в</w:t>
      </w:r>
      <w:r>
        <w:t>ы</w:t>
      </w:r>
      <w:r>
        <w:t>явления недостатков</w:t>
      </w:r>
      <w:r w:rsidRPr="006C4869">
        <w:t xml:space="preserve"> с точки зрения различных аспектов доступности. Результ</w:t>
      </w:r>
      <w:r w:rsidRPr="006C4869">
        <w:t>а</w:t>
      </w:r>
      <w:r w:rsidRPr="006C4869">
        <w:t>ты отдельных инспекций были переданы соответствующим государственным ведомствам и</w:t>
      </w:r>
      <w:r>
        <w:t xml:space="preserve"> </w:t>
      </w:r>
      <w:r w:rsidRPr="006C4869">
        <w:t>департаментам для замечаний и исправления недостатков. Пре</w:t>
      </w:r>
      <w:r w:rsidRPr="006C4869">
        <w:t>д</w:t>
      </w:r>
      <w:r w:rsidRPr="006C4869">
        <w:t>полагается, что полный доклад будет выпущен в мае 2010</w:t>
      </w:r>
      <w:r w:rsidR="00B92291">
        <w:t> год</w:t>
      </w:r>
      <w:r w:rsidRPr="006C4869">
        <w:t>а.</w:t>
      </w:r>
    </w:p>
    <w:p w:rsidR="00BE3E96" w:rsidRPr="006C4869" w:rsidRDefault="00BE3E96" w:rsidP="00122DDF">
      <w:pPr>
        <w:pStyle w:val="H4GR"/>
        <w:tabs>
          <w:tab w:val="left" w:pos="1980"/>
        </w:tabs>
        <w:spacing w:before="240" w:line="240" w:lineRule="atLeast"/>
        <w:ind w:left="1134" w:right="1179" w:hanging="1134"/>
      </w:pPr>
      <w:r w:rsidRPr="006C4869">
        <w:tab/>
      </w:r>
      <w:r w:rsidRPr="006C4869">
        <w:tab/>
        <w:t>Пересмотр действующего Кодекса практики в сфере занятости</w:t>
      </w:r>
      <w:r>
        <w:br/>
      </w:r>
      <w:r w:rsidRPr="006C4869">
        <w:t>в соответствии с УДИ</w:t>
      </w:r>
    </w:p>
    <w:p w:rsidR="00BE3E96" w:rsidRPr="00D507E7" w:rsidRDefault="00BE3E96" w:rsidP="007F18DC">
      <w:pPr>
        <w:pStyle w:val="SingleTxtGR"/>
        <w:tabs>
          <w:tab w:val="clear" w:pos="1701"/>
          <w:tab w:val="left" w:pos="1980"/>
        </w:tabs>
      </w:pPr>
      <w:r w:rsidRPr="006C4869">
        <w:t>2.32</w:t>
      </w:r>
      <w:r w:rsidRPr="006C4869">
        <w:tab/>
        <w:t>Учитывая тот факт, что общественность стала лучше и глубже пон</w:t>
      </w:r>
      <w:r w:rsidRPr="006C4869">
        <w:t>и</w:t>
      </w:r>
      <w:r w:rsidRPr="006C4869">
        <w:t>мать УДИ и что расширилась правоприменительная практика, а количество и сложность жалоб возросли,</w:t>
      </w:r>
      <w:r>
        <w:t xml:space="preserve"> </w:t>
      </w:r>
      <w:r w:rsidRPr="006C4869">
        <w:t>КРВ осознает необходимость усовершенствовать Кодекс практики в сфере занятости в соответствии с УДИ, чтобы им по-прежнему мо</w:t>
      </w:r>
      <w:r w:rsidRPr="006C4869">
        <w:t>г</w:t>
      </w:r>
      <w:r w:rsidRPr="006C4869">
        <w:t>ли пользоваться работодатели и менеджеры по кадрам в качестве полезного справочного руководства для</w:t>
      </w:r>
      <w:r>
        <w:t xml:space="preserve"> </w:t>
      </w:r>
      <w:r w:rsidRPr="006C4869">
        <w:t>обеспечения равных возможностей на рабочих местах. С 8 апреля 2010</w:t>
      </w:r>
      <w:r w:rsidR="00B92291">
        <w:t> год</w:t>
      </w:r>
      <w:r w:rsidRPr="006C4869">
        <w:t>а по 8 июля 2010</w:t>
      </w:r>
      <w:r w:rsidR="00B92291">
        <w:t> год</w:t>
      </w:r>
      <w:r w:rsidRPr="006C4869">
        <w:t>а проводятся консул</w:t>
      </w:r>
      <w:r w:rsidRPr="006C4869">
        <w:t>ь</w:t>
      </w:r>
      <w:r w:rsidRPr="006C4869">
        <w:t>тации с общественностью по проекту пересмотренного Кодекса. Предполагае</w:t>
      </w:r>
      <w:r w:rsidRPr="006C4869">
        <w:t>т</w:t>
      </w:r>
      <w:r w:rsidRPr="006C4869">
        <w:t>ся, что новый пересмотренный Кодекс вступит в силу к концу 2010</w:t>
      </w:r>
      <w:r w:rsidR="00B92291">
        <w:t> год</w:t>
      </w:r>
      <w:r w:rsidRPr="006C4869">
        <w:t>а.</w:t>
      </w:r>
    </w:p>
    <w:p w:rsidR="00BE3E96" w:rsidRPr="00C02804" w:rsidRDefault="00BE3E96" w:rsidP="00122DDF">
      <w:pPr>
        <w:pStyle w:val="H4GR"/>
        <w:tabs>
          <w:tab w:val="left" w:pos="1980"/>
        </w:tabs>
        <w:spacing w:before="240" w:line="240" w:lineRule="atLeast"/>
        <w:ind w:left="1134" w:right="1179" w:hanging="1134"/>
      </w:pPr>
      <w:r w:rsidRPr="00B92291">
        <w:tab/>
      </w:r>
      <w:r w:rsidRPr="00B92291">
        <w:tab/>
      </w:r>
      <w:r w:rsidRPr="00C02804">
        <w:t>Исследования</w:t>
      </w:r>
      <w:r>
        <w:t xml:space="preserve"> </w:t>
      </w:r>
      <w:r w:rsidRPr="00C02804">
        <w:t>и</w:t>
      </w:r>
      <w:r>
        <w:t xml:space="preserve"> </w:t>
      </w:r>
      <w:r w:rsidRPr="00C02804">
        <w:t>опросы</w:t>
      </w:r>
    </w:p>
    <w:p w:rsidR="00BE3E96" w:rsidRPr="00C02804" w:rsidRDefault="00BE3E96" w:rsidP="007F18DC">
      <w:pPr>
        <w:pStyle w:val="SingleTxtGR"/>
        <w:tabs>
          <w:tab w:val="clear" w:pos="1701"/>
          <w:tab w:val="left" w:pos="1980"/>
        </w:tabs>
      </w:pPr>
      <w:r w:rsidRPr="00C02804">
        <w:t>2.33</w:t>
      </w:r>
      <w:r w:rsidRPr="00C02804">
        <w:tab/>
        <w:t>После представления предыдущего доклада КРВ предприняла ряд о</w:t>
      </w:r>
      <w:r w:rsidRPr="00C02804">
        <w:t>б</w:t>
      </w:r>
      <w:r w:rsidRPr="00C02804">
        <w:t xml:space="preserve">зорных исследований. Некоторые из них находятся на стадии осуществления, в частности такие, как </w:t>
      </w:r>
      <w:r>
        <w:t>"</w:t>
      </w:r>
      <w:r w:rsidRPr="00C02804">
        <w:t>Второй</w:t>
      </w:r>
      <w:r>
        <w:t xml:space="preserve"> </w:t>
      </w:r>
      <w:r w:rsidRPr="00C02804">
        <w:t>исходный обзор отношения населения к инвал</w:t>
      </w:r>
      <w:r w:rsidRPr="00C02804">
        <w:t>и</w:t>
      </w:r>
      <w:r w:rsidRPr="00C02804">
        <w:t>дам</w:t>
      </w:r>
      <w:r>
        <w:t>"</w:t>
      </w:r>
      <w:r w:rsidRPr="00C02804">
        <w:t xml:space="preserve"> и </w:t>
      </w:r>
      <w:r>
        <w:t>"</w:t>
      </w:r>
      <w:r w:rsidRPr="00C02804">
        <w:t>Исследование равных учебных возможностей для учащихся-инвалидов – интегрированная</w:t>
      </w:r>
      <w:r>
        <w:t xml:space="preserve"> </w:t>
      </w:r>
      <w:r w:rsidRPr="00C02804">
        <w:t>система образования</w:t>
      </w:r>
      <w:r>
        <w:t>"</w:t>
      </w:r>
      <w:r w:rsidRPr="00C02804">
        <w:t>. Результаты этих обзорных исслед</w:t>
      </w:r>
      <w:r w:rsidRPr="00C02804">
        <w:t>о</w:t>
      </w:r>
      <w:r w:rsidRPr="00C02804">
        <w:t>ваний также помогают КРВ отслеживать уровень осведомленности и воспр</w:t>
      </w:r>
      <w:r w:rsidRPr="00C02804">
        <w:t>и</w:t>
      </w:r>
      <w:r w:rsidRPr="00C02804">
        <w:t>ятия об</w:t>
      </w:r>
      <w:r>
        <w:t>щественностью</w:t>
      </w:r>
      <w:r w:rsidRPr="00C02804">
        <w:t xml:space="preserve"> целого ряда касающихся равных возможностей пр</w:t>
      </w:r>
      <w:r w:rsidRPr="00C02804">
        <w:t>о</w:t>
      </w:r>
      <w:r w:rsidRPr="00C02804">
        <w:t>блем, кот</w:t>
      </w:r>
      <w:r w:rsidRPr="00C02804">
        <w:t>о</w:t>
      </w:r>
      <w:r w:rsidRPr="00C02804">
        <w:t>рые</w:t>
      </w:r>
      <w:r>
        <w:t xml:space="preserve"> </w:t>
      </w:r>
      <w:r w:rsidRPr="00C02804">
        <w:t>связаны с основными направлениями работы КРВ. Эти обзорные исследования</w:t>
      </w:r>
      <w:r w:rsidRPr="00082674">
        <w:t xml:space="preserve"> </w:t>
      </w:r>
      <w:r w:rsidRPr="00C02804">
        <w:t xml:space="preserve">также помогают КРВ </w:t>
      </w:r>
      <w:r>
        <w:t>о</w:t>
      </w:r>
      <w:r w:rsidRPr="00C02804">
        <w:t>знакомиться с мнениями заинтересова</w:t>
      </w:r>
      <w:r w:rsidRPr="00C02804">
        <w:t>н</w:t>
      </w:r>
      <w:r w:rsidRPr="00C02804">
        <w:t>ных сторон о повышении ее правозащитной роли и устанавливать приоритеты в своей р</w:t>
      </w:r>
      <w:r w:rsidRPr="00C02804">
        <w:t>а</w:t>
      </w:r>
      <w:r w:rsidRPr="00C02804">
        <w:t xml:space="preserve">боте. </w:t>
      </w:r>
    </w:p>
    <w:p w:rsidR="00BE3E96" w:rsidRPr="00C02804" w:rsidRDefault="00BE3E96" w:rsidP="00122DDF">
      <w:pPr>
        <w:pStyle w:val="H23GR"/>
        <w:tabs>
          <w:tab w:val="left" w:pos="1980"/>
        </w:tabs>
      </w:pPr>
      <w:r w:rsidRPr="00C02804">
        <w:tab/>
      </w:r>
      <w:r w:rsidRPr="00C02804">
        <w:tab/>
        <w:t>Трудоустройство лиц с ограниченными возможностями</w:t>
      </w:r>
    </w:p>
    <w:p w:rsidR="00BE3E96" w:rsidRPr="00C02804" w:rsidRDefault="00BE3E96" w:rsidP="007F18DC">
      <w:pPr>
        <w:pStyle w:val="SingleTxtGR"/>
        <w:tabs>
          <w:tab w:val="clear" w:pos="1701"/>
          <w:tab w:val="left" w:pos="1980"/>
        </w:tabs>
      </w:pPr>
      <w:r w:rsidRPr="00C02804">
        <w:t>2.34</w:t>
      </w:r>
      <w:r w:rsidRPr="00C02804">
        <w:tab/>
        <w:t>В</w:t>
      </w:r>
      <w:r>
        <w:t xml:space="preserve"> </w:t>
      </w:r>
      <w:r w:rsidRPr="00C02804">
        <w:t>2009</w:t>
      </w:r>
      <w:r w:rsidR="00B92291">
        <w:t> год</w:t>
      </w:r>
      <w:r w:rsidRPr="00C02804">
        <w:t>у ККР распространил свою деятельность на различные се</w:t>
      </w:r>
      <w:r w:rsidRPr="00C02804">
        <w:t>к</w:t>
      </w:r>
      <w:r w:rsidRPr="00C02804">
        <w:t>тора, в том числе на 18 ОС, предпринимательский</w:t>
      </w:r>
      <w:r>
        <w:t xml:space="preserve"> </w:t>
      </w:r>
      <w:r w:rsidRPr="00C02804">
        <w:t xml:space="preserve">сектор и сектор социального обеспечения, чтобы </w:t>
      </w:r>
      <w:r>
        <w:t>расширить</w:t>
      </w:r>
      <w:r w:rsidRPr="00C02804">
        <w:t xml:space="preserve"> возможности инвалидов и помощь по их труд</w:t>
      </w:r>
      <w:r w:rsidRPr="00C02804">
        <w:t>о</w:t>
      </w:r>
      <w:r w:rsidRPr="00C02804">
        <w:t>устройству, которую оказывают государственные департаменты и реабилитац</w:t>
      </w:r>
      <w:r w:rsidRPr="00C02804">
        <w:t>и</w:t>
      </w:r>
      <w:r w:rsidRPr="00C02804">
        <w:t>онные организации, а также чтобы заручиться поддержкой системы трехст</w:t>
      </w:r>
      <w:r w:rsidRPr="00C02804">
        <w:t>о</w:t>
      </w:r>
      <w:r w:rsidRPr="00C02804">
        <w:t>роннего партнерства. Эти усилия получили положительные отклики</w:t>
      </w:r>
      <w:r>
        <w:t xml:space="preserve"> </w:t>
      </w:r>
      <w:r w:rsidRPr="00C02804">
        <w:t>благотв</w:t>
      </w:r>
      <w:r w:rsidRPr="00C02804">
        <w:t>о</w:t>
      </w:r>
      <w:r w:rsidRPr="00C02804">
        <w:t>рительных организаций, ОС и пре</w:t>
      </w:r>
      <w:r w:rsidRPr="00C02804">
        <w:t>д</w:t>
      </w:r>
      <w:r w:rsidRPr="00C02804">
        <w:t>принимательского сектора.</w:t>
      </w:r>
    </w:p>
    <w:p w:rsidR="00BE3E96" w:rsidRPr="00C02804" w:rsidRDefault="00BE3E96" w:rsidP="007F18DC">
      <w:pPr>
        <w:pStyle w:val="SingleTxtGR"/>
        <w:tabs>
          <w:tab w:val="clear" w:pos="1701"/>
          <w:tab w:val="left" w:pos="1980"/>
        </w:tabs>
      </w:pPr>
      <w:r w:rsidRPr="00C02804">
        <w:t>2.35</w:t>
      </w:r>
      <w:r w:rsidRPr="00C02804">
        <w:tab/>
        <w:t>Многие ОС организуют также стимулирующие мероприятия, каса</w:t>
      </w:r>
      <w:r w:rsidRPr="00C02804">
        <w:t>ю</w:t>
      </w:r>
      <w:r w:rsidRPr="00C02804">
        <w:t>щиеся трудоустройства лиц с ограниченными возможностями (ЛОВ). Орган</w:t>
      </w:r>
      <w:r w:rsidRPr="00C02804">
        <w:t>и</w:t>
      </w:r>
      <w:r w:rsidRPr="00C02804">
        <w:t>зационный</w:t>
      </w:r>
      <w:r>
        <w:t xml:space="preserve"> </w:t>
      </w:r>
      <w:r w:rsidRPr="00C02804">
        <w:t>комитет</w:t>
      </w:r>
      <w:r>
        <w:t xml:space="preserve"> </w:t>
      </w:r>
      <w:r w:rsidRPr="00C02804">
        <w:t xml:space="preserve">по проведению Международного дня инвалидов выбрал </w:t>
      </w:r>
      <w:r>
        <w:t>"</w:t>
      </w:r>
      <w:r w:rsidRPr="00C02804">
        <w:t>Содействие трудоустройству инвалидов</w:t>
      </w:r>
      <w:r>
        <w:t>"</w:t>
      </w:r>
      <w:r w:rsidRPr="00C02804">
        <w:t xml:space="preserve"> в качестве темы мероприятия, пров</w:t>
      </w:r>
      <w:r w:rsidRPr="00C02804">
        <w:t>е</w:t>
      </w:r>
      <w:r w:rsidRPr="00C02804">
        <w:t>денного в период с декабря 2008</w:t>
      </w:r>
      <w:r w:rsidR="00B92291">
        <w:t> год</w:t>
      </w:r>
      <w:r w:rsidRPr="00C02804">
        <w:t>а по ноябрь 2009</w:t>
      </w:r>
      <w:r w:rsidR="00B92291">
        <w:t> год</w:t>
      </w:r>
      <w:r w:rsidRPr="00C02804">
        <w:t>а</w:t>
      </w:r>
      <w:r>
        <w:t xml:space="preserve"> </w:t>
      </w:r>
      <w:r w:rsidRPr="00C02804">
        <w:t xml:space="preserve">в сотрудничестве с 18 ОС с целью поощрения </w:t>
      </w:r>
      <w:r>
        <w:t>"</w:t>
      </w:r>
      <w:r w:rsidRPr="00C02804">
        <w:t>неравнодушных работодателей</w:t>
      </w:r>
      <w:r>
        <w:t>"</w:t>
      </w:r>
      <w:r w:rsidRPr="00C02804">
        <w:t>, помогающих тр</w:t>
      </w:r>
      <w:r w:rsidRPr="00C02804">
        <w:t>у</w:t>
      </w:r>
      <w:r w:rsidRPr="00C02804">
        <w:t>доустройс</w:t>
      </w:r>
      <w:r w:rsidRPr="00C02804">
        <w:t>т</w:t>
      </w:r>
      <w:r w:rsidRPr="00C02804">
        <w:t>ву ЛОВ в этих 18 ОС. Ряд корпораций уже оперативно откликнулись на это мероприятие, предложив рабочие места ЛОВ при содействии</w:t>
      </w:r>
      <w:r>
        <w:t xml:space="preserve"> </w:t>
      </w:r>
      <w:r w:rsidRPr="00C02804">
        <w:t>соответс</w:t>
      </w:r>
      <w:r w:rsidRPr="00C02804">
        <w:t>т</w:t>
      </w:r>
      <w:r w:rsidRPr="00C02804">
        <w:t>вующих государственных департаментов и реабилитационных организаций и шире используя проду</w:t>
      </w:r>
      <w:r w:rsidRPr="00C02804">
        <w:t>к</w:t>
      </w:r>
      <w:r w:rsidRPr="00C02804">
        <w:t>цию и услуги ЛОВ. Это свидетельствует о том, что наши усилия начинают приносить свои плоды.</w:t>
      </w:r>
    </w:p>
    <w:p w:rsidR="00BE3E96" w:rsidRPr="00C02804" w:rsidRDefault="00BE3E96" w:rsidP="007F18DC">
      <w:pPr>
        <w:pStyle w:val="SingleTxtGR"/>
        <w:tabs>
          <w:tab w:val="clear" w:pos="1701"/>
          <w:tab w:val="left" w:pos="1980"/>
        </w:tabs>
      </w:pPr>
      <w:r w:rsidRPr="00C02804">
        <w:t>2.36</w:t>
      </w:r>
      <w:r w:rsidRPr="00C02804">
        <w:tab/>
        <w:t>В ходе активизации усилий по содействию трудоустройству ЛОВ УТСО и ККР продолжают руководств</w:t>
      </w:r>
      <w:r w:rsidR="00893629">
        <w:t xml:space="preserve">оваться </w:t>
      </w:r>
      <w:r w:rsidRPr="00C02804">
        <w:t xml:space="preserve">лозунгом </w:t>
      </w:r>
      <w:r>
        <w:t>"</w:t>
      </w:r>
      <w:r w:rsidRPr="00C02804">
        <w:t>Содействие трудоус</w:t>
      </w:r>
      <w:r w:rsidRPr="00C02804">
        <w:t>т</w:t>
      </w:r>
      <w:r w:rsidRPr="00C02804">
        <w:t>ройству ЛОВ</w:t>
      </w:r>
      <w:r>
        <w:t>"</w:t>
      </w:r>
      <w:r w:rsidRPr="00C02804">
        <w:t xml:space="preserve"> в качестве одной из главным тем информационно-пропагандистской программы 2010</w:t>
      </w:r>
      <w:r w:rsidR="00B92291">
        <w:t> год</w:t>
      </w:r>
      <w:r w:rsidRPr="00C02804">
        <w:t>а и продолжают реализовывать ряд ин</w:t>
      </w:r>
      <w:r w:rsidRPr="00C02804">
        <w:t>и</w:t>
      </w:r>
      <w:r w:rsidRPr="00C02804">
        <w:t>циатив, призва</w:t>
      </w:r>
      <w:r w:rsidRPr="00C02804">
        <w:t>н</w:t>
      </w:r>
      <w:r w:rsidRPr="00C02804">
        <w:t>ных расширить понимание</w:t>
      </w:r>
      <w:r>
        <w:t xml:space="preserve"> </w:t>
      </w:r>
      <w:r w:rsidRPr="00C02804">
        <w:t>трудовых возможностей ЛОВ со стороны различных секторов а также</w:t>
      </w:r>
      <w:r>
        <w:t xml:space="preserve"> </w:t>
      </w:r>
      <w:r w:rsidRPr="00C02804">
        <w:t>активизировать</w:t>
      </w:r>
      <w:r>
        <w:t xml:space="preserve"> </w:t>
      </w:r>
      <w:r w:rsidRPr="00C02804">
        <w:t>поддержку трудоустро</w:t>
      </w:r>
      <w:r w:rsidRPr="00C02804">
        <w:t>й</w:t>
      </w:r>
      <w:r w:rsidRPr="00C02804">
        <w:t>ству ЛОВ, оказываемую различными государственными департаментами и ре</w:t>
      </w:r>
      <w:r w:rsidRPr="00C02804">
        <w:t>а</w:t>
      </w:r>
      <w:r w:rsidRPr="00C02804">
        <w:t xml:space="preserve">билитационными учреждениями, имея </w:t>
      </w:r>
      <w:r w:rsidR="00E56A49">
        <w:t>в виду</w:t>
      </w:r>
      <w:r w:rsidRPr="00C02804">
        <w:t xml:space="preserve"> укрепление межведомственного сотрудничества между деловым сектором, местными общинами, государстве</w:t>
      </w:r>
      <w:r w:rsidRPr="00C02804">
        <w:t>н</w:t>
      </w:r>
      <w:r w:rsidRPr="00C02804">
        <w:t>ными департаментами и НПО в деле содействия трудоустройству ЛОВ, помогая тем самым ЛОВ опираться на собственные силы и полн</w:t>
      </w:r>
      <w:r w:rsidRPr="00C02804">
        <w:t>о</w:t>
      </w:r>
      <w:r w:rsidRPr="00C02804">
        <w:t>стью интегрироваться в жизнь общества.</w:t>
      </w:r>
    </w:p>
    <w:p w:rsidR="00BE3E96" w:rsidRPr="00C02804" w:rsidRDefault="00BE3E96" w:rsidP="00122DDF">
      <w:pPr>
        <w:pStyle w:val="H23GR"/>
        <w:tabs>
          <w:tab w:val="left" w:pos="1980"/>
        </w:tabs>
      </w:pPr>
      <w:r w:rsidRPr="00C02804">
        <w:tab/>
      </w:r>
      <w:r w:rsidRPr="00C02804">
        <w:tab/>
        <w:t xml:space="preserve">Доступ в помещения </w:t>
      </w:r>
    </w:p>
    <w:p w:rsidR="00BE3E96" w:rsidRPr="00C02804" w:rsidRDefault="00BE3E96" w:rsidP="00122DDF">
      <w:pPr>
        <w:pStyle w:val="H4GR"/>
        <w:tabs>
          <w:tab w:val="left" w:pos="1980"/>
        </w:tabs>
        <w:spacing w:before="240" w:line="240" w:lineRule="atLeast"/>
        <w:ind w:left="1134" w:right="1179" w:hanging="1134"/>
      </w:pPr>
      <w:r w:rsidRPr="00C02804">
        <w:tab/>
      </w:r>
      <w:r w:rsidRPr="00C02804">
        <w:tab/>
        <w:t>Руководство по проектированию: беспрепятственный доступ 2008</w:t>
      </w:r>
      <w:r w:rsidR="00B92291">
        <w:t> год</w:t>
      </w:r>
      <w:r w:rsidRPr="00C02804">
        <w:t>а</w:t>
      </w:r>
    </w:p>
    <w:p w:rsidR="00BE3E96" w:rsidRPr="00C02804" w:rsidRDefault="00BE3E96" w:rsidP="007F18DC">
      <w:pPr>
        <w:pStyle w:val="SingleTxtGR"/>
        <w:tabs>
          <w:tab w:val="clear" w:pos="1701"/>
          <w:tab w:val="left" w:pos="1980"/>
        </w:tabs>
      </w:pPr>
      <w:r w:rsidRPr="00C02804">
        <w:t>2.37</w:t>
      </w:r>
      <w:r w:rsidRPr="00C02804">
        <w:tab/>
        <w:t>В 1997</w:t>
      </w:r>
      <w:r w:rsidR="00B92291">
        <w:t> год</w:t>
      </w:r>
      <w:r w:rsidRPr="00C02804">
        <w:t xml:space="preserve">у Управление строительства выпустило </w:t>
      </w:r>
      <w:r>
        <w:t>"</w:t>
      </w:r>
      <w:r w:rsidRPr="00C02804">
        <w:t>Руководство по проектированию: беспрепятственный доступ</w:t>
      </w:r>
      <w:r>
        <w:t>"</w:t>
      </w:r>
      <w:r w:rsidRPr="00C02804">
        <w:t xml:space="preserve"> (РП 1997</w:t>
      </w:r>
      <w:r w:rsidR="00B92291">
        <w:t> год</w:t>
      </w:r>
      <w:r w:rsidRPr="00C02804">
        <w:t>а), чтобы им могли руководствоваться специалисты строительной индустрии. С течением времени</w:t>
      </w:r>
      <w:r>
        <w:t xml:space="preserve"> </w:t>
      </w:r>
      <w:r w:rsidRPr="00C02804">
        <w:t>в строительных технологиях был достигнут значительный прогресс, улучш</w:t>
      </w:r>
      <w:r w:rsidRPr="00C02804">
        <w:t>и</w:t>
      </w:r>
      <w:r w:rsidRPr="00C02804">
        <w:t>лось качество жизни населения и продолжает повышаться уровень информир</w:t>
      </w:r>
      <w:r w:rsidRPr="00C02804">
        <w:t>о</w:t>
      </w:r>
      <w:r w:rsidRPr="00C02804">
        <w:t>ванности населения о потребностях ЛОВ. Поэтом</w:t>
      </w:r>
      <w:r>
        <w:t>у, как уже упоминалось в пункте </w:t>
      </w:r>
      <w:r w:rsidRPr="00C02804">
        <w:t>2.14 предыдущего доклада, правительство</w:t>
      </w:r>
      <w:r>
        <w:t xml:space="preserve"> </w:t>
      </w:r>
      <w:r w:rsidRPr="00C02804">
        <w:t>пересмотрело РП 1997</w:t>
      </w:r>
      <w:r w:rsidR="00B92291">
        <w:t> год</w:t>
      </w:r>
      <w:r w:rsidRPr="00C02804">
        <w:t>а с целью измен</w:t>
      </w:r>
      <w:r>
        <w:t xml:space="preserve">ения </w:t>
      </w:r>
      <w:r w:rsidRPr="00C02804">
        <w:t>требовани</w:t>
      </w:r>
      <w:r>
        <w:t>й</w:t>
      </w:r>
      <w:r w:rsidRPr="00C02804">
        <w:t xml:space="preserve"> к проектированию с учетом развития строител</w:t>
      </w:r>
      <w:r w:rsidRPr="00C02804">
        <w:t>ь</w:t>
      </w:r>
      <w:r w:rsidRPr="00C02804">
        <w:t>ных</w:t>
      </w:r>
      <w:r>
        <w:t xml:space="preserve"> </w:t>
      </w:r>
      <w:r w:rsidRPr="00C02804">
        <w:t>те</w:t>
      </w:r>
      <w:r w:rsidRPr="00C02804">
        <w:t>х</w:t>
      </w:r>
      <w:r w:rsidRPr="00C02804">
        <w:t>нологий и ожиданий общества.</w:t>
      </w:r>
    </w:p>
    <w:p w:rsidR="00BE3E96" w:rsidRPr="00C02804" w:rsidRDefault="00BE3E96" w:rsidP="007F18DC">
      <w:pPr>
        <w:pStyle w:val="SingleTxtGR"/>
        <w:tabs>
          <w:tab w:val="clear" w:pos="1701"/>
          <w:tab w:val="left" w:pos="1980"/>
        </w:tabs>
      </w:pPr>
      <w:r w:rsidRPr="00C02804">
        <w:t>2.38</w:t>
      </w:r>
      <w:r w:rsidRPr="00C02804">
        <w:tab/>
        <w:t>После активных консультаций с заинтересованными сторонами, ЗС и широкой</w:t>
      </w:r>
      <w:r>
        <w:t xml:space="preserve"> </w:t>
      </w:r>
      <w:r w:rsidRPr="00C02804">
        <w:t>общественностью,</w:t>
      </w:r>
      <w:r>
        <w:t xml:space="preserve"> </w:t>
      </w:r>
      <w:r w:rsidRPr="00C02804">
        <w:t>в том числе с учетом мнени</w:t>
      </w:r>
      <w:r>
        <w:t>й</w:t>
      </w:r>
      <w:r w:rsidRPr="00C02804">
        <w:t xml:space="preserve"> заинтересованных сторон, и после внесения необходимых поправок в зак</w:t>
      </w:r>
      <w:r w:rsidRPr="00C02804">
        <w:t>о</w:t>
      </w:r>
      <w:r w:rsidRPr="00C02804">
        <w:t>нодательство</w:t>
      </w:r>
      <w:r>
        <w:t>,</w:t>
      </w:r>
      <w:r w:rsidRPr="00C02804">
        <w:t xml:space="preserve"> 1 декабря 2008</w:t>
      </w:r>
      <w:r w:rsidR="00B92291">
        <w:t> год</w:t>
      </w:r>
      <w:r w:rsidRPr="00C02804">
        <w:t xml:space="preserve">а </w:t>
      </w:r>
      <w:r>
        <w:t>"</w:t>
      </w:r>
      <w:r w:rsidRPr="00C02804">
        <w:t>Руководство по проектированию:</w:t>
      </w:r>
      <w:r>
        <w:t xml:space="preserve"> </w:t>
      </w:r>
      <w:r w:rsidRPr="00C02804">
        <w:t>беспрепятственный доступ</w:t>
      </w:r>
      <w:r>
        <w:t xml:space="preserve">" </w:t>
      </w:r>
      <w:r w:rsidRPr="00C02804">
        <w:t>2008</w:t>
      </w:r>
      <w:r w:rsidR="00B92291">
        <w:t> год</w:t>
      </w:r>
      <w:r w:rsidRPr="00C02804">
        <w:t>а вступило в силу. РП 2008</w:t>
      </w:r>
      <w:r w:rsidR="00B92291">
        <w:t> год</w:t>
      </w:r>
      <w:r w:rsidRPr="00C02804">
        <w:t>а вводит ряд новых требований, в час</w:t>
      </w:r>
      <w:r w:rsidRPr="00C02804">
        <w:t>т</w:t>
      </w:r>
      <w:r w:rsidRPr="00C02804">
        <w:t>ности таких, как обеспечение беспрепятственного доступа ЛОВ к</w:t>
      </w:r>
      <w:r>
        <w:t xml:space="preserve"> </w:t>
      </w:r>
      <w:r w:rsidRPr="00C02804">
        <w:t>арьерсцене зрительных залов; подробные требования к количеству, размеру и разметке па</w:t>
      </w:r>
      <w:r w:rsidRPr="00C02804">
        <w:t>р</w:t>
      </w:r>
      <w:r w:rsidRPr="00C02804">
        <w:t>ковочных мест; улучшение системы указателей направления; и технические требования к минимальным уровням освещения коридоров, лестничных клеток и лифтовых холлов для лиц с нарушениями зрения.</w:t>
      </w:r>
    </w:p>
    <w:p w:rsidR="00BE3E96" w:rsidRPr="00C02804" w:rsidRDefault="00BE3E96" w:rsidP="00122DDF">
      <w:pPr>
        <w:pStyle w:val="H23GR"/>
        <w:tabs>
          <w:tab w:val="left" w:pos="1980"/>
        </w:tabs>
      </w:pPr>
      <w:r w:rsidRPr="00C02804">
        <w:tab/>
      </w:r>
      <w:r w:rsidRPr="00C02804">
        <w:tab/>
        <w:t>Реконструкция правительственных зданий</w:t>
      </w:r>
    </w:p>
    <w:p w:rsidR="00BE3E96" w:rsidRPr="00C02804" w:rsidRDefault="00BE3E96" w:rsidP="007F18DC">
      <w:pPr>
        <w:pStyle w:val="SingleTxtGR"/>
        <w:tabs>
          <w:tab w:val="clear" w:pos="1701"/>
          <w:tab w:val="left" w:pos="1980"/>
        </w:tabs>
      </w:pPr>
      <w:r w:rsidRPr="00C02804">
        <w:t>2.39</w:t>
      </w:r>
      <w:r w:rsidRPr="00C02804">
        <w:tab/>
        <w:t>Правительство продолжает прилагать энергичные усилия по обесп</w:t>
      </w:r>
      <w:r w:rsidRPr="00C02804">
        <w:t>е</w:t>
      </w:r>
      <w:r w:rsidRPr="00C02804">
        <w:t>чению беспрепятственного доступа в правительственные здания. Правительс</w:t>
      </w:r>
      <w:r w:rsidRPr="00C02804">
        <w:t>т</w:t>
      </w:r>
      <w:r w:rsidRPr="00C02804">
        <w:t>венные здания, строительство которых началось после 1 декабря 2008</w:t>
      </w:r>
      <w:r w:rsidR="00B92291">
        <w:t> год</w:t>
      </w:r>
      <w:r w:rsidRPr="00C02804">
        <w:t>а, должны отвечать</w:t>
      </w:r>
      <w:r>
        <w:t xml:space="preserve"> </w:t>
      </w:r>
      <w:r w:rsidRPr="00C02804">
        <w:t>новым стандартам, прописанным в РП 2008</w:t>
      </w:r>
      <w:r w:rsidR="00B92291">
        <w:t> год</w:t>
      </w:r>
      <w:r w:rsidRPr="00C02804">
        <w:t xml:space="preserve">а и, </w:t>
      </w:r>
      <w:r>
        <w:t>по</w:t>
      </w:r>
      <w:r w:rsidRPr="00C02804">
        <w:t xml:space="preserve"> во</w:t>
      </w:r>
      <w:r w:rsidRPr="00C02804">
        <w:t>з</w:t>
      </w:r>
      <w:r w:rsidRPr="00C02804">
        <w:t>можно</w:t>
      </w:r>
      <w:r>
        <w:t>сти</w:t>
      </w:r>
      <w:r w:rsidRPr="00C02804">
        <w:t>, превосходить стандарты, установленные законом. Департамент а</w:t>
      </w:r>
      <w:r w:rsidRPr="00C02804">
        <w:t>р</w:t>
      </w:r>
      <w:r w:rsidRPr="00C02804">
        <w:t>хитектуры (ДА) ввел в действие механизм проверки</w:t>
      </w:r>
      <w:r>
        <w:t xml:space="preserve"> процесса</w:t>
      </w:r>
      <w:r w:rsidRPr="00C02804">
        <w:t xml:space="preserve"> проектирования </w:t>
      </w:r>
      <w:r>
        <w:t>для</w:t>
      </w:r>
      <w:r w:rsidRPr="00C02804">
        <w:t xml:space="preserve"> обеспеч</w:t>
      </w:r>
      <w:r>
        <w:t>ения того</w:t>
      </w:r>
      <w:r w:rsidRPr="00C02804">
        <w:t>, чтобы новые проекты проходили на начальном этапе проектирования тщательную экспертизу на предмет доступности. Чтобы обе</w:t>
      </w:r>
      <w:r w:rsidRPr="00C02804">
        <w:t>с</w:t>
      </w:r>
      <w:r w:rsidRPr="00C02804">
        <w:t xml:space="preserve">печить соблюдение установленных законом требований к проектам </w:t>
      </w:r>
      <w:proofErr w:type="spellStart"/>
      <w:r w:rsidRPr="00C02804">
        <w:t>безбарье</w:t>
      </w:r>
      <w:r w:rsidRPr="00C02804">
        <w:t>р</w:t>
      </w:r>
      <w:r w:rsidRPr="00C02804">
        <w:t>ной</w:t>
      </w:r>
      <w:proofErr w:type="spellEnd"/>
      <w:r w:rsidRPr="00C02804">
        <w:t xml:space="preserve"> среды, при ДА был создан Комитет по проверке проектирования, который изучает проектные предложения, к</w:t>
      </w:r>
      <w:r w:rsidRPr="00C02804">
        <w:t>а</w:t>
      </w:r>
      <w:r w:rsidRPr="00C02804">
        <w:t>сающиеся доступности.</w:t>
      </w:r>
    </w:p>
    <w:p w:rsidR="00BE3E96" w:rsidRPr="00C02804" w:rsidRDefault="00BE3E96" w:rsidP="007F18DC">
      <w:pPr>
        <w:pStyle w:val="SingleTxtGR"/>
        <w:tabs>
          <w:tab w:val="clear" w:pos="1701"/>
          <w:tab w:val="left" w:pos="1980"/>
        </w:tabs>
      </w:pPr>
      <w:r w:rsidRPr="00C02804">
        <w:t>2.40</w:t>
      </w:r>
      <w:r w:rsidRPr="00C02804">
        <w:tab/>
        <w:t>После 2000</w:t>
      </w:r>
      <w:r w:rsidR="00B92291">
        <w:t> год</w:t>
      </w:r>
      <w:r w:rsidRPr="00C02804">
        <w:t>а правительство усовершенствовало приспособления для доступа в 147 правительственных здани</w:t>
      </w:r>
      <w:r>
        <w:t>й</w:t>
      </w:r>
      <w:r w:rsidRPr="00C02804">
        <w:t>. В общей сложности на эти цели было израсходовано</w:t>
      </w:r>
      <w:r>
        <w:t xml:space="preserve"> </w:t>
      </w:r>
      <w:r w:rsidRPr="00C02804">
        <w:t>примерно 72</w:t>
      </w:r>
      <w:r w:rsidR="004F720A">
        <w:t> </w:t>
      </w:r>
      <w:r w:rsidR="00B63D5C">
        <w:t>млн. долларов.</w:t>
      </w:r>
      <w:r w:rsidRPr="00C02804">
        <w:t xml:space="preserve"> ДА намерен провести ряд д</w:t>
      </w:r>
      <w:r w:rsidRPr="00C02804">
        <w:t>о</w:t>
      </w:r>
      <w:r w:rsidRPr="00C02804">
        <w:t>полнительных мелких работ, в том числе для улучшения беспрепятственного доступа.</w:t>
      </w:r>
    </w:p>
    <w:p w:rsidR="00BE3E96" w:rsidRPr="00C02804" w:rsidRDefault="00BE3E96" w:rsidP="007F18DC">
      <w:pPr>
        <w:pStyle w:val="SingleTxtGR"/>
        <w:tabs>
          <w:tab w:val="clear" w:pos="1701"/>
          <w:tab w:val="left" w:pos="1980"/>
        </w:tabs>
      </w:pPr>
      <w:r w:rsidRPr="00C02804">
        <w:t>2.41</w:t>
      </w:r>
      <w:r w:rsidRPr="00C02804">
        <w:tab/>
        <w:t>Отдельные государственные департаменты и государственные органы также проводят соответствующую реконструкцию</w:t>
      </w:r>
      <w:r>
        <w:t xml:space="preserve"> для создания доступной ср</w:t>
      </w:r>
      <w:r>
        <w:t>е</w:t>
      </w:r>
      <w:r>
        <w:t>ды в</w:t>
      </w:r>
      <w:r w:rsidRPr="00C02804">
        <w:t xml:space="preserve"> местах, находящихся под их управлением. Например, после 2006</w:t>
      </w:r>
      <w:r w:rsidR="00B92291">
        <w:t> год</w:t>
      </w:r>
      <w:r w:rsidRPr="00C02804">
        <w:t>а Д</w:t>
      </w:r>
      <w:r w:rsidRPr="00C02804">
        <w:t>е</w:t>
      </w:r>
      <w:r w:rsidRPr="00C02804">
        <w:t>партамент рекреационных и культурных услуг (ДРКУ) завершил 133 проекта по реконструкции своих объектов культуры</w:t>
      </w:r>
      <w:r>
        <w:t xml:space="preserve"> </w:t>
      </w:r>
      <w:r w:rsidRPr="00C02804">
        <w:t>и досуга, включая построенные для проведения Восточноазиатских игр 2009</w:t>
      </w:r>
      <w:r w:rsidR="00B92291">
        <w:t> год</w:t>
      </w:r>
      <w:r w:rsidRPr="00C02804">
        <w:t>а 12 спортивных сооружений, чт</w:t>
      </w:r>
      <w:r w:rsidRPr="00C02804">
        <w:t>о</w:t>
      </w:r>
      <w:r w:rsidRPr="00C02804">
        <w:t>бы обеспечить необходимый беспрепятственный доступ и оснащение необх</w:t>
      </w:r>
      <w:r w:rsidRPr="00C02804">
        <w:t>о</w:t>
      </w:r>
      <w:r w:rsidRPr="00C02804">
        <w:t>димыми для инвалидов приспособлениями. Он продолжит предложенную р</w:t>
      </w:r>
      <w:r w:rsidRPr="00C02804">
        <w:t>е</w:t>
      </w:r>
      <w:r w:rsidRPr="00C02804">
        <w:t>конструкцию еще по 40 новым проектам</w:t>
      </w:r>
    </w:p>
    <w:p w:rsidR="00BE3E96" w:rsidRPr="00C02804" w:rsidRDefault="00BE3E96" w:rsidP="007F18DC">
      <w:pPr>
        <w:pStyle w:val="SingleTxtGR"/>
        <w:tabs>
          <w:tab w:val="clear" w:pos="1701"/>
          <w:tab w:val="left" w:pos="1980"/>
        </w:tabs>
      </w:pPr>
      <w:r w:rsidRPr="00C02804">
        <w:t>2.42</w:t>
      </w:r>
      <w:r w:rsidRPr="00C02804">
        <w:tab/>
        <w:t>С 2002</w:t>
      </w:r>
      <w:r w:rsidR="00B92291">
        <w:t> год</w:t>
      </w:r>
      <w:r w:rsidRPr="00C02804">
        <w:t xml:space="preserve">а Департамент жилищного строительства (ДЖС) реализует концепцию </w:t>
      </w:r>
      <w:r>
        <w:t>"</w:t>
      </w:r>
      <w:r w:rsidRPr="00C02804">
        <w:t>универсального проектирования</w:t>
      </w:r>
      <w:r>
        <w:t>"</w:t>
      </w:r>
      <w:r w:rsidRPr="00C02804">
        <w:t xml:space="preserve"> для всех новых зданий с целью создания безопасной и удобной среды проживания для различных категорий</w:t>
      </w:r>
      <w:r>
        <w:t xml:space="preserve"> </w:t>
      </w:r>
      <w:r w:rsidRPr="00C02804">
        <w:t>жильцов, включая пожилых людей и ЛОВ. ДЖС начал поэтапную реконстру</w:t>
      </w:r>
      <w:r w:rsidRPr="00C02804">
        <w:t>к</w:t>
      </w:r>
      <w:r w:rsidRPr="00C02804">
        <w:t>цию существующих зданий.</w:t>
      </w:r>
    </w:p>
    <w:p w:rsidR="00BE3E96" w:rsidRPr="00C02804" w:rsidRDefault="00BE3E96" w:rsidP="00122DDF">
      <w:pPr>
        <w:pStyle w:val="H23GR"/>
        <w:tabs>
          <w:tab w:val="left" w:pos="1980"/>
        </w:tabs>
      </w:pPr>
      <w:r w:rsidRPr="00C02804">
        <w:tab/>
      </w:r>
      <w:r w:rsidRPr="00C02804">
        <w:tab/>
        <w:t>Создание Опекунского совета в соответствии с Указом</w:t>
      </w:r>
      <w:r>
        <w:t xml:space="preserve"> </w:t>
      </w:r>
      <w:r w:rsidRPr="00C02804">
        <w:t>об охране</w:t>
      </w:r>
      <w:r>
        <w:t xml:space="preserve"> </w:t>
      </w:r>
      <w:r w:rsidRPr="00C02804">
        <w:t>психического здор</w:t>
      </w:r>
      <w:r w:rsidRPr="00C02804">
        <w:t>о</w:t>
      </w:r>
      <w:r w:rsidRPr="00C02804">
        <w:t>вья (</w:t>
      </w:r>
      <w:r w:rsidR="00D7303F">
        <w:t>глава </w:t>
      </w:r>
      <w:r w:rsidRPr="00C02804">
        <w:t>136)</w:t>
      </w:r>
    </w:p>
    <w:p w:rsidR="00BE3E96" w:rsidRDefault="00BE3E96" w:rsidP="007F18DC">
      <w:pPr>
        <w:pStyle w:val="SingleTxtGR"/>
        <w:tabs>
          <w:tab w:val="clear" w:pos="1701"/>
          <w:tab w:val="left" w:pos="1980"/>
        </w:tabs>
      </w:pPr>
      <w:r w:rsidRPr="00C02804">
        <w:t>2.43</w:t>
      </w:r>
      <w:r w:rsidRPr="00C02804">
        <w:tab/>
        <w:t>Положение дел, изложенное в 2.17 и 2.18 предыдущего доклада, ост</w:t>
      </w:r>
      <w:r w:rsidRPr="00C02804">
        <w:t>а</w:t>
      </w:r>
      <w:r w:rsidRPr="00C02804">
        <w:t>ется без изменений.</w:t>
      </w:r>
    </w:p>
    <w:p w:rsidR="00F936A8" w:rsidRPr="00CB2C86" w:rsidRDefault="00F936A8" w:rsidP="00122DDF">
      <w:pPr>
        <w:pStyle w:val="H1GR"/>
        <w:tabs>
          <w:tab w:val="left" w:pos="1980"/>
        </w:tabs>
      </w:pPr>
      <w:r w:rsidRPr="00CB2C86">
        <w:tab/>
      </w:r>
      <w:r w:rsidRPr="00CB2C86">
        <w:tab/>
        <w:t xml:space="preserve">Финансовые ограничения права на юридическую помощь </w:t>
      </w:r>
    </w:p>
    <w:p w:rsidR="00F936A8" w:rsidRPr="00CB2C86" w:rsidRDefault="00F936A8" w:rsidP="007F18DC">
      <w:pPr>
        <w:pStyle w:val="SingleTxtGR"/>
        <w:tabs>
          <w:tab w:val="clear" w:pos="1701"/>
          <w:tab w:val="left" w:pos="1980"/>
        </w:tabs>
      </w:pPr>
      <w:r w:rsidRPr="00CB2C86">
        <w:t>2.44</w:t>
      </w:r>
      <w:r w:rsidRPr="00CB2C86">
        <w:tab/>
        <w:t>После того как в 2003</w:t>
      </w:r>
      <w:r w:rsidR="00B92291">
        <w:t> год</w:t>
      </w:r>
      <w:r w:rsidRPr="00CB2C86">
        <w:t>у мы представили предыдущий доклад, в систему критериев оценки финансовых ограничений права на юридическую помощь в соответствии с пересмотрами, о которых мы упоминали в пункте 2.22 предыдущего доклада, были внесены изменения, позволяющие исключать или не учитывать больше статей дохода или видов капитала при оценке имущес</w:t>
      </w:r>
      <w:r w:rsidRPr="00CB2C86">
        <w:t>т</w:t>
      </w:r>
      <w:r w:rsidRPr="00CB2C86">
        <w:t>венного положения заявителя. Теперь к видам дохода, которые могут дополн</w:t>
      </w:r>
      <w:r w:rsidRPr="00CB2C86">
        <w:t>и</w:t>
      </w:r>
      <w:r w:rsidRPr="00CB2C86">
        <w:t>тельно исключаться или не учитываться при определении права на юридич</w:t>
      </w:r>
      <w:r w:rsidRPr="00CB2C86">
        <w:t>е</w:t>
      </w:r>
      <w:r w:rsidRPr="00CB2C86">
        <w:t xml:space="preserve">скую помощь, относятся: </w:t>
      </w:r>
      <w:proofErr w:type="spellStart"/>
      <w:r>
        <w:t>a</w:t>
      </w:r>
      <w:proofErr w:type="spellEnd"/>
      <w:r>
        <w:t>)</w:t>
      </w:r>
      <w:r w:rsidRPr="00CB2C86">
        <w:t xml:space="preserve"> алименты, </w:t>
      </w:r>
      <w:proofErr w:type="spellStart"/>
      <w:r>
        <w:t>b</w:t>
      </w:r>
      <w:proofErr w:type="spellEnd"/>
      <w:r>
        <w:t>)</w:t>
      </w:r>
      <w:r w:rsidRPr="00CB2C86">
        <w:t xml:space="preserve"> пособия по уходу за иждивенцами, которые в силу своего психического или физического состояния не способны к самообслуживанию в то время, когда заявитель находится на работе, будь то в статусе </w:t>
      </w:r>
      <w:proofErr w:type="spellStart"/>
      <w:r w:rsidRPr="00CB2C86">
        <w:t>самозанятого</w:t>
      </w:r>
      <w:proofErr w:type="spellEnd"/>
      <w:r w:rsidRPr="00CB2C86">
        <w:t xml:space="preserve"> работника или в ином статусе, и независимо от того, пр</w:t>
      </w:r>
      <w:r w:rsidRPr="00CB2C86">
        <w:t>о</w:t>
      </w:r>
      <w:r w:rsidRPr="00CB2C86">
        <w:t>живают ли иждивенцы совместно с заявителем или нет, с) выплаченные заяв</w:t>
      </w:r>
      <w:r w:rsidRPr="00CB2C86">
        <w:t>и</w:t>
      </w:r>
      <w:r w:rsidRPr="00CB2C86">
        <w:t>телю страховые выплаты, причитающиеся ему в связи с уходом или лечением после травмы, с которыми связано ходатайство об оказании юридической п</w:t>
      </w:r>
      <w:r w:rsidRPr="00CB2C86">
        <w:t>о</w:t>
      </w:r>
      <w:r w:rsidRPr="00CB2C86">
        <w:t>мощи.</w:t>
      </w:r>
    </w:p>
    <w:p w:rsidR="00F936A8" w:rsidRPr="00CB2C86" w:rsidRDefault="00F936A8" w:rsidP="007F18DC">
      <w:pPr>
        <w:pStyle w:val="SingleTxtGR"/>
        <w:tabs>
          <w:tab w:val="clear" w:pos="1701"/>
          <w:tab w:val="left" w:pos="1980"/>
        </w:tabs>
      </w:pPr>
      <w:r w:rsidRPr="00CB2C86">
        <w:t>2.45</w:t>
      </w:r>
      <w:r w:rsidRPr="00CB2C86">
        <w:tab/>
        <w:t>Некоторые комментаторы предложили отказаться от финансовых о</w:t>
      </w:r>
      <w:r w:rsidRPr="00CB2C86">
        <w:t>г</w:t>
      </w:r>
      <w:r w:rsidRPr="00CB2C86">
        <w:t>раничений этого права применительно к ходатайствам об оказании юридич</w:t>
      </w:r>
      <w:r w:rsidRPr="00CB2C86">
        <w:t>е</w:t>
      </w:r>
      <w:r w:rsidRPr="00CB2C86">
        <w:t>ской помощи, когда речь идет о нарушении положений других, помимо МПГПП, международных пактов (включая настоящий Пакт). Главная общепр</w:t>
      </w:r>
      <w:r w:rsidRPr="00CB2C86">
        <w:t>и</w:t>
      </w:r>
      <w:r w:rsidRPr="00CB2C86">
        <w:t>знанная цель юридической помощи, которая также лежит в основе политики правительства в области юридической помощи, заключается в том, что юрид</w:t>
      </w:r>
      <w:r w:rsidRPr="00CB2C86">
        <w:t>и</w:t>
      </w:r>
      <w:r w:rsidRPr="00CB2C86">
        <w:t>ческая помощь должна оказываться только малоимущим, у которых нет средств для возбужд</w:t>
      </w:r>
      <w:r w:rsidRPr="00CB2C86">
        <w:t>е</w:t>
      </w:r>
      <w:r w:rsidRPr="00CB2C86">
        <w:t>ния иска или правовой защиты. Поэтому для установления такого права, кроме рассмотрения дела по существу</w:t>
      </w:r>
      <w:r w:rsidR="00893629">
        <w:t>,</w:t>
      </w:r>
      <w:r w:rsidRPr="00CB2C86">
        <w:t xml:space="preserve"> необходима проверка нуждаем</w:t>
      </w:r>
      <w:r w:rsidRPr="00CB2C86">
        <w:t>о</w:t>
      </w:r>
      <w:r w:rsidRPr="00CB2C86">
        <w:t xml:space="preserve">сти. Это </w:t>
      </w:r>
      <w:r>
        <w:t>−</w:t>
      </w:r>
      <w:r w:rsidRPr="00CB2C86">
        <w:t xml:space="preserve"> два главных принципа юридической помощи, которые должны н</w:t>
      </w:r>
      <w:r w:rsidRPr="00CB2C86">
        <w:t>е</w:t>
      </w:r>
      <w:r w:rsidRPr="00CB2C86">
        <w:t>укоснительно с</w:t>
      </w:r>
      <w:r w:rsidRPr="00CB2C86">
        <w:t>о</w:t>
      </w:r>
      <w:r w:rsidRPr="00CB2C86">
        <w:t>блюдаться. В связи с этим следует ограничить право директора Департамента юридической помощи на исключения. Чтобы обеспечить доступ малоимущих к правосудию, правительство периодически пересматривает ф</w:t>
      </w:r>
      <w:r w:rsidRPr="00CB2C86">
        <w:t>и</w:t>
      </w:r>
      <w:r w:rsidRPr="00CB2C86">
        <w:t>нансовые критерии оценки права заявителей на юридическую помощь, и в н</w:t>
      </w:r>
      <w:r w:rsidRPr="00CB2C86">
        <w:t>а</w:t>
      </w:r>
      <w:r w:rsidRPr="00CB2C86">
        <w:t>стоящее время оно находится в процессе консультаций относительно рекоме</w:t>
      </w:r>
      <w:r w:rsidRPr="00CB2C86">
        <w:t>н</w:t>
      </w:r>
      <w:r w:rsidRPr="00CB2C86">
        <w:t>даций о смягчении финансовых ограничений права на юридическую помощь, вытекающих из последнего обзора.</w:t>
      </w:r>
    </w:p>
    <w:p w:rsidR="00F936A8" w:rsidRPr="00CB2C86" w:rsidRDefault="00F936A8" w:rsidP="00122DDF">
      <w:pPr>
        <w:pStyle w:val="H1GR"/>
        <w:tabs>
          <w:tab w:val="left" w:pos="1980"/>
        </w:tabs>
      </w:pPr>
      <w:r w:rsidRPr="00CB2C86">
        <w:tab/>
      </w:r>
      <w:r w:rsidRPr="00CB2C86">
        <w:tab/>
        <w:t>Защита просителей убежища и беженцев</w:t>
      </w:r>
    </w:p>
    <w:p w:rsidR="00F936A8" w:rsidRPr="00CB2C86" w:rsidRDefault="00F936A8" w:rsidP="007F18DC">
      <w:pPr>
        <w:pStyle w:val="SingleTxtGR"/>
        <w:tabs>
          <w:tab w:val="clear" w:pos="1701"/>
          <w:tab w:val="left" w:pos="1980"/>
        </w:tabs>
      </w:pPr>
      <w:r w:rsidRPr="00CB2C86">
        <w:t>2.46</w:t>
      </w:r>
      <w:r w:rsidRPr="00CB2C86">
        <w:tab/>
        <w:t xml:space="preserve">Комитет рекомендовал сформулировать четкую и связную политику в отношении предоставления убежища исходя из принципа </w:t>
      </w:r>
      <w:proofErr w:type="spellStart"/>
      <w:r w:rsidRPr="00CB2C86">
        <w:t>недискриминации</w:t>
      </w:r>
      <w:proofErr w:type="spellEnd"/>
      <w:r w:rsidRPr="00CB2C86">
        <w:t>, а некоторые комментаторы призвали обеспечить более эффективную защиту пр</w:t>
      </w:r>
      <w:r w:rsidRPr="00CB2C86">
        <w:t>о</w:t>
      </w:r>
      <w:r w:rsidRPr="00CB2C86">
        <w:t>сителей убежища и беженцев. Мы не планируем распространить на Гонконг действие Конвенции Организации Объединенных Наций о статусе беженцев 1951</w:t>
      </w:r>
      <w:r w:rsidR="00B92291">
        <w:t> год</w:t>
      </w:r>
      <w:r w:rsidRPr="00CB2C86">
        <w:t>а и Протокола к ней 1967</w:t>
      </w:r>
      <w:r w:rsidR="00B92291">
        <w:t> год</w:t>
      </w:r>
      <w:r w:rsidRPr="00CB2C86">
        <w:t xml:space="preserve">а. Гонконг </w:t>
      </w:r>
      <w:r>
        <w:t>−</w:t>
      </w:r>
      <w:r w:rsidRPr="00CB2C86">
        <w:t xml:space="preserve"> маленькая страна с высокой плотностью населения. Наше уникальное положение при нашем относительном экономическом благополучии в регионе и нашем либеральном визовом режиме сделает нас уязвимыми перед возможными злоупотреблениями, если действие упомянутой Конвенции будет распространено на Гонконг. Мы проводим тве</w:t>
      </w:r>
      <w:r w:rsidRPr="00CB2C86">
        <w:t>р</w:t>
      </w:r>
      <w:r w:rsidRPr="00CB2C86">
        <w:t xml:space="preserve">дую политику, заключающуюся в том, чтобы не предоставлять убежища, и не связаны обязательством принимать лиц, добивающихся предоставления статуса беженцев в соответствии с </w:t>
      </w:r>
      <w:r w:rsidR="008607B7" w:rsidRPr="00CB2C86">
        <w:t xml:space="preserve">Конвенцией </w:t>
      </w:r>
      <w:r w:rsidRPr="00CB2C86">
        <w:t>1951</w:t>
      </w:r>
      <w:r w:rsidR="00B92291">
        <w:t> год</w:t>
      </w:r>
      <w:r w:rsidRPr="00CB2C86">
        <w:t>а.</w:t>
      </w:r>
    </w:p>
    <w:p w:rsidR="00F936A8" w:rsidRPr="00CB2C86" w:rsidRDefault="00F936A8" w:rsidP="007F18DC">
      <w:pPr>
        <w:pStyle w:val="SingleTxtGR"/>
        <w:tabs>
          <w:tab w:val="clear" w:pos="1701"/>
          <w:tab w:val="left" w:pos="1980"/>
        </w:tabs>
      </w:pPr>
      <w:r w:rsidRPr="00CB2C86">
        <w:t>2.47</w:t>
      </w:r>
      <w:r w:rsidRPr="00CB2C86">
        <w:tab/>
        <w:t>Ходатайства беженцев, поданные в Гонконге, рассматриваются го</w:t>
      </w:r>
      <w:r w:rsidRPr="00CB2C86">
        <w:t>н</w:t>
      </w:r>
      <w:r w:rsidRPr="00CB2C86">
        <w:t>конгским представительством Управления Верховного комиссара Организации Объединенных Наций по делам беженцев (УВКБ-ГК). Правительство САРГ оказ</w:t>
      </w:r>
      <w:r w:rsidRPr="00CB2C86">
        <w:t>ы</w:t>
      </w:r>
      <w:r w:rsidRPr="00CB2C86">
        <w:t>вает помощь представительству и поддерживает с ним тесные связи.</w:t>
      </w:r>
    </w:p>
    <w:p w:rsidR="00F936A8" w:rsidRPr="00CB2C86" w:rsidRDefault="00F936A8" w:rsidP="00034840">
      <w:pPr>
        <w:pStyle w:val="SingleTxtGR"/>
        <w:tabs>
          <w:tab w:val="clear" w:pos="1701"/>
          <w:tab w:val="left" w:pos="1980"/>
        </w:tabs>
        <w:spacing w:line="220" w:lineRule="atLeast"/>
      </w:pPr>
      <w:r w:rsidRPr="00CB2C86">
        <w:t>2.48</w:t>
      </w:r>
      <w:r w:rsidRPr="00CB2C86">
        <w:tab/>
        <w:t>Правительство в сотрудничестве с НПО оказывает по гуманитарным соображениям на дифференцированной основе материальную помощь просит</w:t>
      </w:r>
      <w:r w:rsidRPr="00CB2C86">
        <w:t>е</w:t>
      </w:r>
      <w:r w:rsidRPr="00CB2C86">
        <w:t>лям убежища, которые лишены возможности удовлетворять свои насущные п</w:t>
      </w:r>
      <w:r w:rsidRPr="00CB2C86">
        <w:t>о</w:t>
      </w:r>
      <w:r w:rsidRPr="00CB2C86">
        <w:t>требности во время своего пребывания в Гонконге. К видам оказываемой п</w:t>
      </w:r>
      <w:r w:rsidRPr="00CB2C86">
        <w:t>о</w:t>
      </w:r>
      <w:r w:rsidRPr="00CB2C86">
        <w:t>мощи относятся временное размещение, продовольственн</w:t>
      </w:r>
      <w:r w:rsidR="008607B7">
        <w:t>ая</w:t>
      </w:r>
      <w:r w:rsidRPr="00CB2C86">
        <w:t xml:space="preserve"> помощь, одежд</w:t>
      </w:r>
      <w:r w:rsidR="008607B7">
        <w:t>а</w:t>
      </w:r>
      <w:r w:rsidRPr="00CB2C86">
        <w:t xml:space="preserve"> и другие предметы первой необходимости. В соответствующих случаях оказыв</w:t>
      </w:r>
      <w:r w:rsidRPr="00CB2C86">
        <w:t>а</w:t>
      </w:r>
      <w:r w:rsidRPr="00CB2C86">
        <w:t>ется бесплатная медицинская помощь, предоставляются консультационные у</w:t>
      </w:r>
      <w:r w:rsidRPr="00CB2C86">
        <w:t>с</w:t>
      </w:r>
      <w:r w:rsidRPr="00CB2C86">
        <w:t>луги и оплачиваются транспортные расходы. Пакет оказываемой помощи о</w:t>
      </w:r>
      <w:r w:rsidRPr="00CB2C86">
        <w:t>т</w:t>
      </w:r>
      <w:r w:rsidRPr="00CB2C86">
        <w:t>дельным просителям убежища меняется в зависимости от конкретных потре</w:t>
      </w:r>
      <w:r w:rsidRPr="00CB2C86">
        <w:t>б</w:t>
      </w:r>
      <w:r w:rsidRPr="00CB2C86">
        <w:t>ностей и личного положения соответствующих лиц, в том числе наличия у н</w:t>
      </w:r>
      <w:r w:rsidRPr="00CB2C86">
        <w:t>е</w:t>
      </w:r>
      <w:r w:rsidRPr="00CB2C86">
        <w:t>го/нее собственных ресурсов или наличия ресурсов у него/нее из других исто</w:t>
      </w:r>
      <w:r w:rsidRPr="00CB2C86">
        <w:t>ч</w:t>
      </w:r>
      <w:r w:rsidRPr="00CB2C86">
        <w:t>ников.</w:t>
      </w:r>
    </w:p>
    <w:p w:rsidR="00F936A8" w:rsidRPr="00CB2C86" w:rsidRDefault="00F936A8" w:rsidP="00034840">
      <w:pPr>
        <w:pStyle w:val="SingleTxtGR"/>
        <w:tabs>
          <w:tab w:val="clear" w:pos="1701"/>
          <w:tab w:val="left" w:pos="1980"/>
        </w:tabs>
        <w:spacing w:line="220" w:lineRule="atLeast"/>
      </w:pPr>
      <w:r w:rsidRPr="00CB2C86">
        <w:t>2.49</w:t>
      </w:r>
      <w:r w:rsidRPr="00CB2C86">
        <w:tab/>
        <w:t>В Гонконге статус беженца или просителя убежища как таковой не влечет каких-либо негативных последствий и не предоставляет иммунитета к</w:t>
      </w:r>
      <w:r w:rsidRPr="00CB2C86">
        <w:t>а</w:t>
      </w:r>
      <w:r w:rsidRPr="00CB2C86">
        <w:t>кому-либо лицу. В интересах тех просителей убежища, ходатайства которых н</w:t>
      </w:r>
      <w:r w:rsidRPr="00CB2C86">
        <w:t>а</w:t>
      </w:r>
      <w:r w:rsidRPr="00CB2C86">
        <w:t>ходятся на рассмотрении УВКБ-ГК и которые пребывают в Гонконге, не имея на то соответствующего разрешения, действующие судебные процедуры позв</w:t>
      </w:r>
      <w:r w:rsidRPr="00CB2C86">
        <w:t>о</w:t>
      </w:r>
      <w:r w:rsidRPr="00CB2C86">
        <w:t>ляют откладывать обвинение в нарушении иммиграционного законодательства, пока их ходатайства не будут полностью рассмотрены, если соответствующее правонарушение непосредственно связано с их ходатайствами о предоставл</w:t>
      </w:r>
      <w:r w:rsidRPr="00CB2C86">
        <w:t>е</w:t>
      </w:r>
      <w:r w:rsidRPr="00CB2C86">
        <w:t>нии убежища.</w:t>
      </w:r>
    </w:p>
    <w:p w:rsidR="00F936A8" w:rsidRPr="00CB2C86" w:rsidRDefault="00F936A8" w:rsidP="00122DDF">
      <w:pPr>
        <w:pStyle w:val="H1GR"/>
        <w:tabs>
          <w:tab w:val="left" w:pos="1980"/>
        </w:tabs>
      </w:pPr>
      <w:r w:rsidRPr="00CB2C86">
        <w:tab/>
      </w:r>
      <w:r w:rsidRPr="00CB2C86">
        <w:tab/>
        <w:t>Правозащитное учреждение</w:t>
      </w:r>
    </w:p>
    <w:p w:rsidR="00F936A8" w:rsidRPr="00CB2C86" w:rsidRDefault="00F936A8" w:rsidP="007F18DC">
      <w:pPr>
        <w:pStyle w:val="SingleTxtGR"/>
        <w:tabs>
          <w:tab w:val="clear" w:pos="1701"/>
          <w:tab w:val="left" w:pos="1980"/>
        </w:tabs>
      </w:pPr>
      <w:r w:rsidRPr="00CB2C86">
        <w:t>2.50</w:t>
      </w:r>
      <w:r w:rsidRPr="00CB2C86">
        <w:tab/>
        <w:t>Комитет вновь выразил озабоченность в связи с отсутствием правоз</w:t>
      </w:r>
      <w:r w:rsidRPr="00CB2C86">
        <w:t>а</w:t>
      </w:r>
      <w:r w:rsidRPr="00CB2C86">
        <w:t>щитного учреждения с широкими полномочиями. Некоторые комментаторы предложили также создать аналогичную комиссию, имеющую четкий мандат в области прав ребенка. Вопрос о создании независимого правозащитного учре</w:t>
      </w:r>
      <w:r w:rsidRPr="00CB2C86">
        <w:t>ж</w:t>
      </w:r>
      <w:r w:rsidRPr="00CB2C86">
        <w:t>дения недавно был рассмотрен правительством в контексте обзора сферы по</w:t>
      </w:r>
      <w:r w:rsidRPr="00CB2C86">
        <w:t>л</w:t>
      </w:r>
      <w:r w:rsidRPr="00CB2C86">
        <w:t>номочий Управления Омбудсмена по правам человека.</w:t>
      </w:r>
    </w:p>
    <w:p w:rsidR="00F936A8" w:rsidRPr="00CB2C86" w:rsidRDefault="00F936A8" w:rsidP="007F18DC">
      <w:pPr>
        <w:pStyle w:val="SingleTxtGR"/>
        <w:tabs>
          <w:tab w:val="clear" w:pos="1701"/>
          <w:tab w:val="left" w:pos="1980"/>
        </w:tabs>
      </w:pPr>
      <w:r w:rsidRPr="00CB2C86">
        <w:t>2.51</w:t>
      </w:r>
      <w:r w:rsidRPr="00CB2C86">
        <w:tab/>
        <w:t>Обзор провел сам Омбудсмен по правам человека, а доклад о резул</w:t>
      </w:r>
      <w:r w:rsidRPr="00CB2C86">
        <w:t>ь</w:t>
      </w:r>
      <w:r w:rsidRPr="00CB2C86">
        <w:t>татах этого обзора был представлен администрации в двух частях соответс</w:t>
      </w:r>
      <w:r w:rsidRPr="00CB2C86">
        <w:t>т</w:t>
      </w:r>
      <w:r w:rsidRPr="00CB2C86">
        <w:t>венно в 2006 и 2007</w:t>
      </w:r>
      <w:r w:rsidR="00B92291">
        <w:t> год</w:t>
      </w:r>
      <w:r w:rsidRPr="00CB2C86">
        <w:t>ах. Вопрос о том, следует ли Омбудсмену по правам ч</w:t>
      </w:r>
      <w:r w:rsidRPr="00CB2C86">
        <w:t>е</w:t>
      </w:r>
      <w:r w:rsidRPr="00CB2C86">
        <w:t>ловека брать на себя функции комиссии по защите и поощрению прав человека, был рассмотрен во второй части доклада Омбудсмена по правам человека. Было отмечено, что, хотя Омбудсмен по правам человека прямо не наделен правоз</w:t>
      </w:r>
      <w:r w:rsidRPr="00CB2C86">
        <w:t>а</w:t>
      </w:r>
      <w:r w:rsidRPr="00CB2C86">
        <w:t>щитными функциями, суть работы Управления заключается в том, чтобы обе</w:t>
      </w:r>
      <w:r w:rsidRPr="00CB2C86">
        <w:t>с</w:t>
      </w:r>
      <w:r w:rsidRPr="00CB2C86">
        <w:t>печить защиту отдельных прав органами государственного управления. В соо</w:t>
      </w:r>
      <w:r w:rsidRPr="00CB2C86">
        <w:t>т</w:t>
      </w:r>
      <w:r w:rsidRPr="00CB2C86">
        <w:t>ветствии с действующим правозащитным механизмом Гонконга различные ст</w:t>
      </w:r>
      <w:r w:rsidRPr="00CB2C86">
        <w:t>а</w:t>
      </w:r>
      <w:r w:rsidRPr="00CB2C86">
        <w:t>тутные органы, в том числе Управление Омбудсмена по правам человека, КРВ и Управление уполномоченного по защите конфиденциальности персональных данных играют важную роль, определенную различными нормативными акт</w:t>
      </w:r>
      <w:r w:rsidRPr="00CB2C86">
        <w:t>а</w:t>
      </w:r>
      <w:r w:rsidRPr="00CB2C86">
        <w:t>ми. Вопрос о том, следует ли создавать одно единственное учреждение в Го</w:t>
      </w:r>
      <w:r w:rsidRPr="00CB2C86">
        <w:t>н</w:t>
      </w:r>
      <w:r w:rsidRPr="00CB2C86">
        <w:t>конге, которое будет курировать все аспекты защиты прав человека, является вопросом политики, который должен быть изучен правительством.</w:t>
      </w:r>
    </w:p>
    <w:p w:rsidR="00F936A8" w:rsidRPr="00CB2C86" w:rsidRDefault="00F936A8" w:rsidP="007F18DC">
      <w:pPr>
        <w:pStyle w:val="SingleTxtGR"/>
        <w:tabs>
          <w:tab w:val="clear" w:pos="1701"/>
          <w:tab w:val="left" w:pos="1980"/>
        </w:tabs>
      </w:pPr>
      <w:r w:rsidRPr="00CB2C86">
        <w:t>2.52</w:t>
      </w:r>
      <w:r w:rsidRPr="00CB2C86">
        <w:tab/>
        <w:t>Рассмотрев доклад о результатах обзора, правительство считает, что в Гонконге уже существует прочный правозащитный механизм. В дополнение к упомянутым выше статутным органам Гонконг располагает прочной правовой системой, подкрепленной независимыми судами, корпусом профессиональных юристов и квалифицированными службами юридической помощи, а также о</w:t>
      </w:r>
      <w:r w:rsidRPr="00CB2C86">
        <w:t>т</w:t>
      </w:r>
      <w:r w:rsidRPr="00CB2C86">
        <w:t>личается неизменным соблюдением законности. Государственные процедуры и меры также внимательно отслеживаются ЗС, активным и свободным сектором средств массовой информации и широкой общественностью. Пока нет насто</w:t>
      </w:r>
      <w:r w:rsidRPr="00CB2C86">
        <w:t>я</w:t>
      </w:r>
      <w:r w:rsidRPr="00CB2C86">
        <w:t>тельной необходимости в создании еще одного правозащитного учреждения, дублирующего функции существующего механизма или заменяющего его.</w:t>
      </w:r>
    </w:p>
    <w:p w:rsidR="00F936A8" w:rsidRPr="00CB2C86" w:rsidRDefault="00F936A8" w:rsidP="007F18DC">
      <w:pPr>
        <w:pStyle w:val="SingleTxtGR"/>
        <w:tabs>
          <w:tab w:val="clear" w:pos="1701"/>
          <w:tab w:val="left" w:pos="1980"/>
        </w:tabs>
      </w:pPr>
      <w:r w:rsidRPr="00CB2C86">
        <w:t>2.53</w:t>
      </w:r>
      <w:r w:rsidRPr="00CB2C86">
        <w:tab/>
        <w:t>Поэтому мы остаемся при мнении, что для осуществления Пакта или его норм нет необходимости в дополнительном контрольном механизме.</w:t>
      </w:r>
    </w:p>
    <w:p w:rsidR="00F936A8" w:rsidRPr="00CB2C86" w:rsidRDefault="00F936A8" w:rsidP="00122DDF">
      <w:pPr>
        <w:pStyle w:val="H1GR"/>
        <w:tabs>
          <w:tab w:val="left" w:pos="1980"/>
        </w:tabs>
      </w:pPr>
      <w:r w:rsidRPr="00CB2C86">
        <w:tab/>
      </w:r>
      <w:r w:rsidRPr="00CB2C86">
        <w:tab/>
        <w:t>Комиссия по равным возможностям</w:t>
      </w:r>
    </w:p>
    <w:p w:rsidR="00F936A8" w:rsidRPr="00CB2C86" w:rsidRDefault="00F936A8" w:rsidP="007F18DC">
      <w:pPr>
        <w:pStyle w:val="SingleTxtGR"/>
        <w:tabs>
          <w:tab w:val="clear" w:pos="1701"/>
          <w:tab w:val="left" w:pos="1980"/>
        </w:tabs>
      </w:pPr>
      <w:r w:rsidRPr="00CB2C86">
        <w:t>2.54</w:t>
      </w:r>
      <w:r w:rsidRPr="00CB2C86">
        <w:tab/>
        <w:t>Недавно правительство провело еще один раунд обзора совокупного вознаграждения старших должностных лиц КРВ, упомянутого в пункте 2.19 предыдущего доклада. Результаты обзора показали, что в период 2007</w:t>
      </w:r>
      <w:r>
        <w:t>−</w:t>
      </w:r>
      <w:r w:rsidRPr="00CB2C86">
        <w:t>2009</w:t>
      </w:r>
      <w:r w:rsidR="00B92291">
        <w:t> год</w:t>
      </w:r>
      <w:r w:rsidRPr="00CB2C86">
        <w:t>ов совокупное вознаграждение должностных трех высших уро</w:t>
      </w:r>
      <w:r w:rsidRPr="00CB2C86">
        <w:t>в</w:t>
      </w:r>
      <w:r w:rsidRPr="00CB2C86">
        <w:t>ней было сопоставимо с вознаграждением гражданских служащих эквивален</w:t>
      </w:r>
      <w:r w:rsidRPr="00CB2C86">
        <w:t>т</w:t>
      </w:r>
      <w:r w:rsidRPr="00CB2C86">
        <w:t>ных рангов. Такой обзор будет проводиться на регулярной основе.</w:t>
      </w:r>
    </w:p>
    <w:p w:rsidR="00F936A8" w:rsidRPr="00CB2C86" w:rsidRDefault="00F936A8" w:rsidP="007F18DC">
      <w:pPr>
        <w:pStyle w:val="SingleTxtGR"/>
        <w:tabs>
          <w:tab w:val="clear" w:pos="1701"/>
          <w:tab w:val="left" w:pos="1980"/>
        </w:tabs>
      </w:pPr>
      <w:r w:rsidRPr="00CB2C86">
        <w:t>2.55</w:t>
      </w:r>
      <w:r w:rsidRPr="00CB2C86">
        <w:tab/>
        <w:t>По мнению некоторых комментаторов, тот факт, что председатель КРВ выполняет административную функцию, противоречит Парижским принципам, поскольку такой порядок исключает подотчетность и контроль.</w:t>
      </w:r>
    </w:p>
    <w:p w:rsidR="00F936A8" w:rsidRPr="00CB2C86" w:rsidRDefault="00F936A8" w:rsidP="00F440B1">
      <w:pPr>
        <w:pStyle w:val="SingleTxtGR"/>
        <w:tabs>
          <w:tab w:val="clear" w:pos="1701"/>
          <w:tab w:val="left" w:pos="1980"/>
        </w:tabs>
      </w:pPr>
      <w:r w:rsidRPr="00CB2C86">
        <w:t>2.56</w:t>
      </w:r>
      <w:r w:rsidRPr="00CB2C86">
        <w:tab/>
        <w:t>Правительство рассмотрело этот вопрос и обсудило его с членами ЗС. Члены ЗС высказали различные точки зрения. Хотя большинство мнений было в пользу разделения функций председателя и главного исполнительного лица, были также сделаны оговорки, отражающие сомнение относительно целесоо</w:t>
      </w:r>
      <w:r w:rsidRPr="00CB2C86">
        <w:t>б</w:t>
      </w:r>
      <w:r w:rsidRPr="00CB2C86">
        <w:t>разности такого разделения должностей, в частности превращения должности председателя в должность без исполнительных полномочий, поскольку это м</w:t>
      </w:r>
      <w:r w:rsidRPr="00CB2C86">
        <w:t>о</w:t>
      </w:r>
      <w:r w:rsidRPr="00CB2C86">
        <w:t>жет затронуть возможности КРВ выполнять свои функции. Хотя большинство членов КРВ склонялись к тому, чтобы у них был председатель по основным в</w:t>
      </w:r>
      <w:r w:rsidRPr="00CB2C86">
        <w:t>о</w:t>
      </w:r>
      <w:r w:rsidRPr="00CB2C86">
        <w:t>просам, выполняющий свои обязанности неполный рабочий день, и председ</w:t>
      </w:r>
      <w:r w:rsidRPr="00CB2C86">
        <w:t>а</w:t>
      </w:r>
      <w:r w:rsidRPr="00CB2C86">
        <w:t>тель по административным вопросам, работающий полный рабочий день, тем не мене</w:t>
      </w:r>
      <w:r w:rsidR="008607B7">
        <w:t>е</w:t>
      </w:r>
      <w:r w:rsidRPr="00CB2C86">
        <w:t xml:space="preserve"> среди членов КРВ раздавались голоса, поддерживающие оба вариа</w:t>
      </w:r>
      <w:r w:rsidRPr="00CB2C86">
        <w:t>н</w:t>
      </w:r>
      <w:r w:rsidRPr="00CB2C86">
        <w:t>та, т.е. председателя по основным вопросам, исполняющего свои обязанности н</w:t>
      </w:r>
      <w:r w:rsidRPr="00CB2C86">
        <w:t>е</w:t>
      </w:r>
      <w:r w:rsidRPr="00CB2C86">
        <w:t>полный рабочий день, и председателя по административным вопросам, раб</w:t>
      </w:r>
      <w:r w:rsidRPr="00CB2C86">
        <w:t>о</w:t>
      </w:r>
      <w:r w:rsidRPr="00CB2C86">
        <w:t>тающего полный рабочий день.</w:t>
      </w:r>
    </w:p>
    <w:p w:rsidR="00F936A8" w:rsidRPr="00CB2C86" w:rsidRDefault="00F936A8" w:rsidP="00F440B1">
      <w:pPr>
        <w:pStyle w:val="SingleTxtGR"/>
        <w:tabs>
          <w:tab w:val="clear" w:pos="1701"/>
          <w:tab w:val="left" w:pos="1980"/>
        </w:tabs>
      </w:pPr>
      <w:r w:rsidRPr="00CB2C86">
        <w:t>2.57</w:t>
      </w:r>
      <w:r w:rsidRPr="00CB2C86">
        <w:tab/>
        <w:t>С учетом полученных комментариев мы считаем, что на данном этапе нам следует сохранить текущий статус председателя и учредить пост главного оперативного сотрудника, выполняющего административные и оперативные функции, чтобы укрепить руководство КРВ. Мы готовы рассмотреть мнения КРВ и общественности, если они сочтут необходимым пересмотреть такой п</w:t>
      </w:r>
      <w:r w:rsidRPr="00CB2C86">
        <w:t>о</w:t>
      </w:r>
      <w:r w:rsidRPr="00CB2C86">
        <w:t>рядок в будущем.</w:t>
      </w:r>
    </w:p>
    <w:p w:rsidR="00F936A8" w:rsidRPr="00CB2C86" w:rsidRDefault="00F936A8" w:rsidP="00122DDF">
      <w:pPr>
        <w:pStyle w:val="HChGR"/>
        <w:tabs>
          <w:tab w:val="left" w:pos="1980"/>
        </w:tabs>
      </w:pPr>
      <w:r w:rsidRPr="00CB2C86">
        <w:tab/>
      </w:r>
      <w:r w:rsidRPr="00CB2C86">
        <w:tab/>
        <w:t>Статья 3</w:t>
      </w:r>
      <w:r>
        <w:br/>
      </w:r>
      <w:r w:rsidRPr="00CB2C86">
        <w:t>Равноправие мужчин и женщин</w:t>
      </w:r>
    </w:p>
    <w:p w:rsidR="00F936A8" w:rsidRPr="00CB2C86" w:rsidRDefault="00F936A8" w:rsidP="00122DDF">
      <w:pPr>
        <w:pStyle w:val="H1GR"/>
        <w:tabs>
          <w:tab w:val="left" w:pos="1980"/>
        </w:tabs>
      </w:pPr>
      <w:r w:rsidRPr="00CB2C86">
        <w:tab/>
      </w:r>
      <w:r w:rsidRPr="00CB2C86">
        <w:tab/>
        <w:t>Конвенция о ликвидации всех форм дискриминации в</w:t>
      </w:r>
      <w:r>
        <w:t> </w:t>
      </w:r>
      <w:r w:rsidRPr="00CB2C86">
        <w:t>отношении женщин и Комиссия по делам женщин</w:t>
      </w:r>
    </w:p>
    <w:p w:rsidR="00F936A8" w:rsidRPr="00CB2C86" w:rsidRDefault="00F936A8" w:rsidP="00F440B1">
      <w:pPr>
        <w:pStyle w:val="SingleTxtGR"/>
        <w:tabs>
          <w:tab w:val="clear" w:pos="1701"/>
          <w:tab w:val="left" w:pos="1980"/>
        </w:tabs>
      </w:pPr>
      <w:r w:rsidRPr="00CB2C86">
        <w:t>3.1</w:t>
      </w:r>
      <w:r w:rsidRPr="00CB2C86">
        <w:tab/>
        <w:t>В момент завершения работы над настоящим Докладом мы одновр</w:t>
      </w:r>
      <w:r w:rsidRPr="00CB2C86">
        <w:t>е</w:t>
      </w:r>
      <w:r w:rsidRPr="00CB2C86">
        <w:t>менно готовили третий доклад САРГ, представляемый в соответствии с Ко</w:t>
      </w:r>
      <w:r w:rsidRPr="00CB2C86">
        <w:t>н</w:t>
      </w:r>
      <w:r w:rsidRPr="00CB2C86">
        <w:t>венцией Организации Объединенных Наций о ликвидации всех форм дискр</w:t>
      </w:r>
      <w:r w:rsidRPr="00CB2C86">
        <w:t>и</w:t>
      </w:r>
      <w:r w:rsidRPr="00CB2C86">
        <w:t>минации в отношении женщин (КЛДЖ). Наш доклад в соответствии с КЛДЖ станет с</w:t>
      </w:r>
      <w:r w:rsidRPr="00CB2C86">
        <w:t>о</w:t>
      </w:r>
      <w:r w:rsidRPr="00CB2C86">
        <w:t xml:space="preserve">ставной частью доклада Китая, представляемого в соответствии с этой </w:t>
      </w:r>
      <w:r w:rsidR="008607B7" w:rsidRPr="00CB2C86">
        <w:t>Конве</w:t>
      </w:r>
      <w:r w:rsidR="008607B7" w:rsidRPr="00CB2C86">
        <w:t>н</w:t>
      </w:r>
      <w:r w:rsidR="008607B7" w:rsidRPr="00CB2C86">
        <w:t>цией</w:t>
      </w:r>
      <w:r w:rsidRPr="00CB2C86">
        <w:t>.</w:t>
      </w:r>
    </w:p>
    <w:p w:rsidR="00F936A8" w:rsidRPr="00CB2C86" w:rsidRDefault="00F936A8" w:rsidP="00122DDF">
      <w:pPr>
        <w:pStyle w:val="H23GR"/>
        <w:tabs>
          <w:tab w:val="left" w:pos="1980"/>
        </w:tabs>
      </w:pPr>
      <w:r w:rsidRPr="00CB2C86">
        <w:tab/>
      </w:r>
      <w:r w:rsidRPr="00CB2C86">
        <w:tab/>
        <w:t>Комиссия по делам женщин</w:t>
      </w:r>
    </w:p>
    <w:p w:rsidR="00F936A8" w:rsidRPr="00CB2C86" w:rsidRDefault="00F936A8" w:rsidP="00F440B1">
      <w:pPr>
        <w:pStyle w:val="SingleTxtGR"/>
        <w:tabs>
          <w:tab w:val="clear" w:pos="1701"/>
          <w:tab w:val="left" w:pos="1980"/>
        </w:tabs>
      </w:pPr>
      <w:r w:rsidRPr="00CB2C86">
        <w:t>3.2</w:t>
      </w:r>
      <w:r w:rsidRPr="00CB2C86">
        <w:tab/>
        <w:t>После реорганизации Секретариата правительства САРГ 1 июля 2007</w:t>
      </w:r>
      <w:r w:rsidR="00B92291">
        <w:t> год</w:t>
      </w:r>
      <w:r w:rsidRPr="00CB2C86">
        <w:t>а Комиссия по делам женщин (КДЖ) получила исполнительную по</w:t>
      </w:r>
      <w:r w:rsidRPr="00CB2C86">
        <w:t>д</w:t>
      </w:r>
      <w:r w:rsidRPr="00CB2C86">
        <w:t>держку УТСО и продолжает получать ежегодное финансирование в размере 20</w:t>
      </w:r>
      <w:r w:rsidR="004F720A">
        <w:t> </w:t>
      </w:r>
      <w:r w:rsidR="00B63D5C">
        <w:t>млн. долларов.</w:t>
      </w:r>
    </w:p>
    <w:p w:rsidR="00F936A8" w:rsidRPr="00CB2C86" w:rsidRDefault="00F936A8" w:rsidP="00F440B1">
      <w:pPr>
        <w:pStyle w:val="SingleTxtGR"/>
        <w:tabs>
          <w:tab w:val="clear" w:pos="1701"/>
          <w:tab w:val="left" w:pos="1980"/>
        </w:tabs>
      </w:pPr>
      <w:r w:rsidRPr="00CB2C86">
        <w:t>3.3</w:t>
      </w:r>
      <w:r w:rsidRPr="00CB2C86">
        <w:tab/>
        <w:t>Чтобы добиться целей своей миссии, заключающейся в том, чтобы женщины Гонконга могли реализовать в полном объеме свой должный статус, права и возможности во всех областях жизни, КДЖ продолжает следовать стр</w:t>
      </w:r>
      <w:r w:rsidRPr="00CB2C86">
        <w:t>а</w:t>
      </w:r>
      <w:r w:rsidRPr="00CB2C86">
        <w:t>тегии, опирающейся на три основных принципа, а именно: обеспечение благ</w:t>
      </w:r>
      <w:r w:rsidRPr="00CB2C86">
        <w:t>о</w:t>
      </w:r>
      <w:r w:rsidRPr="00CB2C86">
        <w:t>приятных условий, расширение прав и возможностей женщин путем наращив</w:t>
      </w:r>
      <w:r w:rsidRPr="00CB2C86">
        <w:t>а</w:t>
      </w:r>
      <w:r w:rsidRPr="00CB2C86">
        <w:t>ния потенциала и государственное образование, поощряя тем самым заинтер</w:t>
      </w:r>
      <w:r w:rsidRPr="00CB2C86">
        <w:t>е</w:t>
      </w:r>
      <w:r w:rsidRPr="00CB2C86">
        <w:t>сованность женщин и улучшая их благосостояние. К главным предпринятым инициативам в соответствующих областях относятся:</w:t>
      </w:r>
    </w:p>
    <w:p w:rsidR="00F936A8" w:rsidRPr="00CB2C86" w:rsidRDefault="00F936A8" w:rsidP="00F440B1">
      <w:pPr>
        <w:pStyle w:val="SingleTxtGR"/>
        <w:tabs>
          <w:tab w:val="clear" w:pos="1701"/>
          <w:tab w:val="clear" w:pos="2268"/>
          <w:tab w:val="left" w:pos="1980"/>
          <w:tab w:val="left" w:pos="2520"/>
        </w:tabs>
      </w:pPr>
      <w:r w:rsidRPr="00CB2C86">
        <w:tab/>
      </w:r>
      <w:proofErr w:type="spellStart"/>
      <w:r>
        <w:t>a</w:t>
      </w:r>
      <w:proofErr w:type="spellEnd"/>
      <w:r>
        <w:t>)</w:t>
      </w:r>
      <w:r w:rsidRPr="00CB2C86">
        <w:tab/>
      </w:r>
      <w:r w:rsidRPr="00CB2C86">
        <w:rPr>
          <w:b/>
        </w:rPr>
        <w:t>Всесторонний</w:t>
      </w:r>
      <w:r w:rsidRPr="00CB2C86">
        <w:t xml:space="preserve"> у</w:t>
      </w:r>
      <w:r w:rsidRPr="00CB2C86">
        <w:rPr>
          <w:b/>
        </w:rPr>
        <w:t xml:space="preserve">чет </w:t>
      </w:r>
      <w:proofErr w:type="spellStart"/>
      <w:r w:rsidRPr="00CB2C86">
        <w:rPr>
          <w:b/>
        </w:rPr>
        <w:t>гендерной</w:t>
      </w:r>
      <w:proofErr w:type="spellEnd"/>
      <w:r w:rsidRPr="00CB2C86">
        <w:rPr>
          <w:b/>
        </w:rPr>
        <w:t xml:space="preserve"> проблематики</w:t>
      </w:r>
      <w:r w:rsidRPr="00CB2C86">
        <w:t xml:space="preserve">: продолжаются усилия, направленные на содействие всестороннему учету </w:t>
      </w:r>
      <w:proofErr w:type="spellStart"/>
      <w:r w:rsidRPr="00CB2C86">
        <w:t>гендерной</w:t>
      </w:r>
      <w:proofErr w:type="spellEnd"/>
      <w:r w:rsidRPr="00CB2C86">
        <w:t xml:space="preserve"> проблем</w:t>
      </w:r>
      <w:r w:rsidRPr="00CB2C86">
        <w:t>а</w:t>
      </w:r>
      <w:r w:rsidRPr="00CB2C86">
        <w:t>тики. Контрольный список, составленный КДЖ и упомянутый в пункте 3.3</w:t>
      </w:r>
      <w:r>
        <w:t> </w:t>
      </w:r>
      <w:r w:rsidRPr="00CB2C86">
        <w:t>а) предыдущего доклада, после 2002</w:t>
      </w:r>
      <w:r w:rsidR="00B92291">
        <w:t> год</w:t>
      </w:r>
      <w:r w:rsidRPr="00CB2C86">
        <w:t>а был включен в 30 различных государс</w:t>
      </w:r>
      <w:r w:rsidRPr="00CB2C86">
        <w:t>т</w:t>
      </w:r>
      <w:r w:rsidRPr="00CB2C86">
        <w:t>венных мероприятий/программ. Учитывая опыт, приобретенный правительс</w:t>
      </w:r>
      <w:r w:rsidRPr="00CB2C86">
        <w:t>т</w:t>
      </w:r>
      <w:r w:rsidRPr="00CB2C86">
        <w:t>вом в ходе применения этого контрольного списка и реализации концепции вс</w:t>
      </w:r>
      <w:r w:rsidRPr="00CB2C86">
        <w:t>е</w:t>
      </w:r>
      <w:r w:rsidRPr="00CB2C86">
        <w:t xml:space="preserve">стороннего учета </w:t>
      </w:r>
      <w:proofErr w:type="spellStart"/>
      <w:r w:rsidRPr="00CB2C86">
        <w:t>гендерной</w:t>
      </w:r>
      <w:proofErr w:type="spellEnd"/>
      <w:r w:rsidRPr="00CB2C86">
        <w:t xml:space="preserve"> проблематики, в 2009</w:t>
      </w:r>
      <w:r w:rsidR="00B92291">
        <w:t> год</w:t>
      </w:r>
      <w:r w:rsidRPr="00CB2C86">
        <w:t>у КДЖ пересмотрела при содействии различных заинтересованных сторон этот контрольный список. П</w:t>
      </w:r>
      <w:r w:rsidRPr="00CB2C86">
        <w:t>е</w:t>
      </w:r>
      <w:r w:rsidRPr="00CB2C86">
        <w:t>ресмотре</w:t>
      </w:r>
      <w:r w:rsidRPr="00CB2C86">
        <w:t>н</w:t>
      </w:r>
      <w:r w:rsidRPr="00CB2C86">
        <w:t xml:space="preserve">ный контрольный список еще больше поможет государственным служащим применять концепцию всестороннего учета </w:t>
      </w:r>
      <w:proofErr w:type="spellStart"/>
      <w:r w:rsidRPr="00CB2C86">
        <w:t>гендерной</w:t>
      </w:r>
      <w:proofErr w:type="spellEnd"/>
      <w:r w:rsidRPr="00CB2C86">
        <w:t xml:space="preserve"> проблематики в различных областях политики и программных областях. Кроме того, госуда</w:t>
      </w:r>
      <w:r w:rsidRPr="00CB2C86">
        <w:t>р</w:t>
      </w:r>
      <w:r w:rsidRPr="00CB2C86">
        <w:t>ственные служащие различных должностей и рангов проходят профессионал</w:t>
      </w:r>
      <w:r w:rsidRPr="00CB2C86">
        <w:t>ь</w:t>
      </w:r>
      <w:r w:rsidRPr="00CB2C86">
        <w:t xml:space="preserve">ную подготовку в части, касающейся учета </w:t>
      </w:r>
      <w:proofErr w:type="spellStart"/>
      <w:r w:rsidRPr="00CB2C86">
        <w:t>гендерной</w:t>
      </w:r>
      <w:proofErr w:type="spellEnd"/>
      <w:r w:rsidRPr="00CB2C86">
        <w:t xml:space="preserve"> проблематики, с целью повысить уровень осведомленности о потребностях и интересах женщин в пр</w:t>
      </w:r>
      <w:r w:rsidRPr="00CB2C86">
        <w:t>о</w:t>
      </w:r>
      <w:r w:rsidRPr="00CB2C86">
        <w:t>цессе формулирования политики и оказания услуг. Соответственно, в 2003 и 2008</w:t>
      </w:r>
      <w:r w:rsidR="00B92291">
        <w:t> год</w:t>
      </w:r>
      <w:r w:rsidRPr="00CB2C86">
        <w:t>ах при правительстве и ОС были созданы сети координационных це</w:t>
      </w:r>
      <w:r w:rsidRPr="00CB2C86">
        <w:t>н</w:t>
      </w:r>
      <w:r w:rsidRPr="00CB2C86">
        <w:t xml:space="preserve">тров по </w:t>
      </w:r>
      <w:proofErr w:type="spellStart"/>
      <w:r w:rsidRPr="00CB2C86">
        <w:t>гендерным</w:t>
      </w:r>
      <w:proofErr w:type="spellEnd"/>
      <w:r w:rsidRPr="00CB2C86">
        <w:t xml:space="preserve"> вопросам, чтобы содействовать всестороннему учету </w:t>
      </w:r>
      <w:proofErr w:type="spellStart"/>
      <w:r w:rsidRPr="00CB2C86">
        <w:t>ге</w:t>
      </w:r>
      <w:r w:rsidRPr="00CB2C86">
        <w:t>н</w:t>
      </w:r>
      <w:r w:rsidRPr="00CB2C86">
        <w:t>дерной</w:t>
      </w:r>
      <w:proofErr w:type="spellEnd"/>
      <w:r w:rsidRPr="00CB2C86">
        <w:t xml:space="preserve"> пр</w:t>
      </w:r>
      <w:r w:rsidRPr="00CB2C86">
        <w:t>о</w:t>
      </w:r>
      <w:r w:rsidRPr="00CB2C86">
        <w:t>блематики на общегосударственном и окружном уровнях;</w:t>
      </w:r>
    </w:p>
    <w:p w:rsidR="00F936A8" w:rsidRPr="00CB2C86" w:rsidRDefault="00F936A8" w:rsidP="00F440B1">
      <w:pPr>
        <w:pStyle w:val="SingleTxtGR"/>
        <w:tabs>
          <w:tab w:val="clear" w:pos="1701"/>
          <w:tab w:val="clear" w:pos="2268"/>
          <w:tab w:val="left" w:pos="1980"/>
          <w:tab w:val="left" w:pos="2520"/>
        </w:tabs>
      </w:pPr>
      <w:r w:rsidRPr="00CB2C86">
        <w:tab/>
      </w:r>
      <w:proofErr w:type="spellStart"/>
      <w:r>
        <w:t>b</w:t>
      </w:r>
      <w:proofErr w:type="spellEnd"/>
      <w:r>
        <w:t>)</w:t>
      </w:r>
      <w:r w:rsidRPr="00CB2C86">
        <w:tab/>
      </w:r>
      <w:r w:rsidRPr="00CB2C86">
        <w:rPr>
          <w:b/>
        </w:rPr>
        <w:t>Расширение прав и возможностей женщин</w:t>
      </w:r>
      <w:r w:rsidRPr="00CB2C86">
        <w:t xml:space="preserve">: КДЖ продолжает поощрять представительство женщин в государственных консультативных и статутных органах (КСО), упомянутых в пункте 3.3 </w:t>
      </w:r>
      <w:r w:rsidRPr="00CB2C86">
        <w:rPr>
          <w:lang w:val="en-GB"/>
        </w:rPr>
        <w:t>b</w:t>
      </w:r>
      <w:r w:rsidRPr="00CB2C86">
        <w:t>) предыдущего доклада. По предложению КДЖ в 2004</w:t>
      </w:r>
      <w:r w:rsidR="00B92291">
        <w:t> год</w:t>
      </w:r>
      <w:r w:rsidRPr="00CB2C86">
        <w:t xml:space="preserve">у правительство установило </w:t>
      </w:r>
      <w:proofErr w:type="spellStart"/>
      <w:r w:rsidRPr="00CB2C86">
        <w:t>гендерный</w:t>
      </w:r>
      <w:proofErr w:type="spellEnd"/>
      <w:r w:rsidRPr="00CB2C86">
        <w:t xml:space="preserve"> порог на уровне 25% в качестве первоначального целевого рабочего показателя пре</w:t>
      </w:r>
      <w:r w:rsidRPr="00CB2C86">
        <w:t>д</w:t>
      </w:r>
      <w:r w:rsidRPr="00CB2C86">
        <w:t>ставительства женщин в КСО. Кроме того, КДЖ тесно сотрудничает с прав</w:t>
      </w:r>
      <w:r w:rsidRPr="00CB2C86">
        <w:t>и</w:t>
      </w:r>
      <w:r w:rsidRPr="00CB2C86">
        <w:t>тельством по поиску, выявлению и подготовке женщин-кандидатов на должн</w:t>
      </w:r>
      <w:r w:rsidRPr="00CB2C86">
        <w:t>о</w:t>
      </w:r>
      <w:r w:rsidRPr="00CB2C86">
        <w:t>сти в КСО. Благодаря этим усилиям процентная доля женщин, представленных в КСО, увеличилась с 22</w:t>
      </w:r>
      <w:r>
        <w:t>,</w:t>
      </w:r>
      <w:r w:rsidRPr="00CB2C86">
        <w:t>6% в 2003</w:t>
      </w:r>
      <w:r w:rsidR="00B92291">
        <w:t> год</w:t>
      </w:r>
      <w:r w:rsidRPr="00CB2C86">
        <w:t>у до 27</w:t>
      </w:r>
      <w:r>
        <w:t>,</w:t>
      </w:r>
      <w:r w:rsidRPr="00CB2C86">
        <w:t>3% в декабре 2009</w:t>
      </w:r>
      <w:r w:rsidR="00B92291">
        <w:t> год</w:t>
      </w:r>
      <w:r w:rsidR="008607B7">
        <w:t>а</w:t>
      </w:r>
      <w:r w:rsidRPr="00CB2C86">
        <w:t>. В</w:t>
      </w:r>
      <w:r>
        <w:t> </w:t>
      </w:r>
      <w:r w:rsidRPr="00CB2C86">
        <w:t>2003</w:t>
      </w:r>
      <w:r w:rsidR="00B92291">
        <w:t> год</w:t>
      </w:r>
      <w:r w:rsidRPr="00CB2C86">
        <w:t>у, чтобы содействовать развитию и принятию новаторских и поз</w:t>
      </w:r>
      <w:r w:rsidRPr="00CB2C86">
        <w:t>и</w:t>
      </w:r>
      <w:r w:rsidRPr="00CB2C86">
        <w:t>тивных инициатив по улучшению положения женщин, КРВ также опубликовала брошюру, в которой приводятся примеры успешных программ правительства, НПО, служб социальной помощи женщинам и местных групп по расширению прав и возможностей. Отдельно в 2004</w:t>
      </w:r>
      <w:r w:rsidR="00B92291">
        <w:t> год</w:t>
      </w:r>
      <w:r w:rsidRPr="00CB2C86">
        <w:t>у КДЖ запустила в качестве одной из основных инициатив по расширению прав и возможностей женщин пр</w:t>
      </w:r>
      <w:r w:rsidRPr="00CB2C86">
        <w:t>о</w:t>
      </w:r>
      <w:r w:rsidRPr="00CB2C86">
        <w:t xml:space="preserve">грамму </w:t>
      </w:r>
      <w:r>
        <w:t>"</w:t>
      </w:r>
      <w:r w:rsidRPr="00CB2C86">
        <w:t>Создание потенциала: пройденный путь</w:t>
      </w:r>
      <w:r>
        <w:t>"</w:t>
      </w:r>
      <w:r w:rsidRPr="00CB2C86">
        <w:t>. Эта программа является ги</w:t>
      </w:r>
      <w:r w:rsidRPr="00CB2C86">
        <w:t>б</w:t>
      </w:r>
      <w:r w:rsidRPr="00CB2C86">
        <w:t>кой учебной программой, специально адаптированной под потребности и инт</w:t>
      </w:r>
      <w:r w:rsidRPr="00CB2C86">
        <w:t>е</w:t>
      </w:r>
      <w:r w:rsidRPr="00CB2C86">
        <w:t>ресы женщин. Она реализуется в основном через радиовещательные программы и интерактивные курсы, в которых участвуют боле 70 партнерских женских групп и НПО. Эти курсы проводятся по таким предметам, как искусство межличнос</w:t>
      </w:r>
      <w:r w:rsidRPr="00CB2C86">
        <w:t>т</w:t>
      </w:r>
      <w:r w:rsidRPr="00CB2C86">
        <w:t>ных отношений, управление финансами, здоровье и другие практические в</w:t>
      </w:r>
      <w:r w:rsidRPr="00CB2C86">
        <w:t>о</w:t>
      </w:r>
      <w:r w:rsidRPr="00CB2C86">
        <w:t>просы повседневной жизни. Внедрение этой программы стимулировало же</w:t>
      </w:r>
      <w:r w:rsidRPr="00CB2C86">
        <w:t>н</w:t>
      </w:r>
      <w:r w:rsidRPr="00CB2C86">
        <w:t>щин различного происхождения и образовательного уровня к продолжению н</w:t>
      </w:r>
      <w:r w:rsidRPr="00CB2C86">
        <w:t>е</w:t>
      </w:r>
      <w:r w:rsidRPr="00CB2C86">
        <w:t>прерывного образования и саморазвития. К 2009</w:t>
      </w:r>
      <w:r w:rsidR="00B92291">
        <w:t> год</w:t>
      </w:r>
      <w:r w:rsidRPr="00CB2C86">
        <w:t>у общее количество учас</w:t>
      </w:r>
      <w:r w:rsidRPr="00CB2C86">
        <w:t>т</w:t>
      </w:r>
      <w:r w:rsidRPr="00CB2C86">
        <w:t>ников этой программы превысило 35</w:t>
      </w:r>
      <w:r w:rsidR="009818E4">
        <w:t> 000</w:t>
      </w:r>
      <w:r w:rsidRPr="00CB2C86">
        <w:t>, к которым нужно добавить ш</w:t>
      </w:r>
      <w:r w:rsidRPr="00CB2C86">
        <w:t>и</w:t>
      </w:r>
      <w:r w:rsidRPr="00CB2C86">
        <w:t>рокую аудиторию радиослушательниц; и</w:t>
      </w:r>
    </w:p>
    <w:p w:rsidR="00F936A8" w:rsidRPr="00CB2C86" w:rsidRDefault="00F936A8" w:rsidP="00F440B1">
      <w:pPr>
        <w:pStyle w:val="SingleTxtGR"/>
        <w:tabs>
          <w:tab w:val="clear" w:pos="1701"/>
          <w:tab w:val="clear" w:pos="2268"/>
          <w:tab w:val="left" w:pos="1980"/>
          <w:tab w:val="left" w:pos="2520"/>
        </w:tabs>
      </w:pPr>
      <w:r w:rsidRPr="00CB2C86">
        <w:tab/>
      </w:r>
      <w:proofErr w:type="spellStart"/>
      <w:r>
        <w:t>c</w:t>
      </w:r>
      <w:proofErr w:type="spellEnd"/>
      <w:r>
        <w:t>)</w:t>
      </w:r>
      <w:r w:rsidRPr="00CB2C86">
        <w:tab/>
      </w:r>
      <w:r w:rsidRPr="00CB2C86">
        <w:rPr>
          <w:b/>
        </w:rPr>
        <w:t>Просвещение общественности</w:t>
      </w:r>
      <w:r w:rsidRPr="00CB2C86">
        <w:t>: КДЖ продолжает свою просв</w:t>
      </w:r>
      <w:r w:rsidRPr="00CB2C86">
        <w:t>е</w:t>
      </w:r>
      <w:r w:rsidRPr="00CB2C86">
        <w:t xml:space="preserve">тительскую работу, чтобы ослабить </w:t>
      </w:r>
      <w:proofErr w:type="spellStart"/>
      <w:r w:rsidRPr="00CB2C86">
        <w:t>гендерные</w:t>
      </w:r>
      <w:proofErr w:type="spellEnd"/>
      <w:r w:rsidRPr="00CB2C86">
        <w:t xml:space="preserve"> предрассудки и стереотипы и повысить уровень информированности населения о проблемах женщин. Она также акцентирует внимание на уровне осведомленности о </w:t>
      </w:r>
      <w:proofErr w:type="spellStart"/>
      <w:r w:rsidRPr="00CB2C86">
        <w:t>гендерной</w:t>
      </w:r>
      <w:proofErr w:type="spellEnd"/>
      <w:r w:rsidRPr="00CB2C86">
        <w:t xml:space="preserve"> пробл</w:t>
      </w:r>
      <w:r w:rsidRPr="00CB2C86">
        <w:t>е</w:t>
      </w:r>
      <w:r w:rsidRPr="00CB2C86">
        <w:t xml:space="preserve">матике в школах с целью привить учащимся в раннем возрасте правильные </w:t>
      </w:r>
      <w:proofErr w:type="spellStart"/>
      <w:r w:rsidRPr="00CB2C86">
        <w:t>ге</w:t>
      </w:r>
      <w:r w:rsidRPr="00CB2C86">
        <w:t>н</w:t>
      </w:r>
      <w:r w:rsidRPr="00CB2C86">
        <w:t>дерные</w:t>
      </w:r>
      <w:proofErr w:type="spellEnd"/>
      <w:r w:rsidRPr="00CB2C86">
        <w:t xml:space="preserve"> представления и сломать сложившиеся стереотипы. После представл</w:t>
      </w:r>
      <w:r w:rsidRPr="00CB2C86">
        <w:t>е</w:t>
      </w:r>
      <w:r w:rsidRPr="00CB2C86">
        <w:t>ния предыдущего доклада были реализованы различные информационно-пропагандистские и просветительные мероприятия, в том числе радиопрогра</w:t>
      </w:r>
      <w:r w:rsidRPr="00CB2C86">
        <w:t>м</w:t>
      </w:r>
      <w:r w:rsidRPr="00CB2C86">
        <w:t>мы, телевизионные постановки и документальные фильмы на тему прав и во</w:t>
      </w:r>
      <w:r w:rsidRPr="00CB2C86">
        <w:t>з</w:t>
      </w:r>
      <w:r w:rsidRPr="00CB2C86">
        <w:t xml:space="preserve">можностей женщин и расширения их возможностей, выставки, конференции и семинары, а также конкурсы по повышению уровня информированности о </w:t>
      </w:r>
      <w:proofErr w:type="spellStart"/>
      <w:r w:rsidRPr="00CB2C86">
        <w:t>ге</w:t>
      </w:r>
      <w:r w:rsidRPr="00CB2C86">
        <w:t>н</w:t>
      </w:r>
      <w:r w:rsidRPr="00CB2C86">
        <w:t>дерной</w:t>
      </w:r>
      <w:proofErr w:type="spellEnd"/>
      <w:r w:rsidRPr="00CB2C86">
        <w:t xml:space="preserve"> проблематике. В августе 2009</w:t>
      </w:r>
      <w:r w:rsidR="00B92291">
        <w:t> год</w:t>
      </w:r>
      <w:r w:rsidRPr="00CB2C86">
        <w:t xml:space="preserve">а КДЖ организовала свою третью крупномасштабную конференцию на тему </w:t>
      </w:r>
      <w:r>
        <w:t>"</w:t>
      </w:r>
      <w:r w:rsidRPr="00CB2C86">
        <w:t xml:space="preserve">Без всяких ограничений: женщины в </w:t>
      </w:r>
      <w:r w:rsidRPr="00CB2C86">
        <w:rPr>
          <w:lang w:val="en-US"/>
        </w:rPr>
        <w:t>XX</w:t>
      </w:r>
      <w:r w:rsidRPr="00CB2C86">
        <w:t>1 столетии</w:t>
      </w:r>
      <w:r>
        <w:t>"</w:t>
      </w:r>
      <w:r w:rsidRPr="00CB2C86">
        <w:t>. На конференции, которая стала хорошей платформой для ра</w:t>
      </w:r>
      <w:r w:rsidRPr="00CB2C86">
        <w:t>с</w:t>
      </w:r>
      <w:r w:rsidRPr="00CB2C86">
        <w:t>смотрения вопроса осуществления КЛДЖ в Гонконге, присутствовало много участников.</w:t>
      </w:r>
    </w:p>
    <w:p w:rsidR="00F936A8" w:rsidRPr="00CB2C86" w:rsidRDefault="00F936A8" w:rsidP="00F440B1">
      <w:pPr>
        <w:pStyle w:val="SingleTxtGR"/>
        <w:tabs>
          <w:tab w:val="clear" w:pos="1701"/>
          <w:tab w:val="left" w:pos="1980"/>
        </w:tabs>
      </w:pPr>
      <w:r w:rsidRPr="00CB2C86">
        <w:t>3.4</w:t>
      </w:r>
      <w:r w:rsidRPr="00CB2C86">
        <w:tab/>
        <w:t>Некоторые комментаторы высказали опасение, что роль КДЖ будет ослаблена после создания в Гонконге Совета по делам семьи (см. ниже пун</w:t>
      </w:r>
      <w:r w:rsidRPr="00CB2C86">
        <w:t>к</w:t>
      </w:r>
      <w:r w:rsidRPr="00CB2C86">
        <w:t>ты</w:t>
      </w:r>
      <w:r>
        <w:t> </w:t>
      </w:r>
      <w:r w:rsidRPr="00CB2C86">
        <w:t>10.5 и 10.6). В тесно связанных, но разных областях действуют два консул</w:t>
      </w:r>
      <w:r w:rsidRPr="00CB2C86">
        <w:t>ь</w:t>
      </w:r>
      <w:r w:rsidRPr="00CB2C86">
        <w:t>тативных органа. Совет по делам семьи обеспечивает площадку высокого уро</w:t>
      </w:r>
      <w:r w:rsidRPr="00CB2C86">
        <w:t>в</w:t>
      </w:r>
      <w:r w:rsidRPr="00CB2C86">
        <w:t>ня, предназначенную для межведомственного и межотраслевого обсуждения а</w:t>
      </w:r>
      <w:r w:rsidRPr="00CB2C86">
        <w:t>к</w:t>
      </w:r>
      <w:r w:rsidRPr="00CB2C86">
        <w:t>туальных проблем семьи. Он консультирует правительство по мерам и страт</w:t>
      </w:r>
      <w:r w:rsidRPr="00CB2C86">
        <w:t>е</w:t>
      </w:r>
      <w:r w:rsidRPr="00CB2C86">
        <w:t>гиям, нацеленным на оказание поддержки и укрепления семей. С другой стор</w:t>
      </w:r>
      <w:r w:rsidRPr="00CB2C86">
        <w:t>о</w:t>
      </w:r>
      <w:r w:rsidRPr="00CB2C86">
        <w:t>ны, КДЖ играет роль главного механизма, отвечающего за улучшение благ</w:t>
      </w:r>
      <w:r w:rsidRPr="00CB2C86">
        <w:t>о</w:t>
      </w:r>
      <w:r w:rsidRPr="00CB2C86">
        <w:t>состояния женщин и защиту их интересов. В связи с тесной зависимостью м</w:t>
      </w:r>
      <w:r w:rsidRPr="00CB2C86">
        <w:t>е</w:t>
      </w:r>
      <w:r w:rsidRPr="00CB2C86">
        <w:t>жду проблемами семьи и проблемами женщин председатель КДЖ был назначен по долгу службы членом Совета по делам семьи, чтобы озвучивать видение проблем с женской точки зрения и содействовать взаимодействию и сотрудн</w:t>
      </w:r>
      <w:r w:rsidRPr="00CB2C86">
        <w:t>и</w:t>
      </w:r>
      <w:r w:rsidRPr="00CB2C86">
        <w:t>честву между КДЖ и Советом. КДЖ намерена тесно сотрудничать с Советом по делам семьи: она продолжает оказывать помощь и осуществлять программы, связанные с проблемами семьи, и, когда это необходимо, применять новые формы поддержки и реализовывает программы помощи семьям, поддержанные Советом. Совет по делам семьи консультирует КДЖ по вопросам, касающимся основных семейных ценностей и программ поддержки семьи. КДЖ при осущ</w:t>
      </w:r>
      <w:r w:rsidRPr="00CB2C86">
        <w:t>е</w:t>
      </w:r>
      <w:r w:rsidRPr="00CB2C86">
        <w:t>ствлении своих программ учитывает рекомендации Совета. Если Совет по д</w:t>
      </w:r>
      <w:r w:rsidRPr="00CB2C86">
        <w:t>е</w:t>
      </w:r>
      <w:r w:rsidRPr="00CB2C86">
        <w:t>лам семьи выражает желание начать реализацию совместных проектов с целью усиления мер поддержки семьям, КДЖ помогает Совету и разрабатывает соо</w:t>
      </w:r>
      <w:r w:rsidRPr="00CB2C86">
        <w:t>т</w:t>
      </w:r>
      <w:r w:rsidRPr="00CB2C86">
        <w:t>ветствующие проекты, когда позволяют ресурсы. КДЖ предлагает для обсу</w:t>
      </w:r>
      <w:r w:rsidRPr="00CB2C86">
        <w:t>ж</w:t>
      </w:r>
      <w:r w:rsidRPr="00CB2C86">
        <w:t xml:space="preserve">дения в Совете по делам семьи вопросы, касающиеся проблем семьи. </w:t>
      </w:r>
    </w:p>
    <w:p w:rsidR="00F936A8" w:rsidRPr="00CB2C86" w:rsidRDefault="00F936A8" w:rsidP="00F440B1">
      <w:pPr>
        <w:pStyle w:val="SingleTxtGR"/>
        <w:tabs>
          <w:tab w:val="clear" w:pos="1701"/>
          <w:tab w:val="left" w:pos="1980"/>
        </w:tabs>
      </w:pPr>
      <w:r w:rsidRPr="00CB2C86">
        <w:t>3.5</w:t>
      </w:r>
      <w:r w:rsidRPr="00CB2C86">
        <w:tab/>
        <w:t xml:space="preserve">КДЖ, в частности, сохраняет автономный статус в вопросах женской проблематики, включая содействие всестороннему учету </w:t>
      </w:r>
      <w:proofErr w:type="spellStart"/>
      <w:r w:rsidRPr="00CB2C86">
        <w:t>гендерной</w:t>
      </w:r>
      <w:proofErr w:type="spellEnd"/>
      <w:r w:rsidRPr="00CB2C86">
        <w:t xml:space="preserve"> специфики и </w:t>
      </w:r>
      <w:proofErr w:type="spellStart"/>
      <w:r w:rsidRPr="00CB2C86">
        <w:t>гендерному</w:t>
      </w:r>
      <w:proofErr w:type="spellEnd"/>
      <w:r w:rsidRPr="00CB2C86">
        <w:t xml:space="preserve"> равенству, увеличению представительства женщин в правител</w:t>
      </w:r>
      <w:r w:rsidRPr="00CB2C86">
        <w:t>ь</w:t>
      </w:r>
      <w:r w:rsidRPr="00CB2C86">
        <w:t>ственных консультативных и статутных органах и контролю над осуществлен</w:t>
      </w:r>
      <w:r w:rsidRPr="00CB2C86">
        <w:t>и</w:t>
      </w:r>
      <w:r w:rsidRPr="00CB2C86">
        <w:t>ем КЛДЖ.</w:t>
      </w:r>
    </w:p>
    <w:p w:rsidR="00F936A8" w:rsidRPr="00CB2C86" w:rsidRDefault="00F936A8" w:rsidP="00122DDF">
      <w:pPr>
        <w:pStyle w:val="H1GR"/>
        <w:tabs>
          <w:tab w:val="left" w:pos="1980"/>
        </w:tabs>
      </w:pPr>
      <w:r w:rsidRPr="00CB2C86">
        <w:tab/>
      </w:r>
      <w:r w:rsidRPr="00CB2C86">
        <w:tab/>
        <w:t>Пересмотр Указа о предупреждении дискриминации по</w:t>
      </w:r>
      <w:r>
        <w:t> </w:t>
      </w:r>
      <w:r w:rsidRPr="00CB2C86">
        <w:t xml:space="preserve">признаку пола </w:t>
      </w:r>
      <w:r>
        <w:t>(глава </w:t>
      </w:r>
      <w:r w:rsidRPr="00CB2C86">
        <w:t>480)</w:t>
      </w:r>
    </w:p>
    <w:p w:rsidR="00F936A8" w:rsidRPr="00CB2C86" w:rsidRDefault="00F936A8" w:rsidP="00F440B1">
      <w:pPr>
        <w:pStyle w:val="SingleTxtGR"/>
        <w:tabs>
          <w:tab w:val="clear" w:pos="1701"/>
          <w:tab w:val="left" w:pos="1980"/>
        </w:tabs>
      </w:pPr>
      <w:r w:rsidRPr="00CB2C86">
        <w:t>3.6</w:t>
      </w:r>
      <w:r w:rsidRPr="00CB2C86">
        <w:tab/>
        <w:t>В дополнение к сказанному в пункте 3.7 предыдущего доклада в ча</w:t>
      </w:r>
      <w:r w:rsidRPr="00CB2C86">
        <w:t>с</w:t>
      </w:r>
      <w:r w:rsidRPr="00CB2C86">
        <w:t>ти, касающейся обзора Указа о предупреждении дискриминации по признаку пола (УПДП), проведенного КРВ, в 2008</w:t>
      </w:r>
      <w:r w:rsidR="00B92291">
        <w:t> год</w:t>
      </w:r>
      <w:r w:rsidRPr="00CB2C86">
        <w:t>у в УПДП была внесена еще одна последующая поправка с целью расширить квалификацию преступных секс</w:t>
      </w:r>
      <w:r w:rsidRPr="00CB2C86">
        <w:t>у</w:t>
      </w:r>
      <w:r w:rsidRPr="00CB2C86">
        <w:t>альных преследований и не допустить формирования неблагополучной или н</w:t>
      </w:r>
      <w:r w:rsidRPr="00CB2C86">
        <w:t>е</w:t>
      </w:r>
      <w:r w:rsidRPr="00CB2C86">
        <w:t>здоровой с сексуальной точки зрения среды, в которой трудится, учится или проходит профессиональную подготовку какое-либо лицо. Одновременно с этим КРВ и Бюро образования (БО) совместно разрабатывают учебные и и</w:t>
      </w:r>
      <w:r w:rsidRPr="00CB2C86">
        <w:t>н</w:t>
      </w:r>
      <w:r w:rsidRPr="00CB2C86">
        <w:t>формационные материалы по предупреждению сексуальных домогательств в школах. Школам рекомендуется принимать разумные практические меры для того, чтобы не допускать формирования неблагополучной и нездоровой с се</w:t>
      </w:r>
      <w:r w:rsidRPr="00CB2C86">
        <w:t>к</w:t>
      </w:r>
      <w:r w:rsidRPr="00CB2C86">
        <w:t>суальной точки зрения атмосферы. В начале 2009</w:t>
      </w:r>
      <w:r w:rsidR="00B92291">
        <w:t> год</w:t>
      </w:r>
      <w:r w:rsidRPr="00CB2C86">
        <w:t>а КРВ организовала уче</w:t>
      </w:r>
      <w:r w:rsidRPr="00CB2C86">
        <w:t>б</w:t>
      </w:r>
      <w:r w:rsidRPr="00CB2C86">
        <w:t>ные зан</w:t>
      </w:r>
      <w:r w:rsidRPr="00CB2C86">
        <w:t>я</w:t>
      </w:r>
      <w:r w:rsidRPr="00CB2C86">
        <w:t>тия, которые посетили в общей сложности более 600 директоров школ и учит</w:t>
      </w:r>
      <w:r w:rsidRPr="00CB2C86">
        <w:t>е</w:t>
      </w:r>
      <w:r w:rsidRPr="00CB2C86">
        <w:t>лей.</w:t>
      </w:r>
    </w:p>
    <w:p w:rsidR="00F936A8" w:rsidRPr="00CB2C86" w:rsidRDefault="00F936A8" w:rsidP="00F440B1">
      <w:pPr>
        <w:pStyle w:val="SingleTxtGR"/>
        <w:keepLines/>
        <w:tabs>
          <w:tab w:val="clear" w:pos="1701"/>
          <w:tab w:val="left" w:pos="1980"/>
        </w:tabs>
      </w:pPr>
      <w:r w:rsidRPr="00CB2C86">
        <w:t>3.7</w:t>
      </w:r>
      <w:r w:rsidRPr="00CB2C86">
        <w:tab/>
        <w:t>Что касается остальных предложенных поправок, изложенных в о</w:t>
      </w:r>
      <w:r w:rsidRPr="00CB2C86">
        <w:t>б</w:t>
      </w:r>
      <w:r w:rsidRPr="00CB2C86">
        <w:t>зорном докладе КРВ, то одни из них носят технический характер, а другие м</w:t>
      </w:r>
      <w:r w:rsidRPr="00CB2C86">
        <w:t>о</w:t>
      </w:r>
      <w:r w:rsidRPr="00CB2C86">
        <w:t xml:space="preserve">гут иметь последствия для других </w:t>
      </w:r>
      <w:proofErr w:type="spellStart"/>
      <w:r w:rsidRPr="00CB2C86">
        <w:t>антидискриминационных</w:t>
      </w:r>
      <w:proofErr w:type="spellEnd"/>
      <w:r w:rsidRPr="00CB2C86">
        <w:t xml:space="preserve"> законодательных актов. Правительство рассматривает наилучшие способы реализации оста</w:t>
      </w:r>
      <w:r w:rsidRPr="00CB2C86">
        <w:t>в</w:t>
      </w:r>
      <w:r w:rsidRPr="00CB2C86">
        <w:t>шихся предложений.</w:t>
      </w:r>
    </w:p>
    <w:p w:rsidR="00F936A8" w:rsidRPr="00CB2C86" w:rsidRDefault="00F936A8" w:rsidP="00122DDF">
      <w:pPr>
        <w:pStyle w:val="H1GR"/>
        <w:tabs>
          <w:tab w:val="left" w:pos="1980"/>
        </w:tabs>
      </w:pPr>
      <w:r w:rsidRPr="00CB2C86">
        <w:tab/>
      </w:r>
      <w:r w:rsidRPr="00CB2C86">
        <w:tab/>
        <w:t>Политика малого жилищного строительства</w:t>
      </w:r>
    </w:p>
    <w:p w:rsidR="00F936A8" w:rsidRPr="00CB2C86" w:rsidRDefault="00F936A8" w:rsidP="00F440B1">
      <w:pPr>
        <w:pStyle w:val="SingleTxtGR"/>
        <w:tabs>
          <w:tab w:val="clear" w:pos="1701"/>
          <w:tab w:val="left" w:pos="1980"/>
        </w:tabs>
      </w:pPr>
      <w:r w:rsidRPr="00CB2C86">
        <w:t>3.8</w:t>
      </w:r>
      <w:r w:rsidRPr="00CB2C86">
        <w:tab/>
        <w:t>Мы намерены продолжать проводить обзор политики малого жили</w:t>
      </w:r>
      <w:r w:rsidRPr="00CB2C86">
        <w:t>щ</w:t>
      </w:r>
      <w:r w:rsidRPr="00CB2C86">
        <w:t>ного строительства. Поскольку политика малого жилищного строительства с</w:t>
      </w:r>
      <w:r w:rsidRPr="00CB2C86">
        <w:t>о</w:t>
      </w:r>
      <w:r w:rsidRPr="00CB2C86">
        <w:t>пряжена с широким кругом сложных правовых и правозащитных вопросов, в</w:t>
      </w:r>
      <w:r w:rsidRPr="00CB2C86">
        <w:t>о</w:t>
      </w:r>
      <w:r w:rsidRPr="00CB2C86">
        <w:t>просов землепользования и районной планировки, то ее пересмотр необходимо проводить осмотрительно, и он займет много времени. Правительство намер</w:t>
      </w:r>
      <w:r w:rsidRPr="00CB2C86">
        <w:t>е</w:t>
      </w:r>
      <w:r w:rsidRPr="00CB2C86">
        <w:t>вается в случае необходимости проконсультироваться с сельскими общинами и общес</w:t>
      </w:r>
      <w:r w:rsidRPr="00CB2C86">
        <w:t>т</w:t>
      </w:r>
      <w:r w:rsidRPr="00CB2C86">
        <w:t>венностью в целом, когда будут готовиться конкретные предложения.</w:t>
      </w:r>
    </w:p>
    <w:p w:rsidR="00F936A8" w:rsidRPr="00CB2C86" w:rsidRDefault="00F936A8" w:rsidP="00122DDF">
      <w:pPr>
        <w:pStyle w:val="HChGR"/>
        <w:tabs>
          <w:tab w:val="left" w:pos="1980"/>
        </w:tabs>
      </w:pPr>
      <w:r w:rsidRPr="00CB2C86">
        <w:tab/>
      </w:r>
      <w:r w:rsidRPr="00CB2C86">
        <w:tab/>
        <w:t>Статья 4</w:t>
      </w:r>
      <w:r>
        <w:br/>
      </w:r>
      <w:r w:rsidRPr="00CB2C86">
        <w:t>Допустимое ограничение прав, закрепленных в Пакте</w:t>
      </w:r>
    </w:p>
    <w:p w:rsidR="00F936A8" w:rsidRPr="00CB2C86" w:rsidRDefault="00F936A8" w:rsidP="00F440B1">
      <w:pPr>
        <w:pStyle w:val="SingleTxtGR"/>
        <w:tabs>
          <w:tab w:val="clear" w:pos="1701"/>
          <w:tab w:val="left" w:pos="1980"/>
        </w:tabs>
      </w:pPr>
      <w:r w:rsidRPr="00CB2C86">
        <w:t>4.1</w:t>
      </w:r>
      <w:r w:rsidRPr="00CB2C86">
        <w:tab/>
        <w:t>Положение с выполнением статьи 4 остается таким же, как оно изл</w:t>
      </w:r>
      <w:r w:rsidRPr="00CB2C86">
        <w:t>о</w:t>
      </w:r>
      <w:r w:rsidRPr="00CB2C86">
        <w:t>жено в пункте 4.1 предыдущего доклада. Иными словами, правительство САРГ не подвергает каким-либо ограничениям права, закрепленные в Пакте, кроме ограничений, установленных законом. Такие ограничения, где они существуют, совместимы с природой этих прав и вводятся исключительно с целью спосо</w:t>
      </w:r>
      <w:r w:rsidRPr="00CB2C86">
        <w:t>б</w:t>
      </w:r>
      <w:r w:rsidRPr="00CB2C86">
        <w:t>ствовать общему благосостоянию в свободном обществе.</w:t>
      </w:r>
    </w:p>
    <w:p w:rsidR="00F936A8" w:rsidRPr="00CB2C86" w:rsidRDefault="00F936A8" w:rsidP="00122DDF">
      <w:pPr>
        <w:pStyle w:val="HChGR"/>
        <w:tabs>
          <w:tab w:val="left" w:pos="1980"/>
        </w:tabs>
      </w:pPr>
      <w:r w:rsidRPr="00CB2C86">
        <w:tab/>
      </w:r>
      <w:r w:rsidRPr="00CB2C86">
        <w:tab/>
        <w:t>Статья 5</w:t>
      </w:r>
      <w:r>
        <w:br/>
      </w:r>
      <w:r w:rsidRPr="00CB2C86">
        <w:t>Запрет на уничтожение любых прав и свобод, признанных в Пакте</w:t>
      </w:r>
    </w:p>
    <w:p w:rsidR="00F936A8" w:rsidRPr="00CB2C86" w:rsidRDefault="00F936A8" w:rsidP="00F440B1">
      <w:pPr>
        <w:pStyle w:val="SingleTxtGR"/>
        <w:tabs>
          <w:tab w:val="clear" w:pos="1701"/>
          <w:tab w:val="left" w:pos="1980"/>
        </w:tabs>
      </w:pPr>
      <w:r w:rsidRPr="00CB2C86">
        <w:t>5.1</w:t>
      </w:r>
      <w:r w:rsidRPr="00CB2C86">
        <w:tab/>
        <w:t>Положение с выполнением статьи 5 остается таким же, как оно изл</w:t>
      </w:r>
      <w:r w:rsidRPr="00CB2C86">
        <w:t>а</w:t>
      </w:r>
      <w:r w:rsidRPr="00CB2C86">
        <w:t>гается в пункте 40 первоначального доклада. То есть правительство САРГ не допускает никаких ограничений и не умаляет каких бы то ни было основных прав ч</w:t>
      </w:r>
      <w:r w:rsidRPr="00CB2C86">
        <w:t>е</w:t>
      </w:r>
      <w:r w:rsidRPr="00CB2C86">
        <w:t>ловека под тем предлогом, что в настоящем Пакте не признаются такие права или что в нем они признаются в меньшем объеме.</w:t>
      </w:r>
    </w:p>
    <w:p w:rsidR="00F936A8" w:rsidRPr="00CB2C86" w:rsidRDefault="00F936A8" w:rsidP="00122DDF">
      <w:pPr>
        <w:pStyle w:val="HChGR"/>
        <w:tabs>
          <w:tab w:val="left" w:pos="1980"/>
        </w:tabs>
      </w:pPr>
      <w:r w:rsidRPr="00CB2C86">
        <w:tab/>
      </w:r>
      <w:r w:rsidRPr="00CB2C86">
        <w:tab/>
        <w:t>Статья 6</w:t>
      </w:r>
      <w:r>
        <w:br/>
      </w:r>
      <w:r w:rsidRPr="00CB2C86">
        <w:t>Право на свободный выбор профессии и право на труд</w:t>
      </w:r>
    </w:p>
    <w:p w:rsidR="00F936A8" w:rsidRPr="00CB2C86" w:rsidRDefault="00F936A8" w:rsidP="00F440B1">
      <w:pPr>
        <w:pStyle w:val="SingleTxtGR"/>
        <w:tabs>
          <w:tab w:val="clear" w:pos="1701"/>
          <w:tab w:val="left" w:pos="1980"/>
        </w:tabs>
      </w:pPr>
      <w:r w:rsidRPr="00CB2C86">
        <w:t>6.1</w:t>
      </w:r>
      <w:r w:rsidRPr="00CB2C86">
        <w:tab/>
        <w:t xml:space="preserve">Соответствующие конституционные гарантии, законодательные акты и политика по-прежнему остаются такими же, как они излагаются в пунктах 41 и 42 первоначального доклада. </w:t>
      </w:r>
    </w:p>
    <w:p w:rsidR="00F936A8" w:rsidRPr="00CB2C86" w:rsidRDefault="00F936A8" w:rsidP="00122DDF">
      <w:pPr>
        <w:pStyle w:val="H1GR"/>
        <w:tabs>
          <w:tab w:val="left" w:pos="1980"/>
        </w:tabs>
      </w:pPr>
      <w:r w:rsidRPr="00CB2C86">
        <w:tab/>
      </w:r>
      <w:r w:rsidRPr="00CB2C86">
        <w:tab/>
        <w:t>Службы занятости</w:t>
      </w:r>
    </w:p>
    <w:p w:rsidR="00F936A8" w:rsidRPr="00CB2C86" w:rsidRDefault="00F936A8" w:rsidP="00F440B1">
      <w:pPr>
        <w:pStyle w:val="SingleTxtGR"/>
        <w:tabs>
          <w:tab w:val="clear" w:pos="1701"/>
          <w:tab w:val="left" w:pos="1980"/>
        </w:tabs>
      </w:pPr>
      <w:r w:rsidRPr="00CB2C86">
        <w:t>6.2</w:t>
      </w:r>
      <w:r w:rsidRPr="00CB2C86">
        <w:tab/>
        <w:t>Департамент труда оказывает бесплатную помощь всем лицам, ищ</w:t>
      </w:r>
      <w:r w:rsidRPr="00CB2C86">
        <w:t>у</w:t>
      </w:r>
      <w:r w:rsidRPr="00CB2C86">
        <w:t xml:space="preserve">щим работу, через свои центры занятости, Центр найма персонала для сферы общественного питания, Центр найма персонала для сектора телефонной связи, интерактивный </w:t>
      </w:r>
      <w:proofErr w:type="spellStart"/>
      <w:r>
        <w:t>вебсайт</w:t>
      </w:r>
      <w:proofErr w:type="spellEnd"/>
      <w:r w:rsidRPr="00CB2C86">
        <w:t xml:space="preserve"> службы занятости и терминалы поиска рабочих вака</w:t>
      </w:r>
      <w:r w:rsidRPr="00CB2C86">
        <w:t>н</w:t>
      </w:r>
      <w:r w:rsidRPr="00CB2C86">
        <w:t>сий, установленные в удобных местах по всей территории. Департамент труда руководит также специальными программами занятости, призванными удовл</w:t>
      </w:r>
      <w:r w:rsidRPr="00CB2C86">
        <w:t>е</w:t>
      </w:r>
      <w:r w:rsidRPr="00CB2C86">
        <w:t xml:space="preserve">творить конкретные потребности всех категорий лиц, ищущих работу. </w:t>
      </w:r>
    </w:p>
    <w:p w:rsidR="00F936A8" w:rsidRPr="00CB2C86" w:rsidRDefault="00F936A8" w:rsidP="00F440B1">
      <w:pPr>
        <w:pStyle w:val="SingleTxtGR"/>
        <w:tabs>
          <w:tab w:val="clear" w:pos="1701"/>
          <w:tab w:val="left" w:pos="1980"/>
        </w:tabs>
      </w:pPr>
      <w:r w:rsidRPr="00CB2C86">
        <w:t>6.3</w:t>
      </w:r>
      <w:r w:rsidRPr="00CB2C86">
        <w:tab/>
        <w:t>В дополнение к сказанному в предыдущем докладе Департамент труда реализует ряд новых инициатив в области услуг по трудоустройству включая:</w:t>
      </w:r>
    </w:p>
    <w:p w:rsidR="00F936A8" w:rsidRPr="00CB2C86" w:rsidRDefault="00F936A8" w:rsidP="00F440B1">
      <w:pPr>
        <w:pStyle w:val="SingleTxtGR"/>
        <w:tabs>
          <w:tab w:val="clear" w:pos="1701"/>
          <w:tab w:val="clear" w:pos="2268"/>
          <w:tab w:val="left" w:pos="1980"/>
          <w:tab w:val="left" w:pos="2520"/>
        </w:tabs>
      </w:pPr>
      <w:r w:rsidRPr="00CB2C86">
        <w:tab/>
      </w:r>
      <w:proofErr w:type="spellStart"/>
      <w:r>
        <w:t>a</w:t>
      </w:r>
      <w:proofErr w:type="spellEnd"/>
      <w:r>
        <w:t>)</w:t>
      </w:r>
      <w:r w:rsidRPr="00CB2C86">
        <w:tab/>
      </w:r>
      <w:r w:rsidR="009818E4" w:rsidRPr="00CB2C86">
        <w:t xml:space="preserve">программа </w:t>
      </w:r>
      <w:r w:rsidRPr="00CB2C86">
        <w:t>трудоустройства лиц среднего возраста была начата в мае 2003</w:t>
      </w:r>
      <w:r w:rsidR="00B92291">
        <w:t> год</w:t>
      </w:r>
      <w:r w:rsidRPr="00CB2C86">
        <w:t>а, чтобы помочь безработным в возрасте 40 лет и старше в труд</w:t>
      </w:r>
      <w:r w:rsidRPr="00CB2C86">
        <w:t>о</w:t>
      </w:r>
      <w:r w:rsidRPr="00CB2C86">
        <w:t>устройстве путем возмещения затрат работодателей на обучение, тем самым стимулируя работодателей к найму этих лиц и их обучению без отрыва от раб</w:t>
      </w:r>
      <w:r w:rsidRPr="00CB2C86">
        <w:t>о</w:t>
      </w:r>
      <w:r w:rsidRPr="00CB2C86">
        <w:t>ты. В связи с финансовыми потрясениями в июне 2009</w:t>
      </w:r>
      <w:r w:rsidR="00B92291">
        <w:t> год</w:t>
      </w:r>
      <w:r w:rsidRPr="00CB2C86">
        <w:t>а эта Программа б</w:t>
      </w:r>
      <w:r w:rsidRPr="00CB2C86">
        <w:t>ы</w:t>
      </w:r>
      <w:r w:rsidRPr="00CB2C86">
        <w:t>ла усилена благодаря увеличению размера возмещения затрат на обучение и продлению срока его выплаты, чтобы тем самым содействовать трудоустройс</w:t>
      </w:r>
      <w:r w:rsidRPr="00CB2C86">
        <w:t>т</w:t>
      </w:r>
      <w:r w:rsidRPr="00CB2C86">
        <w:t>ву лиц среднего возраста;</w:t>
      </w:r>
    </w:p>
    <w:p w:rsidR="00F936A8" w:rsidRPr="00CB2C86" w:rsidRDefault="00F936A8" w:rsidP="00F440B1">
      <w:pPr>
        <w:pStyle w:val="SingleTxtGR"/>
        <w:tabs>
          <w:tab w:val="clear" w:pos="1701"/>
          <w:tab w:val="clear" w:pos="2268"/>
          <w:tab w:val="left" w:pos="1980"/>
          <w:tab w:val="left" w:pos="2520"/>
        </w:tabs>
      </w:pPr>
      <w:r w:rsidRPr="00CB2C86">
        <w:tab/>
      </w:r>
      <w:proofErr w:type="spellStart"/>
      <w:r>
        <w:t>b</w:t>
      </w:r>
      <w:proofErr w:type="spellEnd"/>
      <w:r>
        <w:t>)</w:t>
      </w:r>
      <w:r w:rsidRPr="00CB2C86">
        <w:tab/>
      </w:r>
      <w:r w:rsidR="009818E4" w:rsidRPr="00CB2C86">
        <w:t xml:space="preserve">программа </w:t>
      </w:r>
      <w:r w:rsidRPr="00CB2C86">
        <w:t>профессиональной ориентации и трудоустройства на договорной основе была принята в апреле 2005</w:t>
      </w:r>
      <w:r w:rsidR="00B92291">
        <w:t> год</w:t>
      </w:r>
      <w:r w:rsidRPr="00CB2C86">
        <w:t>а, чтобы увеличь возможн</w:t>
      </w:r>
      <w:r w:rsidRPr="00CB2C86">
        <w:t>о</w:t>
      </w:r>
      <w:r w:rsidRPr="00CB2C86">
        <w:t>сти к трудовой деятельности и повысить конкурентоспособность ЛОВ путем их об</w:t>
      </w:r>
      <w:r w:rsidRPr="00CB2C86">
        <w:t>у</w:t>
      </w:r>
      <w:r w:rsidRPr="00CB2C86">
        <w:t>чения до приема на работу и трудоустройства с испытательным сроком. За</w:t>
      </w:r>
      <w:r>
        <w:t> </w:t>
      </w:r>
      <w:r w:rsidRPr="00CB2C86">
        <w:t>каждое рабочее место для лиц с ограниченными возможностями, участву</w:t>
      </w:r>
      <w:r w:rsidRPr="00CB2C86">
        <w:t>ю</w:t>
      </w:r>
      <w:r w:rsidRPr="00CB2C86">
        <w:t>щих в этой программе, сотрудничающий работодатель получает финансовое возм</w:t>
      </w:r>
      <w:r w:rsidRPr="00CB2C86">
        <w:t>е</w:t>
      </w:r>
      <w:r w:rsidRPr="00CB2C86">
        <w:t>щение. Аналогичным образом, эта Программа была усилена в июне 2009</w:t>
      </w:r>
      <w:r w:rsidR="00B92291">
        <w:t> год</w:t>
      </w:r>
      <w:r w:rsidRPr="00CB2C86">
        <w:t>а, чтобы содействовать занятости ЛОВ;</w:t>
      </w:r>
    </w:p>
    <w:p w:rsidR="00F936A8" w:rsidRPr="00CB2C86" w:rsidRDefault="00F936A8" w:rsidP="00F440B1">
      <w:pPr>
        <w:pStyle w:val="SingleTxtGR"/>
        <w:tabs>
          <w:tab w:val="clear" w:pos="1701"/>
          <w:tab w:val="clear" w:pos="2268"/>
          <w:tab w:val="left" w:pos="1980"/>
          <w:tab w:val="left" w:pos="2520"/>
        </w:tabs>
      </w:pPr>
      <w:r w:rsidRPr="00CB2C86">
        <w:tab/>
      </w:r>
      <w:proofErr w:type="spellStart"/>
      <w:r>
        <w:t>c</w:t>
      </w:r>
      <w:proofErr w:type="spellEnd"/>
      <w:r>
        <w:t>)</w:t>
      </w:r>
      <w:r w:rsidRPr="00CB2C86">
        <w:tab/>
      </w:r>
      <w:r w:rsidR="009818E4" w:rsidRPr="00CB2C86">
        <w:t xml:space="preserve">для </w:t>
      </w:r>
      <w:r w:rsidRPr="00CB2C86">
        <w:t>повышения способностей к трудовой деятельности лиц, и</w:t>
      </w:r>
      <w:r w:rsidRPr="00CB2C86">
        <w:t>с</w:t>
      </w:r>
      <w:r w:rsidRPr="00CB2C86">
        <w:t>пытывающих особые трудности в поисках работы, с июня 2005</w:t>
      </w:r>
      <w:r w:rsidR="00B92291">
        <w:t> год</w:t>
      </w:r>
      <w:r w:rsidRPr="00CB2C86">
        <w:t>а осущест</w:t>
      </w:r>
      <w:r w:rsidRPr="00CB2C86">
        <w:t>в</w:t>
      </w:r>
      <w:r w:rsidRPr="00CB2C86">
        <w:t>ляется Программа трудоустройства с испытательным трудовым сроком. В теч</w:t>
      </w:r>
      <w:r w:rsidRPr="00CB2C86">
        <w:t>е</w:t>
      </w:r>
      <w:r w:rsidRPr="00CB2C86">
        <w:t>ние одномесячного испытательного трудового срока участники программы тр</w:t>
      </w:r>
      <w:r w:rsidRPr="00CB2C86">
        <w:t>у</w:t>
      </w:r>
      <w:r w:rsidRPr="00CB2C86">
        <w:t>доустраиваются в участвующих организациях и получают пособие, выплач</w:t>
      </w:r>
      <w:r w:rsidRPr="00CB2C86">
        <w:t>и</w:t>
      </w:r>
      <w:r w:rsidRPr="00CB2C86">
        <w:t>ваемое Департаментом труда и соответствующей организацией;</w:t>
      </w:r>
    </w:p>
    <w:p w:rsidR="00F936A8" w:rsidRPr="00CB2C86" w:rsidRDefault="00F936A8" w:rsidP="00F440B1">
      <w:pPr>
        <w:pStyle w:val="SingleTxtGR"/>
        <w:tabs>
          <w:tab w:val="clear" w:pos="1701"/>
          <w:tab w:val="clear" w:pos="2268"/>
          <w:tab w:val="left" w:pos="1980"/>
          <w:tab w:val="left" w:pos="2520"/>
        </w:tabs>
      </w:pPr>
      <w:r w:rsidRPr="00CB2C86">
        <w:tab/>
      </w:r>
      <w:proofErr w:type="spellStart"/>
      <w:r>
        <w:t>d</w:t>
      </w:r>
      <w:proofErr w:type="spellEnd"/>
      <w:r>
        <w:t>)</w:t>
      </w:r>
      <w:r w:rsidRPr="00CB2C86">
        <w:tab/>
      </w:r>
      <w:r w:rsidR="009818E4" w:rsidRPr="00CB2C86">
        <w:t xml:space="preserve">чтобы </w:t>
      </w:r>
      <w:r w:rsidRPr="00CB2C86">
        <w:t>расширить предоставление услуг по содействию занят</w:t>
      </w:r>
      <w:r w:rsidRPr="00CB2C86">
        <w:t>о</w:t>
      </w:r>
      <w:r w:rsidRPr="00CB2C86">
        <w:t>сти в отдаленных районах, в сентябре 2006</w:t>
      </w:r>
      <w:r w:rsidR="00B92291">
        <w:t> год</w:t>
      </w:r>
      <w:r w:rsidRPr="00CB2C86">
        <w:t>а Департамент труда создал в этих районах два новых центра занятости, доведя, таким образом, их количес</w:t>
      </w:r>
      <w:r w:rsidRPr="00CB2C86">
        <w:t>т</w:t>
      </w:r>
      <w:r w:rsidRPr="00CB2C86">
        <w:t>во до</w:t>
      </w:r>
      <w:r>
        <w:t> </w:t>
      </w:r>
      <w:r w:rsidRPr="00CB2C86">
        <w:t>12;</w:t>
      </w:r>
    </w:p>
    <w:p w:rsidR="00F936A8" w:rsidRPr="00CB2C86" w:rsidRDefault="00F936A8" w:rsidP="00F440B1">
      <w:pPr>
        <w:pStyle w:val="SingleTxtGR"/>
        <w:tabs>
          <w:tab w:val="clear" w:pos="1701"/>
          <w:tab w:val="clear" w:pos="2268"/>
          <w:tab w:val="left" w:pos="1980"/>
          <w:tab w:val="left" w:pos="2520"/>
        </w:tabs>
      </w:pPr>
      <w:r w:rsidRPr="00CB2C86">
        <w:tab/>
      </w:r>
      <w:proofErr w:type="spellStart"/>
      <w:r>
        <w:t>e</w:t>
      </w:r>
      <w:proofErr w:type="spellEnd"/>
      <w:r>
        <w:t>)</w:t>
      </w:r>
      <w:r w:rsidRPr="00CB2C86">
        <w:tab/>
        <w:t>В феврале 2009</w:t>
      </w:r>
      <w:r w:rsidR="00B92291">
        <w:t> год</w:t>
      </w:r>
      <w:r w:rsidRPr="00CB2C86">
        <w:t>а был создан специализированный центр найма работников для сферы общественного питания, который предлагает р</w:t>
      </w:r>
      <w:r w:rsidRPr="00CB2C86">
        <w:t>а</w:t>
      </w:r>
      <w:r w:rsidRPr="00CB2C86">
        <w:t>ботодателям и лицам, ищущим работу в сфере общественного питания, специ</w:t>
      </w:r>
      <w:r w:rsidRPr="00CB2C86">
        <w:t>а</w:t>
      </w:r>
      <w:r w:rsidRPr="00CB2C86">
        <w:t>лизированную, профессионально ориентированную услугу и процедуру нез</w:t>
      </w:r>
      <w:r w:rsidRPr="00CB2C86">
        <w:t>а</w:t>
      </w:r>
      <w:r w:rsidRPr="00CB2C86">
        <w:t>медлительного собеседования, чтобы эффективно увязать их потребности в найме требующихся работников и трудоустройстве, причем в максимально к</w:t>
      </w:r>
      <w:r w:rsidRPr="00CB2C86">
        <w:t>о</w:t>
      </w:r>
      <w:r w:rsidRPr="00CB2C86">
        <w:t>роткие сроки;</w:t>
      </w:r>
    </w:p>
    <w:p w:rsidR="00F936A8" w:rsidRPr="00CB2C86" w:rsidRDefault="00F936A8" w:rsidP="00F440B1">
      <w:pPr>
        <w:pStyle w:val="SingleTxtGR"/>
        <w:tabs>
          <w:tab w:val="clear" w:pos="1701"/>
          <w:tab w:val="clear" w:pos="2268"/>
          <w:tab w:val="left" w:pos="1980"/>
          <w:tab w:val="left" w:pos="2520"/>
        </w:tabs>
      </w:pPr>
      <w:r w:rsidRPr="00CB2C86">
        <w:tab/>
      </w:r>
      <w:proofErr w:type="spellStart"/>
      <w:r>
        <w:t>f</w:t>
      </w:r>
      <w:proofErr w:type="spellEnd"/>
      <w:r>
        <w:t>)</w:t>
      </w:r>
      <w:r w:rsidRPr="00CB2C86">
        <w:tab/>
      </w:r>
      <w:r w:rsidR="009818E4" w:rsidRPr="00CB2C86">
        <w:t xml:space="preserve">после </w:t>
      </w:r>
      <w:r w:rsidRPr="00CB2C86">
        <w:t>слияния в январе 2005</w:t>
      </w:r>
      <w:r w:rsidR="00B92291">
        <w:t> год</w:t>
      </w:r>
      <w:r w:rsidRPr="00CB2C86">
        <w:t>а двух центров трудоустройства и наставничества для новоприбывших и центров занятости теперь новопр</w:t>
      </w:r>
      <w:r w:rsidRPr="00CB2C86">
        <w:t>и</w:t>
      </w:r>
      <w:r w:rsidRPr="00CB2C86">
        <w:t>бывшие жители могут обращаться за услугами по содействию трудоустройству во все 12 центр</w:t>
      </w:r>
      <w:r w:rsidR="009818E4">
        <w:t>ов</w:t>
      </w:r>
      <w:r w:rsidRPr="00CB2C86">
        <w:t xml:space="preserve">. Каждый центр занятости создал секцию информационных ресурсов и проводит также специальные брифинги для новоприбывших, чтобы облегчить им поиски работы; </w:t>
      </w:r>
    </w:p>
    <w:p w:rsidR="00F936A8" w:rsidRPr="00CB2C86" w:rsidRDefault="00F936A8" w:rsidP="00F440B1">
      <w:pPr>
        <w:pStyle w:val="SingleTxtGR"/>
        <w:tabs>
          <w:tab w:val="clear" w:pos="1701"/>
          <w:tab w:val="clear" w:pos="2268"/>
          <w:tab w:val="left" w:pos="1980"/>
          <w:tab w:val="left" w:pos="2520"/>
        </w:tabs>
      </w:pPr>
      <w:r w:rsidRPr="00CB2C86">
        <w:tab/>
      </w:r>
      <w:proofErr w:type="spellStart"/>
      <w:r>
        <w:t>g</w:t>
      </w:r>
      <w:proofErr w:type="spellEnd"/>
      <w:r>
        <w:t>)</w:t>
      </w:r>
      <w:r w:rsidRPr="00CB2C86">
        <w:tab/>
      </w:r>
      <w:r w:rsidR="009818E4" w:rsidRPr="00CB2C86">
        <w:t xml:space="preserve">чтобы </w:t>
      </w:r>
      <w:r w:rsidRPr="00CB2C86">
        <w:t>облегчить гражданам, принадлежащим к различным э</w:t>
      </w:r>
      <w:r w:rsidRPr="00CB2C86">
        <w:t>т</w:t>
      </w:r>
      <w:r w:rsidRPr="00CB2C86">
        <w:t>ническим меньшинствам, пользование услугами Департамента труда по соде</w:t>
      </w:r>
      <w:r w:rsidRPr="00CB2C86">
        <w:t>й</w:t>
      </w:r>
      <w:r w:rsidRPr="00CB2C86">
        <w:t>ствию трудоустройству на различные языки этнических меньшинств была п</w:t>
      </w:r>
      <w:r w:rsidRPr="00CB2C86">
        <w:t>е</w:t>
      </w:r>
      <w:r w:rsidRPr="00CB2C86">
        <w:t>реведена соответствующая информационная брошюра. Предоставляется также информация о вакантных рабочих местах на китайском и английском языках, которая распространяется по разным каналам. Все центры занятости создали секции информационных ресурсов и специальные стойки для обслуживания ищущих работу лиц из числа этнических меньшинств. Время от времени для них проводятся специальные брифинги по вопросам трудоустройства. Они м</w:t>
      </w:r>
      <w:r w:rsidRPr="00CB2C86">
        <w:t>о</w:t>
      </w:r>
      <w:r w:rsidRPr="00CB2C86">
        <w:t>гу</w:t>
      </w:r>
      <w:r w:rsidR="009818E4">
        <w:t>т</w:t>
      </w:r>
      <w:r w:rsidRPr="00CB2C86">
        <w:t xml:space="preserve"> также участвовать в Программе профессиональной адаптации для получ</w:t>
      </w:r>
      <w:r w:rsidRPr="00CB2C86">
        <w:t>е</w:t>
      </w:r>
      <w:r w:rsidRPr="00CB2C86">
        <w:t>ния более полных услуг по содействию трудоустройству, включая консультации по вопр</w:t>
      </w:r>
      <w:r w:rsidRPr="00CB2C86">
        <w:t>о</w:t>
      </w:r>
      <w:r w:rsidRPr="00CB2C86">
        <w:t>сам карьерного роста, профессиональной адаптации и направление на учебные курсы, специально созданные для представителей этнических мен</w:t>
      </w:r>
      <w:r w:rsidRPr="00CB2C86">
        <w:t>ь</w:t>
      </w:r>
      <w:r w:rsidRPr="00CB2C86">
        <w:t>шинств. В</w:t>
      </w:r>
      <w:r>
        <w:t> </w:t>
      </w:r>
      <w:r w:rsidRPr="00CB2C86">
        <w:t>случае необходимости для ищущих работу лиц, не говорящих на к</w:t>
      </w:r>
      <w:r w:rsidRPr="00CB2C86">
        <w:t>и</w:t>
      </w:r>
      <w:r w:rsidRPr="00CB2C86">
        <w:t>тайском или английском языках, организуется устный перевод.</w:t>
      </w:r>
    </w:p>
    <w:p w:rsidR="00F936A8" w:rsidRPr="00CB2C86" w:rsidRDefault="00F936A8" w:rsidP="00122DDF">
      <w:pPr>
        <w:pStyle w:val="H1GR"/>
        <w:tabs>
          <w:tab w:val="left" w:pos="1980"/>
        </w:tabs>
      </w:pPr>
      <w:r w:rsidRPr="00CB2C86">
        <w:tab/>
      </w:r>
      <w:r w:rsidRPr="00CB2C86">
        <w:tab/>
        <w:t>Услуги в области содействия трудоустройству молодежи</w:t>
      </w:r>
    </w:p>
    <w:p w:rsidR="00F936A8" w:rsidRPr="00CB2C86" w:rsidRDefault="00F936A8" w:rsidP="00F440B1">
      <w:pPr>
        <w:pStyle w:val="SingleTxtGR"/>
        <w:tabs>
          <w:tab w:val="clear" w:pos="1701"/>
          <w:tab w:val="clear" w:pos="2268"/>
          <w:tab w:val="left" w:pos="1980"/>
          <w:tab w:val="left" w:pos="2520"/>
        </w:tabs>
      </w:pPr>
      <w:r w:rsidRPr="00CB2C86">
        <w:t>6.4</w:t>
      </w:r>
      <w:r w:rsidRPr="00CB2C86">
        <w:tab/>
        <w:t>Подобно молодежи во многих других экономиках молодые люди Го</w:t>
      </w:r>
      <w:r w:rsidRPr="00CB2C86">
        <w:t>н</w:t>
      </w:r>
      <w:r w:rsidRPr="00CB2C86">
        <w:t>конга, особенно с относительно низким образовательным уровнем и непрочн</w:t>
      </w:r>
      <w:r w:rsidRPr="00CB2C86">
        <w:t>ы</w:t>
      </w:r>
      <w:r w:rsidRPr="00CB2C86">
        <w:t>ми трудовыми навыками, неизбежно сталкиваются с трудностями при поиске работы в период экономического спада.</w:t>
      </w:r>
    </w:p>
    <w:p w:rsidR="00F936A8" w:rsidRPr="00CB2C86" w:rsidRDefault="00F936A8" w:rsidP="00F440B1">
      <w:pPr>
        <w:pStyle w:val="SingleTxtGR"/>
        <w:tabs>
          <w:tab w:val="clear" w:pos="1701"/>
          <w:tab w:val="clear" w:pos="2268"/>
          <w:tab w:val="left" w:pos="1980"/>
          <w:tab w:val="left" w:pos="2520"/>
        </w:tabs>
      </w:pPr>
      <w:r w:rsidRPr="00CB2C86">
        <w:t>6.5</w:t>
      </w:r>
      <w:r w:rsidRPr="00CB2C86">
        <w:tab/>
        <w:t>До сентября 2009</w:t>
      </w:r>
      <w:r w:rsidR="00B92291">
        <w:t> год</w:t>
      </w:r>
      <w:r w:rsidRPr="00CB2C86">
        <w:t>а для подготовки выпускников школ в возрасте 15</w:t>
      </w:r>
      <w:r>
        <w:t>−</w:t>
      </w:r>
      <w:r w:rsidRPr="00CB2C86">
        <w:t>24 лет к трудовой деятельности и их обучения без отрыва от работы осущ</w:t>
      </w:r>
      <w:r w:rsidRPr="00CB2C86">
        <w:t>е</w:t>
      </w:r>
      <w:r w:rsidRPr="00CB2C86">
        <w:t>ствлялись две программы содействия трудоустройств</w:t>
      </w:r>
      <w:r w:rsidR="009818E4">
        <w:t>у</w:t>
      </w:r>
      <w:r w:rsidRPr="00CB2C86">
        <w:t>, а именно Программа подготовки молодежи к трудовой деятельности (ППМТД) и Программа форм</w:t>
      </w:r>
      <w:r w:rsidRPr="00CB2C86">
        <w:t>и</w:t>
      </w:r>
      <w:r w:rsidRPr="00CB2C86">
        <w:t>рования трудовых навыков и обучения молодежи (ПТНОМ). После принятия ППМТД и ПТНОМ соответственно в 1999 и 2002</w:t>
      </w:r>
      <w:r w:rsidR="00B92291">
        <w:t> год</w:t>
      </w:r>
      <w:r w:rsidRPr="00CB2C86">
        <w:t>ах профессиональную по</w:t>
      </w:r>
      <w:r w:rsidRPr="00CB2C86">
        <w:t>д</w:t>
      </w:r>
      <w:r w:rsidRPr="00CB2C86">
        <w:t>готовку в рамках ППМТД прошли 90</w:t>
      </w:r>
      <w:r w:rsidR="00A35E26">
        <w:t> 000</w:t>
      </w:r>
      <w:r w:rsidRPr="00CB2C86">
        <w:t xml:space="preserve"> молодых людей, а благодаря ПТНОМ работу удалось найти 62 200 молодым людям.</w:t>
      </w:r>
    </w:p>
    <w:p w:rsidR="00F936A8" w:rsidRPr="00CB2C86" w:rsidRDefault="00F936A8" w:rsidP="00F440B1">
      <w:pPr>
        <w:pStyle w:val="SingleTxtGR"/>
        <w:tabs>
          <w:tab w:val="clear" w:pos="1701"/>
          <w:tab w:val="clear" w:pos="2268"/>
          <w:tab w:val="left" w:pos="1980"/>
          <w:tab w:val="left" w:pos="2520"/>
        </w:tabs>
      </w:pPr>
      <w:r w:rsidRPr="00CB2C86">
        <w:t>6.6</w:t>
      </w:r>
      <w:r w:rsidRPr="00CB2C86">
        <w:tab/>
        <w:t>В сентябре 2009</w:t>
      </w:r>
      <w:r w:rsidR="00B92291">
        <w:t> год</w:t>
      </w:r>
      <w:r w:rsidRPr="00CB2C86">
        <w:t xml:space="preserve">а ППМТД и ПТНОМ были усилены и объединены в так называемую программу </w:t>
      </w:r>
      <w:r>
        <w:t>"</w:t>
      </w:r>
      <w:r w:rsidRPr="00CB2C86">
        <w:t>прямого сообщения</w:t>
      </w:r>
      <w:r>
        <w:t>"</w:t>
      </w:r>
      <w:r w:rsidRPr="00CB2C86">
        <w:t>. ППМТД-ПТНОМ обесп</w:t>
      </w:r>
      <w:r w:rsidRPr="00CB2C86">
        <w:t>е</w:t>
      </w:r>
      <w:r w:rsidRPr="00CB2C86">
        <w:t>чивает непрерывную и комплексную профессиональную подготовку молодежи и оказывает помощь в трудоустройстве. Обновленная программа предназначена для всех молодых людей в возрасте от 15 до 24 лет с незаконченным средним образованием или более низким образовательным уровнем. Численность учас</w:t>
      </w:r>
      <w:r w:rsidRPr="00CB2C86">
        <w:t>т</w:t>
      </w:r>
      <w:r w:rsidRPr="00CB2C86">
        <w:t>ников никак не ограничивается, все молодые люди, отвечающие квалификац</w:t>
      </w:r>
      <w:r w:rsidRPr="00CB2C86">
        <w:t>и</w:t>
      </w:r>
      <w:r w:rsidRPr="00CB2C86">
        <w:t>онным требованиям, зачисляются гибко.</w:t>
      </w:r>
    </w:p>
    <w:p w:rsidR="00F936A8" w:rsidRPr="00CB2C86" w:rsidRDefault="00F936A8" w:rsidP="00F440B1">
      <w:pPr>
        <w:pStyle w:val="SingleTxtGR"/>
        <w:tabs>
          <w:tab w:val="clear" w:pos="1701"/>
          <w:tab w:val="clear" w:pos="2268"/>
          <w:tab w:val="left" w:pos="1980"/>
          <w:tab w:val="left" w:pos="2520"/>
        </w:tabs>
      </w:pPr>
      <w:r w:rsidRPr="00CB2C86">
        <w:t>6.7</w:t>
      </w:r>
      <w:r w:rsidRPr="00CB2C86">
        <w:tab/>
        <w:t>В рамках обновленной программы, начатой в сентябре 2009</w:t>
      </w:r>
      <w:r w:rsidR="00B92291">
        <w:t> год</w:t>
      </w:r>
      <w:r w:rsidRPr="00CB2C86">
        <w:t>а:</w:t>
      </w:r>
    </w:p>
    <w:p w:rsidR="00F936A8" w:rsidRPr="00CB2C86" w:rsidRDefault="00F936A8" w:rsidP="00F440B1">
      <w:pPr>
        <w:pStyle w:val="SingleTxtGR"/>
        <w:tabs>
          <w:tab w:val="clear" w:pos="1701"/>
          <w:tab w:val="clear" w:pos="2268"/>
          <w:tab w:val="left" w:pos="1980"/>
          <w:tab w:val="left" w:pos="2520"/>
        </w:tabs>
      </w:pPr>
      <w:r w:rsidRPr="00CB2C86">
        <w:tab/>
      </w:r>
      <w:proofErr w:type="spellStart"/>
      <w:r>
        <w:t>a</w:t>
      </w:r>
      <w:proofErr w:type="spellEnd"/>
      <w:r>
        <w:t>)</w:t>
      </w:r>
      <w:r w:rsidRPr="00CB2C86">
        <w:tab/>
        <w:t>зачисление учеников происходит на круглогодичной основе;</w:t>
      </w:r>
    </w:p>
    <w:p w:rsidR="00F936A8" w:rsidRPr="00CB2C86" w:rsidRDefault="00F936A8" w:rsidP="00F440B1">
      <w:pPr>
        <w:pStyle w:val="SingleTxtGR"/>
        <w:tabs>
          <w:tab w:val="clear" w:pos="1701"/>
          <w:tab w:val="clear" w:pos="2268"/>
          <w:tab w:val="left" w:pos="1980"/>
          <w:tab w:val="left" w:pos="2520"/>
        </w:tabs>
      </w:pPr>
      <w:r w:rsidRPr="00CB2C86">
        <w:tab/>
      </w:r>
      <w:proofErr w:type="spellStart"/>
      <w:r>
        <w:t>b</w:t>
      </w:r>
      <w:proofErr w:type="spellEnd"/>
      <w:r>
        <w:t>)</w:t>
      </w:r>
      <w:r w:rsidRPr="00CB2C86">
        <w:tab/>
        <w:t>период предоставления индивидуальных консультаций по в</w:t>
      </w:r>
      <w:r w:rsidRPr="00CB2C86">
        <w:t>о</w:t>
      </w:r>
      <w:r w:rsidRPr="00CB2C86">
        <w:t>просам профессиональной деятельности для участников, нашедших работу, продлен с 12 до 24 месяцев; и</w:t>
      </w:r>
    </w:p>
    <w:p w:rsidR="00F936A8" w:rsidRPr="00CB2C86" w:rsidRDefault="00F936A8" w:rsidP="00F440B1">
      <w:pPr>
        <w:pStyle w:val="SingleTxtGR"/>
        <w:tabs>
          <w:tab w:val="clear" w:pos="1701"/>
          <w:tab w:val="clear" w:pos="2268"/>
          <w:tab w:val="left" w:pos="1980"/>
          <w:tab w:val="left" w:pos="2520"/>
        </w:tabs>
      </w:pPr>
      <w:r w:rsidRPr="00CB2C86">
        <w:tab/>
      </w:r>
      <w:proofErr w:type="spellStart"/>
      <w:r>
        <w:t>c</w:t>
      </w:r>
      <w:proofErr w:type="spellEnd"/>
      <w:r>
        <w:t>)</w:t>
      </w:r>
      <w:r w:rsidRPr="00CB2C86">
        <w:tab/>
        <w:t>в сотрудничестве с работодателями и учебными заведениями о</w:t>
      </w:r>
      <w:r w:rsidRPr="00CB2C86">
        <w:t>р</w:t>
      </w:r>
      <w:r w:rsidRPr="00CB2C86">
        <w:t>ганизуются специализированные и повышающие эффективность услуг прое</w:t>
      </w:r>
      <w:r w:rsidRPr="00CB2C86">
        <w:t>к</w:t>
      </w:r>
      <w:r w:rsidRPr="00CB2C86">
        <w:t>ты, совмещающие обучение с трудоустройством.</w:t>
      </w:r>
    </w:p>
    <w:p w:rsidR="00F936A8" w:rsidRPr="00CB2C86" w:rsidRDefault="00F936A8" w:rsidP="00F440B1">
      <w:pPr>
        <w:pStyle w:val="SingleTxtGR"/>
        <w:tabs>
          <w:tab w:val="clear" w:pos="1701"/>
          <w:tab w:val="clear" w:pos="2268"/>
          <w:tab w:val="left" w:pos="1980"/>
          <w:tab w:val="left" w:pos="2520"/>
        </w:tabs>
      </w:pPr>
      <w:r w:rsidRPr="00CB2C86">
        <w:t>6.8</w:t>
      </w:r>
      <w:r w:rsidRPr="00CB2C86">
        <w:tab/>
        <w:t>В ППМТД-ПТНОМ включаются различные элементы, призванные удовлетворить потребности молодых людей, принадлежащих к различным с</w:t>
      </w:r>
      <w:r w:rsidRPr="00CB2C86">
        <w:t>о</w:t>
      </w:r>
      <w:r w:rsidRPr="00CB2C86">
        <w:t>циальным группам. Например, для новоприбывших из материкового Китая ж</w:t>
      </w:r>
      <w:r w:rsidRPr="00CB2C86">
        <w:t>и</w:t>
      </w:r>
      <w:r w:rsidRPr="00CB2C86">
        <w:t>телей, этнических меньшинств, несовершеннолетних правонарушителей и м</w:t>
      </w:r>
      <w:r w:rsidRPr="00CB2C86">
        <w:t>о</w:t>
      </w:r>
      <w:r w:rsidRPr="00CB2C86">
        <w:t>лодых людей с расстройством способности к обучению существуют предназн</w:t>
      </w:r>
      <w:r w:rsidRPr="00CB2C86">
        <w:t>а</w:t>
      </w:r>
      <w:r w:rsidRPr="00CB2C86">
        <w:t>ченные только для них специальные проекты. В рамках этих специальных пр</w:t>
      </w:r>
      <w:r w:rsidRPr="00CB2C86">
        <w:t>о</w:t>
      </w:r>
      <w:r w:rsidRPr="00CB2C86">
        <w:t>ектов этим адресным группам предоставляются предназначенные только для них услуги, включающие индивидуальные консультации по вопросам профе</w:t>
      </w:r>
      <w:r w:rsidRPr="00CB2C86">
        <w:t>с</w:t>
      </w:r>
      <w:r w:rsidRPr="00CB2C86">
        <w:t>сиональной деятельности, индивидуальную помощь клиентам в решении во</w:t>
      </w:r>
      <w:r w:rsidRPr="00CB2C86">
        <w:t>з</w:t>
      </w:r>
      <w:r w:rsidRPr="00CB2C86">
        <w:t>никающих проблем и организуются учебные курсы, предшествующие труд</w:t>
      </w:r>
      <w:r w:rsidRPr="00CB2C86">
        <w:t>о</w:t>
      </w:r>
      <w:r w:rsidRPr="00CB2C86">
        <w:t>устройству. Учебные курсы, предшествующие трудоустройству, охватывают обучение н</w:t>
      </w:r>
      <w:r w:rsidRPr="00CB2C86">
        <w:t>а</w:t>
      </w:r>
      <w:r w:rsidRPr="00CB2C86">
        <w:t>выкам поиска работы, навыкам межличностного общения, навыкам взаимодействия с коллегами по работе, навыкам работы на компьютере и пр</w:t>
      </w:r>
      <w:r w:rsidRPr="00CB2C86">
        <w:t>о</w:t>
      </w:r>
      <w:r w:rsidRPr="00CB2C86">
        <w:t>фессиональным навыкам по широкому кругу профессий и специальностей. К</w:t>
      </w:r>
      <w:r w:rsidR="00365702">
        <w:t> </w:t>
      </w:r>
      <w:r w:rsidRPr="00CB2C86">
        <w:t>концу 2009</w:t>
      </w:r>
      <w:r w:rsidR="00B92291">
        <w:t> год</w:t>
      </w:r>
      <w:r w:rsidRPr="00CB2C86">
        <w:t>а было получено примерно 10 700 заявлений о зачислении в эту возо</w:t>
      </w:r>
      <w:r w:rsidRPr="00CB2C86">
        <w:t>б</w:t>
      </w:r>
      <w:r w:rsidRPr="00CB2C86">
        <w:t>новленную программу.</w:t>
      </w:r>
    </w:p>
    <w:p w:rsidR="00F936A8" w:rsidRPr="00CB2C86" w:rsidRDefault="00F936A8" w:rsidP="00F440B1">
      <w:pPr>
        <w:pStyle w:val="SingleTxtGR"/>
        <w:tabs>
          <w:tab w:val="clear" w:pos="1701"/>
          <w:tab w:val="clear" w:pos="2268"/>
          <w:tab w:val="left" w:pos="1980"/>
          <w:tab w:val="left" w:pos="2520"/>
        </w:tabs>
      </w:pPr>
      <w:r w:rsidRPr="00CB2C86">
        <w:t>6.9</w:t>
      </w:r>
      <w:r w:rsidRPr="00CB2C86">
        <w:tab/>
        <w:t>Помимо вышесказанного, соответственно в декабре 2007</w:t>
      </w:r>
      <w:r w:rsidR="00B92291">
        <w:t> год</w:t>
      </w:r>
      <w:r w:rsidRPr="00CB2C86">
        <w:t>а и марте 2008</w:t>
      </w:r>
      <w:r w:rsidR="00B92291">
        <w:t> год</w:t>
      </w:r>
      <w:r w:rsidRPr="00CB2C86">
        <w:t>а Департамент труда учредил два центра трудовых ресурсов для мол</w:t>
      </w:r>
      <w:r w:rsidRPr="00CB2C86">
        <w:t>о</w:t>
      </w:r>
      <w:r w:rsidRPr="00CB2C86">
        <w:t xml:space="preserve">дежи, чтобы предоставлять услугу </w:t>
      </w:r>
      <w:r>
        <w:t>"</w:t>
      </w:r>
      <w:r w:rsidRPr="00CB2C86">
        <w:t>одного окна</w:t>
      </w:r>
      <w:r>
        <w:t>"</w:t>
      </w:r>
      <w:r w:rsidRPr="00CB2C86">
        <w:t xml:space="preserve"> по содействию занятости и </w:t>
      </w:r>
      <w:proofErr w:type="spellStart"/>
      <w:r w:rsidRPr="00CB2C86">
        <w:t>самозанятости</w:t>
      </w:r>
      <w:proofErr w:type="spellEnd"/>
      <w:r w:rsidRPr="00CB2C86">
        <w:t xml:space="preserve"> молодым людям в возрасте от 15 до 29 лет. Оба центра нацелены на то, чтобы помочь молодым людям начать трудовую жизнь на правильном п</w:t>
      </w:r>
      <w:r w:rsidRPr="00CB2C86">
        <w:t>у</w:t>
      </w:r>
      <w:r w:rsidRPr="00CB2C86">
        <w:t>ти, увеличить их трудовые возможности, облегчить им доступ к последней и</w:t>
      </w:r>
      <w:r w:rsidRPr="00CB2C86">
        <w:t>н</w:t>
      </w:r>
      <w:r w:rsidRPr="00CB2C86">
        <w:t>формации о рынке труда и помочь обрести твердую почву на рынке труда в ц</w:t>
      </w:r>
      <w:r w:rsidRPr="00CB2C86">
        <w:t>е</w:t>
      </w:r>
      <w:r w:rsidRPr="00CB2C86">
        <w:t>лях устойчивого развития.</w:t>
      </w:r>
    </w:p>
    <w:p w:rsidR="00F936A8" w:rsidRPr="00CB2C86" w:rsidRDefault="00F936A8" w:rsidP="00F440B1">
      <w:pPr>
        <w:pStyle w:val="H1GR"/>
        <w:tabs>
          <w:tab w:val="left" w:pos="1980"/>
          <w:tab w:val="left" w:pos="2520"/>
        </w:tabs>
      </w:pPr>
      <w:r w:rsidRPr="00CB2C86">
        <w:tab/>
      </w:r>
      <w:r w:rsidRPr="00CB2C86">
        <w:tab/>
        <w:t>Профессиональное образование</w:t>
      </w:r>
    </w:p>
    <w:p w:rsidR="00F936A8" w:rsidRPr="00CB2C86" w:rsidRDefault="00F936A8" w:rsidP="00F440B1">
      <w:pPr>
        <w:pStyle w:val="SingleTxtGR"/>
        <w:tabs>
          <w:tab w:val="clear" w:pos="1701"/>
          <w:tab w:val="clear" w:pos="2268"/>
          <w:tab w:val="left" w:pos="1980"/>
          <w:tab w:val="left" w:pos="2520"/>
        </w:tabs>
      </w:pPr>
      <w:r w:rsidRPr="00CB2C86">
        <w:t>6.10</w:t>
      </w:r>
      <w:r w:rsidRPr="00CB2C86">
        <w:tab/>
        <w:t>Как уже упоминалось в пункте 6.15 предыдущего доклада, Комитет по развитию рабочей силы (КРРС) консультирует правительство по вопросам пр</w:t>
      </w:r>
      <w:r w:rsidRPr="00CB2C86">
        <w:t>о</w:t>
      </w:r>
      <w:r w:rsidRPr="00CB2C86">
        <w:t>фессионального образования и развития рабочей силы в целях удовлетворения меняющихся потребностей общества.</w:t>
      </w:r>
    </w:p>
    <w:p w:rsidR="00F936A8" w:rsidRPr="00CB2C86" w:rsidRDefault="00F936A8" w:rsidP="00F440B1">
      <w:pPr>
        <w:pStyle w:val="H23GR"/>
        <w:tabs>
          <w:tab w:val="left" w:pos="1980"/>
          <w:tab w:val="left" w:pos="2520"/>
        </w:tabs>
      </w:pPr>
      <w:r w:rsidRPr="00CB2C86">
        <w:tab/>
      </w:r>
      <w:r w:rsidRPr="00CB2C86">
        <w:tab/>
        <w:t>Совет по переподготовке работников</w:t>
      </w:r>
    </w:p>
    <w:p w:rsidR="00F936A8" w:rsidRPr="00CB2C86" w:rsidRDefault="00F936A8" w:rsidP="00F440B1">
      <w:pPr>
        <w:pStyle w:val="SingleTxtGR"/>
        <w:tabs>
          <w:tab w:val="clear" w:pos="1701"/>
          <w:tab w:val="clear" w:pos="2268"/>
          <w:tab w:val="left" w:pos="1980"/>
          <w:tab w:val="left" w:pos="2520"/>
        </w:tabs>
      </w:pPr>
      <w:r w:rsidRPr="00CB2C86">
        <w:t>6.11</w:t>
      </w:r>
      <w:r w:rsidRPr="00CB2C86">
        <w:tab/>
        <w:t>В пункте 6.7 предыдущего доклада уже отмечалось, что Совет по п</w:t>
      </w:r>
      <w:r w:rsidRPr="00CB2C86">
        <w:t>е</w:t>
      </w:r>
      <w:r w:rsidRPr="00CB2C86">
        <w:t>реподготовке работников (СПР) занимается переподготовкой работников, пот</w:t>
      </w:r>
      <w:r w:rsidRPr="00CB2C86">
        <w:t>е</w:t>
      </w:r>
      <w:r w:rsidRPr="00CB2C86">
        <w:t>рявших работу, чтобы они могли приобрести новые навыки и искать новую р</w:t>
      </w:r>
      <w:r w:rsidRPr="00CB2C86">
        <w:t>а</w:t>
      </w:r>
      <w:r w:rsidRPr="00CB2C86">
        <w:t>боту. С начала своей деятельности в 1992</w:t>
      </w:r>
      <w:r w:rsidR="00B92291">
        <w:t> год</w:t>
      </w:r>
      <w:r w:rsidRPr="00CB2C86">
        <w:t>у по конец 2009</w:t>
      </w:r>
      <w:r w:rsidR="00B92291">
        <w:t> год</w:t>
      </w:r>
      <w:r w:rsidRPr="00CB2C86">
        <w:t>а СПР обесп</w:t>
      </w:r>
      <w:r w:rsidRPr="00CB2C86">
        <w:t>е</w:t>
      </w:r>
      <w:r w:rsidRPr="00CB2C86">
        <w:t>чил 1 миллион 380 тысяч учебных мест. В течение трех лет с 2007</w:t>
      </w:r>
      <w:r>
        <w:t>−</w:t>
      </w:r>
      <w:r w:rsidRPr="00CB2C86">
        <w:t>2008 по 2009</w:t>
      </w:r>
      <w:r>
        <w:t>−</w:t>
      </w:r>
      <w:r w:rsidRPr="00CB2C86">
        <w:t>2010</w:t>
      </w:r>
      <w:r w:rsidR="00B92291">
        <w:t> год</w:t>
      </w:r>
      <w:r w:rsidRPr="00CB2C86">
        <w:t>ы общий показатель трудоустройства учеников составил 80%.</w:t>
      </w:r>
    </w:p>
    <w:p w:rsidR="00F936A8" w:rsidRPr="00CB2C86" w:rsidRDefault="00F936A8" w:rsidP="00F440B1">
      <w:pPr>
        <w:pStyle w:val="SingleTxtGR"/>
        <w:tabs>
          <w:tab w:val="clear" w:pos="1701"/>
          <w:tab w:val="clear" w:pos="2268"/>
          <w:tab w:val="left" w:pos="1980"/>
          <w:tab w:val="left" w:pos="2520"/>
        </w:tabs>
      </w:pPr>
      <w:r w:rsidRPr="00CB2C86">
        <w:t>6.12</w:t>
      </w:r>
      <w:r w:rsidRPr="00CB2C86">
        <w:tab/>
        <w:t>В связи со сложившимся положением на рынке рабочей силы и с ц</w:t>
      </w:r>
      <w:r w:rsidRPr="00CB2C86">
        <w:t>е</w:t>
      </w:r>
      <w:r w:rsidRPr="00CB2C86">
        <w:t>лью помочь большему числу жителей сохранить свои трудовые возможности в обществе знаний с декабря 2007</w:t>
      </w:r>
      <w:r w:rsidR="00B92291">
        <w:t> год</w:t>
      </w:r>
      <w:r w:rsidRPr="00CB2C86">
        <w:t>а СПР расширил свой контингент, распр</w:t>
      </w:r>
      <w:r w:rsidRPr="00CB2C86">
        <w:t>о</w:t>
      </w:r>
      <w:r w:rsidRPr="00CB2C86">
        <w:t>странив свои услуги с местных жителей в возрасте 30 лет и старше со средним образованием 3 ступени и ниже на жителей в возрасте 15 лет с незаконченным средним образованием. Другими словами, в дополнение к обслуживанию пе</w:t>
      </w:r>
      <w:r w:rsidRPr="00CB2C86">
        <w:t>р</w:t>
      </w:r>
      <w:r w:rsidRPr="00CB2C86">
        <w:t>воначального адресного контингента возрастных и менее квалифицированных работников теперь право на получение услуг СПР имеют лица в возрасте 15</w:t>
      </w:r>
      <w:r>
        <w:t>−</w:t>
      </w:r>
      <w:r w:rsidRPr="00CB2C86">
        <w:t>29</w:t>
      </w:r>
      <w:r>
        <w:t> </w:t>
      </w:r>
      <w:r w:rsidRPr="00CB2C86">
        <w:t>лет с высшим образованием. В 2008</w:t>
      </w:r>
      <w:r w:rsidR="00B92291">
        <w:t> год</w:t>
      </w:r>
      <w:r w:rsidRPr="00CB2C86">
        <w:t>у СПР провел стратегический о</w:t>
      </w:r>
      <w:r w:rsidRPr="00CB2C86">
        <w:t>б</w:t>
      </w:r>
      <w:r w:rsidRPr="00CB2C86">
        <w:t>зор своих будущих направлений деятельности. В ходе этого процесса были пров</w:t>
      </w:r>
      <w:r w:rsidRPr="00CB2C86">
        <w:t>е</w:t>
      </w:r>
      <w:r w:rsidRPr="00CB2C86">
        <w:t>дены консультации с заинтересованными сторонами, населением, а также с КРРС. В начале 2009</w:t>
      </w:r>
      <w:r w:rsidR="00B92291">
        <w:t> год</w:t>
      </w:r>
      <w:r w:rsidRPr="00CB2C86">
        <w:t>а рекомендации, содержащиеся в стратегическом о</w:t>
      </w:r>
      <w:r w:rsidRPr="00CB2C86">
        <w:t>б</w:t>
      </w:r>
      <w:r w:rsidRPr="00CB2C86">
        <w:t>зоре, были одобрены правительством. В настоящее время СПР осуществляет эти рекомендации, проводя боле комплексную и разнообразную професси</w:t>
      </w:r>
      <w:r w:rsidRPr="00CB2C86">
        <w:t>о</w:t>
      </w:r>
      <w:r w:rsidRPr="00CB2C86">
        <w:t>нальную подготовку и переподготовку своего обслуживаемого адресного ко</w:t>
      </w:r>
      <w:r w:rsidRPr="00CB2C86">
        <w:t>н</w:t>
      </w:r>
      <w:r w:rsidRPr="00CB2C86">
        <w:t>тингента. Чтобы лучше отразить новую сферу своих услуг, СПР переименовал Программу переподготовки работников в Программу развития рабочей силы. Количество занятых учебных мест в системе СПР выросло с 87</w:t>
      </w:r>
      <w:r>
        <w:t> </w:t>
      </w:r>
      <w:r w:rsidRPr="00CB2C86">
        <w:t>000 в 2007</w:t>
      </w:r>
      <w:r>
        <w:t>−</w:t>
      </w:r>
      <w:r w:rsidRPr="00CB2C86">
        <w:t>2008</w:t>
      </w:r>
      <w:r w:rsidR="00B92291">
        <w:t> год</w:t>
      </w:r>
      <w:r>
        <w:t xml:space="preserve">ах </w:t>
      </w:r>
      <w:r w:rsidRPr="00CB2C86">
        <w:t>до 99</w:t>
      </w:r>
      <w:r>
        <w:t> </w:t>
      </w:r>
      <w:r w:rsidRPr="00CB2C86">
        <w:t>000 в 2008</w:t>
      </w:r>
      <w:r>
        <w:t>−</w:t>
      </w:r>
      <w:r w:rsidRPr="00CB2C86">
        <w:t>2009</w:t>
      </w:r>
      <w:r w:rsidR="00B92291">
        <w:t> год</w:t>
      </w:r>
      <w:r>
        <w:t>ах</w:t>
      </w:r>
      <w:r w:rsidRPr="00CB2C86">
        <w:t>. СПР запланировал обеспечить в 2009</w:t>
      </w:r>
      <w:r>
        <w:t>−</w:t>
      </w:r>
      <w:r w:rsidRPr="00CB2C86">
        <w:t>2010</w:t>
      </w:r>
      <w:r w:rsidR="00B92291">
        <w:t> год</w:t>
      </w:r>
      <w:r>
        <w:t>ах</w:t>
      </w:r>
      <w:r w:rsidRPr="00CB2C86">
        <w:t xml:space="preserve"> 143</w:t>
      </w:r>
      <w:r>
        <w:t> </w:t>
      </w:r>
      <w:r w:rsidRPr="00CB2C86">
        <w:t>000 мест.</w:t>
      </w:r>
    </w:p>
    <w:p w:rsidR="00F936A8" w:rsidRPr="00CB2C86" w:rsidRDefault="00F936A8" w:rsidP="00F440B1">
      <w:pPr>
        <w:pStyle w:val="SingleTxtGR"/>
        <w:tabs>
          <w:tab w:val="clear" w:pos="1701"/>
          <w:tab w:val="clear" w:pos="2268"/>
          <w:tab w:val="left" w:pos="1980"/>
          <w:tab w:val="left" w:pos="2520"/>
        </w:tabs>
      </w:pPr>
      <w:r w:rsidRPr="00CB2C86">
        <w:t>6.13</w:t>
      </w:r>
      <w:r w:rsidRPr="00CB2C86">
        <w:tab/>
        <w:t>Имеющие право на эти услуги жители независимо от пола могут под</w:t>
      </w:r>
      <w:r w:rsidRPr="00CB2C86">
        <w:t>а</w:t>
      </w:r>
      <w:r w:rsidRPr="00CB2C86">
        <w:t>вать заявления о зачислении на курсы СПР. Курсы СПР, которые призваны обеспечить потребности рынка, были положительно восприняты, в частности, женской частью обучающихся. Например, в 2008</w:t>
      </w:r>
      <w:r>
        <w:t>−</w:t>
      </w:r>
      <w:r w:rsidRPr="00CB2C86">
        <w:t>2009</w:t>
      </w:r>
      <w:r w:rsidR="00B92291">
        <w:t> год</w:t>
      </w:r>
      <w:r>
        <w:t>ах</w:t>
      </w:r>
      <w:r w:rsidRPr="00CB2C86">
        <w:t xml:space="preserve"> женщины соста</w:t>
      </w:r>
      <w:r w:rsidRPr="00CB2C86">
        <w:t>в</w:t>
      </w:r>
      <w:r w:rsidRPr="00CB2C86">
        <w:t>ляли 70% от общего количества обучающихся. СПР также обязуется обслуж</w:t>
      </w:r>
      <w:r w:rsidRPr="00CB2C86">
        <w:t>и</w:t>
      </w:r>
      <w:r w:rsidRPr="00CB2C86">
        <w:t>вать другие конкретные адресные группы, в том числе новоприбывших из мат</w:t>
      </w:r>
      <w:r w:rsidRPr="00CB2C86">
        <w:t>е</w:t>
      </w:r>
      <w:r w:rsidRPr="00CB2C86">
        <w:t>рикового Китая жителей, этнические меньшинства и молодежь. Соответству</w:t>
      </w:r>
      <w:r w:rsidRPr="00CB2C86">
        <w:t>ю</w:t>
      </w:r>
      <w:r w:rsidRPr="00CB2C86">
        <w:t>щие услуги более подробно перечисляются ниже:</w:t>
      </w:r>
    </w:p>
    <w:p w:rsidR="00F936A8" w:rsidRPr="00CB2C86" w:rsidRDefault="00F936A8" w:rsidP="00F440B1">
      <w:pPr>
        <w:pStyle w:val="SingleTxtGR"/>
        <w:tabs>
          <w:tab w:val="clear" w:pos="1701"/>
          <w:tab w:val="clear" w:pos="2268"/>
          <w:tab w:val="left" w:pos="1980"/>
          <w:tab w:val="left" w:pos="2520"/>
        </w:tabs>
      </w:pPr>
      <w:r w:rsidRPr="00CB2C86">
        <w:tab/>
      </w:r>
      <w:proofErr w:type="spellStart"/>
      <w:r>
        <w:t>a</w:t>
      </w:r>
      <w:proofErr w:type="spellEnd"/>
      <w:r>
        <w:t>)</w:t>
      </w:r>
      <w:r w:rsidRPr="00CB2C86">
        <w:tab/>
        <w:t>новоприбывшие жители имеют право на зачисление на все ку</w:t>
      </w:r>
      <w:r w:rsidRPr="00CB2C86">
        <w:t>р</w:t>
      </w:r>
      <w:r w:rsidRPr="00CB2C86">
        <w:t>сы СПР. СПР также организует для них специализированные курсы. В конце 2008</w:t>
      </w:r>
      <w:r w:rsidR="00B92291">
        <w:t> год</w:t>
      </w:r>
      <w:r w:rsidRPr="00CB2C86">
        <w:t>а СПР расширил курс по обучению навыкам поиска работы для нов</w:t>
      </w:r>
      <w:r w:rsidRPr="00CB2C86">
        <w:t>о</w:t>
      </w:r>
      <w:r w:rsidRPr="00CB2C86">
        <w:t>прибывших жителей, упомянутый в пункте 6.8 предыдущего доклада, преобр</w:t>
      </w:r>
      <w:r w:rsidRPr="00CB2C86">
        <w:t>а</w:t>
      </w:r>
      <w:r w:rsidRPr="00CB2C86">
        <w:t xml:space="preserve">зовав его в комплексную учебную программу по вопросам занятости </w:t>
      </w:r>
      <w:r>
        <w:t>"</w:t>
      </w:r>
      <w:r w:rsidRPr="00CB2C86">
        <w:t>В добрый путь</w:t>
      </w:r>
      <w:r>
        <w:t>"</w:t>
      </w:r>
      <w:r w:rsidRPr="00CB2C86">
        <w:t>, п</w:t>
      </w:r>
      <w:r w:rsidRPr="00CB2C86">
        <w:t>о</w:t>
      </w:r>
      <w:r w:rsidRPr="00CB2C86">
        <w:t>сле прохождения которой вручается свидетельство об окончании. Это</w:t>
      </w:r>
      <w:r w:rsidR="00A35E26">
        <w:t>т</w:t>
      </w:r>
      <w:r w:rsidRPr="00CB2C86">
        <w:t xml:space="preserve"> курс знакомит учащихся с такими вопросами, как общественные ресурсы, м</w:t>
      </w:r>
      <w:r w:rsidRPr="00CB2C86">
        <w:t>е</w:t>
      </w:r>
      <w:r w:rsidRPr="00CB2C86">
        <w:t>стный рынок труда и культура труда. По состоянию на конец декабря 2009</w:t>
      </w:r>
      <w:r w:rsidR="00B92291">
        <w:t> год</w:t>
      </w:r>
      <w:r w:rsidRPr="00CB2C86">
        <w:t>а учебные курсы, предлагаемые СПР, закончили примерно 135</w:t>
      </w:r>
      <w:r>
        <w:t> </w:t>
      </w:r>
      <w:r w:rsidRPr="00CB2C86">
        <w:t>240 новоприбы</w:t>
      </w:r>
      <w:r w:rsidRPr="00CB2C86">
        <w:t>в</w:t>
      </w:r>
      <w:r w:rsidRPr="00CB2C86">
        <w:t>ших жителей;</w:t>
      </w:r>
    </w:p>
    <w:p w:rsidR="00F936A8" w:rsidRPr="00CB2C86" w:rsidRDefault="00F936A8" w:rsidP="00F440B1">
      <w:pPr>
        <w:pStyle w:val="SingleTxtGR"/>
        <w:tabs>
          <w:tab w:val="clear" w:pos="1701"/>
          <w:tab w:val="clear" w:pos="2268"/>
          <w:tab w:val="left" w:pos="1980"/>
          <w:tab w:val="left" w:pos="2520"/>
        </w:tabs>
      </w:pPr>
      <w:r w:rsidRPr="00CB2C86">
        <w:tab/>
      </w:r>
      <w:proofErr w:type="spellStart"/>
      <w:r>
        <w:t>b</w:t>
      </w:r>
      <w:proofErr w:type="spellEnd"/>
      <w:r>
        <w:t>)</w:t>
      </w:r>
      <w:r w:rsidRPr="00CB2C86">
        <w:tab/>
        <w:t>после середины 2007</w:t>
      </w:r>
      <w:r w:rsidR="00B92291">
        <w:t> год</w:t>
      </w:r>
      <w:r w:rsidRPr="00CB2C86">
        <w:t>а СПР организует курсы английского языка для представителей этнических меньшинств. Учебным заведениям ок</w:t>
      </w:r>
      <w:r w:rsidRPr="00CB2C86">
        <w:t>а</w:t>
      </w:r>
      <w:r w:rsidRPr="00CB2C86">
        <w:t xml:space="preserve">зывается специальная помощь, в том числе ассигнуются средства на </w:t>
      </w:r>
      <w:proofErr w:type="spellStart"/>
      <w:r w:rsidRPr="00CB2C86">
        <w:t>найм</w:t>
      </w:r>
      <w:proofErr w:type="spellEnd"/>
      <w:r w:rsidRPr="00CB2C86">
        <w:t xml:space="preserve"> ус</w:t>
      </w:r>
      <w:r w:rsidRPr="00CB2C86">
        <w:t>т</w:t>
      </w:r>
      <w:r w:rsidRPr="00CB2C86">
        <w:t>ных переводчиков из числа представителей этнических меньшинств, чтобы о</w:t>
      </w:r>
      <w:r w:rsidRPr="00CB2C86">
        <w:t>б</w:t>
      </w:r>
      <w:r w:rsidRPr="00CB2C86">
        <w:t>легчить процесс усвоения знаний и поиск работы. В 2008</w:t>
      </w:r>
      <w:r>
        <w:t>−</w:t>
      </w:r>
      <w:r w:rsidRPr="00CB2C86">
        <w:t>2009</w:t>
      </w:r>
      <w:r w:rsidR="00B92291">
        <w:t> год</w:t>
      </w:r>
      <w:r>
        <w:t>ах</w:t>
      </w:r>
      <w:r w:rsidRPr="00CB2C86">
        <w:t xml:space="preserve"> очные курсы профессиональной подготовки и </w:t>
      </w:r>
      <w:proofErr w:type="spellStart"/>
      <w:r w:rsidRPr="00CB2C86">
        <w:t>очно</w:t>
      </w:r>
      <w:r>
        <w:t>-</w:t>
      </w:r>
      <w:r w:rsidRPr="00CB2C86">
        <w:t>заочные</w:t>
      </w:r>
      <w:proofErr w:type="spellEnd"/>
      <w:r w:rsidRPr="00CB2C86">
        <w:t xml:space="preserve"> курсы по обучению о</w:t>
      </w:r>
      <w:r w:rsidRPr="00CB2C86">
        <w:t>б</w:t>
      </w:r>
      <w:r w:rsidRPr="00CB2C86">
        <w:t xml:space="preserve">щим профессиональным навыкам охватывали программу </w:t>
      </w:r>
      <w:r w:rsidR="00A35E26">
        <w:t>"</w:t>
      </w:r>
      <w:r w:rsidRPr="00CB2C86">
        <w:t>Общение на канто</w:t>
      </w:r>
      <w:r w:rsidRPr="00CB2C86">
        <w:t>н</w:t>
      </w:r>
      <w:r w:rsidRPr="00CB2C86">
        <w:t>ском диалекте на рабочем месте</w:t>
      </w:r>
      <w:r w:rsidR="00A35E26">
        <w:t>"</w:t>
      </w:r>
      <w:r w:rsidRPr="00CB2C86">
        <w:t xml:space="preserve"> и Модульную программу сертификатов по в</w:t>
      </w:r>
      <w:r w:rsidRPr="00CB2C86">
        <w:t>о</w:t>
      </w:r>
      <w:r w:rsidRPr="00CB2C86">
        <w:t xml:space="preserve">просам занятости </w:t>
      </w:r>
      <w:r>
        <w:t>"</w:t>
      </w:r>
      <w:r w:rsidRPr="00CB2C86">
        <w:t>В добрый путь</w:t>
      </w:r>
      <w:r>
        <w:t>"</w:t>
      </w:r>
      <w:r w:rsidRPr="00CB2C86">
        <w:t>, которые помогали представителям этнич</w:t>
      </w:r>
      <w:r w:rsidRPr="00CB2C86">
        <w:t>е</w:t>
      </w:r>
      <w:r w:rsidRPr="00CB2C86">
        <w:t>ских мен</w:t>
      </w:r>
      <w:r w:rsidRPr="00CB2C86">
        <w:t>ь</w:t>
      </w:r>
      <w:r w:rsidRPr="00CB2C86">
        <w:t>шинств получить более точное представление о местном рынке труда, культуре труда, каналах и навыках поиска работы. В июне 2008</w:t>
      </w:r>
      <w:r w:rsidR="00B92291">
        <w:t> год</w:t>
      </w:r>
      <w:r w:rsidRPr="00CB2C86">
        <w:t>а СПР со</w:t>
      </w:r>
      <w:r w:rsidRPr="00CB2C86">
        <w:t>з</w:t>
      </w:r>
      <w:r w:rsidRPr="00CB2C86">
        <w:t xml:space="preserve">дал две </w:t>
      </w:r>
      <w:proofErr w:type="spellStart"/>
      <w:r w:rsidRPr="00CB2C86">
        <w:t>ф</w:t>
      </w:r>
      <w:r w:rsidRPr="00CB2C86">
        <w:t>о</w:t>
      </w:r>
      <w:r w:rsidRPr="00CB2C86">
        <w:t>кус</w:t>
      </w:r>
      <w:r>
        <w:t>-</w:t>
      </w:r>
      <w:r w:rsidRPr="00CB2C86">
        <w:t>группы</w:t>
      </w:r>
      <w:proofErr w:type="spellEnd"/>
      <w:r w:rsidRPr="00CB2C86">
        <w:t xml:space="preserve">, чтобы регулярно консультировать заинтересованные стороны по вопросам учебных потребностей этнических меньшинств и средств их эффективного охвата. В состав этих </w:t>
      </w:r>
      <w:proofErr w:type="spellStart"/>
      <w:r w:rsidRPr="00CB2C86">
        <w:t>фокус-групп</w:t>
      </w:r>
      <w:proofErr w:type="spellEnd"/>
      <w:r w:rsidRPr="00CB2C86">
        <w:t xml:space="preserve"> входят представители о</w:t>
      </w:r>
      <w:r w:rsidRPr="00CB2C86">
        <w:t>р</w:t>
      </w:r>
      <w:r w:rsidRPr="00CB2C86">
        <w:t>ганизаций этнических меньшинств, НПО и поставщиков учебных услуг. К</w:t>
      </w:r>
      <w:r>
        <w:t> </w:t>
      </w:r>
      <w:r w:rsidRPr="00CB2C86">
        <w:t>2009</w:t>
      </w:r>
      <w:r>
        <w:t>−</w:t>
      </w:r>
      <w:r w:rsidRPr="00CB2C86">
        <w:t>2010</w:t>
      </w:r>
      <w:r w:rsidR="00B92291">
        <w:t> год</w:t>
      </w:r>
      <w:r>
        <w:t>ам</w:t>
      </w:r>
      <w:r w:rsidRPr="00CB2C86">
        <w:t xml:space="preserve"> было организовано больше учебных курсов, в том числе 17</w:t>
      </w:r>
      <w:r w:rsidR="00A35E26">
        <w:t> </w:t>
      </w:r>
      <w:r w:rsidRPr="00CB2C86">
        <w:t xml:space="preserve">специализированных </w:t>
      </w:r>
      <w:proofErr w:type="spellStart"/>
      <w:r w:rsidRPr="00CB2C86">
        <w:t>профориентированных</w:t>
      </w:r>
      <w:proofErr w:type="spellEnd"/>
      <w:r w:rsidRPr="00CB2C86">
        <w:t xml:space="preserve"> курсов полного учебного дня с п</w:t>
      </w:r>
      <w:r w:rsidRPr="00CB2C86">
        <w:t>о</w:t>
      </w:r>
      <w:r w:rsidRPr="00CB2C86">
        <w:t>следующим трудоустройством и 12 учебных курсов неполного учебного дня по обучению общим навыкам; и</w:t>
      </w:r>
    </w:p>
    <w:p w:rsidR="00F936A8" w:rsidRPr="00CB2C86" w:rsidRDefault="00F936A8" w:rsidP="00F440B1">
      <w:pPr>
        <w:pStyle w:val="SingleTxtGR"/>
        <w:tabs>
          <w:tab w:val="clear" w:pos="1701"/>
          <w:tab w:val="clear" w:pos="2268"/>
          <w:tab w:val="left" w:pos="1980"/>
          <w:tab w:val="left" w:pos="2520"/>
        </w:tabs>
      </w:pPr>
      <w:r w:rsidRPr="00CB2C86">
        <w:tab/>
      </w:r>
      <w:proofErr w:type="spellStart"/>
      <w:r>
        <w:t>c</w:t>
      </w:r>
      <w:proofErr w:type="spellEnd"/>
      <w:r>
        <w:t>)</w:t>
      </w:r>
      <w:r w:rsidRPr="00CB2C86">
        <w:tab/>
        <w:t>после декабря 2007</w:t>
      </w:r>
      <w:r w:rsidR="00B92291">
        <w:t> год</w:t>
      </w:r>
      <w:r w:rsidRPr="00CB2C86">
        <w:t>а СПР разработал разнообразные уче</w:t>
      </w:r>
      <w:r w:rsidRPr="00CB2C86">
        <w:t>б</w:t>
      </w:r>
      <w:r w:rsidRPr="00CB2C86">
        <w:t>ные курсы, призванные удовлетворить различные интересы молодежи в зав</w:t>
      </w:r>
      <w:r w:rsidRPr="00CB2C86">
        <w:t>и</w:t>
      </w:r>
      <w:r w:rsidRPr="00CB2C86">
        <w:t>симости от адресных задач новых услуг. Так, в сентябре 2008</w:t>
      </w:r>
      <w:r w:rsidR="00B92291">
        <w:t> год</w:t>
      </w:r>
      <w:r w:rsidRPr="00CB2C86">
        <w:t>а СПР совм</w:t>
      </w:r>
      <w:r w:rsidRPr="00CB2C86">
        <w:t>е</w:t>
      </w:r>
      <w:r w:rsidRPr="00CB2C86">
        <w:t>стно с Советом по профессиональному образованию (СПО) начал осуществл</w:t>
      </w:r>
      <w:r w:rsidRPr="00CB2C86">
        <w:t>е</w:t>
      </w:r>
      <w:r w:rsidRPr="00CB2C86">
        <w:t xml:space="preserve">ние </w:t>
      </w:r>
      <w:proofErr w:type="spellStart"/>
      <w:r w:rsidRPr="00CB2C86">
        <w:t>пилотной</w:t>
      </w:r>
      <w:proofErr w:type="spellEnd"/>
      <w:r w:rsidRPr="00CB2C86">
        <w:t xml:space="preserve"> Программы профессиональной подготовки молодежи (ПППМ)</w:t>
      </w:r>
      <w:r w:rsidRPr="00CB2C86" w:rsidDel="006C485B">
        <w:t xml:space="preserve"> </w:t>
      </w:r>
      <w:r w:rsidRPr="00CB2C86">
        <w:t>для бе</w:t>
      </w:r>
      <w:r w:rsidRPr="00CB2C86">
        <w:t>з</w:t>
      </w:r>
      <w:r w:rsidRPr="00CB2C86">
        <w:t>работных молодых людей в возрасте 15</w:t>
      </w:r>
      <w:r>
        <w:t>−</w:t>
      </w:r>
      <w:r w:rsidRPr="00CB2C86">
        <w:t>20 лет, в которой задействованы 51</w:t>
      </w:r>
      <w:r>
        <w:t> </w:t>
      </w:r>
      <w:r w:rsidRPr="00CB2C86">
        <w:t>учебн</w:t>
      </w:r>
      <w:r w:rsidR="00A35E26">
        <w:t>ый</w:t>
      </w:r>
      <w:r w:rsidRPr="00CB2C86">
        <w:t xml:space="preserve"> курс по 18 промышленным специальностям. Программа преслед</w:t>
      </w:r>
      <w:r w:rsidRPr="00CB2C86">
        <w:t>у</w:t>
      </w:r>
      <w:r w:rsidRPr="00CB2C86">
        <w:t>ет цель вновь сформировать у молодежи стремление к учебе, чтобы она могла о</w:t>
      </w:r>
      <w:r w:rsidRPr="00CB2C86">
        <w:t>п</w:t>
      </w:r>
      <w:r w:rsidRPr="00CB2C86">
        <w:t>ределиться со своими собственными устремлениями, и мотивировать молодых людей активно планировать свою трудовую жизнь. Чтобы опробовать разли</w:t>
      </w:r>
      <w:r w:rsidRPr="00CB2C86">
        <w:t>ч</w:t>
      </w:r>
      <w:r w:rsidRPr="00CB2C86">
        <w:t>ные учебные методики и расширить учебную сеть, в сентябре 2009</w:t>
      </w:r>
      <w:r w:rsidR="00B92291">
        <w:t> год</w:t>
      </w:r>
      <w:r w:rsidRPr="00CB2C86">
        <w:t>а СПР организовал 15 дополнительных курсов в рамках ПППМ, которые предл</w:t>
      </w:r>
      <w:r w:rsidRPr="00CB2C86">
        <w:t>а</w:t>
      </w:r>
      <w:r w:rsidRPr="00CB2C86">
        <w:t>гают 9</w:t>
      </w:r>
      <w:r w:rsidR="00A35E26">
        <w:t> </w:t>
      </w:r>
      <w:r w:rsidRPr="00CB2C86">
        <w:t>дополнительных учебных заведений. Чтобы удовлетворить потребности м</w:t>
      </w:r>
      <w:r w:rsidRPr="00CB2C86">
        <w:t>о</w:t>
      </w:r>
      <w:r w:rsidRPr="00CB2C86">
        <w:t>лодежи, принадлежащей к этническим меньшинствам, СПР в рамках ПППМ осуществляет на экспериментальной основе Проект по этническим меньшинс</w:t>
      </w:r>
      <w:r w:rsidRPr="00CB2C86">
        <w:t>т</w:t>
      </w:r>
      <w:r w:rsidRPr="00CB2C86">
        <w:t xml:space="preserve">вам. Цель этих курсов </w:t>
      </w:r>
      <w:r>
        <w:t>−</w:t>
      </w:r>
      <w:r w:rsidRPr="00CB2C86">
        <w:t xml:space="preserve"> сформировать у обучающихся представителей этнич</w:t>
      </w:r>
      <w:r w:rsidRPr="00CB2C86">
        <w:t>е</w:t>
      </w:r>
      <w:r w:rsidRPr="00CB2C86">
        <w:t>ских меньшинств профессиональные и лингвистические навыки, увеличива</w:t>
      </w:r>
      <w:r w:rsidRPr="00CB2C86">
        <w:t>ю</w:t>
      </w:r>
      <w:r w:rsidRPr="00CB2C86">
        <w:t>щие их возможности к труду и возможности интегрироваться в общество.</w:t>
      </w:r>
    </w:p>
    <w:p w:rsidR="00F936A8" w:rsidRPr="00CB2C86" w:rsidRDefault="00F936A8" w:rsidP="00F440B1">
      <w:pPr>
        <w:pStyle w:val="H23GR"/>
        <w:tabs>
          <w:tab w:val="left" w:pos="1980"/>
          <w:tab w:val="left" w:pos="2520"/>
        </w:tabs>
      </w:pPr>
      <w:r w:rsidRPr="00CB2C86">
        <w:tab/>
      </w:r>
      <w:r w:rsidRPr="00CB2C86">
        <w:tab/>
        <w:t>Совет по профессиональному образованию</w:t>
      </w:r>
    </w:p>
    <w:p w:rsidR="00F936A8" w:rsidRPr="00CB2C86" w:rsidRDefault="00F936A8" w:rsidP="00F440B1">
      <w:pPr>
        <w:pStyle w:val="SingleTxtGR"/>
        <w:tabs>
          <w:tab w:val="clear" w:pos="1701"/>
          <w:tab w:val="clear" w:pos="2268"/>
          <w:tab w:val="left" w:pos="1980"/>
          <w:tab w:val="left" w:pos="2520"/>
        </w:tabs>
      </w:pPr>
      <w:r w:rsidRPr="00CB2C86">
        <w:t>6.14</w:t>
      </w:r>
      <w:r w:rsidRPr="00CB2C86">
        <w:tab/>
        <w:t>Как уже отмечалось в пункте 13.43 предыдущего доклада, СПО явл</w:t>
      </w:r>
      <w:r w:rsidRPr="00CB2C86">
        <w:t>я</w:t>
      </w:r>
      <w:r w:rsidRPr="00CB2C86">
        <w:t>ется основным поставщиком услуг и консультантом правительства по вопросам п</w:t>
      </w:r>
      <w:r w:rsidRPr="00CB2C86">
        <w:t>о</w:t>
      </w:r>
      <w:r w:rsidRPr="00CB2C86">
        <w:t>литики в области профессионального образования. Учебные заведения СПО, которые реализуют программы профессиональной подготовки, включают в себя Центр подготовки и повышения квалификации кадров для индустрии туризма, Институт подготовки поваров китайской кухни и Институт подготовки кадров для морских служб и 12 других учебных центров. В 2008</w:t>
      </w:r>
      <w:r>
        <w:t>/</w:t>
      </w:r>
      <w:r w:rsidRPr="00CB2C86">
        <w:t>09 учебном</w:t>
      </w:r>
      <w:r w:rsidR="00A35E26">
        <w:t xml:space="preserve"> </w:t>
      </w:r>
      <w:r w:rsidR="00B92291">
        <w:t>год</w:t>
      </w:r>
      <w:r w:rsidRPr="00CB2C86">
        <w:t>у 15</w:t>
      </w:r>
      <w:r>
        <w:t> </w:t>
      </w:r>
      <w:r w:rsidRPr="00CB2C86">
        <w:t>образовательных учреждений располагали примерно 22700 учебными ме</w:t>
      </w:r>
      <w:r w:rsidRPr="00CB2C86">
        <w:t>с</w:t>
      </w:r>
      <w:r w:rsidRPr="00CB2C86">
        <w:t xml:space="preserve">тами на очных, </w:t>
      </w:r>
      <w:proofErr w:type="spellStart"/>
      <w:r w:rsidRPr="00CB2C86">
        <w:t>очно-заочных</w:t>
      </w:r>
      <w:proofErr w:type="spellEnd"/>
      <w:r w:rsidRPr="00CB2C86">
        <w:t xml:space="preserve"> и заочных отделениях. Статистические данные о приеме учащихся в 2008</w:t>
      </w:r>
      <w:r>
        <w:t>/</w:t>
      </w:r>
      <w:r w:rsidRPr="00CB2C86">
        <w:t xml:space="preserve">09 </w:t>
      </w:r>
      <w:r w:rsidR="00A35E26">
        <w:t>учебном году</w:t>
      </w:r>
      <w:r w:rsidRPr="00CB2C86">
        <w:t xml:space="preserve"> в разбивке по форме и уровню обуч</w:t>
      </w:r>
      <w:r w:rsidRPr="00CB2C86">
        <w:t>е</w:t>
      </w:r>
      <w:r w:rsidRPr="00CB2C86">
        <w:t>ния приводятся в Приложении 6</w:t>
      </w:r>
      <w:r w:rsidRPr="00CB2C86">
        <w:rPr>
          <w:lang w:val="en-GB"/>
        </w:rPr>
        <w:t>A</w:t>
      </w:r>
      <w:r w:rsidRPr="00CB2C86">
        <w:t>. Они обновляют Приложения 13</w:t>
      </w:r>
      <w:r w:rsidRPr="00CB2C86">
        <w:rPr>
          <w:lang w:val="en-GB"/>
        </w:rPr>
        <w:t>D</w:t>
      </w:r>
      <w:r w:rsidRPr="00CB2C86">
        <w:t xml:space="preserve"> и 13</w:t>
      </w:r>
      <w:r w:rsidRPr="00CB2C86">
        <w:rPr>
          <w:lang w:val="en-GB"/>
        </w:rPr>
        <w:t>E</w:t>
      </w:r>
      <w:r w:rsidRPr="00CB2C86">
        <w:t xml:space="preserve"> пр</w:t>
      </w:r>
      <w:r w:rsidRPr="00CB2C86">
        <w:t>е</w:t>
      </w:r>
      <w:r w:rsidRPr="00CB2C86">
        <w:t>дыдущего доклада. Программы профессионального образования, осуществля</w:t>
      </w:r>
      <w:r w:rsidRPr="00CB2C86">
        <w:t>е</w:t>
      </w:r>
      <w:r w:rsidRPr="00CB2C86">
        <w:t>мые СПО, подробно рассматриваются в связи со статьями 13 и 14, посвяще</w:t>
      </w:r>
      <w:r w:rsidRPr="00CB2C86">
        <w:t>н</w:t>
      </w:r>
      <w:r w:rsidRPr="00CB2C86">
        <w:t>ными праву на образование.</w:t>
      </w:r>
    </w:p>
    <w:p w:rsidR="00F936A8" w:rsidRPr="00CB2C86" w:rsidRDefault="00F936A8" w:rsidP="00F440B1">
      <w:pPr>
        <w:pStyle w:val="H23GR"/>
        <w:tabs>
          <w:tab w:val="left" w:pos="1980"/>
          <w:tab w:val="left" w:pos="2520"/>
        </w:tabs>
      </w:pPr>
      <w:r w:rsidRPr="00CB2C86">
        <w:tab/>
      </w:r>
      <w:r w:rsidRPr="00CB2C86">
        <w:tab/>
        <w:t>Ученичество</w:t>
      </w:r>
    </w:p>
    <w:p w:rsidR="00F936A8" w:rsidRPr="00CB2C86" w:rsidRDefault="00F936A8" w:rsidP="00F440B1">
      <w:pPr>
        <w:pStyle w:val="SingleTxtGR"/>
        <w:tabs>
          <w:tab w:val="clear" w:pos="1701"/>
          <w:tab w:val="clear" w:pos="2268"/>
          <w:tab w:val="left" w:pos="1980"/>
          <w:tab w:val="left" w:pos="2520"/>
        </w:tabs>
      </w:pPr>
      <w:r w:rsidRPr="00CB2C86">
        <w:t>6.15</w:t>
      </w:r>
      <w:r w:rsidRPr="00CB2C86">
        <w:tab/>
        <w:t>Что касается ученичества, то положение, описанное в пункте 13.46 предыдущего доклада, остается без изменений. В 2009</w:t>
      </w:r>
      <w:r w:rsidR="00B92291">
        <w:t> год</w:t>
      </w:r>
      <w:r w:rsidRPr="00CB2C86">
        <w:t>у было зарегистрир</w:t>
      </w:r>
      <w:r w:rsidRPr="00CB2C86">
        <w:t>о</w:t>
      </w:r>
      <w:r w:rsidRPr="00CB2C86">
        <w:t>вано 1</w:t>
      </w:r>
      <w:r>
        <w:t> </w:t>
      </w:r>
      <w:r w:rsidRPr="00CB2C86">
        <w:t>675 договоров об ученичестве. Эти договоры охватывали 1</w:t>
      </w:r>
      <w:r>
        <w:t> </w:t>
      </w:r>
      <w:r w:rsidRPr="00CB2C86">
        <w:t>675 учеников (по</w:t>
      </w:r>
      <w:r>
        <w:t> </w:t>
      </w:r>
      <w:r w:rsidRPr="00CB2C86">
        <w:t>сравнению с 1</w:t>
      </w:r>
      <w:r w:rsidR="00915034">
        <w:t> </w:t>
      </w:r>
      <w:r w:rsidRPr="00CB2C86">
        <w:t>850 в 2002</w:t>
      </w:r>
      <w:r w:rsidR="00B92291">
        <w:t> год</w:t>
      </w:r>
      <w:r w:rsidRPr="00CB2C86">
        <w:t>у). В конце 2009</w:t>
      </w:r>
      <w:r w:rsidR="00B92291">
        <w:t> год</w:t>
      </w:r>
      <w:r w:rsidRPr="00CB2C86">
        <w:t>а профессиональную по</w:t>
      </w:r>
      <w:r w:rsidRPr="00CB2C86">
        <w:t>д</w:t>
      </w:r>
      <w:r w:rsidRPr="00CB2C86">
        <w:t>готовку проходили около 3 300 учеников (4 150 в 2002</w:t>
      </w:r>
      <w:r w:rsidR="00B92291">
        <w:t> год</w:t>
      </w:r>
      <w:r w:rsidRPr="00CB2C86">
        <w:t>у).</w:t>
      </w:r>
    </w:p>
    <w:p w:rsidR="00F936A8" w:rsidRPr="00CB2C86" w:rsidRDefault="00F936A8" w:rsidP="00F440B1">
      <w:pPr>
        <w:pStyle w:val="H1GR"/>
        <w:tabs>
          <w:tab w:val="left" w:pos="1980"/>
          <w:tab w:val="left" w:pos="2520"/>
        </w:tabs>
      </w:pPr>
      <w:r w:rsidRPr="00CB2C86">
        <w:tab/>
      </w:r>
      <w:r w:rsidRPr="00CB2C86">
        <w:tab/>
        <w:t>Защита работников от необоснованного увольнения</w:t>
      </w:r>
    </w:p>
    <w:p w:rsidR="00F936A8" w:rsidRPr="00CB2C86" w:rsidRDefault="00F936A8" w:rsidP="00F440B1">
      <w:pPr>
        <w:pStyle w:val="SingleTxtGR"/>
        <w:tabs>
          <w:tab w:val="clear" w:pos="1701"/>
          <w:tab w:val="clear" w:pos="2268"/>
          <w:tab w:val="left" w:pos="1980"/>
          <w:tab w:val="left" w:pos="2520"/>
        </w:tabs>
      </w:pPr>
      <w:r w:rsidRPr="00CB2C86">
        <w:t>6.16</w:t>
      </w:r>
      <w:r w:rsidRPr="00CB2C86">
        <w:tab/>
        <w:t>Положение с мерами по защите работников от необоснованного увольнения остается таким же, как оно было изложено в пункте 6.6 предыдущ</w:t>
      </w:r>
      <w:r w:rsidRPr="00CB2C86">
        <w:t>е</w:t>
      </w:r>
      <w:r w:rsidRPr="00CB2C86">
        <w:t xml:space="preserve">го доклада. </w:t>
      </w:r>
      <w:r w:rsidR="00FE46E6">
        <w:t xml:space="preserve">Тем не менее </w:t>
      </w:r>
      <w:r w:rsidRPr="00CB2C86">
        <w:t>чтобы усилить защиту работников от необоснованн</w:t>
      </w:r>
      <w:r w:rsidRPr="00CB2C86">
        <w:t>о</w:t>
      </w:r>
      <w:r w:rsidRPr="00CB2C86">
        <w:t>го и незаконного увольнения, правительство САРГ в консультации с заинтер</w:t>
      </w:r>
      <w:r w:rsidRPr="00CB2C86">
        <w:t>е</w:t>
      </w:r>
      <w:r w:rsidRPr="00CB2C86">
        <w:t>сованными сторонами разрабатывает проект поправки в законопроект о приказе в отношении восстановления на работе, которая отменяет обязательное усл</w:t>
      </w:r>
      <w:r w:rsidRPr="00CB2C86">
        <w:t>о</w:t>
      </w:r>
      <w:r w:rsidRPr="00CB2C86">
        <w:t>вие, заключающееся в том, что при ходатайстве о правовой защите в случаях необоснованного и незаконного увольнения для издания приказа о восстано</w:t>
      </w:r>
      <w:r w:rsidRPr="00CB2C86">
        <w:t>в</w:t>
      </w:r>
      <w:r w:rsidRPr="00CB2C86">
        <w:t>лении на работе требуется согласие работодателя. При этом нам нужно учит</w:t>
      </w:r>
      <w:r w:rsidRPr="00CB2C86">
        <w:t>ы</w:t>
      </w:r>
      <w:r w:rsidRPr="00CB2C86">
        <w:t>вать последствия, которые могут возникнуть в случае принятия отдельного з</w:t>
      </w:r>
      <w:r w:rsidRPr="00CB2C86">
        <w:t>а</w:t>
      </w:r>
      <w:r w:rsidRPr="00CB2C86">
        <w:t>конод</w:t>
      </w:r>
      <w:r w:rsidRPr="00CB2C86">
        <w:t>а</w:t>
      </w:r>
      <w:r w:rsidRPr="00CB2C86">
        <w:t>тельного акта, который, если он будет принят, может затронуть действие положений о восстановлении на работе/возобновлении трудового договора. З</w:t>
      </w:r>
      <w:r w:rsidRPr="00CB2C86">
        <w:t>а</w:t>
      </w:r>
      <w:r w:rsidRPr="00CB2C86">
        <w:t>интересованные стороны высказали пожелание, согласно которому укрепление о</w:t>
      </w:r>
      <w:r w:rsidRPr="00CB2C86">
        <w:t>с</w:t>
      </w:r>
      <w:r w:rsidRPr="00CB2C86">
        <w:t>новных положений поправки в упомянутый выше законопроект в отношении приказа о восстановлении на работе следует производить только после того, как будет окончательно завершена работа над отдельным актом.</w:t>
      </w:r>
    </w:p>
    <w:p w:rsidR="00F936A8" w:rsidRPr="00CB2C86" w:rsidRDefault="00F936A8" w:rsidP="00F440B1">
      <w:pPr>
        <w:pStyle w:val="H1GR"/>
        <w:tabs>
          <w:tab w:val="left" w:pos="1980"/>
          <w:tab w:val="left" w:pos="2520"/>
        </w:tabs>
      </w:pPr>
      <w:r w:rsidRPr="00CB2C86">
        <w:tab/>
      </w:r>
      <w:r w:rsidRPr="00CB2C86">
        <w:tab/>
        <w:t>Статистика занятости</w:t>
      </w:r>
    </w:p>
    <w:p w:rsidR="00F936A8" w:rsidRPr="00CB2C86" w:rsidRDefault="00F936A8" w:rsidP="00F440B1">
      <w:pPr>
        <w:pStyle w:val="SingleTxtGR"/>
        <w:tabs>
          <w:tab w:val="clear" w:pos="1701"/>
          <w:tab w:val="clear" w:pos="2268"/>
          <w:tab w:val="left" w:pos="1980"/>
          <w:tab w:val="left" w:pos="2520"/>
        </w:tabs>
      </w:pPr>
      <w:r w:rsidRPr="00CB2C86">
        <w:t>6.17</w:t>
      </w:r>
      <w:r w:rsidRPr="00CB2C86">
        <w:tab/>
        <w:t>Статистика занятости, безработицы и неполной занятости за 1987, 1992, 1997, 2002 и 2009</w:t>
      </w:r>
      <w:r w:rsidR="00B92291">
        <w:t> год</w:t>
      </w:r>
      <w:r w:rsidRPr="00CB2C86">
        <w:t>ы приводится в Приложении 6</w:t>
      </w:r>
      <w:r w:rsidRPr="00CB2C86">
        <w:rPr>
          <w:lang w:val="en-GB"/>
        </w:rPr>
        <w:t>B</w:t>
      </w:r>
      <w:r w:rsidRPr="00CB2C86">
        <w:t>.</w:t>
      </w:r>
    </w:p>
    <w:p w:rsidR="00F936A8" w:rsidRPr="00CB2C86" w:rsidRDefault="00F936A8" w:rsidP="00F440B1">
      <w:pPr>
        <w:pStyle w:val="H1GR"/>
        <w:tabs>
          <w:tab w:val="left" w:pos="1980"/>
          <w:tab w:val="left" w:pos="2520"/>
        </w:tabs>
      </w:pPr>
      <w:r w:rsidRPr="00CB2C86">
        <w:tab/>
      </w:r>
      <w:r w:rsidRPr="00CB2C86">
        <w:tab/>
        <w:t>Привлечение рабочей силы</w:t>
      </w:r>
    </w:p>
    <w:p w:rsidR="00F936A8" w:rsidRPr="00CB2C86" w:rsidRDefault="00F936A8" w:rsidP="00F440B1">
      <w:pPr>
        <w:pStyle w:val="SingleTxtGR"/>
        <w:tabs>
          <w:tab w:val="clear" w:pos="1701"/>
          <w:tab w:val="clear" w:pos="2268"/>
          <w:tab w:val="left" w:pos="1980"/>
          <w:tab w:val="left" w:pos="2520"/>
        </w:tabs>
      </w:pPr>
      <w:r w:rsidRPr="00CB2C86">
        <w:t>6.18</w:t>
      </w:r>
      <w:r w:rsidRPr="00CB2C86">
        <w:tab/>
        <w:t>Гонконг установил либеральный иммиграционный режим в отнош</w:t>
      </w:r>
      <w:r w:rsidRPr="00CB2C86">
        <w:t>е</w:t>
      </w:r>
      <w:r w:rsidRPr="00CB2C86">
        <w:t>нии приема одаренных людей и специалистов. Одаренные люди и специалисты из материкового Китая или из других стран могут подавать заявления о труд</w:t>
      </w:r>
      <w:r w:rsidRPr="00CB2C86">
        <w:t>о</w:t>
      </w:r>
      <w:r w:rsidRPr="00CB2C86">
        <w:t>устройстве в Гонконге в соответствии с Программой приема одаренных людей и квалифицированных специалистов из материкового Китая или в соответствии с общей политикой в сфере занятости при условии, что им предлагается работа, на которую невозможно найти местных специалистов, и что они будут получать вознаграждение по действующей рыночной ставке. В соответствии с Програ</w:t>
      </w:r>
      <w:r w:rsidRPr="00CB2C86">
        <w:t>м</w:t>
      </w:r>
      <w:r w:rsidRPr="00CB2C86">
        <w:t>мой приема квалифицированных мигрантов, начатой в июне 2006</w:t>
      </w:r>
      <w:r w:rsidR="00B92291">
        <w:t> год</w:t>
      </w:r>
      <w:r w:rsidRPr="00CB2C86">
        <w:t>а, одаре</w:t>
      </w:r>
      <w:r w:rsidRPr="00CB2C86">
        <w:t>н</w:t>
      </w:r>
      <w:r w:rsidRPr="00CB2C86">
        <w:t>ные люди со всего мира могут подавать заявление о разрешении на жительство в Гонконге без предварительного приглашения на работу. Начиная с мая 2008</w:t>
      </w:r>
      <w:r w:rsidR="00B92291">
        <w:t> год</w:t>
      </w:r>
      <w:r w:rsidRPr="00CB2C86">
        <w:t>а выпускники дневных иностранных образовательных учреждений, имеющие дипломы на уровне, эквивалентном местным аккредитованным пр</w:t>
      </w:r>
      <w:r w:rsidRPr="00CB2C86">
        <w:t>о</w:t>
      </w:r>
      <w:r w:rsidRPr="00CB2C86">
        <w:t>граммам или выше, могут оставаться в Гонконге в течение</w:t>
      </w:r>
      <w:r w:rsidR="00B92291">
        <w:t> год</w:t>
      </w:r>
      <w:r w:rsidRPr="00CB2C86">
        <w:t>а и свободно ус</w:t>
      </w:r>
      <w:r w:rsidRPr="00CB2C86">
        <w:t>т</w:t>
      </w:r>
      <w:r w:rsidRPr="00CB2C86">
        <w:t>раиваться на работу. Выпускники, закончившие учебные заведения Гонконга, также могут обращаться с заявлением о возвращении на работу в Гонконг, если их работа осуществляется на уровне, который обычно занимают дипломир</w:t>
      </w:r>
      <w:r w:rsidRPr="00CB2C86">
        <w:t>о</w:t>
      </w:r>
      <w:r w:rsidRPr="00CB2C86">
        <w:t>ванные специалисты, и оплачивается по рыночной ставке.</w:t>
      </w:r>
    </w:p>
    <w:p w:rsidR="00F936A8" w:rsidRPr="00CB2C86" w:rsidRDefault="00F936A8" w:rsidP="00F440B1">
      <w:pPr>
        <w:pStyle w:val="SingleTxtGR"/>
        <w:tabs>
          <w:tab w:val="clear" w:pos="1701"/>
          <w:tab w:val="clear" w:pos="2268"/>
          <w:tab w:val="left" w:pos="1980"/>
          <w:tab w:val="left" w:pos="2520"/>
        </w:tabs>
      </w:pPr>
      <w:r w:rsidRPr="00CB2C86">
        <w:t>6.19</w:t>
      </w:r>
      <w:r w:rsidRPr="00CB2C86">
        <w:tab/>
        <w:t>Что касается Программы дополнительной рабочей силы, то сохраняе</w:t>
      </w:r>
      <w:r w:rsidRPr="00CB2C86">
        <w:t>т</w:t>
      </w:r>
      <w:r w:rsidRPr="00CB2C86">
        <w:t xml:space="preserve">ся положение, о котором упоминалось в пункте 6.18 </w:t>
      </w:r>
      <w:r w:rsidRPr="00CB2C86">
        <w:rPr>
          <w:lang w:val="en-GB"/>
        </w:rPr>
        <w:t>b</w:t>
      </w:r>
      <w:r w:rsidRPr="00CB2C86">
        <w:t>) предыдущего доклада. По</w:t>
      </w:r>
      <w:r>
        <w:rPr>
          <w:lang w:val="en-US"/>
        </w:rPr>
        <w:t> </w:t>
      </w:r>
      <w:r w:rsidRPr="00CB2C86">
        <w:t>состоянию на 31 декабря 2009</w:t>
      </w:r>
      <w:r w:rsidR="00B92291">
        <w:t> год</w:t>
      </w:r>
      <w:r w:rsidRPr="00CB2C86">
        <w:t>а в соответствии с этой программой в Го</w:t>
      </w:r>
      <w:r w:rsidRPr="00CB2C86">
        <w:t>н</w:t>
      </w:r>
      <w:r w:rsidRPr="00CB2C86">
        <w:t>конге работало около 1</w:t>
      </w:r>
      <w:r>
        <w:t> </w:t>
      </w:r>
      <w:r w:rsidRPr="00CB2C86">
        <w:t>500 привлеченных работников.</w:t>
      </w:r>
    </w:p>
    <w:p w:rsidR="00F936A8" w:rsidRPr="00CB2C86" w:rsidRDefault="00F936A8" w:rsidP="00F440B1">
      <w:pPr>
        <w:pStyle w:val="H1GR"/>
        <w:tabs>
          <w:tab w:val="left" w:pos="1980"/>
          <w:tab w:val="left" w:pos="2520"/>
        </w:tabs>
      </w:pPr>
      <w:r w:rsidRPr="00CB2C86">
        <w:tab/>
      </w:r>
      <w:r w:rsidRPr="00CB2C86">
        <w:tab/>
        <w:t>Право на труд: озабоченность в связи с дискриминацией</w:t>
      </w:r>
    </w:p>
    <w:p w:rsidR="00F936A8" w:rsidRPr="00CB2C86" w:rsidRDefault="00F936A8" w:rsidP="00F440B1">
      <w:pPr>
        <w:pStyle w:val="SingleTxtGR"/>
        <w:tabs>
          <w:tab w:val="clear" w:pos="1701"/>
          <w:tab w:val="clear" w:pos="2268"/>
          <w:tab w:val="left" w:pos="1980"/>
          <w:tab w:val="left" w:pos="2520"/>
        </w:tabs>
      </w:pPr>
      <w:r w:rsidRPr="00CB2C86">
        <w:t>6.20</w:t>
      </w:r>
      <w:r w:rsidRPr="00CB2C86">
        <w:tab/>
        <w:t>Положение с дискриминацией по признаку расы, сексуальной орие</w:t>
      </w:r>
      <w:r w:rsidRPr="00CB2C86">
        <w:t>н</w:t>
      </w:r>
      <w:r w:rsidRPr="00CB2C86">
        <w:t xml:space="preserve">тации и по возрасту рассматривается </w:t>
      </w:r>
      <w:r w:rsidR="00915034">
        <w:t xml:space="preserve">в </w:t>
      </w:r>
      <w:r w:rsidRPr="00CB2C86">
        <w:t>пунктах 2.1</w:t>
      </w:r>
      <w:r>
        <w:t>−</w:t>
      </w:r>
      <w:r w:rsidRPr="00CB2C86">
        <w:t>2.22 настоящего Доклада в связи со статьей 2.</w:t>
      </w:r>
    </w:p>
    <w:p w:rsidR="00F936A8" w:rsidRPr="00CB2C86" w:rsidRDefault="00F936A8" w:rsidP="00F440B1">
      <w:pPr>
        <w:pStyle w:val="SingleTxtGR"/>
        <w:tabs>
          <w:tab w:val="clear" w:pos="1701"/>
          <w:tab w:val="clear" w:pos="2268"/>
          <w:tab w:val="left" w:pos="1980"/>
          <w:tab w:val="left" w:pos="2520"/>
        </w:tabs>
      </w:pPr>
      <w:r w:rsidRPr="00CB2C86">
        <w:t>6.21</w:t>
      </w:r>
      <w:r w:rsidRPr="00CB2C86">
        <w:tab/>
        <w:t>В отношении утверждений о дискриминации в отношении женщин в возрасте 30 лет и старше в сфере занятости</w:t>
      </w:r>
      <w:r w:rsidR="00915034">
        <w:t xml:space="preserve"> </w:t>
      </w:r>
      <w:r w:rsidRPr="00CB2C86">
        <w:t>в последнее время сохраняется п</w:t>
      </w:r>
      <w:r w:rsidRPr="00CB2C86">
        <w:t>о</w:t>
      </w:r>
      <w:r w:rsidRPr="00CB2C86">
        <w:t>ложение, которое разъясняется в пункте 6.21 предыдущего доклада, т.е. такие утверждения не имеют под собой никаких оснований. Действительно, крупн</w:t>
      </w:r>
      <w:r w:rsidRPr="00CB2C86">
        <w:t>о</w:t>
      </w:r>
      <w:r w:rsidRPr="00CB2C86">
        <w:t>масштабный опрос домохозяйств, проведенный с декабря 2008</w:t>
      </w:r>
      <w:r w:rsidR="00B92291">
        <w:t> год</w:t>
      </w:r>
      <w:r w:rsidRPr="00CB2C86">
        <w:t>а по март 2009</w:t>
      </w:r>
      <w:r w:rsidR="00B92291">
        <w:t> год</w:t>
      </w:r>
      <w:r w:rsidRPr="00CB2C86">
        <w:t>а, не выявил никаких проявлений дискриминации по возрасту в отн</w:t>
      </w:r>
      <w:r w:rsidRPr="00CB2C86">
        <w:t>о</w:t>
      </w:r>
      <w:r w:rsidRPr="00CB2C86">
        <w:t xml:space="preserve">шении женщин в сфере занятости. </w:t>
      </w:r>
    </w:p>
    <w:p w:rsidR="00F936A8" w:rsidRPr="00CB2C86" w:rsidRDefault="00F936A8" w:rsidP="00F440B1">
      <w:pPr>
        <w:pStyle w:val="SingleTxtGR"/>
        <w:tabs>
          <w:tab w:val="clear" w:pos="1701"/>
          <w:tab w:val="clear" w:pos="2268"/>
          <w:tab w:val="left" w:pos="1980"/>
          <w:tab w:val="left" w:pos="2520"/>
        </w:tabs>
      </w:pPr>
      <w:r w:rsidRPr="00CB2C86">
        <w:t>6.22</w:t>
      </w:r>
      <w:r w:rsidRPr="00CB2C86">
        <w:tab/>
        <w:t>В 2009</w:t>
      </w:r>
      <w:r w:rsidR="00B92291">
        <w:t> год</w:t>
      </w:r>
      <w:r w:rsidRPr="00CB2C86">
        <w:t>у из 181</w:t>
      </w:r>
      <w:r>
        <w:t> </w:t>
      </w:r>
      <w:r w:rsidRPr="00CB2C86">
        <w:t>468 зарегистрировавшихся лиц, ищущих работу, которые обратились в Департамент труда за услугами по содействию трудоус</w:t>
      </w:r>
      <w:r w:rsidRPr="00CB2C86">
        <w:t>т</w:t>
      </w:r>
      <w:r w:rsidRPr="00CB2C86">
        <w:t>ройству, 96</w:t>
      </w:r>
      <w:r>
        <w:t> </w:t>
      </w:r>
      <w:r w:rsidRPr="00CB2C86">
        <w:t>202 (53</w:t>
      </w:r>
      <w:r>
        <w:t>,</w:t>
      </w:r>
      <w:r w:rsidRPr="00CB2C86">
        <w:t>0%) были женщинами. Среди этих ищущих работу женщин 46</w:t>
      </w:r>
      <w:r>
        <w:t>,</w:t>
      </w:r>
      <w:r w:rsidRPr="00CB2C86">
        <w:t>6% были в возрасте 30 лет или старше. В тот же самый период благодаря у</w:t>
      </w:r>
      <w:r w:rsidRPr="00CB2C86">
        <w:t>с</w:t>
      </w:r>
      <w:r w:rsidRPr="00CB2C86">
        <w:t>лугам Департамента труда по содействию трудоустройству было трудоус</w:t>
      </w:r>
      <w:r w:rsidRPr="00CB2C86">
        <w:t>т</w:t>
      </w:r>
      <w:r w:rsidRPr="00CB2C86">
        <w:t>роено 19</w:t>
      </w:r>
      <w:r>
        <w:t> </w:t>
      </w:r>
      <w:r w:rsidRPr="00CB2C86">
        <w:t>385 человек. Из них 10</w:t>
      </w:r>
      <w:r>
        <w:t> </w:t>
      </w:r>
      <w:r w:rsidRPr="00CB2C86">
        <w:t>753 были ищущими работу женщинами, из которых 6</w:t>
      </w:r>
      <w:r>
        <w:t> </w:t>
      </w:r>
      <w:r w:rsidRPr="00CB2C86">
        <w:t>659 были в возрасте 30 лет или старше. Коэффициенты трудоустройства у ищущих работу женщин в целом и у женщин в возрасте 30 лет и старше были соответственно 11</w:t>
      </w:r>
      <w:r>
        <w:t>,</w:t>
      </w:r>
      <w:r w:rsidRPr="00CB2C86">
        <w:t>2% и 14</w:t>
      </w:r>
      <w:r>
        <w:t>,</w:t>
      </w:r>
      <w:r w:rsidRPr="00CB2C86">
        <w:t>9%. Соответствующие коэффициенты аналогичных групп ищущих работу мужчин соответственно составляли 10</w:t>
      </w:r>
      <w:r>
        <w:t>,</w:t>
      </w:r>
      <w:r w:rsidRPr="00CB2C86">
        <w:t>1% и 11</w:t>
      </w:r>
      <w:r>
        <w:t>,</w:t>
      </w:r>
      <w:r w:rsidRPr="00CB2C86">
        <w:t>3%.</w:t>
      </w:r>
    </w:p>
    <w:p w:rsidR="00F936A8" w:rsidRPr="00CB2C86" w:rsidRDefault="00F936A8" w:rsidP="00122DDF">
      <w:pPr>
        <w:pStyle w:val="HChGR"/>
        <w:tabs>
          <w:tab w:val="left" w:pos="1980"/>
        </w:tabs>
      </w:pPr>
      <w:r w:rsidRPr="00CB2C86">
        <w:tab/>
      </w:r>
      <w:r w:rsidRPr="00CB2C86">
        <w:tab/>
        <w:t>Статья 7</w:t>
      </w:r>
      <w:r>
        <w:br/>
      </w:r>
      <w:r w:rsidRPr="00CB2C86">
        <w:t>Право на справедливые и благоприятные условия труда</w:t>
      </w:r>
    </w:p>
    <w:p w:rsidR="00F936A8" w:rsidRPr="00CB2C86" w:rsidRDefault="00F936A8" w:rsidP="00122DDF">
      <w:pPr>
        <w:pStyle w:val="H1GR"/>
        <w:tabs>
          <w:tab w:val="left" w:pos="1980"/>
        </w:tabs>
      </w:pPr>
      <w:r w:rsidRPr="00CB2C86">
        <w:tab/>
      </w:r>
      <w:r w:rsidRPr="00CB2C86">
        <w:tab/>
        <w:t>Минимальный размер оплаты труда, установленный законом</w:t>
      </w:r>
    </w:p>
    <w:p w:rsidR="00F936A8" w:rsidRPr="00CB2C86" w:rsidRDefault="00F936A8" w:rsidP="0045377F">
      <w:pPr>
        <w:pStyle w:val="SingleTxtGR"/>
        <w:tabs>
          <w:tab w:val="clear" w:pos="1701"/>
          <w:tab w:val="left" w:pos="1980"/>
        </w:tabs>
      </w:pPr>
      <w:r w:rsidRPr="00CB2C86">
        <w:t>7.1</w:t>
      </w:r>
      <w:r w:rsidRPr="00CB2C86">
        <w:tab/>
        <w:t>В октябре 2006</w:t>
      </w:r>
      <w:r w:rsidR="00B92291">
        <w:t> год</w:t>
      </w:r>
      <w:r w:rsidRPr="00CB2C86">
        <w:t>а правительство в сотрудничестве с группами раб</w:t>
      </w:r>
      <w:r w:rsidRPr="00CB2C86">
        <w:t>о</w:t>
      </w:r>
      <w:r w:rsidRPr="00CB2C86">
        <w:t xml:space="preserve">тодателей и группами трудящихся приступило к осуществлению двухлетней программы Движение за охрану оплаты труда уборщиков и сотрудников охраны (ДООТ), чтобы с помощью добровольных и </w:t>
      </w:r>
      <w:proofErr w:type="spellStart"/>
      <w:r w:rsidRPr="00CB2C86">
        <w:t>незаконодательных</w:t>
      </w:r>
      <w:proofErr w:type="spellEnd"/>
      <w:r w:rsidRPr="00CB2C86">
        <w:t xml:space="preserve"> мер гарантир</w:t>
      </w:r>
      <w:r w:rsidRPr="00CB2C86">
        <w:t>о</w:t>
      </w:r>
      <w:r w:rsidRPr="00CB2C86">
        <w:t>вать охрану оплаты труда работникам этих двух секторов. Хотя проведенный в октябре 2008</w:t>
      </w:r>
      <w:r w:rsidR="00B92291">
        <w:t> год</w:t>
      </w:r>
      <w:r w:rsidRPr="00CB2C86">
        <w:t>а общий обзор показал, что ДООТ вызвало изменение соотве</w:t>
      </w:r>
      <w:r w:rsidRPr="00CB2C86">
        <w:t>т</w:t>
      </w:r>
      <w:r w:rsidRPr="00CB2C86">
        <w:t>ствующих социальных установок, поскольку общество получила новое пре</w:t>
      </w:r>
      <w:r w:rsidRPr="00CB2C86">
        <w:t>д</w:t>
      </w:r>
      <w:r w:rsidRPr="00CB2C86">
        <w:t>ставление об охране оплаты труда и более глубокое понимание корпоративной социальной ответственности, укрепление охраны оплаты труда на основе до</w:t>
      </w:r>
      <w:r w:rsidRPr="00CB2C86">
        <w:t>б</w:t>
      </w:r>
      <w:r w:rsidRPr="00CB2C86">
        <w:t>ровольного участия не обошлось без трудностей. Учитывая эти трудности, в о</w:t>
      </w:r>
      <w:r w:rsidRPr="00CB2C86">
        <w:t>к</w:t>
      </w:r>
      <w:r w:rsidRPr="00CB2C86">
        <w:t>тябре 2008</w:t>
      </w:r>
      <w:r w:rsidR="00B92291">
        <w:t> год</w:t>
      </w:r>
      <w:r w:rsidRPr="00CB2C86">
        <w:t>а правительство объявило о своем решении ввести в законод</w:t>
      </w:r>
      <w:r w:rsidRPr="00CB2C86">
        <w:t>а</w:t>
      </w:r>
      <w:r w:rsidRPr="00CB2C86">
        <w:t>тельном порядке минимальный размер оплаты труда (МРОТЗ). Поскольку не только уборщики и сотрудники охраны принадлежали к категории низкоопл</w:t>
      </w:r>
      <w:r w:rsidRPr="00CB2C86">
        <w:t>а</w:t>
      </w:r>
      <w:r w:rsidRPr="00CB2C86">
        <w:t>чиваемых профессий, причем среди различных категорий низкооплачиваемых работников наблюдается внутренняя мобильность, МРОТЗ стал применяться ко всем таким категориям.</w:t>
      </w:r>
    </w:p>
    <w:p w:rsidR="00F936A8" w:rsidRPr="00CB2C86" w:rsidRDefault="00F936A8" w:rsidP="0045377F">
      <w:pPr>
        <w:pStyle w:val="SingleTxtGR"/>
        <w:tabs>
          <w:tab w:val="clear" w:pos="1701"/>
          <w:tab w:val="left" w:pos="1980"/>
        </w:tabs>
      </w:pPr>
      <w:r w:rsidRPr="00CB2C86">
        <w:t>7.2</w:t>
      </w:r>
      <w:r w:rsidRPr="00CB2C86">
        <w:tab/>
        <w:t>В июле 2009</w:t>
      </w:r>
      <w:r w:rsidR="00B92291">
        <w:t> год</w:t>
      </w:r>
      <w:r w:rsidRPr="00CB2C86">
        <w:t>а правительство внесло на рассмотрение ЗС закон</w:t>
      </w:r>
      <w:r w:rsidRPr="00CB2C86">
        <w:t>о</w:t>
      </w:r>
      <w:r w:rsidRPr="00CB2C86">
        <w:t>проект о минимальном размере оплаты труда. В ходе подготовки этого закон</w:t>
      </w:r>
      <w:r w:rsidRPr="00CB2C86">
        <w:t>о</w:t>
      </w:r>
      <w:r w:rsidRPr="00CB2C86">
        <w:t>проекта мы провели энергичные и широкие консультации и активно взаимоде</w:t>
      </w:r>
      <w:r w:rsidRPr="00CB2C86">
        <w:t>й</w:t>
      </w:r>
      <w:r w:rsidRPr="00CB2C86">
        <w:t>ствовали с различными заинтересованными сторонами. Мы понимаем, что ги</w:t>
      </w:r>
      <w:r w:rsidRPr="00CB2C86">
        <w:t>б</w:t>
      </w:r>
      <w:r w:rsidRPr="00CB2C86">
        <w:t>кость соотношения заработной платы и цен имеет первостепенное значение для экономической конкурентоспособности Гонконга и устойчивости к внешним потрясениям, если учитывать  ориентацию нашей экономики на внешние рынки и привязанный обменный курс нашей валюты. Тем не менее сохранение уязв</w:t>
      </w:r>
      <w:r w:rsidRPr="00CB2C86">
        <w:t>и</w:t>
      </w:r>
      <w:r w:rsidRPr="00CB2C86">
        <w:t>мой и укрепляющейся социальной гармонии в равной степени является важной социально-политической задачей. Поэтому законопроект о минимальном ра</w:t>
      </w:r>
      <w:r w:rsidRPr="00CB2C86">
        <w:t>з</w:t>
      </w:r>
      <w:r w:rsidRPr="00CB2C86">
        <w:t>мере оплаты труда призван создать режим МРОТЗ, который устанавливает нижний предел заработной платы, не допускающий чрезмерно низкую оплату труда, но излишне не затрагивающий гибкость нашего рынка труда, экономич</w:t>
      </w:r>
      <w:r w:rsidRPr="00CB2C86">
        <w:t>е</w:t>
      </w:r>
      <w:r w:rsidRPr="00CB2C86">
        <w:t>скую конкурентоспособность и возможности трудоустройства для уязвимых к</w:t>
      </w:r>
      <w:r w:rsidRPr="00CB2C86">
        <w:t>а</w:t>
      </w:r>
      <w:r w:rsidRPr="00CB2C86">
        <w:t>тегорий трудящихся.</w:t>
      </w:r>
    </w:p>
    <w:p w:rsidR="00F936A8" w:rsidRPr="00CB2C86" w:rsidRDefault="00F936A8" w:rsidP="0045377F">
      <w:pPr>
        <w:pStyle w:val="SingleTxtGR"/>
        <w:tabs>
          <w:tab w:val="clear" w:pos="1701"/>
          <w:tab w:val="left" w:pos="1980"/>
        </w:tabs>
      </w:pPr>
      <w:r w:rsidRPr="00CB2C86">
        <w:t>7.3</w:t>
      </w:r>
      <w:r w:rsidRPr="00CB2C86">
        <w:tab/>
        <w:t>Мы собираемся применять научно-доказательный подход к установл</w:t>
      </w:r>
      <w:r w:rsidRPr="00CB2C86">
        <w:t>е</w:t>
      </w:r>
      <w:r w:rsidRPr="00CB2C86">
        <w:t>нию и пересмотру ставки МРОТЗ. Основываясь на таком подходе, Комиссия по минимальному размеру оплаты труда, выбранная из представителей трудового сектора, предпринимательского и научного сообществ и соответствующих гос</w:t>
      </w:r>
      <w:r w:rsidRPr="00CB2C86">
        <w:t>у</w:t>
      </w:r>
      <w:r w:rsidRPr="00CB2C86">
        <w:t>дарственных управлений/департаментов, будет рекомендовать ставку МРОТЗ, опираясь на изучение данных, их анализ и широкие консультации с заинтерес</w:t>
      </w:r>
      <w:r w:rsidRPr="00CB2C86">
        <w:t>о</w:t>
      </w:r>
      <w:r w:rsidRPr="00CB2C86">
        <w:t>ванными сторонами. В расчет будет приниматься весь круг социальных, экон</w:t>
      </w:r>
      <w:r w:rsidRPr="00CB2C86">
        <w:t>о</w:t>
      </w:r>
      <w:r w:rsidRPr="00CB2C86">
        <w:t>мических и трудовых факторов, имеющих отношение к уровню МРОТЗ или з</w:t>
      </w:r>
      <w:r w:rsidRPr="00CB2C86">
        <w:t>а</w:t>
      </w:r>
      <w:r w:rsidRPr="00CB2C86">
        <w:t>трагивающих его. Мы также собираемся провести оценку возможного перем</w:t>
      </w:r>
      <w:r w:rsidRPr="00CB2C86">
        <w:t>е</w:t>
      </w:r>
      <w:r w:rsidRPr="00CB2C86">
        <w:t>щение оказавшихся в невыгодном положении работников, в частности, путем проведения дополнительных сплошных обследований наряду с конкретными обзорами, призванными измерить воздействие МРОТЗ на малые и средние предприятия и низкооплачиваемые сектора, которые</w:t>
      </w:r>
      <w:r w:rsidR="00915034">
        <w:t>,</w:t>
      </w:r>
      <w:r w:rsidRPr="00CB2C86">
        <w:t xml:space="preserve"> вероятнее всего</w:t>
      </w:r>
      <w:r w:rsidR="00915034">
        <w:t>,</w:t>
      </w:r>
      <w:r w:rsidRPr="00CB2C86">
        <w:t xml:space="preserve"> будут з</w:t>
      </w:r>
      <w:r w:rsidRPr="00CB2C86">
        <w:t>а</w:t>
      </w:r>
      <w:r w:rsidRPr="00CB2C86">
        <w:t>тронуты колебанием размера заработной платы. В законопроекте о минимал</w:t>
      </w:r>
      <w:r w:rsidRPr="00CB2C86">
        <w:t>ь</w:t>
      </w:r>
      <w:r w:rsidRPr="00CB2C86">
        <w:t>ном размере оплаты труда предусматривается, что ставка МРОТЗ будет уст</w:t>
      </w:r>
      <w:r w:rsidRPr="00CB2C86">
        <w:t>а</w:t>
      </w:r>
      <w:r w:rsidRPr="00CB2C86">
        <w:t>навливаться на почасовой основе, чтобы содействовать оплате труда работников соразмерно с продолжительностью их рабочего времени. Исключения делаются для учащихся, проходящих учебно-производственную практику в рамках очных местных аккредитованных программ, осуществляемых установленными обр</w:t>
      </w:r>
      <w:r w:rsidRPr="00CB2C86">
        <w:t>а</w:t>
      </w:r>
      <w:r w:rsidRPr="00CB2C86">
        <w:t>зовательными заведениями, и домашних работников, проживающих бесплатно в тех же помещениях, что работодатели (этот вопрос подробнее рассматривается ниже в пунктах 7.22</w:t>
      </w:r>
      <w:r>
        <w:t>−</w:t>
      </w:r>
      <w:r w:rsidRPr="00CB2C86">
        <w:t>7.28). Законопроект применяется к работникам с огран</w:t>
      </w:r>
      <w:r w:rsidRPr="00CB2C86">
        <w:t>и</w:t>
      </w:r>
      <w:r w:rsidRPr="00CB2C86">
        <w:t>ченными возможностями в том же объеме, в каком он применим к их здоровым коллегам, и предусматривает специальный режим для инвалидов с пониженной производительностью труда, чтобы свести к минимуму отрицательное возде</w:t>
      </w:r>
      <w:r w:rsidRPr="00CB2C86">
        <w:t>й</w:t>
      </w:r>
      <w:r w:rsidRPr="00CB2C86">
        <w:t>ствие МРОТЗ на их возможности трудоустройства.</w:t>
      </w:r>
    </w:p>
    <w:p w:rsidR="00F936A8" w:rsidRPr="00CB2C86" w:rsidRDefault="00F936A8" w:rsidP="0045377F">
      <w:pPr>
        <w:pStyle w:val="SingleTxtGR"/>
        <w:tabs>
          <w:tab w:val="clear" w:pos="1701"/>
          <w:tab w:val="left" w:pos="1980"/>
        </w:tabs>
      </w:pPr>
      <w:r w:rsidRPr="00CB2C86">
        <w:t>7.4</w:t>
      </w:r>
      <w:r w:rsidRPr="00CB2C86">
        <w:tab/>
        <w:t>ЗС создал Комитет по законопроектам для рассмотрения этого закон</w:t>
      </w:r>
      <w:r w:rsidRPr="00CB2C86">
        <w:t>о</w:t>
      </w:r>
      <w:r w:rsidRPr="00CB2C86">
        <w:t>проекта, который в 2009</w:t>
      </w:r>
      <w:r w:rsidR="00B92291">
        <w:t> год</w:t>
      </w:r>
      <w:r w:rsidRPr="00CB2C86">
        <w:t>у провел 8 заседаний. Параллельно с анализом з</w:t>
      </w:r>
      <w:r w:rsidRPr="00CB2C86">
        <w:t>а</w:t>
      </w:r>
      <w:r w:rsidRPr="00CB2C86">
        <w:t>конопроекта, предпринятого ЗС, Департамент переписей и статистики провел новый обзор для получения статистических данных, подкрепляющих анализ осуществления МРОТЗ. Результаты обзора были опубликованы 18 марта 2010</w:t>
      </w:r>
      <w:r w:rsidR="00B92291">
        <w:t> год</w:t>
      </w:r>
      <w:r w:rsidRPr="00CB2C86">
        <w:t>а. Эти данные облегчат также тщательное и объективное рассмотрение в</w:t>
      </w:r>
      <w:r w:rsidRPr="00CB2C86">
        <w:t>о</w:t>
      </w:r>
      <w:r w:rsidRPr="00CB2C86">
        <w:t>проса Комиссией по предварительному минимальному размеру оплаты труда, которой поручено в целом рекомендовать правительству предварительную ставку МРОТЗ путем применения научно-доказательного подхода, основанного на исследовании данных и их анализе, а также на широких консультациях с з</w:t>
      </w:r>
      <w:r w:rsidRPr="00CB2C86">
        <w:t>а</w:t>
      </w:r>
      <w:r w:rsidRPr="00CB2C86">
        <w:t>интересованными сторонами. Комиссия получит установленный законом ст</w:t>
      </w:r>
      <w:r w:rsidRPr="00CB2C86">
        <w:t>а</w:t>
      </w:r>
      <w:r w:rsidRPr="00CB2C86">
        <w:t>тус, когда в силу вступит законодательство по МРОТЗ.</w:t>
      </w:r>
    </w:p>
    <w:p w:rsidR="00F936A8" w:rsidRPr="00CB2C86" w:rsidDel="00D541C7" w:rsidRDefault="00F936A8" w:rsidP="0045377F">
      <w:pPr>
        <w:pStyle w:val="SingleTxtGR"/>
        <w:tabs>
          <w:tab w:val="clear" w:pos="1701"/>
          <w:tab w:val="left" w:pos="1980"/>
        </w:tabs>
      </w:pPr>
      <w:r w:rsidRPr="00CB2C86">
        <w:t>7.5</w:t>
      </w:r>
      <w:r w:rsidRPr="00CB2C86">
        <w:tab/>
        <w:t>После утверждения законопроекта ЗС и принятия вспомогательных актов о первоначальной ставке МРОТЗ и по истечении определенного времени, выд</w:t>
      </w:r>
      <w:r w:rsidRPr="00CB2C86">
        <w:t>е</w:t>
      </w:r>
      <w:r w:rsidRPr="00CB2C86">
        <w:t>ленного для того, чтобы население могло подготовиться к осуществлению, МРОТЗ вступит в силу в Гонконге.</w:t>
      </w:r>
    </w:p>
    <w:p w:rsidR="00F936A8" w:rsidRPr="00CB2C86" w:rsidRDefault="00F936A8" w:rsidP="0045377F">
      <w:pPr>
        <w:pStyle w:val="SingleTxtGR"/>
        <w:tabs>
          <w:tab w:val="clear" w:pos="1701"/>
          <w:tab w:val="left" w:pos="1980"/>
        </w:tabs>
      </w:pPr>
      <w:r w:rsidRPr="00CB2C86">
        <w:t>7.6</w:t>
      </w:r>
      <w:r w:rsidRPr="00CB2C86">
        <w:tab/>
        <w:t>Некоторые комментаторы высказали опасение, что Законопроект о минимальном размере оплаты труда противоречит статье 7</w:t>
      </w:r>
      <w:r w:rsidR="00915034">
        <w:t xml:space="preserve"> </w:t>
      </w:r>
      <w:r w:rsidRPr="00CB2C86">
        <w:rPr>
          <w:lang w:val="en-GB"/>
        </w:rPr>
        <w:t>a</w:t>
      </w:r>
      <w:r w:rsidRPr="00CB2C86">
        <w:t>)</w:t>
      </w:r>
      <w:r w:rsidR="00915034">
        <w:t xml:space="preserve"> </w:t>
      </w:r>
      <w:r w:rsidRPr="00CB2C86">
        <w:rPr>
          <w:lang w:val="en-GB"/>
        </w:rPr>
        <w:t>ii</w:t>
      </w:r>
      <w:r w:rsidRPr="00CB2C86">
        <w:t>) Пакта, ведь он предписывает только минимальный размер оплаты труда вместо того, чтобы обеспечивать достойный уровень жизни. Главная цель законопроекта заключ</w:t>
      </w:r>
      <w:r w:rsidRPr="00CB2C86">
        <w:t>а</w:t>
      </w:r>
      <w:r w:rsidRPr="00CB2C86">
        <w:t>ется в том, чтобы установить на почасовой основе ставку минимального разм</w:t>
      </w:r>
      <w:r w:rsidRPr="00CB2C86">
        <w:t>е</w:t>
      </w:r>
      <w:r w:rsidRPr="00CB2C86">
        <w:t>ра заработной платы, не допустив крайне низкую оплату труда. Кроме того, з</w:t>
      </w:r>
      <w:r w:rsidRPr="00CB2C86">
        <w:t>а</w:t>
      </w:r>
      <w:r w:rsidRPr="00CB2C86">
        <w:t>конопроект предусматривает создание Комиссии по минимальному размеру о</w:t>
      </w:r>
      <w:r w:rsidRPr="00CB2C86">
        <w:t>п</w:t>
      </w:r>
      <w:r w:rsidRPr="00CB2C86">
        <w:t>латы труда, которой будет поручено давать рекомендации в отношении точной минимальной почасовой оплаты труда. Как уже отмечалось выше в пункте 7.3, Комиссия примет научно-доказательный подход, основанный на изучении да</w:t>
      </w:r>
      <w:r w:rsidRPr="00CB2C86">
        <w:t>н</w:t>
      </w:r>
      <w:r w:rsidRPr="00CB2C86">
        <w:t>ных и их анализе, а также широких консультациях с заинтересованными стор</w:t>
      </w:r>
      <w:r w:rsidRPr="00CB2C86">
        <w:t>о</w:t>
      </w:r>
      <w:r w:rsidRPr="00CB2C86">
        <w:t>нами. В законопроекте говорится, что при исполнении своих обязанностей К</w:t>
      </w:r>
      <w:r w:rsidRPr="00CB2C86">
        <w:t>о</w:t>
      </w:r>
      <w:r w:rsidRPr="00CB2C86">
        <w:t>миссия должна стремиться к сохранению должного баланса между задачей не допустить крайне низкую оплату труда и минимизировать ликвидацию низк</w:t>
      </w:r>
      <w:r w:rsidRPr="00CB2C86">
        <w:t>о</w:t>
      </w:r>
      <w:r w:rsidRPr="00CB2C86">
        <w:t>оплачиваемых рабочих мест и задачей сохранить экономический рост и конк</w:t>
      </w:r>
      <w:r w:rsidRPr="00CB2C86">
        <w:t>у</w:t>
      </w:r>
      <w:r w:rsidRPr="00CB2C86">
        <w:t>рентоспособность Гонконга. Таким образом, законопроект является крупным шагом, сделанный правительством Гонконга с целью добиться реализации прав, пр</w:t>
      </w:r>
      <w:r w:rsidRPr="00CB2C86">
        <w:t>и</w:t>
      </w:r>
      <w:r w:rsidRPr="00CB2C86">
        <w:t>знанных в статье 7, и он соответствует Пакту.</w:t>
      </w:r>
    </w:p>
    <w:p w:rsidR="00F936A8" w:rsidRPr="00CB2C86" w:rsidRDefault="00F936A8" w:rsidP="0045377F">
      <w:pPr>
        <w:pStyle w:val="H1GR"/>
        <w:tabs>
          <w:tab w:val="left" w:pos="1980"/>
        </w:tabs>
      </w:pPr>
      <w:r w:rsidRPr="00CB2C86">
        <w:tab/>
      </w:r>
      <w:r w:rsidRPr="00CB2C86">
        <w:tab/>
        <w:t>Защита занятости: права и пособия работников</w:t>
      </w:r>
    </w:p>
    <w:p w:rsidR="00F936A8" w:rsidRPr="00CB2C86" w:rsidRDefault="00F936A8" w:rsidP="0045377F">
      <w:pPr>
        <w:pStyle w:val="H23GR"/>
        <w:tabs>
          <w:tab w:val="left" w:pos="1980"/>
        </w:tabs>
      </w:pPr>
      <w:r w:rsidRPr="00CB2C86">
        <w:tab/>
      </w:r>
      <w:r w:rsidRPr="00CB2C86">
        <w:tab/>
        <w:t xml:space="preserve">Защита занятости в соответствии с Указом о защите занятости </w:t>
      </w:r>
      <w:r>
        <w:t>(глава </w:t>
      </w:r>
      <w:r w:rsidRPr="00CB2C86">
        <w:t>57)</w:t>
      </w:r>
    </w:p>
    <w:p w:rsidR="00F936A8" w:rsidRPr="00CB2C86" w:rsidRDefault="00F936A8" w:rsidP="0045377F">
      <w:pPr>
        <w:pStyle w:val="SingleTxtGR"/>
        <w:tabs>
          <w:tab w:val="clear" w:pos="1701"/>
          <w:tab w:val="left" w:pos="1980"/>
        </w:tabs>
      </w:pPr>
      <w:r w:rsidRPr="00CB2C86">
        <w:t>7.7</w:t>
      </w:r>
      <w:r w:rsidRPr="00CB2C86">
        <w:tab/>
        <w:t>Положение с различными установленными законом выплатами в соо</w:t>
      </w:r>
      <w:r w:rsidRPr="00CB2C86">
        <w:t>т</w:t>
      </w:r>
      <w:r w:rsidRPr="00CB2C86">
        <w:t xml:space="preserve">ветствии с Указом о занятости в целом не отличается от положения, описанного в пунктах 84, 87 </w:t>
      </w:r>
      <w:r w:rsidRPr="00CB2C86">
        <w:rPr>
          <w:lang w:val="en-GB"/>
        </w:rPr>
        <w:t>c</w:t>
      </w:r>
      <w:r w:rsidRPr="00CB2C86">
        <w:t xml:space="preserve">) и 87 </w:t>
      </w:r>
      <w:r w:rsidRPr="00CB2C86">
        <w:rPr>
          <w:lang w:val="en-GB"/>
        </w:rPr>
        <w:t>d</w:t>
      </w:r>
      <w:r w:rsidRPr="00CB2C86">
        <w:t>) первоначального доклада.</w:t>
      </w:r>
    </w:p>
    <w:p w:rsidR="00F936A8" w:rsidRPr="00CB2C86" w:rsidRDefault="00F936A8" w:rsidP="0045377F">
      <w:pPr>
        <w:pStyle w:val="SingleTxtGR"/>
        <w:tabs>
          <w:tab w:val="clear" w:pos="1701"/>
          <w:tab w:val="left" w:pos="1980"/>
        </w:tabs>
      </w:pPr>
      <w:r w:rsidRPr="00CB2C86">
        <w:t>7.8</w:t>
      </w:r>
      <w:r w:rsidRPr="00CB2C86">
        <w:tab/>
        <w:t>После внесения поправки в Указ о занятости в июле 2007</w:t>
      </w:r>
      <w:r w:rsidR="00B92291">
        <w:t> год</w:t>
      </w:r>
      <w:r w:rsidRPr="00CB2C86">
        <w:t>а разли</w:t>
      </w:r>
      <w:r w:rsidRPr="00CB2C86">
        <w:t>ч</w:t>
      </w:r>
      <w:r w:rsidRPr="00CB2C86">
        <w:t>ные установленные законом выплаты в соответствии с этим Указом, включая, в частности, компенсацию за работу в нерабочие дни, оплачиваемый ежегодный отпуск, оплачиваемый отпуск по беременности и родам и пособие по болезни, рассчитывались на основе среднего заработка за предшествовавшие 12 месяцев. Благодаря принятию более длительного базового расчетного периода продо</w:t>
      </w:r>
      <w:r w:rsidRPr="00CB2C86">
        <w:t>л</w:t>
      </w:r>
      <w:r w:rsidRPr="00CB2C86">
        <w:t>жительностью 12 месяцев оплата труда работника может стать более стабил</w:t>
      </w:r>
      <w:r w:rsidRPr="00CB2C86">
        <w:t>ь</w:t>
      </w:r>
      <w:r w:rsidRPr="00CB2C86">
        <w:t>ной и предсказуемой. Эта поправка также ясно показала, что все элементы з</w:t>
      </w:r>
      <w:r w:rsidRPr="00CB2C86">
        <w:t>а</w:t>
      </w:r>
      <w:r w:rsidRPr="00CB2C86">
        <w:t>работной платы, определенные в соответствии с этим Указом, будь то назнача</w:t>
      </w:r>
      <w:r w:rsidRPr="00CB2C86">
        <w:t>е</w:t>
      </w:r>
      <w:r w:rsidRPr="00CB2C86">
        <w:t>мые или рассчитываемые, должны включаться в расчеты соответствующих у</w:t>
      </w:r>
      <w:r w:rsidRPr="00CB2C86">
        <w:t>с</w:t>
      </w:r>
      <w:r w:rsidRPr="00CB2C86">
        <w:t>тановленных законом выплат.</w:t>
      </w:r>
    </w:p>
    <w:p w:rsidR="00F936A8" w:rsidRPr="00CB2C86" w:rsidRDefault="00F936A8" w:rsidP="0045377F">
      <w:pPr>
        <w:pStyle w:val="SingleTxtGR"/>
        <w:tabs>
          <w:tab w:val="clear" w:pos="1701"/>
          <w:tab w:val="left" w:pos="1980"/>
        </w:tabs>
      </w:pPr>
      <w:r w:rsidRPr="00CB2C86">
        <w:t>7.9</w:t>
      </w:r>
      <w:r w:rsidRPr="00CB2C86">
        <w:tab/>
        <w:t>Защита, предоставляемая в соответствии с Указом о занятости в части, касающейся лиц, занятых неполный рабочий день, и уволенных работников, не изменилась по сравнению с защитой, описанной в пунктах 113 и 114 первон</w:t>
      </w:r>
      <w:r w:rsidRPr="00CB2C86">
        <w:t>а</w:t>
      </w:r>
      <w:r w:rsidRPr="00CB2C86">
        <w:t xml:space="preserve">чального доклада. </w:t>
      </w:r>
      <w:r w:rsidR="00FE46E6">
        <w:t xml:space="preserve">Тем не менее </w:t>
      </w:r>
      <w:r w:rsidRPr="00CB2C86">
        <w:t>чтобы учесть любое возможное развитие ры</w:t>
      </w:r>
      <w:r w:rsidRPr="00CB2C86">
        <w:t>н</w:t>
      </w:r>
      <w:r w:rsidRPr="00CB2C86">
        <w:t>ка труда в последние</w:t>
      </w:r>
      <w:r w:rsidR="00B92291">
        <w:t> год</w:t>
      </w:r>
      <w:r w:rsidRPr="00CB2C86">
        <w:t xml:space="preserve">ы, правительство проводит пересмотр определения </w:t>
      </w:r>
      <w:r>
        <w:t>"</w:t>
      </w:r>
      <w:r w:rsidRPr="00CB2C86">
        <w:t>п</w:t>
      </w:r>
      <w:r w:rsidRPr="00CB2C86">
        <w:t>о</w:t>
      </w:r>
      <w:r w:rsidRPr="00CB2C86">
        <w:t>стоянного договора</w:t>
      </w:r>
      <w:r>
        <w:t>"</w:t>
      </w:r>
      <w:r w:rsidRPr="004F0ED8">
        <w:rPr>
          <w:sz w:val="18"/>
          <w:szCs w:val="18"/>
          <w:vertAlign w:val="superscript"/>
          <w:lang w:val="en-GB"/>
        </w:rPr>
        <w:footnoteReference w:id="6"/>
      </w:r>
      <w:r w:rsidRPr="00CB2C86">
        <w:t xml:space="preserve"> в соответствии с Указом о занятости, который включ</w:t>
      </w:r>
      <w:r w:rsidRPr="00CB2C86">
        <w:t>а</w:t>
      </w:r>
      <w:r w:rsidRPr="00CB2C86">
        <w:t>ет в себя, в частности, сбор соответствующих данных и информации среди работн</w:t>
      </w:r>
      <w:r w:rsidRPr="00CB2C86">
        <w:t>и</w:t>
      </w:r>
      <w:r w:rsidRPr="00CB2C86">
        <w:t xml:space="preserve">ков и работодателей, а также консультации с заинтересованными сторонами. Поскольку </w:t>
      </w:r>
      <w:r>
        <w:t>"</w:t>
      </w:r>
      <w:r w:rsidRPr="00CB2C86">
        <w:t>постоянный договор</w:t>
      </w:r>
      <w:r>
        <w:t>"</w:t>
      </w:r>
      <w:r w:rsidRPr="00CB2C86">
        <w:t xml:space="preserve"> является основой для определения права р</w:t>
      </w:r>
      <w:r w:rsidRPr="00CB2C86">
        <w:t>а</w:t>
      </w:r>
      <w:r w:rsidRPr="00CB2C86">
        <w:t>ботника на получение определенных установленных законом пособий в соо</w:t>
      </w:r>
      <w:r w:rsidRPr="00CB2C86">
        <w:t>т</w:t>
      </w:r>
      <w:r w:rsidRPr="00CB2C86">
        <w:t>ветствии с Указом о занятости, то любое изменение установленного законом определения может иметь далеко идущие последствия для рынка труда и общ</w:t>
      </w:r>
      <w:r w:rsidRPr="00CB2C86">
        <w:t>е</w:t>
      </w:r>
      <w:r w:rsidRPr="00CB2C86">
        <w:t>ства в целом. Поэтому в ходе дальнейшего пересмотра правительство н</w:t>
      </w:r>
      <w:r w:rsidRPr="00CB2C86">
        <w:t>а</w:t>
      </w:r>
      <w:r w:rsidRPr="00CB2C86">
        <w:t>мерено тщательно проанализировать местные условия, чтобы обеспечить р</w:t>
      </w:r>
      <w:r w:rsidRPr="00CB2C86">
        <w:t>а</w:t>
      </w:r>
      <w:r w:rsidRPr="00CB2C86">
        <w:t>зумный компромисс между интересами работодателей и работников.</w:t>
      </w:r>
    </w:p>
    <w:p w:rsidR="00F936A8" w:rsidRPr="00CB2C86" w:rsidRDefault="00F936A8" w:rsidP="0045377F">
      <w:pPr>
        <w:pStyle w:val="SingleTxtGR"/>
        <w:tabs>
          <w:tab w:val="clear" w:pos="1701"/>
          <w:tab w:val="left" w:pos="1980"/>
        </w:tabs>
      </w:pPr>
      <w:r w:rsidRPr="00CB2C86">
        <w:t>7.10</w:t>
      </w:r>
      <w:r w:rsidRPr="00CB2C86">
        <w:tab/>
        <w:t>Чтобы укрепить охрану оплаты труда работников (в том числе ин</w:t>
      </w:r>
      <w:r w:rsidRPr="00CB2C86">
        <w:t>о</w:t>
      </w:r>
      <w:r w:rsidRPr="00CB2C86">
        <w:t>странных домашних работников (ИДР)), после марта 2006 было существенно ужесточено максимальное наказание за невыплату или занижение заработной платы в соответствии с Указом о занятости со штрафа в размере 200</w:t>
      </w:r>
      <w:r w:rsidR="00ED3AEF">
        <w:t> 000</w:t>
      </w:r>
      <w:r w:rsidR="004F720A">
        <w:t> долл.</w:t>
      </w:r>
      <w:r w:rsidRPr="00CB2C86">
        <w:t xml:space="preserve"> и лишения свободы сроком на 1</w:t>
      </w:r>
      <w:r w:rsidR="00B92291">
        <w:t> год</w:t>
      </w:r>
      <w:r w:rsidRPr="00CB2C86">
        <w:t xml:space="preserve"> до штрафа в размере 350</w:t>
      </w:r>
      <w:r w:rsidR="00ED3AEF">
        <w:t> 000</w:t>
      </w:r>
      <w:r w:rsidR="004F720A">
        <w:t> долл.</w:t>
      </w:r>
      <w:r w:rsidRPr="00CB2C86">
        <w:t xml:space="preserve"> и лишения свободы на срок 3</w:t>
      </w:r>
      <w:r w:rsidR="00B92291">
        <w:t> год</w:t>
      </w:r>
      <w:r w:rsidRPr="00CB2C86">
        <w:t>а.</w:t>
      </w:r>
    </w:p>
    <w:p w:rsidR="00F936A8" w:rsidRPr="00CB2C86" w:rsidRDefault="00F936A8" w:rsidP="0045377F">
      <w:pPr>
        <w:pStyle w:val="SingleTxtGR"/>
        <w:tabs>
          <w:tab w:val="clear" w:pos="1701"/>
          <w:tab w:val="left" w:pos="1980"/>
        </w:tabs>
      </w:pPr>
      <w:r w:rsidRPr="00CB2C86">
        <w:t>7.11</w:t>
      </w:r>
      <w:r w:rsidRPr="00CB2C86">
        <w:tab/>
        <w:t>В сентябре 2002</w:t>
      </w:r>
      <w:r w:rsidR="00B92291">
        <w:t> год</w:t>
      </w:r>
      <w:r w:rsidRPr="00CB2C86">
        <w:t>а Департамент труда создал Отдел по расследов</w:t>
      </w:r>
      <w:r w:rsidRPr="00CB2C86">
        <w:t>а</w:t>
      </w:r>
      <w:r w:rsidRPr="00CB2C86">
        <w:t>нию трудовых исков для проведения оперативных и углубленных расследов</w:t>
      </w:r>
      <w:r w:rsidRPr="00CB2C86">
        <w:t>а</w:t>
      </w:r>
      <w:r w:rsidRPr="00CB2C86">
        <w:t>ний предполагаемых нарушений Указа о занятости, чтобы упростить своевр</w:t>
      </w:r>
      <w:r w:rsidRPr="00CB2C86">
        <w:t>е</w:t>
      </w:r>
      <w:r w:rsidRPr="00CB2C86">
        <w:t>менное судебное преследование. После этого Департамент труда резко актив</w:t>
      </w:r>
      <w:r w:rsidRPr="00CB2C86">
        <w:t>и</w:t>
      </w:r>
      <w:r w:rsidRPr="00CB2C86">
        <w:t>зировал применение принудительных мер в случаях нарушения права на возн</w:t>
      </w:r>
      <w:r w:rsidRPr="00CB2C86">
        <w:t>а</w:t>
      </w:r>
      <w:r w:rsidRPr="00CB2C86">
        <w:t>граждение за труд. В 2009</w:t>
      </w:r>
      <w:r w:rsidR="00B92291">
        <w:t> год</w:t>
      </w:r>
      <w:r w:rsidRPr="00CB2C86">
        <w:t>у количество лиц, осужденных за нарушение пр</w:t>
      </w:r>
      <w:r w:rsidRPr="00CB2C86">
        <w:t>а</w:t>
      </w:r>
      <w:r w:rsidRPr="00CB2C86">
        <w:t>ва на вознаграждения за труд, составило 1</w:t>
      </w:r>
      <w:r>
        <w:t> </w:t>
      </w:r>
      <w:r w:rsidRPr="00CB2C86">
        <w:t>314 человек, т.е. существенно в</w:t>
      </w:r>
      <w:r w:rsidRPr="00CB2C86">
        <w:t>ы</w:t>
      </w:r>
      <w:r w:rsidRPr="00CB2C86">
        <w:t>росло до 845% по сравнению со 139 в 2002</w:t>
      </w:r>
      <w:r w:rsidR="00B92291">
        <w:t> год</w:t>
      </w:r>
      <w:r w:rsidRPr="00CB2C86">
        <w:t>у. Количество осужденных раб</w:t>
      </w:r>
      <w:r w:rsidRPr="00CB2C86">
        <w:t>о</w:t>
      </w:r>
      <w:r w:rsidRPr="00CB2C86">
        <w:t>тодателей ИДР, которые не выплачивали или занижали зарплату, составило 124 человек</w:t>
      </w:r>
      <w:r w:rsidR="00ED3AEF">
        <w:t>а</w:t>
      </w:r>
      <w:r w:rsidRPr="00CB2C86">
        <w:t xml:space="preserve"> по сравнению только с одним осужденным в 2002</w:t>
      </w:r>
      <w:r w:rsidR="00B92291">
        <w:t> год</w:t>
      </w:r>
      <w:r w:rsidRPr="00CB2C86">
        <w:t>у.</w:t>
      </w:r>
    </w:p>
    <w:p w:rsidR="00F936A8" w:rsidRPr="00CB2C86" w:rsidRDefault="00F936A8" w:rsidP="0045377F">
      <w:pPr>
        <w:pStyle w:val="SingleTxtGR"/>
        <w:tabs>
          <w:tab w:val="clear" w:pos="1701"/>
          <w:tab w:val="left" w:pos="1980"/>
        </w:tabs>
      </w:pPr>
      <w:r w:rsidRPr="00CB2C86">
        <w:t>7.12</w:t>
      </w:r>
      <w:r w:rsidRPr="00CB2C86">
        <w:tab/>
        <w:t xml:space="preserve">Некоторые комментаторы трудового сектора высказали озабоченность в связи с проблемой предполагаемой ложной </w:t>
      </w:r>
      <w:proofErr w:type="spellStart"/>
      <w:r w:rsidRPr="00CB2C86">
        <w:t>самозанятости</w:t>
      </w:r>
      <w:proofErr w:type="spellEnd"/>
      <w:r w:rsidRPr="00CB2C86">
        <w:t>. Правительство подчеркивает, что речь идет не о терминологии (т.</w:t>
      </w:r>
      <w:r w:rsidRPr="00CB2C86">
        <w:rPr>
          <w:lang w:val="en-GB"/>
        </w:rPr>
        <w:t>e</w:t>
      </w:r>
      <w:r w:rsidRPr="00CB2C86">
        <w:t>. не о том, что понимают стороны договора найма под своими отношениями), а о сути. Даже если раб</w:t>
      </w:r>
      <w:r w:rsidRPr="00CB2C86">
        <w:t>о</w:t>
      </w:r>
      <w:r w:rsidRPr="00CB2C86">
        <w:t>тодатель нанимает какое</w:t>
      </w:r>
      <w:r>
        <w:t>-</w:t>
      </w:r>
      <w:r w:rsidRPr="00CB2C86">
        <w:t xml:space="preserve">либо лицо в качестве </w:t>
      </w:r>
      <w:proofErr w:type="spellStart"/>
      <w:r w:rsidRPr="00CB2C86">
        <w:t>самозанятого</w:t>
      </w:r>
      <w:proofErr w:type="spellEnd"/>
      <w:r w:rsidRPr="00CB2C86">
        <w:t xml:space="preserve"> работника, и в этом случае он обязан выполнять все обязательства в соответствии с законом, когда отношения между сторонами по существу являются отношениями работод</w:t>
      </w:r>
      <w:r w:rsidRPr="00CB2C86">
        <w:t>а</w:t>
      </w:r>
      <w:r w:rsidRPr="00CB2C86">
        <w:t>тель-работник. Работодатель обязан ретроспективно выплатить работникам, к</w:t>
      </w:r>
      <w:r w:rsidRPr="00CB2C86">
        <w:t>о</w:t>
      </w:r>
      <w:r w:rsidRPr="00CB2C86">
        <w:t xml:space="preserve">торые были квалифицированы как якобы </w:t>
      </w:r>
      <w:proofErr w:type="spellStart"/>
      <w:r w:rsidRPr="00CB2C86">
        <w:t>самозанятые</w:t>
      </w:r>
      <w:proofErr w:type="spellEnd"/>
      <w:r w:rsidRPr="00CB2C86">
        <w:t xml:space="preserve"> все причитающиеся им по закону пособия. Нарушение положений Указа о занятости и Указа о компе</w:t>
      </w:r>
      <w:r w:rsidRPr="00CB2C86">
        <w:t>н</w:t>
      </w:r>
      <w:r w:rsidRPr="00CB2C86">
        <w:t xml:space="preserve">сации работникам </w:t>
      </w:r>
      <w:r>
        <w:t>(глава </w:t>
      </w:r>
      <w:r w:rsidRPr="00CB2C86">
        <w:t>282) может быть также чревато правовыми последс</w:t>
      </w:r>
      <w:r w:rsidRPr="00CB2C86">
        <w:t>т</w:t>
      </w:r>
      <w:r w:rsidRPr="00CB2C86">
        <w:t>виями для работодателя.</w:t>
      </w:r>
    </w:p>
    <w:p w:rsidR="00F936A8" w:rsidRPr="00CB2C86" w:rsidRDefault="00F936A8" w:rsidP="0045377F">
      <w:pPr>
        <w:pStyle w:val="SingleTxtGR"/>
        <w:tabs>
          <w:tab w:val="clear" w:pos="1701"/>
          <w:tab w:val="left" w:pos="1980"/>
        </w:tabs>
      </w:pPr>
      <w:r w:rsidRPr="00CB2C86">
        <w:t>7.13</w:t>
      </w:r>
      <w:r w:rsidRPr="00CB2C86">
        <w:tab/>
        <w:t>Чтобы воспрепятствовать работодателям использовать договоры о с</w:t>
      </w:r>
      <w:r w:rsidRPr="00CB2C86">
        <w:t>а</w:t>
      </w:r>
      <w:r w:rsidRPr="00CB2C86">
        <w:t>мостоятельной предпринимательской деятельности в целях избежать ответс</w:t>
      </w:r>
      <w:r w:rsidRPr="00CB2C86">
        <w:t>т</w:t>
      </w:r>
      <w:r w:rsidRPr="00CB2C86">
        <w:t>венности за нарушение прав работников и невыплату пособий, Департамент труда применяет триединый подход для решения этой проблемы. Он включает в себя укрепление стимулирующих и информационных усилий, направленных на повышение уровня осведомленности работодателей и работников, имея в</w:t>
      </w:r>
      <w:r w:rsidR="00ED3AEF">
        <w:t xml:space="preserve"> </w:t>
      </w:r>
      <w:r w:rsidRPr="00CB2C86">
        <w:t xml:space="preserve">виду повышение осведомленности о возможных правовых последствиях ложной </w:t>
      </w:r>
      <w:proofErr w:type="spellStart"/>
      <w:r w:rsidRPr="00CB2C86">
        <w:t>с</w:t>
      </w:r>
      <w:r w:rsidRPr="00CB2C86">
        <w:t>а</w:t>
      </w:r>
      <w:r w:rsidRPr="00CB2C86">
        <w:t>мозанятости</w:t>
      </w:r>
      <w:proofErr w:type="spellEnd"/>
      <w:r w:rsidRPr="00CB2C86">
        <w:t xml:space="preserve"> прежде всего для работодателей в секторе малых и средних пре</w:t>
      </w:r>
      <w:r w:rsidRPr="00CB2C86">
        <w:t>д</w:t>
      </w:r>
      <w:r w:rsidRPr="00CB2C86">
        <w:t xml:space="preserve">приятий. Мы также будем оказывать более практичные консультационные и примиренческие услуги работникам, вовлеченным в споры о мнимой </w:t>
      </w:r>
      <w:proofErr w:type="spellStart"/>
      <w:r w:rsidRPr="00CB2C86">
        <w:t>самозан</w:t>
      </w:r>
      <w:r w:rsidRPr="00CB2C86">
        <w:t>я</w:t>
      </w:r>
      <w:r w:rsidRPr="00CB2C86">
        <w:t>тости</w:t>
      </w:r>
      <w:proofErr w:type="spellEnd"/>
      <w:r w:rsidRPr="00CB2C86">
        <w:t>, и активизируем применение наших принудительных мер, чтобы гарант</w:t>
      </w:r>
      <w:r w:rsidRPr="00CB2C86">
        <w:t>и</w:t>
      </w:r>
      <w:r w:rsidRPr="00CB2C86">
        <w:t>ровать работникам соблюдение их прав и выплату пособий, предписанных з</w:t>
      </w:r>
      <w:r w:rsidRPr="00CB2C86">
        <w:t>а</w:t>
      </w:r>
      <w:r w:rsidRPr="00CB2C86">
        <w:t>коном.</w:t>
      </w:r>
    </w:p>
    <w:p w:rsidR="00F936A8" w:rsidRPr="00CB2C86" w:rsidRDefault="00F936A8" w:rsidP="0045377F">
      <w:pPr>
        <w:pStyle w:val="SingleTxtGR"/>
        <w:tabs>
          <w:tab w:val="clear" w:pos="1701"/>
          <w:tab w:val="left" w:pos="1980"/>
        </w:tabs>
      </w:pPr>
      <w:r w:rsidRPr="00CB2C86">
        <w:t>7.14</w:t>
      </w:r>
      <w:r w:rsidRPr="00CB2C86">
        <w:tab/>
        <w:t xml:space="preserve">Работники, которые предполагают, что под предлогом </w:t>
      </w:r>
      <w:proofErr w:type="spellStart"/>
      <w:r w:rsidRPr="00CB2C86">
        <w:t>самозанятости</w:t>
      </w:r>
      <w:proofErr w:type="spellEnd"/>
      <w:r w:rsidRPr="00CB2C86">
        <w:t xml:space="preserve"> работодатели лишают их прав и пособий, предписанных законом, могут обр</w:t>
      </w:r>
      <w:r w:rsidRPr="00CB2C86">
        <w:t>а</w:t>
      </w:r>
      <w:r w:rsidRPr="00CB2C86">
        <w:t>щаться с жалобами по горячей линии в Департамент труда или в отраслевые отделения Управления по трудовым отношениям. Если выясняется, что работ</w:t>
      </w:r>
      <w:r w:rsidRPr="00CB2C86">
        <w:t>о</w:t>
      </w:r>
      <w:r w:rsidRPr="00CB2C86">
        <w:t xml:space="preserve">датель под предлогом якобы </w:t>
      </w:r>
      <w:proofErr w:type="spellStart"/>
      <w:r w:rsidRPr="00CB2C86">
        <w:t>самозанятости</w:t>
      </w:r>
      <w:proofErr w:type="spellEnd"/>
      <w:r w:rsidRPr="00CB2C86">
        <w:t xml:space="preserve"> не выплачивает своим работникам заработную плату или предписываемые законом пособия, принимаются жес</w:t>
      </w:r>
      <w:r w:rsidRPr="00CB2C86">
        <w:t>т</w:t>
      </w:r>
      <w:r w:rsidRPr="00CB2C86">
        <w:t>кие последующие меры. Предполагаемые правонарушения расследуются, а н</w:t>
      </w:r>
      <w:r w:rsidRPr="00CB2C86">
        <w:t>а</w:t>
      </w:r>
      <w:r w:rsidRPr="00CB2C86">
        <w:t>рушающие закон работодатели преследуются в судебном порядке при наличии достаточных доказательств.</w:t>
      </w:r>
    </w:p>
    <w:p w:rsidR="00F936A8" w:rsidRPr="00CB2C86" w:rsidRDefault="00F936A8" w:rsidP="0045377F">
      <w:pPr>
        <w:pStyle w:val="SingleTxtGR"/>
        <w:tabs>
          <w:tab w:val="clear" w:pos="1701"/>
          <w:tab w:val="left" w:pos="1980"/>
        </w:tabs>
      </w:pPr>
      <w:r w:rsidRPr="00CB2C86">
        <w:t>7.15</w:t>
      </w:r>
      <w:r w:rsidRPr="00CB2C86">
        <w:tab/>
        <w:t>Положение с выполнением Указа о занятости и оказанием примире</w:t>
      </w:r>
      <w:r w:rsidRPr="00CB2C86">
        <w:t>н</w:t>
      </w:r>
      <w:r w:rsidRPr="00CB2C86">
        <w:t>ческих услуг Департаментом труда остается неизменным по сравнению с пол</w:t>
      </w:r>
      <w:r w:rsidRPr="00CB2C86">
        <w:t>о</w:t>
      </w:r>
      <w:r w:rsidRPr="00CB2C86">
        <w:t>жением, описанным в пункте 95 первоначального доклада.</w:t>
      </w:r>
    </w:p>
    <w:p w:rsidR="00F936A8" w:rsidRPr="00CB2C86" w:rsidRDefault="00F936A8" w:rsidP="0045377F">
      <w:pPr>
        <w:pStyle w:val="SingleTxtGR"/>
        <w:tabs>
          <w:tab w:val="clear" w:pos="1701"/>
          <w:tab w:val="left" w:pos="1980"/>
        </w:tabs>
      </w:pPr>
      <w:r w:rsidRPr="00CB2C86">
        <w:t>7.16</w:t>
      </w:r>
      <w:r w:rsidRPr="00CB2C86">
        <w:tab/>
        <w:t>В соответствии с системой общего права САРГ, а также в связи с ра</w:t>
      </w:r>
      <w:r w:rsidRPr="00CB2C86">
        <w:t>з</w:t>
      </w:r>
      <w:r w:rsidRPr="00CB2C86">
        <w:t>ными нормами доказывания по уголовным и гражданским делам эти судопр</w:t>
      </w:r>
      <w:r w:rsidRPr="00CB2C86">
        <w:t>о</w:t>
      </w:r>
      <w:r w:rsidRPr="00CB2C86">
        <w:t>изводства разделены и носят самостоятельный характер. Работники могут д</w:t>
      </w:r>
      <w:r w:rsidRPr="00CB2C86">
        <w:t>о</w:t>
      </w:r>
      <w:r w:rsidRPr="00CB2C86">
        <w:t>биваться решения по трудовым искам против своих работодателей в Арбитра</w:t>
      </w:r>
      <w:r w:rsidRPr="00CB2C86">
        <w:t>ж</w:t>
      </w:r>
      <w:r w:rsidRPr="00CB2C86">
        <w:t>ном суде по трудовым спорам. В то же время, если подтверждается предпол</w:t>
      </w:r>
      <w:r w:rsidRPr="00CB2C86">
        <w:t>а</w:t>
      </w:r>
      <w:r w:rsidRPr="00CB2C86">
        <w:t>гаемое нарушение Указа о занятости, при наличии достаточных доказательств Департамент труда начинает уголовное преследование независимо от хода ра</w:t>
      </w:r>
      <w:r w:rsidRPr="00CB2C86">
        <w:t>с</w:t>
      </w:r>
      <w:r w:rsidRPr="00CB2C86">
        <w:t>смотрения гражданских исков работников в Арбитражном суде по трудовым спорам, если такие поданы. Департамент труда намерен продолжать поощрять работников выступать в суде в качестве свидетелей обвинения по делам работ</w:t>
      </w:r>
      <w:r w:rsidRPr="00CB2C86">
        <w:t>о</w:t>
      </w:r>
      <w:r w:rsidRPr="00CB2C86">
        <w:t>дателей, подозреваемых в нарушении Указа о занятости.</w:t>
      </w:r>
    </w:p>
    <w:p w:rsidR="00F936A8" w:rsidRPr="00CB2C86" w:rsidRDefault="00F936A8" w:rsidP="00122DDF">
      <w:pPr>
        <w:pStyle w:val="H1GR"/>
        <w:tabs>
          <w:tab w:val="left" w:pos="1980"/>
        </w:tabs>
      </w:pPr>
      <w:r w:rsidRPr="00CB2C86">
        <w:tab/>
      </w:r>
      <w:r w:rsidRPr="00CB2C86">
        <w:tab/>
        <w:t>Приезжие работники и иностранные домашние работники</w:t>
      </w:r>
    </w:p>
    <w:p w:rsidR="00F936A8" w:rsidRPr="00CB2C86" w:rsidRDefault="00F936A8" w:rsidP="0045377F">
      <w:pPr>
        <w:pStyle w:val="SingleTxtGR"/>
        <w:tabs>
          <w:tab w:val="clear" w:pos="1701"/>
          <w:tab w:val="left" w:pos="1980"/>
        </w:tabs>
      </w:pPr>
      <w:r w:rsidRPr="00CB2C86">
        <w:t>7.17</w:t>
      </w:r>
      <w:r w:rsidRPr="00CB2C86">
        <w:tab/>
        <w:t>В своих предыдущих Заключительных замечаниях Комитет выразил озабоченность в связи с правовой защитой и выплатой пособий иностранным домашним работникам. В этом отношении мы подчеркиваем, что правительство уделяет большое внимание защите прав всех трудящихся-мигрантов (включая права приезжих работников и ИДР). В соответствии с трудовым законодател</w:t>
      </w:r>
      <w:r w:rsidRPr="00CB2C86">
        <w:t>ь</w:t>
      </w:r>
      <w:r w:rsidRPr="00CB2C86">
        <w:t>ством ИДР в Гонконге пользуются такими же правами и правовой защитой, как и местные трудящиеся. Оно наделяет равными предусмотренными законом правами и такими же пособиями трудящихся-мигрантов независимо от расы. К</w:t>
      </w:r>
      <w:r>
        <w:t> </w:t>
      </w:r>
      <w:r w:rsidRPr="00CB2C86">
        <w:t>тому же правительство уже продолжительное время предоставляет труд</w:t>
      </w:r>
      <w:r w:rsidRPr="00CB2C86">
        <w:t>я</w:t>
      </w:r>
      <w:r w:rsidRPr="00CB2C86">
        <w:t xml:space="preserve">щимся-мигрантам, особенно ИДР, дополнительные права и пособия, которыми обычно не пользуются местные трудящиеся. </w:t>
      </w:r>
    </w:p>
    <w:p w:rsidR="00F936A8" w:rsidRPr="00CB2C86" w:rsidRDefault="00F936A8" w:rsidP="00122DDF">
      <w:pPr>
        <w:pStyle w:val="H4GR"/>
        <w:tabs>
          <w:tab w:val="left" w:pos="1980"/>
        </w:tabs>
        <w:spacing w:before="240"/>
        <w:ind w:left="1134" w:right="999" w:hanging="1134"/>
      </w:pPr>
      <w:r w:rsidRPr="00CB2C86">
        <w:tab/>
      </w:r>
      <w:r w:rsidRPr="00CB2C86">
        <w:tab/>
        <w:t>Такая же нормативно-правовая защита ИДР, как и для местных трудящихся</w:t>
      </w:r>
    </w:p>
    <w:p w:rsidR="00F936A8" w:rsidRPr="00CB2C86" w:rsidRDefault="00F936A8" w:rsidP="0045377F">
      <w:pPr>
        <w:pStyle w:val="SingleTxtGR"/>
        <w:tabs>
          <w:tab w:val="clear" w:pos="1701"/>
          <w:tab w:val="left" w:pos="1980"/>
        </w:tabs>
      </w:pPr>
      <w:r w:rsidRPr="00CB2C86">
        <w:t>7.18</w:t>
      </w:r>
      <w:r w:rsidRPr="00CB2C86">
        <w:tab/>
        <w:t>Среди прочих нормативных актов Указ о занятости и Указ о компенс</w:t>
      </w:r>
      <w:r w:rsidRPr="00CB2C86">
        <w:t>а</w:t>
      </w:r>
      <w:r w:rsidRPr="00CB2C86">
        <w:t>ции работникам, являющиеся двумя главными столпами трудового законод</w:t>
      </w:r>
      <w:r w:rsidRPr="00CB2C86">
        <w:t>а</w:t>
      </w:r>
      <w:r w:rsidRPr="00CB2C86">
        <w:t xml:space="preserve">тельства Гонконга, применяются в равной степени как к местным, так </w:t>
      </w:r>
      <w:r w:rsidR="009E372B">
        <w:t xml:space="preserve">и </w:t>
      </w:r>
      <w:r w:rsidRPr="00CB2C86">
        <w:t>прие</w:t>
      </w:r>
      <w:r w:rsidRPr="00CB2C86">
        <w:t>з</w:t>
      </w:r>
      <w:r w:rsidRPr="00CB2C86">
        <w:t>жим трудящимся. В этом статусе ИДР в полном объеме пользуются такими же правами и трудовыми благами, как и местные трудящиеся, например, такими как: охрана материнства, выходные дни, государственные праздники,</w:t>
      </w:r>
      <w:r w:rsidR="009E372B">
        <w:t xml:space="preserve"> </w:t>
      </w:r>
      <w:r w:rsidR="00B92291">
        <w:t>год</w:t>
      </w:r>
      <w:r w:rsidRPr="00CB2C86">
        <w:t>овой отпуск, на</w:t>
      </w:r>
      <w:r w:rsidRPr="00CB2C86">
        <w:t>д</w:t>
      </w:r>
      <w:r w:rsidRPr="00CB2C86">
        <w:t xml:space="preserve">бавки за выслугу лет и компенсации трудящимся. </w:t>
      </w:r>
    </w:p>
    <w:p w:rsidR="00F936A8" w:rsidRPr="00CB2C86" w:rsidRDefault="00F936A8" w:rsidP="00122DDF">
      <w:pPr>
        <w:pStyle w:val="H4GR"/>
        <w:tabs>
          <w:tab w:val="left" w:pos="1980"/>
        </w:tabs>
        <w:spacing w:before="240"/>
        <w:ind w:left="1134" w:right="999" w:hanging="1134"/>
      </w:pPr>
      <w:r w:rsidRPr="00CB2C86">
        <w:tab/>
      </w:r>
      <w:r w:rsidRPr="00CB2C86">
        <w:tab/>
        <w:t xml:space="preserve">Дополнительная договорная защита ИДР, которая не предоставляется местным трудящимся </w:t>
      </w:r>
    </w:p>
    <w:p w:rsidR="00F936A8" w:rsidRPr="00CB2C86" w:rsidRDefault="00F936A8" w:rsidP="0045377F">
      <w:pPr>
        <w:pStyle w:val="SingleTxtGR"/>
        <w:tabs>
          <w:tab w:val="clear" w:pos="1701"/>
          <w:tab w:val="left" w:pos="1980"/>
        </w:tabs>
      </w:pPr>
      <w:r w:rsidRPr="00CB2C86">
        <w:t>7.19</w:t>
      </w:r>
      <w:r w:rsidRPr="00CB2C86">
        <w:tab/>
        <w:t>Помимо предусмотренной законом защиты ИДР в Гонконге уже долгое время пользуются защитой Типового договора найма, специально разработа</w:t>
      </w:r>
      <w:r w:rsidRPr="00CB2C86">
        <w:t>н</w:t>
      </w:r>
      <w:r w:rsidRPr="00CB2C86">
        <w:t>ного для них. Это обязательный договор найма ИДР. В Типовом договоре найма прописаны основные условия труда, которые работодатели обязаны обеспечить для ИДР, включая обязательный размер оплаты труда не ниже минимально д</w:t>
      </w:r>
      <w:r w:rsidRPr="00CB2C86">
        <w:t>о</w:t>
      </w:r>
      <w:r w:rsidRPr="00CB2C86">
        <w:t>пустимого размера оплаты труда (МДРОТ) (см. пункты 7.20</w:t>
      </w:r>
      <w:r>
        <w:t>−</w:t>
      </w:r>
      <w:r w:rsidRPr="00CB2C86">
        <w:t>7.21 ниже), бе</w:t>
      </w:r>
      <w:r w:rsidRPr="00CB2C86">
        <w:t>с</w:t>
      </w:r>
      <w:r w:rsidRPr="00CB2C86">
        <w:t>платное и отдельное в разумных пределах жилье, бесплатное питание (или на</w:t>
      </w:r>
      <w:r w:rsidRPr="00CB2C86">
        <w:t>д</w:t>
      </w:r>
      <w:r w:rsidRPr="00CB2C86">
        <w:t>бавка на питание), бесплатное медицинское обслуживание и бесплатный обра</w:t>
      </w:r>
      <w:r w:rsidRPr="00CB2C86">
        <w:t>т</w:t>
      </w:r>
      <w:r w:rsidRPr="00CB2C86">
        <w:t>ный проезд. Обычно такими трудовыми благами местные трудящиеся не пол</w:t>
      </w:r>
      <w:r w:rsidRPr="00CB2C86">
        <w:t>ь</w:t>
      </w:r>
      <w:r w:rsidRPr="00CB2C86">
        <w:t xml:space="preserve">зуются. </w:t>
      </w:r>
    </w:p>
    <w:p w:rsidR="00F936A8" w:rsidRPr="00CB2C86" w:rsidRDefault="00F936A8" w:rsidP="00122DDF">
      <w:pPr>
        <w:pStyle w:val="H4GR"/>
        <w:tabs>
          <w:tab w:val="left" w:pos="1980"/>
        </w:tabs>
        <w:spacing w:before="240"/>
        <w:ind w:left="1134" w:right="999" w:hanging="1134"/>
      </w:pPr>
      <w:r w:rsidRPr="00CB2C86">
        <w:tab/>
      </w:r>
      <w:r w:rsidRPr="00CB2C86">
        <w:tab/>
        <w:t>Минимально допустимый размер оплаты труда ИДР</w:t>
      </w:r>
    </w:p>
    <w:p w:rsidR="00F936A8" w:rsidRPr="00CB2C86" w:rsidRDefault="00F936A8" w:rsidP="0045377F">
      <w:pPr>
        <w:pStyle w:val="SingleTxtGR"/>
        <w:tabs>
          <w:tab w:val="clear" w:pos="1701"/>
          <w:tab w:val="left" w:pos="1980"/>
        </w:tabs>
      </w:pPr>
      <w:r w:rsidRPr="00CB2C86">
        <w:t>7.20</w:t>
      </w:r>
      <w:r w:rsidRPr="00CB2C86">
        <w:tab/>
        <w:t>МДРОТ ИДР (в настоящее время он установлен на уровне 3</w:t>
      </w:r>
      <w:r w:rsidR="00FE46E6">
        <w:t> </w:t>
      </w:r>
      <w:r w:rsidRPr="00CB2C86">
        <w:t>580</w:t>
      </w:r>
      <w:r w:rsidR="004F720A">
        <w:t> долл.</w:t>
      </w:r>
      <w:r w:rsidRPr="00CB2C86">
        <w:t xml:space="preserve"> в месяц и по</w:t>
      </w:r>
      <w:r w:rsidR="00FE46E6">
        <w:t>д</w:t>
      </w:r>
      <w:r w:rsidRPr="00CB2C86">
        <w:t xml:space="preserve">лежит регулярному пересмотру) был установлен в начале </w:t>
      </w:r>
      <w:r w:rsidR="00FE46E6">
        <w:br/>
        <w:t>19</w:t>
      </w:r>
      <w:r w:rsidRPr="00CB2C86">
        <w:t>70-х</w:t>
      </w:r>
      <w:r w:rsidR="00B92291">
        <w:t> год</w:t>
      </w:r>
      <w:r w:rsidRPr="00CB2C86">
        <w:t xml:space="preserve">ов для защиты интересов ИДР. </w:t>
      </w:r>
    </w:p>
    <w:p w:rsidR="00F936A8" w:rsidRPr="00CB2C86" w:rsidRDefault="00F936A8" w:rsidP="0045377F">
      <w:pPr>
        <w:pStyle w:val="SingleTxtGR"/>
        <w:tabs>
          <w:tab w:val="clear" w:pos="1701"/>
          <w:tab w:val="left" w:pos="1980"/>
        </w:tabs>
      </w:pPr>
      <w:r w:rsidRPr="00CB2C86">
        <w:t>7.21</w:t>
      </w:r>
      <w:r w:rsidRPr="00CB2C86">
        <w:tab/>
        <w:t>После введения МДРОТ он подвергся 24 корректировкам, из которых все кроме двух были сделаны в сторону повышения, а 5 из них были увеличены на 20 и более процентов каждая. При пересмотре МДРОТ правительство САРГ придерживается общепринятого механизма, принимая во внимание сложивши</w:t>
      </w:r>
      <w:r w:rsidRPr="00CB2C86">
        <w:t>е</w:t>
      </w:r>
      <w:r w:rsidRPr="00CB2C86">
        <w:t>ся в Гонконге общие экономические условия и положение в сфере занятости, отраженные в ряде экономических показателей.</w:t>
      </w:r>
    </w:p>
    <w:p w:rsidR="00F936A8" w:rsidRPr="00CB2C86" w:rsidRDefault="00F936A8" w:rsidP="00122DDF">
      <w:pPr>
        <w:pStyle w:val="H4GR"/>
        <w:tabs>
          <w:tab w:val="left" w:pos="1980"/>
        </w:tabs>
        <w:spacing w:before="240"/>
        <w:ind w:left="1134" w:right="999" w:hanging="1134"/>
      </w:pPr>
      <w:r w:rsidRPr="00CB2C86">
        <w:tab/>
      </w:r>
      <w:r w:rsidRPr="00CB2C86">
        <w:tab/>
        <w:t>Минимальный размер оплаты труда, установленный законом</w:t>
      </w:r>
    </w:p>
    <w:p w:rsidR="00F936A8" w:rsidRPr="00CB2C86" w:rsidRDefault="00F936A8" w:rsidP="0045377F">
      <w:pPr>
        <w:pStyle w:val="SingleTxtGR"/>
        <w:tabs>
          <w:tab w:val="clear" w:pos="1701"/>
          <w:tab w:val="left" w:pos="1980"/>
        </w:tabs>
      </w:pPr>
      <w:r w:rsidRPr="00CB2C86">
        <w:t>7.22</w:t>
      </w:r>
      <w:r w:rsidRPr="00CB2C86">
        <w:tab/>
        <w:t>Что касается законопроекта о минимальном размере оплаты труда, к</w:t>
      </w:r>
      <w:r w:rsidRPr="00CB2C86">
        <w:t>о</w:t>
      </w:r>
      <w:r w:rsidRPr="00CB2C86">
        <w:t>торый устанавливает всеобщий МРОТЗ, подробно описанный выше в пун</w:t>
      </w:r>
      <w:r w:rsidRPr="00CB2C86">
        <w:t>к</w:t>
      </w:r>
      <w:r w:rsidRPr="00CB2C86">
        <w:t>тах</w:t>
      </w:r>
      <w:r>
        <w:t> </w:t>
      </w:r>
      <w:r w:rsidRPr="00CB2C86">
        <w:t>7.1</w:t>
      </w:r>
      <w:r>
        <w:t>−</w:t>
      </w:r>
      <w:r w:rsidRPr="00CB2C86">
        <w:t xml:space="preserve">7.5, то правительство, учитывая мнения заинтересованных сторон и все важные обстоятельств, предлагает не распространять МДРОТЗ на живущих у хозяев домашних работников, будь то местные или иностранные работники. </w:t>
      </w:r>
    </w:p>
    <w:p w:rsidR="00F936A8" w:rsidRPr="00CB2C86" w:rsidRDefault="00F936A8" w:rsidP="0045377F">
      <w:pPr>
        <w:pStyle w:val="SingleTxtGR"/>
        <w:tabs>
          <w:tab w:val="clear" w:pos="1701"/>
          <w:tab w:val="left" w:pos="1980"/>
        </w:tabs>
      </w:pPr>
      <w:r w:rsidRPr="00CB2C86">
        <w:t>7.23</w:t>
      </w:r>
      <w:r w:rsidRPr="00CB2C86">
        <w:tab/>
        <w:t>В качестве одного из основных аргументов приводится особый раб</w:t>
      </w:r>
      <w:r w:rsidRPr="00CB2C86">
        <w:t>о</w:t>
      </w:r>
      <w:r w:rsidRPr="00CB2C86">
        <w:t>чий режим проживающих у хозяев домашних работников, т.е. работников пр</w:t>
      </w:r>
      <w:r w:rsidRPr="00CB2C86">
        <w:t>о</w:t>
      </w:r>
      <w:r w:rsidRPr="00CB2C86">
        <w:t>живающих в доме работодателя и работающих и живущих в одном и том же месте, что делает практически невозможным расчет и регистрацию рабочих ч</w:t>
      </w:r>
      <w:r w:rsidRPr="00CB2C86">
        <w:t>а</w:t>
      </w:r>
      <w:r w:rsidRPr="00CB2C86">
        <w:t>сов, т</w:t>
      </w:r>
      <w:r w:rsidRPr="00CB2C86">
        <w:t>о</w:t>
      </w:r>
      <w:r w:rsidRPr="00CB2C86">
        <w:t>гда как МДРОТЗ устанавливается на почасовой основе.</w:t>
      </w:r>
    </w:p>
    <w:p w:rsidR="00F936A8" w:rsidRPr="00CB2C86" w:rsidRDefault="00F936A8" w:rsidP="0045377F">
      <w:pPr>
        <w:pStyle w:val="SingleTxtGR"/>
        <w:tabs>
          <w:tab w:val="clear" w:pos="1701"/>
          <w:tab w:val="left" w:pos="1980"/>
        </w:tabs>
      </w:pPr>
      <w:r w:rsidRPr="00CB2C86">
        <w:t>7.24</w:t>
      </w:r>
      <w:r w:rsidRPr="00CB2C86">
        <w:tab/>
        <w:t>Некоторые комментаторы выразили опасение, что предлагаемое и</w:t>
      </w:r>
      <w:r w:rsidRPr="00CB2C86">
        <w:t>с</w:t>
      </w:r>
      <w:r w:rsidRPr="00CB2C86">
        <w:t>ключение будет противоречить статье 7</w:t>
      </w:r>
      <w:r w:rsidR="00FE46E6">
        <w:t xml:space="preserve"> </w:t>
      </w:r>
      <w:r w:rsidRPr="00CB2C86">
        <w:rPr>
          <w:lang w:val="en-GB"/>
        </w:rPr>
        <w:t>a</w:t>
      </w:r>
      <w:r w:rsidRPr="00CB2C86">
        <w:t>)</w:t>
      </w:r>
      <w:r w:rsidR="00FE46E6">
        <w:t xml:space="preserve"> </w:t>
      </w:r>
      <w:proofErr w:type="spellStart"/>
      <w:r w:rsidRPr="00CB2C86">
        <w:rPr>
          <w:lang w:val="en-GB"/>
        </w:rPr>
        <w:t>i</w:t>
      </w:r>
      <w:proofErr w:type="spellEnd"/>
      <w:r w:rsidRPr="00CB2C86">
        <w:t>) Пакта. Предлагаемое исключение не ослабляет защиту проживающих у хозяев домашних работников по сравн</w:t>
      </w:r>
      <w:r w:rsidRPr="00CB2C86">
        <w:t>е</w:t>
      </w:r>
      <w:r w:rsidRPr="00CB2C86">
        <w:t>нию с защитой работников, проживающих отдельно, в связи с особыми усл</w:t>
      </w:r>
      <w:r w:rsidRPr="00CB2C86">
        <w:t>о</w:t>
      </w:r>
      <w:r w:rsidRPr="00CB2C86">
        <w:t xml:space="preserve">виями труда и благами в </w:t>
      </w:r>
      <w:proofErr w:type="spellStart"/>
      <w:r w:rsidRPr="00CB2C86">
        <w:t>неденежной</w:t>
      </w:r>
      <w:proofErr w:type="spellEnd"/>
      <w:r w:rsidRPr="00CB2C86">
        <w:t xml:space="preserve"> форме в дополнение к заработной плате. Таким образом, проживающие у хозяев домашние работники имеют более в</w:t>
      </w:r>
      <w:r w:rsidRPr="00CB2C86">
        <w:t>ы</w:t>
      </w:r>
      <w:r w:rsidRPr="00CB2C86">
        <w:t>сокий уровень располагаемого дохода по сравнению с работниками, прож</w:t>
      </w:r>
      <w:r w:rsidRPr="00CB2C86">
        <w:t>и</w:t>
      </w:r>
      <w:r w:rsidRPr="00CB2C86">
        <w:t xml:space="preserve">вающими отдельно. Исключение проживающих у хозяев домашних работников отражает оправданное отличие этих работников от других, заключающееся главным образом в разных условиях труда и благах в </w:t>
      </w:r>
      <w:proofErr w:type="spellStart"/>
      <w:r w:rsidRPr="00CB2C86">
        <w:t>неденежной</w:t>
      </w:r>
      <w:proofErr w:type="spellEnd"/>
      <w:r w:rsidRPr="00CB2C86">
        <w:t xml:space="preserve"> форме, выт</w:t>
      </w:r>
      <w:r w:rsidRPr="00CB2C86">
        <w:t>е</w:t>
      </w:r>
      <w:r w:rsidRPr="00CB2C86">
        <w:t>кающих из бесплатного проживания в домохозяйстве своих работодателей. К таким пр</w:t>
      </w:r>
      <w:r w:rsidRPr="00CB2C86">
        <w:t>е</w:t>
      </w:r>
      <w:r w:rsidRPr="00CB2C86">
        <w:t xml:space="preserve">доставляемым в </w:t>
      </w:r>
      <w:proofErr w:type="spellStart"/>
      <w:r w:rsidRPr="00CB2C86">
        <w:t>неденежной</w:t>
      </w:r>
      <w:proofErr w:type="spellEnd"/>
      <w:r w:rsidRPr="00CB2C86">
        <w:t xml:space="preserve"> форме благам относятся предоставление работод</w:t>
      </w:r>
      <w:r w:rsidRPr="00CB2C86">
        <w:t>а</w:t>
      </w:r>
      <w:r w:rsidRPr="00CB2C86">
        <w:t>телями бесплатного жилья и обычно бесплатного питания и экономия на тран</w:t>
      </w:r>
      <w:r w:rsidRPr="00CB2C86">
        <w:t>с</w:t>
      </w:r>
      <w:r w:rsidRPr="00CB2C86">
        <w:t xml:space="preserve">портных расходах. </w:t>
      </w:r>
    </w:p>
    <w:p w:rsidR="00F936A8" w:rsidRPr="00CB2C86" w:rsidRDefault="00F936A8" w:rsidP="0045377F">
      <w:pPr>
        <w:pStyle w:val="SingleTxtGR"/>
        <w:tabs>
          <w:tab w:val="clear" w:pos="1701"/>
          <w:tab w:val="left" w:pos="1980"/>
        </w:tabs>
      </w:pPr>
      <w:r w:rsidRPr="00CB2C86">
        <w:t>7.25</w:t>
      </w:r>
      <w:r w:rsidRPr="00CB2C86">
        <w:tab/>
        <w:t>Что касается, в частности, ИДР, то в соответствии с Типовым догов</w:t>
      </w:r>
      <w:r w:rsidRPr="00CB2C86">
        <w:t>о</w:t>
      </w:r>
      <w:r w:rsidRPr="00CB2C86">
        <w:t>ром найма помимо бесплатного жилья и бесплатного питания (или надбавки на питание) работодатели обязаны обеспечить бесплатный проезд от места прои</w:t>
      </w:r>
      <w:r w:rsidRPr="00CB2C86">
        <w:t>с</w:t>
      </w:r>
      <w:r w:rsidRPr="00CB2C86">
        <w:t>хождения и обратно, бесплатное медицинское обслуживание и т.д. К тому же МРОТЗ, хотя и не предписывается законом, тем не менее является обязател</w:t>
      </w:r>
      <w:r w:rsidRPr="00CB2C86">
        <w:t>ь</w:t>
      </w:r>
      <w:r w:rsidRPr="00CB2C86">
        <w:t xml:space="preserve">ным с </w:t>
      </w:r>
      <w:r w:rsidR="00FE46E6">
        <w:t>19</w:t>
      </w:r>
      <w:r w:rsidRPr="00CB2C86">
        <w:t>70-х</w:t>
      </w:r>
      <w:r w:rsidR="00B92291">
        <w:t> год</w:t>
      </w:r>
      <w:r w:rsidRPr="00CB2C86">
        <w:t>ов и доказал свою эффективность в обеспечении охраны зар</w:t>
      </w:r>
      <w:r w:rsidRPr="00CB2C86">
        <w:t>а</w:t>
      </w:r>
      <w:r w:rsidRPr="00CB2C86">
        <w:t>ботной платы ИДР. Нарушение МРОТЗ и МДРОТ (при их принятии) влечет за собой такое же наказание, какое предусматривается за нарушение Указа о зан</w:t>
      </w:r>
      <w:r w:rsidRPr="00CB2C86">
        <w:t>я</w:t>
      </w:r>
      <w:r w:rsidRPr="00CB2C86">
        <w:t>тости, т.е. максимальный штраф в размере 350</w:t>
      </w:r>
      <w:r w:rsidR="00FE46E6">
        <w:t> 000</w:t>
      </w:r>
      <w:r w:rsidR="004F720A">
        <w:t> долл.</w:t>
      </w:r>
      <w:r w:rsidRPr="00CB2C86">
        <w:t xml:space="preserve"> и лишение свободы сроком на 3</w:t>
      </w:r>
      <w:r w:rsidR="00B92291">
        <w:t> год</w:t>
      </w:r>
      <w:r w:rsidRPr="00CB2C86">
        <w:t xml:space="preserve">а. </w:t>
      </w:r>
    </w:p>
    <w:p w:rsidR="00F936A8" w:rsidRPr="00CB2C86" w:rsidRDefault="00F936A8" w:rsidP="0045377F">
      <w:pPr>
        <w:pStyle w:val="SingleTxtGR"/>
        <w:tabs>
          <w:tab w:val="clear" w:pos="1701"/>
          <w:tab w:val="left" w:pos="1980"/>
        </w:tabs>
      </w:pPr>
      <w:r w:rsidRPr="00CB2C86">
        <w:t>7.26</w:t>
      </w:r>
      <w:r w:rsidRPr="00CB2C86">
        <w:tab/>
        <w:t>Некоторые комментаторы выразили беспокойство в связи с предлага</w:t>
      </w:r>
      <w:r w:rsidRPr="00CB2C86">
        <w:t>е</w:t>
      </w:r>
      <w:r w:rsidRPr="00CB2C86">
        <w:t>мым исключением, поскольку оно может привести к дискриминации в отнош</w:t>
      </w:r>
      <w:r w:rsidRPr="00CB2C86">
        <w:t>е</w:t>
      </w:r>
      <w:r w:rsidRPr="00CB2C86">
        <w:t>нии приезжих трудящихся. Подобное исключение основывается на том факте, что домашний работник проживает у хозяев, а не на его/ее статусе трудящегося-мигранта. Не может быть речи о дискриминации в отношении трудящихся-мигрантов. В сущности и другие приезжие трудящиеся охвачены МРОТЗ.</w:t>
      </w:r>
    </w:p>
    <w:p w:rsidR="00F936A8" w:rsidRPr="00CB2C86" w:rsidRDefault="00F936A8" w:rsidP="0045377F">
      <w:pPr>
        <w:pStyle w:val="SingleTxtGR"/>
        <w:tabs>
          <w:tab w:val="clear" w:pos="1701"/>
          <w:tab w:val="left" w:pos="1980"/>
        </w:tabs>
      </w:pPr>
      <w:r w:rsidRPr="00CB2C86">
        <w:t>7.27</w:t>
      </w:r>
      <w:r w:rsidRPr="00CB2C86">
        <w:tab/>
        <w:t xml:space="preserve">Как уже отмечалось выше, трудящиеся-мигранты (в том числе ИДР) и местные работники пользуются одинаковыми трудовыми правами и трудовыми благами в соответствии с местным трудовым законодательством. Для защиты ИДР от насилия применяются также другие законодательные акты, </w:t>
      </w:r>
      <w:r w:rsidR="00254ACE">
        <w:t>в частности такие, как</w:t>
      </w:r>
      <w:r w:rsidRPr="00CB2C86">
        <w:t xml:space="preserve"> Указ о преступлениях </w:t>
      </w:r>
      <w:r>
        <w:t>(глава </w:t>
      </w:r>
      <w:r w:rsidRPr="00CB2C86">
        <w:t>200) и Указ о предупреждении престу</w:t>
      </w:r>
      <w:r w:rsidRPr="00CB2C86">
        <w:t>п</w:t>
      </w:r>
      <w:r w:rsidRPr="00CB2C86">
        <w:t xml:space="preserve">лений против личности </w:t>
      </w:r>
      <w:r>
        <w:t>(глава </w:t>
      </w:r>
      <w:r w:rsidRPr="00CB2C86">
        <w:t>212). Независимо от гражданства ИДР имеют право обращаться за защитой в реализуемую правительством Программу юр</w:t>
      </w:r>
      <w:r w:rsidRPr="00CB2C86">
        <w:t>и</w:t>
      </w:r>
      <w:r w:rsidRPr="00CB2C86">
        <w:t>дической помощи. ИДР, добивающиеся восстановления нарушенных прав в трудовых спорах, могут обращаться с ходатайством о продлении своего прож</w:t>
      </w:r>
      <w:r w:rsidRPr="00CB2C86">
        <w:t>и</w:t>
      </w:r>
      <w:r w:rsidRPr="00CB2C86">
        <w:t>вания.</w:t>
      </w:r>
    </w:p>
    <w:p w:rsidR="00F936A8" w:rsidRPr="00CB2C86" w:rsidRDefault="00F936A8" w:rsidP="0045377F">
      <w:pPr>
        <w:pStyle w:val="SingleTxtGR"/>
        <w:tabs>
          <w:tab w:val="clear" w:pos="1701"/>
          <w:tab w:val="left" w:pos="1980"/>
        </w:tabs>
      </w:pPr>
      <w:r w:rsidRPr="00CB2C86">
        <w:t>7.28</w:t>
      </w:r>
      <w:r w:rsidRPr="00CB2C86">
        <w:tab/>
        <w:t>Чтобы обеспечить людям, у которых есть на то достаточные основ</w:t>
      </w:r>
      <w:r w:rsidRPr="00CB2C86">
        <w:t>а</w:t>
      </w:r>
      <w:r w:rsidRPr="00CB2C86">
        <w:t>ния, необходимые средства для участия в качестве истцов или ответчиков в с</w:t>
      </w:r>
      <w:r w:rsidRPr="00CB2C86">
        <w:t>у</w:t>
      </w:r>
      <w:r w:rsidRPr="00CB2C86">
        <w:t>дебном производстве, имеющим на это право заявителям, прошедшим проверку на нуждаемость и суть дела, оказывается помощь в рамках Программы юрид</w:t>
      </w:r>
      <w:r w:rsidRPr="00CB2C86">
        <w:t>и</w:t>
      </w:r>
      <w:r w:rsidRPr="00CB2C86">
        <w:t>ческой помощи независимо от того, являются ли они жителями Гонконга или нет и независимо от их пола. Имеющий на это право заявитель обеспечивается представительством солиситора, а при необходимости и барристера в гражда</w:t>
      </w:r>
      <w:r w:rsidRPr="00CB2C86">
        <w:t>н</w:t>
      </w:r>
      <w:r w:rsidRPr="00CB2C86">
        <w:t>ском и уголовном производстве в судах Гонконга. Юридическая помощь оказ</w:t>
      </w:r>
      <w:r w:rsidRPr="00CB2C86">
        <w:t>ы</w:t>
      </w:r>
      <w:r w:rsidRPr="00CB2C86">
        <w:t xml:space="preserve">вается, в частности, по делам, рассматриваемым в окружном суде, суде первой юрисдикции, в апелляционном суде и Высшем апелляционном суде. </w:t>
      </w:r>
    </w:p>
    <w:p w:rsidR="00F936A8" w:rsidRPr="00CB2C86" w:rsidRDefault="00F936A8" w:rsidP="00122DDF">
      <w:pPr>
        <w:pStyle w:val="H4GR"/>
        <w:tabs>
          <w:tab w:val="left" w:pos="1980"/>
        </w:tabs>
        <w:spacing w:before="240"/>
        <w:ind w:left="1134" w:right="999" w:hanging="1134"/>
      </w:pPr>
      <w:r w:rsidRPr="00CB2C86">
        <w:tab/>
      </w:r>
      <w:r w:rsidRPr="00CB2C86">
        <w:tab/>
      </w:r>
      <w:proofErr w:type="spellStart"/>
      <w:r w:rsidRPr="00CB2C86">
        <w:t>Правоприменение</w:t>
      </w:r>
      <w:proofErr w:type="spellEnd"/>
      <w:r w:rsidRPr="00CB2C86">
        <w:t xml:space="preserve"> Указа о занятости</w:t>
      </w:r>
    </w:p>
    <w:p w:rsidR="00F936A8" w:rsidRPr="00CB2C86" w:rsidRDefault="00F936A8" w:rsidP="0045377F">
      <w:pPr>
        <w:pStyle w:val="SingleTxtGR"/>
        <w:tabs>
          <w:tab w:val="clear" w:pos="1701"/>
          <w:tab w:val="left" w:pos="1980"/>
        </w:tabs>
      </w:pPr>
      <w:r w:rsidRPr="00CB2C86">
        <w:t>7.29</w:t>
      </w:r>
      <w:r w:rsidRPr="00CB2C86">
        <w:tab/>
        <w:t>Если нарушаются трудовые права трудящихся-мигрантов, то он/она может обратиться за консультацией и помощью в Департамент труда. При этом оказываются бесплатные услуги по примирению.</w:t>
      </w:r>
    </w:p>
    <w:p w:rsidR="00F936A8" w:rsidRPr="00CB2C86" w:rsidRDefault="00F936A8" w:rsidP="0045377F">
      <w:pPr>
        <w:pStyle w:val="SingleTxtGR"/>
        <w:tabs>
          <w:tab w:val="clear" w:pos="1701"/>
          <w:tab w:val="left" w:pos="1980"/>
        </w:tabs>
      </w:pPr>
      <w:r w:rsidRPr="00CB2C86">
        <w:t>7.30</w:t>
      </w:r>
      <w:r w:rsidRPr="00CB2C86">
        <w:tab/>
        <w:t>Кроме примирения и смежных услуг для помощи ИДР в рассмотрении их гражданских исков Департамент труда принимает строгие принудительные меры против правонарушений, в том числе против нарушителей права на возн</w:t>
      </w:r>
      <w:r w:rsidRPr="00CB2C86">
        <w:t>а</w:t>
      </w:r>
      <w:r w:rsidRPr="00CB2C86">
        <w:t>граждение за труд в соответствии с Указом о занятости. Судебное преследов</w:t>
      </w:r>
      <w:r w:rsidRPr="00CB2C86">
        <w:t>а</w:t>
      </w:r>
      <w:r w:rsidRPr="00CB2C86">
        <w:t>ние осуществляется тогда, когда для этого имеется достаточно доказательств и когда работник, чьи права нарушены, желает выступить в качестве свидетеля обвинения.</w:t>
      </w:r>
    </w:p>
    <w:p w:rsidR="00F936A8" w:rsidRPr="00CB2C86" w:rsidRDefault="00F936A8" w:rsidP="0045377F">
      <w:pPr>
        <w:pStyle w:val="SingleTxtGR"/>
        <w:tabs>
          <w:tab w:val="clear" w:pos="1701"/>
          <w:tab w:val="left" w:pos="1980"/>
        </w:tabs>
      </w:pPr>
      <w:r w:rsidRPr="00CB2C86">
        <w:t>7.31</w:t>
      </w:r>
      <w:r w:rsidRPr="00CB2C86">
        <w:tab/>
        <w:t>В 2009</w:t>
      </w:r>
      <w:r w:rsidR="00B92291">
        <w:t> год</w:t>
      </w:r>
      <w:r w:rsidRPr="00CB2C86">
        <w:t>у благодаря более активным принудительным мерам Депа</w:t>
      </w:r>
      <w:r w:rsidRPr="00CB2C86">
        <w:t>р</w:t>
      </w:r>
      <w:r w:rsidRPr="00CB2C86">
        <w:t>тамента труда и более успешному убеждению ИДР участвовать в качестве св</w:t>
      </w:r>
      <w:r w:rsidRPr="00CB2C86">
        <w:t>и</w:t>
      </w:r>
      <w:r w:rsidRPr="00CB2C86">
        <w:t>детелей обвинения Департаменту труда удалось добиться 124 обвинительных приговоров для работодателей ИДР по делам о нарушении права на вознагра</w:t>
      </w:r>
      <w:r w:rsidRPr="00CB2C86">
        <w:t>ж</w:t>
      </w:r>
      <w:r w:rsidRPr="00CB2C86">
        <w:t>дение за труд. Среди этих дел о нарушении права на вознаграждение следует отметить приговор одному работодателю, который был приговорен к лишению свободы на срок 3 месяца.</w:t>
      </w:r>
    </w:p>
    <w:p w:rsidR="00F936A8" w:rsidRPr="00CB2C86" w:rsidRDefault="00F936A8" w:rsidP="00122DDF">
      <w:pPr>
        <w:pStyle w:val="H4GR"/>
        <w:tabs>
          <w:tab w:val="left" w:pos="1980"/>
        </w:tabs>
        <w:spacing w:before="240"/>
        <w:ind w:left="1134" w:right="999" w:hanging="1134"/>
      </w:pPr>
      <w:r w:rsidRPr="00CB2C86">
        <w:tab/>
      </w:r>
      <w:r w:rsidRPr="00CB2C86">
        <w:tab/>
        <w:t>Поощрение трудовых прав</w:t>
      </w:r>
    </w:p>
    <w:p w:rsidR="00F936A8" w:rsidRPr="00CB2C86" w:rsidRDefault="00F936A8" w:rsidP="0045377F">
      <w:pPr>
        <w:pStyle w:val="SingleTxtGR"/>
        <w:tabs>
          <w:tab w:val="clear" w:pos="1701"/>
          <w:tab w:val="left" w:pos="1980"/>
        </w:tabs>
      </w:pPr>
      <w:r w:rsidRPr="00CB2C86">
        <w:t>7.32</w:t>
      </w:r>
      <w:r w:rsidRPr="00CB2C86">
        <w:tab/>
        <w:t>Чтобы сократить количество случаев неумышленных правонарушений по незнанию, Департамент труда проводит ежегодно многочисленные проп</w:t>
      </w:r>
      <w:r w:rsidRPr="00CB2C86">
        <w:t>а</w:t>
      </w:r>
      <w:r w:rsidRPr="00CB2C86">
        <w:t>гандистские мероприятия с целью повысить уровень информированности как работодателей, так ИДР. В 2009</w:t>
      </w:r>
      <w:r w:rsidR="00B92291">
        <w:t> год</w:t>
      </w:r>
      <w:r w:rsidRPr="00CB2C86">
        <w:t>у Департамент труда организовал в общей сложности 12 выставок</w:t>
      </w:r>
      <w:r w:rsidR="00FE46E6">
        <w:t>,</w:t>
      </w:r>
      <w:r w:rsidRPr="00CB2C86">
        <w:t xml:space="preserve"> помимо семинаров и информационных киосков, п</w:t>
      </w:r>
      <w:r w:rsidRPr="00CB2C86">
        <w:t>о</w:t>
      </w:r>
      <w:r w:rsidRPr="00CB2C86">
        <w:t>священных этому вопросу, причем некоторые из них были проведены во время государственных праздников в любимых местах отдыха, чтобы охватить соо</w:t>
      </w:r>
      <w:r w:rsidRPr="00CB2C86">
        <w:t>б</w:t>
      </w:r>
      <w:r w:rsidRPr="00CB2C86">
        <w:t>щество ИДР. Правительство поручило также одной НПО распространять в ра</w:t>
      </w:r>
      <w:r w:rsidRPr="00CB2C86">
        <w:t>м</w:t>
      </w:r>
      <w:r w:rsidRPr="00CB2C86">
        <w:t>ках инициативы Мобильная информационная служба среди ИДР и других пре</w:t>
      </w:r>
      <w:r w:rsidRPr="00CB2C86">
        <w:t>д</w:t>
      </w:r>
      <w:r w:rsidRPr="00CB2C86">
        <w:t>ставителей этнических меньшинств по их прибытию в аэропорт информацио</w:t>
      </w:r>
      <w:r w:rsidRPr="00CB2C86">
        <w:t>н</w:t>
      </w:r>
      <w:r w:rsidRPr="00CB2C86">
        <w:t>ные материалы, которые содержали информацию о трудовых правах.</w:t>
      </w:r>
    </w:p>
    <w:p w:rsidR="00F936A8" w:rsidRPr="00CB2C86" w:rsidRDefault="00F936A8" w:rsidP="0045377F">
      <w:pPr>
        <w:pStyle w:val="SingleTxtGR"/>
        <w:tabs>
          <w:tab w:val="clear" w:pos="1701"/>
          <w:tab w:val="left" w:pos="1980"/>
        </w:tabs>
      </w:pPr>
      <w:r w:rsidRPr="00CB2C86">
        <w:t>7.33</w:t>
      </w:r>
      <w:r w:rsidRPr="00CB2C86">
        <w:tab/>
        <w:t>Что касается утверждений о недобросовестной практике Агентств по найму, то Департамент труда принимает строгие принудительные меры в отн</w:t>
      </w:r>
      <w:r w:rsidRPr="00CB2C86">
        <w:t>о</w:t>
      </w:r>
      <w:r w:rsidRPr="00CB2C86">
        <w:t>шении нарушающих закон Агентств по найму в Гонконге и в соответствии с Указом о занятости возбуждает судебное преследование за взимание с ИДР з</w:t>
      </w:r>
      <w:r w:rsidRPr="00CB2C86">
        <w:t>а</w:t>
      </w:r>
      <w:r w:rsidRPr="00CB2C86">
        <w:t>вышенных комиссионных, отличающихся от предписанных законом (т.</w:t>
      </w:r>
      <w:r w:rsidRPr="00CB2C86">
        <w:rPr>
          <w:lang w:val="en-GB"/>
        </w:rPr>
        <w:t>e</w:t>
      </w:r>
      <w:r w:rsidRPr="00CB2C86">
        <w:t>. не б</w:t>
      </w:r>
      <w:r w:rsidRPr="00CB2C86">
        <w:t>о</w:t>
      </w:r>
      <w:r w:rsidRPr="00CB2C86">
        <w:t>лее 10% от зарплаты за первый месяц успешного трудоустройства), когда есть достаточные доказательства, а потерпевшие готовы дать показания в суде. Ан</w:t>
      </w:r>
      <w:r w:rsidRPr="00CB2C86">
        <w:t>а</w:t>
      </w:r>
      <w:r w:rsidRPr="00CB2C86">
        <w:t xml:space="preserve">логично внутренним законам других стран законы Гонконга не подпадают под сферу </w:t>
      </w:r>
      <w:proofErr w:type="spellStart"/>
      <w:r w:rsidRPr="00CB2C86">
        <w:t>экстратерриториальной</w:t>
      </w:r>
      <w:proofErr w:type="spellEnd"/>
      <w:r w:rsidRPr="00CB2C86">
        <w:t xml:space="preserve"> юрисдикции, и мы не можем регулировать де</w:t>
      </w:r>
      <w:r w:rsidRPr="00CB2C86">
        <w:t>я</w:t>
      </w:r>
      <w:r w:rsidRPr="00CB2C86">
        <w:t>тельность Агентств по найму в странах происхождения ИДР. Тем не менее мы неоднократно сообщали о наших озабоченностях генеральным консульствам соответствующих стран в Гонконге и просили их сообщить о них своим соо</w:t>
      </w:r>
      <w:r w:rsidRPr="00CB2C86">
        <w:t>т</w:t>
      </w:r>
      <w:r w:rsidRPr="00CB2C86">
        <w:t>ветствующим правительствам.</w:t>
      </w:r>
    </w:p>
    <w:p w:rsidR="00F936A8" w:rsidRPr="00CB2C86" w:rsidRDefault="00F936A8" w:rsidP="00122DDF">
      <w:pPr>
        <w:pStyle w:val="H4GR"/>
        <w:tabs>
          <w:tab w:val="left" w:pos="1980"/>
        </w:tabs>
        <w:spacing w:before="240"/>
        <w:ind w:left="1134" w:right="999" w:hanging="1134"/>
      </w:pPr>
      <w:r w:rsidRPr="00CB2C86">
        <w:tab/>
      </w:r>
      <w:r w:rsidRPr="00CB2C86">
        <w:tab/>
      </w:r>
      <w:r>
        <w:t>"</w:t>
      </w:r>
      <w:r w:rsidRPr="00CB2C86">
        <w:t>Правило двух недель</w:t>
      </w:r>
      <w:r>
        <w:t>"</w:t>
      </w:r>
    </w:p>
    <w:p w:rsidR="00F936A8" w:rsidRPr="00CB2C86" w:rsidRDefault="00F936A8" w:rsidP="0045377F">
      <w:pPr>
        <w:pStyle w:val="SingleTxtGR"/>
        <w:tabs>
          <w:tab w:val="clear" w:pos="1701"/>
          <w:tab w:val="left" w:pos="1980"/>
        </w:tabs>
      </w:pPr>
      <w:r w:rsidRPr="00CB2C86">
        <w:t>7.34</w:t>
      </w:r>
      <w:r w:rsidRPr="00CB2C86">
        <w:tab/>
        <w:t xml:space="preserve">Правительство САРГ придает большое значение защите трудящихся, в том числе трудящихся-мигрантов. ИДР, которые подвергаются оскорблениям или эксплуатации со стороны своих работодателей, настоятельно рекомендуется информировать об этом соответствующие власти, в частности </w:t>
      </w:r>
      <w:r w:rsidR="00FE46E6" w:rsidRPr="00CB2C86">
        <w:t>полицию</w:t>
      </w:r>
      <w:r w:rsidRPr="00CB2C86">
        <w:t>, Депа</w:t>
      </w:r>
      <w:r w:rsidRPr="00CB2C86">
        <w:t>р</w:t>
      </w:r>
      <w:r w:rsidRPr="00CB2C86">
        <w:t>тамент труда или Департамент иммиграции.</w:t>
      </w:r>
    </w:p>
    <w:p w:rsidR="00F936A8" w:rsidRPr="00CB2C86" w:rsidRDefault="00F936A8" w:rsidP="0045377F">
      <w:pPr>
        <w:pStyle w:val="SingleTxtGR"/>
        <w:tabs>
          <w:tab w:val="clear" w:pos="1701"/>
          <w:tab w:val="left" w:pos="1980"/>
        </w:tabs>
      </w:pPr>
      <w:r w:rsidRPr="00CB2C86">
        <w:t>7.35</w:t>
      </w:r>
      <w:r w:rsidRPr="00CB2C86">
        <w:tab/>
      </w:r>
      <w:r>
        <w:t>"</w:t>
      </w:r>
      <w:r w:rsidRPr="00CB2C86">
        <w:t>Правило двух недель</w:t>
      </w:r>
      <w:r>
        <w:t>"</w:t>
      </w:r>
      <w:r w:rsidRPr="00CB2C86">
        <w:t xml:space="preserve"> необходимо для поддержания эффективного иммиграционного контроля. Оно помогает предотвратить частую смену работы и препятствует ИДР нелегально устроиться на работу после досрочного пр</w:t>
      </w:r>
      <w:r w:rsidRPr="00CB2C86">
        <w:t>е</w:t>
      </w:r>
      <w:r w:rsidRPr="00CB2C86">
        <w:t>кращения договора. Такая политика не препятствует ИДР вновь устраиваться на работу в Гонконге после возвращения в свои страны происхождения. В соотве</w:t>
      </w:r>
      <w:r w:rsidRPr="00CB2C86">
        <w:t>т</w:t>
      </w:r>
      <w:r w:rsidRPr="00CB2C86">
        <w:t>ствии с Типовым договором найма работодатель полностью оплачивает авиац</w:t>
      </w:r>
      <w:r w:rsidRPr="00CB2C86">
        <w:t>и</w:t>
      </w:r>
      <w:r w:rsidRPr="00CB2C86">
        <w:t>онный билет по обратному проезду. В этих вопросах допускается определенная гибкость. Если работодатель не может продолжать выполнение договора в силу переезда в другую страну, миграции, смерти или финансовых обстоятельств или, если есть достаточные доказательства плохого обращения с ИДР или их эксплуатации, Департамент иммиграции может по своему усмотрению разр</w:t>
      </w:r>
      <w:r w:rsidRPr="00CB2C86">
        <w:t>е</w:t>
      </w:r>
      <w:r w:rsidRPr="00CB2C86">
        <w:t>шить заинтересованным ИДР поменять место работы, не возвращаясь в свои страны происхождения.</w:t>
      </w:r>
    </w:p>
    <w:p w:rsidR="00F936A8" w:rsidRPr="00CB2C86" w:rsidRDefault="00F936A8" w:rsidP="0045377F">
      <w:pPr>
        <w:pStyle w:val="SingleTxtGR"/>
        <w:tabs>
          <w:tab w:val="clear" w:pos="1701"/>
          <w:tab w:val="left" w:pos="1980"/>
        </w:tabs>
      </w:pPr>
      <w:r w:rsidRPr="00CB2C86">
        <w:t>7.36</w:t>
      </w:r>
      <w:r w:rsidRPr="00CB2C86">
        <w:tab/>
        <w:t>Что касается пенсионного обеспечения и защиты ИДР, то наше отн</w:t>
      </w:r>
      <w:r w:rsidRPr="00CB2C86">
        <w:t>о</w:t>
      </w:r>
      <w:r w:rsidRPr="00CB2C86">
        <w:t>шение изложено ниже в пункте 9.32.</w:t>
      </w:r>
    </w:p>
    <w:p w:rsidR="00F936A8" w:rsidRPr="00CB2C86" w:rsidRDefault="00F936A8" w:rsidP="00122DDF">
      <w:pPr>
        <w:pStyle w:val="H1GR"/>
        <w:tabs>
          <w:tab w:val="left" w:pos="1980"/>
        </w:tabs>
      </w:pPr>
      <w:r w:rsidRPr="00CB2C86">
        <w:tab/>
      </w:r>
      <w:r w:rsidRPr="00CB2C86">
        <w:tab/>
        <w:t>Защита занятости женщин</w:t>
      </w:r>
    </w:p>
    <w:p w:rsidR="00F936A8" w:rsidRPr="00CB2C86" w:rsidRDefault="00F936A8" w:rsidP="0045377F">
      <w:pPr>
        <w:pStyle w:val="SingleTxtGR"/>
        <w:tabs>
          <w:tab w:val="clear" w:pos="1701"/>
          <w:tab w:val="left" w:pos="1980"/>
        </w:tabs>
      </w:pPr>
      <w:r w:rsidRPr="00CB2C86">
        <w:t>7.37</w:t>
      </w:r>
      <w:r w:rsidRPr="00CB2C86">
        <w:tab/>
        <w:t>В своих предыдущих Заключительных замечаниях Комитет выразил озабоченность в связи с неравной оплатой труда мужчин и женщин. Он просил САРГ в своем следующем периодическом докладе проинформировать его о р</w:t>
      </w:r>
      <w:r w:rsidRPr="00CB2C86">
        <w:t>е</w:t>
      </w:r>
      <w:r w:rsidRPr="00CB2C86">
        <w:t xml:space="preserve">зультатах исследования КРВ по этому вопросу и о последующих мерах. </w:t>
      </w:r>
    </w:p>
    <w:p w:rsidR="00F936A8" w:rsidRPr="00CB2C86" w:rsidRDefault="00F936A8" w:rsidP="0045377F">
      <w:pPr>
        <w:pStyle w:val="SingleTxtGR"/>
        <w:tabs>
          <w:tab w:val="clear" w:pos="1701"/>
          <w:tab w:val="left" w:pos="1980"/>
        </w:tabs>
      </w:pPr>
      <w:r w:rsidRPr="00CB2C86">
        <w:t>7.38</w:t>
      </w:r>
      <w:r w:rsidRPr="00CB2C86">
        <w:tab/>
        <w:t>Как отмечалось в пункте 81 первоначального доклада, УПДП квал</w:t>
      </w:r>
      <w:r w:rsidRPr="00CB2C86">
        <w:t>и</w:t>
      </w:r>
      <w:r w:rsidRPr="00CB2C86">
        <w:t>фицирует дискриминацию на почве пола, семейного положения и беременности в установленных областях деятельности, в том числе в сфере занятости, как н</w:t>
      </w:r>
      <w:r w:rsidRPr="00CB2C86">
        <w:t>е</w:t>
      </w:r>
      <w:r w:rsidRPr="00CB2C86">
        <w:t>законную. К тому же Указ о предупреждении дискриминации по признаку с</w:t>
      </w:r>
      <w:r w:rsidRPr="00CB2C86">
        <w:t>е</w:t>
      </w:r>
      <w:r w:rsidRPr="00CB2C86">
        <w:t xml:space="preserve">мейного положения (УДСП) </w:t>
      </w:r>
      <w:r>
        <w:t>(глава </w:t>
      </w:r>
      <w:r w:rsidRPr="00CB2C86">
        <w:t>527), который был принят в июне 1997</w:t>
      </w:r>
      <w:r w:rsidR="00B92291">
        <w:t> год</w:t>
      </w:r>
      <w:r w:rsidRPr="00CB2C86">
        <w:t>а и вступил в силу в ноябре того же</w:t>
      </w:r>
      <w:r w:rsidR="00B92291">
        <w:t> год</w:t>
      </w:r>
      <w:r w:rsidRPr="00CB2C86">
        <w:t>а, квалифицирует как незаконную ди</w:t>
      </w:r>
      <w:r w:rsidRPr="00CB2C86">
        <w:t>с</w:t>
      </w:r>
      <w:r w:rsidRPr="00CB2C86">
        <w:t>криминацию по признаку семейного положения в отношении любых лиц, в том числе в отношении женщин, в тех же областях, какие прописаны в УПДП. УДСП обеспечивает защиту лицам, на которых возложена обязанность по уходу за близким членом семьи.</w:t>
      </w:r>
    </w:p>
    <w:p w:rsidR="00F936A8" w:rsidRPr="00CB2C86" w:rsidRDefault="00F936A8" w:rsidP="0045377F">
      <w:pPr>
        <w:pStyle w:val="SingleTxtGR"/>
        <w:tabs>
          <w:tab w:val="clear" w:pos="1701"/>
          <w:tab w:val="left" w:pos="1980"/>
        </w:tabs>
      </w:pPr>
      <w:r w:rsidRPr="00CB2C86">
        <w:t>7.39</w:t>
      </w:r>
      <w:r w:rsidRPr="00CB2C86">
        <w:tab/>
        <w:t>КРВ подготовила два варианта кодекса практики в сфере занятости, чтобы они могли служить практическим руководством для содействия собл</w:t>
      </w:r>
      <w:r w:rsidRPr="00CB2C86">
        <w:t>ю</w:t>
      </w:r>
      <w:r w:rsidRPr="00CB2C86">
        <w:t>дению населением УПДП и УДПС (включая как работодателей, так и труд</w:t>
      </w:r>
      <w:r w:rsidRPr="00CB2C86">
        <w:t>я</w:t>
      </w:r>
      <w:r w:rsidRPr="00CB2C86">
        <w:t>щихся). Н</w:t>
      </w:r>
      <w:r w:rsidRPr="00CB2C86">
        <w:t>е</w:t>
      </w:r>
      <w:r w:rsidRPr="00CB2C86">
        <w:t>соблюдение каким-либо лицом любого положения соответствующего Кодекса автоматически не влечет за собой привлечение его или ее к какой-либо ответственности. Однако, если в соответствии с УПДП какое-либо лицо обв</w:t>
      </w:r>
      <w:r w:rsidRPr="00CB2C86">
        <w:t>и</w:t>
      </w:r>
      <w:r w:rsidRPr="00CB2C86">
        <w:t xml:space="preserve">няется в дискриминации, сексуальных домогательствах или </w:t>
      </w:r>
      <w:proofErr w:type="spellStart"/>
      <w:r w:rsidRPr="00CB2C86">
        <w:t>виктимизации</w:t>
      </w:r>
      <w:proofErr w:type="spellEnd"/>
      <w:r w:rsidRPr="00CB2C86">
        <w:t xml:space="preserve"> или в соо</w:t>
      </w:r>
      <w:r w:rsidRPr="00CB2C86">
        <w:t>т</w:t>
      </w:r>
      <w:r w:rsidRPr="00CB2C86">
        <w:t xml:space="preserve">ветствии с УДПС в дискриминации, Кодекс практики принимается судом как свидетельство. </w:t>
      </w:r>
    </w:p>
    <w:p w:rsidR="00F936A8" w:rsidRPr="00CB2C86" w:rsidRDefault="00F936A8" w:rsidP="0045377F">
      <w:pPr>
        <w:pStyle w:val="SingleTxtGR"/>
        <w:tabs>
          <w:tab w:val="clear" w:pos="1701"/>
          <w:tab w:val="left" w:pos="1980"/>
        </w:tabs>
      </w:pPr>
      <w:r w:rsidRPr="00CB2C86">
        <w:t>7.40</w:t>
      </w:r>
      <w:r w:rsidRPr="00CB2C86">
        <w:tab/>
        <w:t>Как отмечалось в предыдущем докладе, правительство считает, что вопрос о равном вознаграждении за труд равной ценности (РВТРЦ) регулируе</w:t>
      </w:r>
      <w:r w:rsidRPr="00CB2C86">
        <w:t>т</w:t>
      </w:r>
      <w:r w:rsidRPr="00CB2C86">
        <w:t>ся в рамках УПДП. Кроме того, в Кодексе практики в соответствии с УПДП особо указывается, что дискриминация по признаку пола в части вознагражд</w:t>
      </w:r>
      <w:r w:rsidRPr="00CB2C86">
        <w:t>е</w:t>
      </w:r>
      <w:r w:rsidRPr="00CB2C86">
        <w:t>ния за труд может происходить в результате ассиметричного распределения мужчин и женщин на различных рабочих местах, хотя работодатели должны руководствоваться принципом равного вознаграждения за труд равной ценн</w:t>
      </w:r>
      <w:r w:rsidRPr="00CB2C86">
        <w:t>о</w:t>
      </w:r>
      <w:r w:rsidRPr="00CB2C86">
        <w:t>сти; при этом им следует предложить рассмотреть вопрос о последовательном осуществлении принципа равного вознаграждения за труд равной ценности.</w:t>
      </w:r>
    </w:p>
    <w:p w:rsidR="00F936A8" w:rsidRPr="00CB2C86" w:rsidRDefault="00F936A8" w:rsidP="00122DDF">
      <w:pPr>
        <w:pStyle w:val="H23GR"/>
        <w:tabs>
          <w:tab w:val="left" w:pos="1980"/>
        </w:tabs>
      </w:pPr>
      <w:r w:rsidRPr="00CB2C86">
        <w:tab/>
      </w:r>
      <w:r w:rsidRPr="00CB2C86">
        <w:tab/>
        <w:t>Исследование Комиссии по равным возможностям, посвяще</w:t>
      </w:r>
      <w:r w:rsidRPr="00CB2C86">
        <w:t>н</w:t>
      </w:r>
      <w:r w:rsidRPr="00CB2C86">
        <w:t>ное вопросу о</w:t>
      </w:r>
      <w:r>
        <w:t> </w:t>
      </w:r>
      <w:r w:rsidRPr="00CB2C86">
        <w:t>равном вознаграждении за труд равной ценности</w:t>
      </w:r>
    </w:p>
    <w:p w:rsidR="00F936A8" w:rsidRPr="00CB2C86" w:rsidRDefault="00F936A8" w:rsidP="0045377F">
      <w:pPr>
        <w:pStyle w:val="SingleTxtGR"/>
        <w:tabs>
          <w:tab w:val="clear" w:pos="1701"/>
          <w:tab w:val="left" w:pos="1980"/>
        </w:tabs>
      </w:pPr>
      <w:r w:rsidRPr="00CB2C86">
        <w:t>7.41</w:t>
      </w:r>
      <w:r w:rsidRPr="00CB2C86">
        <w:tab/>
        <w:t>В дополнение к сказанному в пунктах 7.7 и 7.8 предыдущего доклада КРВ считает, что в связи с отсутствием фактов дискриминации в том</w:t>
      </w:r>
      <w:r w:rsidR="002024C5">
        <w:t>,</w:t>
      </w:r>
      <w:r w:rsidRPr="00CB2C86">
        <w:t xml:space="preserve"> что кас</w:t>
      </w:r>
      <w:r w:rsidRPr="00CB2C86">
        <w:t>а</w:t>
      </w:r>
      <w:r w:rsidRPr="00CB2C86">
        <w:t>ется РВТРЦ на обследованных рабочих местах в ходе ее исследования, а также с учетом сложности проблемы принятие нового законодательства о РВТРЦ в настоящее время несвоевременно. Вместо этого КРВ собирается поощрять и осуществлять принцип РВТРЦ путем дальнейшего исполнения своей регул</w:t>
      </w:r>
      <w:r w:rsidRPr="00CB2C86">
        <w:t>и</w:t>
      </w:r>
      <w:r w:rsidRPr="00CB2C86">
        <w:t>рующей роли, используя свой механизм рассмотрения жалоб, а также путем разрешения вопросов, связанных с неравным вознаграждением за равный труд через, если этого потребует ситуация, собственный механизм расследований, через проведение массовых просветительских программ и пересмотр Кодекса практики в сфере занятости в соответствии с УПДП.</w:t>
      </w:r>
    </w:p>
    <w:p w:rsidR="00F936A8" w:rsidRPr="00CB2C86" w:rsidRDefault="00F936A8" w:rsidP="0045377F">
      <w:pPr>
        <w:pStyle w:val="SingleTxtGR"/>
        <w:tabs>
          <w:tab w:val="clear" w:pos="1701"/>
          <w:tab w:val="left" w:pos="1980"/>
        </w:tabs>
      </w:pPr>
      <w:r w:rsidRPr="00CB2C86">
        <w:t>7.42</w:t>
      </w:r>
      <w:r w:rsidRPr="00CB2C86">
        <w:tab/>
        <w:t xml:space="preserve">КРВ считает, что систематический и свободный от </w:t>
      </w:r>
      <w:proofErr w:type="spellStart"/>
      <w:r w:rsidRPr="00CB2C86">
        <w:t>гендерных</w:t>
      </w:r>
      <w:proofErr w:type="spellEnd"/>
      <w:r w:rsidRPr="00CB2C86">
        <w:t xml:space="preserve"> пре</w:t>
      </w:r>
      <w:r w:rsidRPr="00CB2C86">
        <w:t>д</w:t>
      </w:r>
      <w:r w:rsidRPr="00CB2C86">
        <w:t>рассудков подход к оценке вознаграждения в данном контексте предпочтител</w:t>
      </w:r>
      <w:r w:rsidRPr="00CB2C86">
        <w:t>ь</w:t>
      </w:r>
      <w:r w:rsidRPr="00CB2C86">
        <w:t>нее, если учитывать рыночные силы и такие действующие факторы, которые определяют вознаграждение работника, как производительность, квалификация и трудовой стаж.</w:t>
      </w:r>
    </w:p>
    <w:p w:rsidR="00F936A8" w:rsidRPr="00CB2C86" w:rsidRDefault="00F936A8" w:rsidP="0045377F">
      <w:pPr>
        <w:pStyle w:val="SingleTxtGR"/>
        <w:tabs>
          <w:tab w:val="clear" w:pos="1701"/>
          <w:tab w:val="left" w:pos="1980"/>
        </w:tabs>
      </w:pPr>
      <w:r w:rsidRPr="00CB2C86">
        <w:t>7.43</w:t>
      </w:r>
      <w:r w:rsidRPr="00CB2C86">
        <w:tab/>
        <w:t>С этой целью КРВ предприняла в Гонконге ряд исследований по в</w:t>
      </w:r>
      <w:r w:rsidRPr="00CB2C86">
        <w:t>о</w:t>
      </w:r>
      <w:r w:rsidRPr="00CB2C86">
        <w:t>просу о РВТРЦ, после которых для продвижения принципа РВТРЦ были реал</w:t>
      </w:r>
      <w:r w:rsidRPr="00CB2C86">
        <w:t>и</w:t>
      </w:r>
      <w:r w:rsidRPr="00CB2C86">
        <w:t>зованы общественные просветительские инициативы. В 2008</w:t>
      </w:r>
      <w:r>
        <w:t>−</w:t>
      </w:r>
      <w:r w:rsidRPr="00CB2C86">
        <w:t>2009</w:t>
      </w:r>
      <w:r w:rsidR="00B92291">
        <w:t> год</w:t>
      </w:r>
      <w:r w:rsidRPr="00CB2C86">
        <w:t xml:space="preserve">ах КРВ опубликовала для информации работодателей и широкой общественности ряд руководств по тематике РВТРЦ, а именно основное руководство </w:t>
      </w:r>
      <w:r>
        <w:t>"</w:t>
      </w:r>
      <w:r w:rsidRPr="00CB2C86">
        <w:t>Руководство для работодателей по вопросу о равной оплате труда мужчин и женщин в соо</w:t>
      </w:r>
      <w:r w:rsidRPr="00CB2C86">
        <w:t>т</w:t>
      </w:r>
      <w:r w:rsidRPr="00CB2C86">
        <w:t>ветствии с УПДП</w:t>
      </w:r>
      <w:r>
        <w:t>"</w:t>
      </w:r>
      <w:r w:rsidRPr="00CB2C86">
        <w:t xml:space="preserve">, </w:t>
      </w:r>
      <w:r>
        <w:t>"</w:t>
      </w:r>
      <w:r w:rsidRPr="00CB2C86">
        <w:t xml:space="preserve">Иллюстрация разработки системы аналитической оценки профессий, свободной от </w:t>
      </w:r>
      <w:proofErr w:type="spellStart"/>
      <w:r w:rsidRPr="00CB2C86">
        <w:t>гендерных</w:t>
      </w:r>
      <w:proofErr w:type="spellEnd"/>
      <w:r w:rsidRPr="00CB2C86">
        <w:t xml:space="preserve"> предрассудков</w:t>
      </w:r>
      <w:r>
        <w:t>"</w:t>
      </w:r>
      <w:r w:rsidRPr="00CB2C86">
        <w:t xml:space="preserve">, </w:t>
      </w:r>
      <w:r>
        <w:t>"</w:t>
      </w:r>
      <w:r w:rsidRPr="00CB2C86">
        <w:t>Иллюстрация инструме</w:t>
      </w:r>
      <w:r w:rsidRPr="00CB2C86">
        <w:t>н</w:t>
      </w:r>
      <w:r w:rsidRPr="00CB2C86">
        <w:t>тария внутреннего контроля по вопросу равного вознаграждения: инициати</w:t>
      </w:r>
      <w:r w:rsidRPr="00CB2C86">
        <w:t>в</w:t>
      </w:r>
      <w:r w:rsidRPr="00CB2C86">
        <w:t>ный подход работодателей к достижению равной оплаты труда</w:t>
      </w:r>
      <w:r>
        <w:t>"</w:t>
      </w:r>
      <w:r w:rsidRPr="00CB2C86">
        <w:t xml:space="preserve"> и </w:t>
      </w:r>
      <w:r>
        <w:t>"</w:t>
      </w:r>
      <w:r w:rsidRPr="00CB2C86">
        <w:t>Легкое для чтения руководство</w:t>
      </w:r>
      <w:r>
        <w:t>"</w:t>
      </w:r>
      <w:r w:rsidRPr="00CB2C86">
        <w:t>. Эти руководства образуют руководящие принципы для работодателей, обеспечивающие, чтобы их система оплаты труда была свобо</w:t>
      </w:r>
      <w:r w:rsidRPr="00CB2C86">
        <w:t>д</w:t>
      </w:r>
      <w:r w:rsidRPr="00CB2C86">
        <w:t xml:space="preserve">ной от </w:t>
      </w:r>
      <w:proofErr w:type="spellStart"/>
      <w:r w:rsidRPr="00CB2C86">
        <w:t>гендерных</w:t>
      </w:r>
      <w:proofErr w:type="spellEnd"/>
      <w:r w:rsidRPr="00CB2C86">
        <w:t xml:space="preserve"> предрассудков. После публикации этих руководств КРВ орг</w:t>
      </w:r>
      <w:r w:rsidRPr="00CB2C86">
        <w:t>а</w:t>
      </w:r>
      <w:r w:rsidRPr="00CB2C86">
        <w:t>низовала ряд рабочих совещаний и семинаров для дальнейшего продвижения принципа РВТРЦ. Как эти публикации, так и семинары были встречены пол</w:t>
      </w:r>
      <w:r w:rsidRPr="00CB2C86">
        <w:t>о</w:t>
      </w:r>
      <w:r w:rsidRPr="00CB2C86">
        <w:t>жительно.</w:t>
      </w:r>
    </w:p>
    <w:p w:rsidR="00F936A8" w:rsidRPr="00CB2C86" w:rsidRDefault="00F936A8" w:rsidP="00122DDF">
      <w:pPr>
        <w:pStyle w:val="H1GR"/>
        <w:tabs>
          <w:tab w:val="left" w:pos="1980"/>
        </w:tabs>
      </w:pPr>
      <w:r w:rsidRPr="00CB2C86">
        <w:tab/>
      </w:r>
      <w:r w:rsidRPr="00CB2C86">
        <w:tab/>
        <w:t>Безопасные и здоровые условия труда</w:t>
      </w:r>
    </w:p>
    <w:p w:rsidR="00F936A8" w:rsidRPr="00CB2C86" w:rsidRDefault="00F936A8" w:rsidP="0045377F">
      <w:pPr>
        <w:pStyle w:val="SingleTxtGR"/>
        <w:tabs>
          <w:tab w:val="clear" w:pos="1701"/>
          <w:tab w:val="left" w:pos="1980"/>
        </w:tabs>
      </w:pPr>
      <w:r w:rsidRPr="00CB2C86">
        <w:t>7.44</w:t>
      </w:r>
      <w:r w:rsidRPr="00CB2C86">
        <w:tab/>
        <w:t>Инспекторы по технике безопасности Департамента труда продолж</w:t>
      </w:r>
      <w:r w:rsidRPr="00CB2C86">
        <w:t>а</w:t>
      </w:r>
      <w:r w:rsidRPr="00CB2C86">
        <w:t>ют отвечать за охрану труда и здоровья работников на фабриках, строительных площадках и других рабочих местах, опираясь на дифференцированное закон</w:t>
      </w:r>
      <w:r w:rsidRPr="00CB2C86">
        <w:t>о</w:t>
      </w:r>
      <w:r w:rsidRPr="00CB2C86">
        <w:t>дательство и обеспечение его исполнения, профессиональную подготовку и о</w:t>
      </w:r>
      <w:r w:rsidRPr="00CB2C86">
        <w:t>б</w:t>
      </w:r>
      <w:r w:rsidRPr="00CB2C86">
        <w:t>разование, информационно-пропагандистские мероприятия и гласность.</w:t>
      </w:r>
    </w:p>
    <w:p w:rsidR="00F936A8" w:rsidRPr="00CB2C86" w:rsidRDefault="00F936A8" w:rsidP="0045377F">
      <w:pPr>
        <w:pStyle w:val="SingleTxtGR"/>
        <w:tabs>
          <w:tab w:val="clear" w:pos="1701"/>
          <w:tab w:val="left" w:pos="1980"/>
        </w:tabs>
      </w:pPr>
      <w:r w:rsidRPr="00CB2C86">
        <w:t>7.45</w:t>
      </w:r>
      <w:r w:rsidRPr="00CB2C86">
        <w:tab/>
        <w:t>Чтобы работники могли сочетать профессиональную, семейную и ли</w:t>
      </w:r>
      <w:r w:rsidRPr="00CB2C86">
        <w:t>ч</w:t>
      </w:r>
      <w:r w:rsidRPr="00CB2C86">
        <w:t>ную жизнь, Департамент труда призывает работодател</w:t>
      </w:r>
      <w:r w:rsidR="002024C5">
        <w:t>ей</w:t>
      </w:r>
      <w:r w:rsidRPr="00CB2C86">
        <w:t xml:space="preserve"> применять ориентир</w:t>
      </w:r>
      <w:r w:rsidRPr="00CB2C86">
        <w:t>о</w:t>
      </w:r>
      <w:r w:rsidRPr="00CB2C86">
        <w:t>ванную на семейные ценности процедуру найма, чтобы работники могли соч</w:t>
      </w:r>
      <w:r w:rsidRPr="00CB2C86">
        <w:t>е</w:t>
      </w:r>
      <w:r w:rsidRPr="00CB2C86">
        <w:t>тать работу и семейные обязанности. К каналам, через которые продвигается эта тема, относятся профильные трехсторонние комитеты</w:t>
      </w:r>
      <w:r w:rsidRPr="004F0ED8">
        <w:rPr>
          <w:sz w:val="18"/>
          <w:szCs w:val="18"/>
          <w:vertAlign w:val="superscript"/>
          <w:lang w:val="en-GB"/>
        </w:rPr>
        <w:footnoteReference w:id="7"/>
      </w:r>
      <w:r w:rsidRPr="00CB2C86">
        <w:t>, в состав которых входят представители правительства, работодателей и трудящихся или их соо</w:t>
      </w:r>
      <w:r w:rsidRPr="00CB2C86">
        <w:t>т</w:t>
      </w:r>
      <w:r w:rsidRPr="00CB2C86">
        <w:t>ветствующих организаций, Клубов менеджеров по персоналу, сформир</w:t>
      </w:r>
      <w:r w:rsidRPr="00CB2C86">
        <w:t>о</w:t>
      </w:r>
      <w:r w:rsidRPr="00CB2C86">
        <w:t>ванных из представителей различных профессий, а также такие информацио</w:t>
      </w:r>
      <w:r w:rsidRPr="00CB2C86">
        <w:t>н</w:t>
      </w:r>
      <w:r w:rsidRPr="00CB2C86">
        <w:t>но-пропагандистские мероприятия, как семинары, передвижные выставки в ра</w:t>
      </w:r>
      <w:r w:rsidRPr="00CB2C86">
        <w:t>з</w:t>
      </w:r>
      <w:r w:rsidRPr="00CB2C86">
        <w:t>личных местах, газетные приложения и брошюры, рассказывающие о случаях из реальной жизни.</w:t>
      </w:r>
    </w:p>
    <w:p w:rsidR="00F936A8" w:rsidRPr="00CB2C86" w:rsidRDefault="00F936A8" w:rsidP="00122DDF">
      <w:pPr>
        <w:pStyle w:val="H1GR"/>
        <w:tabs>
          <w:tab w:val="left" w:pos="1980"/>
        </w:tabs>
      </w:pPr>
      <w:r w:rsidRPr="00CB2C86">
        <w:tab/>
      </w:r>
      <w:r w:rsidRPr="00CB2C86">
        <w:tab/>
        <w:t>Профилактика несчастных случаев и заболеваний на рабочих местах</w:t>
      </w:r>
    </w:p>
    <w:p w:rsidR="00F936A8" w:rsidRPr="00CB2C86" w:rsidRDefault="00F936A8" w:rsidP="0045377F">
      <w:pPr>
        <w:pStyle w:val="SingleTxtGR"/>
        <w:tabs>
          <w:tab w:val="clear" w:pos="1701"/>
          <w:tab w:val="left" w:pos="1980"/>
        </w:tabs>
      </w:pPr>
      <w:r w:rsidRPr="00CB2C86">
        <w:t>7.46</w:t>
      </w:r>
      <w:r w:rsidRPr="00CB2C86">
        <w:tab/>
        <w:t>В 2003</w:t>
      </w:r>
      <w:r w:rsidR="00B92291">
        <w:t> год</w:t>
      </w:r>
      <w:r w:rsidRPr="00CB2C86">
        <w:t>у для распространения ответственности, возлагаемой на главного подрядчика за обеспечение безопасных и здоровых условий труда и предоставление исправной  строительной техники строителям, на других по</w:t>
      </w:r>
      <w:r w:rsidRPr="00CB2C86">
        <w:t>д</w:t>
      </w:r>
      <w:r w:rsidRPr="00CB2C86">
        <w:t>рядчиков и субподрядчиков, которые непосредственно руководят строительн</w:t>
      </w:r>
      <w:r w:rsidRPr="00CB2C86">
        <w:t>ы</w:t>
      </w:r>
      <w:r w:rsidRPr="00CB2C86">
        <w:t xml:space="preserve">ми работами  или эксплуатируют технику, в строительные нормы и правила (безопасность) </w:t>
      </w:r>
      <w:r>
        <w:t>(глава </w:t>
      </w:r>
      <w:r w:rsidRPr="00CB2C86">
        <w:t>591) и соответствующие правовые основы охраны труда были внесены поправки.</w:t>
      </w:r>
    </w:p>
    <w:p w:rsidR="00F936A8" w:rsidRPr="00CB2C86" w:rsidRDefault="00F936A8" w:rsidP="0045377F">
      <w:pPr>
        <w:pStyle w:val="SingleTxtGR"/>
        <w:tabs>
          <w:tab w:val="clear" w:pos="1701"/>
          <w:tab w:val="left" w:pos="1980"/>
        </w:tabs>
      </w:pPr>
      <w:r w:rsidRPr="00CB2C86">
        <w:t>7.47</w:t>
      </w:r>
      <w:r w:rsidRPr="00CB2C86">
        <w:tab/>
        <w:t>В 2003</w:t>
      </w:r>
      <w:r w:rsidR="00B92291">
        <w:t> год</w:t>
      </w:r>
      <w:r w:rsidRPr="00CB2C86">
        <w:t>у вступил в силу Регламент работы фабрик и промышле</w:t>
      </w:r>
      <w:r w:rsidRPr="00CB2C86">
        <w:t>н</w:t>
      </w:r>
      <w:r w:rsidRPr="00CB2C86">
        <w:t xml:space="preserve">ных предприятий (газовая сварка и газопламенная резка) </w:t>
      </w:r>
      <w:r>
        <w:t>(глава </w:t>
      </w:r>
      <w:r w:rsidRPr="00CB2C86">
        <w:t>59А</w:t>
      </w:r>
      <w:r w:rsidRPr="00CB2C86">
        <w:rPr>
          <w:lang w:val="en-US"/>
        </w:rPr>
        <w:t>I</w:t>
      </w:r>
      <w:r w:rsidRPr="00CB2C86">
        <w:t>), обяз</w:t>
      </w:r>
      <w:r w:rsidRPr="00CB2C86">
        <w:t>ы</w:t>
      </w:r>
      <w:r w:rsidRPr="00CB2C86">
        <w:t>вающий их владельцев принять меры для того, чтобы рабочие, занимающиеся газовой сваркой и газопламенной резкой</w:t>
      </w:r>
      <w:r w:rsidR="002024C5">
        <w:t>,</w:t>
      </w:r>
      <w:r w:rsidRPr="00CB2C86">
        <w:t xml:space="preserve"> прошли надлежащую профессионал</w:t>
      </w:r>
      <w:r w:rsidRPr="00CB2C86">
        <w:t>ь</w:t>
      </w:r>
      <w:r w:rsidRPr="00CB2C86">
        <w:t>ную по</w:t>
      </w:r>
      <w:r w:rsidRPr="00CB2C86">
        <w:t>д</w:t>
      </w:r>
      <w:r w:rsidRPr="00CB2C86">
        <w:t>готовку и получили действительное свидетельство. В 2003</w:t>
      </w:r>
      <w:r w:rsidR="00B92291">
        <w:t> год</w:t>
      </w:r>
      <w:r w:rsidRPr="00CB2C86">
        <w:t>у для обеспечения безопасности и охраны здоровья работников, использующих дл</w:t>
      </w:r>
      <w:r w:rsidRPr="00CB2C86">
        <w:t>и</w:t>
      </w:r>
      <w:r w:rsidRPr="00CB2C86">
        <w:t>тельное время оборудование, укомплектованное экраном просмотра, в силу также вст</w:t>
      </w:r>
      <w:r w:rsidRPr="00CB2C86">
        <w:t>у</w:t>
      </w:r>
      <w:r w:rsidRPr="00CB2C86">
        <w:t xml:space="preserve">пил аналогичный Регламент по технике безопасности и охране труда </w:t>
      </w:r>
      <w:r>
        <w:t>(глава </w:t>
      </w:r>
      <w:r w:rsidRPr="00CB2C86">
        <w:t>509</w:t>
      </w:r>
      <w:r w:rsidRPr="00CB2C86">
        <w:rPr>
          <w:lang w:val="en-GB"/>
        </w:rPr>
        <w:t>B</w:t>
      </w:r>
      <w:r w:rsidRPr="00CB2C86">
        <w:t>).</w:t>
      </w:r>
    </w:p>
    <w:p w:rsidR="00F936A8" w:rsidRPr="00CB2C86" w:rsidRDefault="00F936A8" w:rsidP="0045377F">
      <w:pPr>
        <w:pStyle w:val="SingleTxtGR"/>
        <w:tabs>
          <w:tab w:val="clear" w:pos="1701"/>
          <w:tab w:val="left" w:pos="1980"/>
        </w:tabs>
      </w:pPr>
      <w:r w:rsidRPr="00CB2C86">
        <w:t>7.48</w:t>
      </w:r>
      <w:r w:rsidRPr="00CB2C86">
        <w:tab/>
        <w:t xml:space="preserve">Что касается вопроса о компенсациях работникам, то для увеличения компенсаций лицам, страдающим от </w:t>
      </w:r>
      <w:proofErr w:type="spellStart"/>
      <w:r w:rsidRPr="00CB2C86">
        <w:t>мезотелиомы</w:t>
      </w:r>
      <w:proofErr w:type="spellEnd"/>
      <w:r w:rsidRPr="00CB2C86">
        <w:t xml:space="preserve"> и профессиональной глух</w:t>
      </w:r>
      <w:r w:rsidRPr="00CB2C86">
        <w:t>о</w:t>
      </w:r>
      <w:r w:rsidRPr="00CB2C86">
        <w:t xml:space="preserve">ты, в Указ о пневмокониозе (Компенсация) </w:t>
      </w:r>
      <w:r>
        <w:t>(глава </w:t>
      </w:r>
      <w:r w:rsidRPr="00CB2C86">
        <w:t>360) и Указ о профессионал</w:t>
      </w:r>
      <w:r w:rsidRPr="00CB2C86">
        <w:t>ь</w:t>
      </w:r>
      <w:r w:rsidRPr="00CB2C86">
        <w:t xml:space="preserve">ной глухоте (Компенсация) </w:t>
      </w:r>
      <w:r>
        <w:t>(глава </w:t>
      </w:r>
      <w:r w:rsidRPr="00CB2C86">
        <w:t>469) были внесены поправки. Подробная и</w:t>
      </w:r>
      <w:r w:rsidRPr="00CB2C86">
        <w:t>н</w:t>
      </w:r>
      <w:r w:rsidRPr="00CB2C86">
        <w:t>форм</w:t>
      </w:r>
      <w:r w:rsidRPr="00CB2C86">
        <w:t>а</w:t>
      </w:r>
      <w:r w:rsidRPr="00CB2C86">
        <w:t>ции об этих поправках содержится ниже в пунктах 9.29</w:t>
      </w:r>
      <w:r>
        <w:t>−</w:t>
      </w:r>
      <w:r w:rsidRPr="00CB2C86">
        <w:t>9.31.</w:t>
      </w:r>
      <w:r w:rsidRPr="00CB2C86" w:rsidDel="00F21809">
        <w:t xml:space="preserve"> </w:t>
      </w:r>
    </w:p>
    <w:p w:rsidR="00F936A8" w:rsidRPr="00CB2C86" w:rsidRDefault="00F936A8" w:rsidP="0045377F">
      <w:pPr>
        <w:pStyle w:val="SingleTxtGR"/>
        <w:tabs>
          <w:tab w:val="clear" w:pos="1701"/>
          <w:tab w:val="left" w:pos="1980"/>
        </w:tabs>
      </w:pPr>
      <w:r w:rsidRPr="00CB2C86">
        <w:t>7.49</w:t>
      </w:r>
      <w:r w:rsidRPr="00CB2C86">
        <w:tab/>
        <w:t>В период между 2000 и 2009</w:t>
      </w:r>
      <w:r w:rsidR="00B92291">
        <w:t> год</w:t>
      </w:r>
      <w:r w:rsidRPr="00CB2C86">
        <w:t>ами количество подтвержденных сл</w:t>
      </w:r>
      <w:r w:rsidRPr="00CB2C86">
        <w:t>у</w:t>
      </w:r>
      <w:r w:rsidRPr="00CB2C86">
        <w:t>чаев профессиональных заболеваний существенно уменьшилось, сократившись с 504 до 268. Соответствующие цифры приводятся в Приложении 7</w:t>
      </w:r>
      <w:r w:rsidRPr="00CB2C86">
        <w:rPr>
          <w:lang w:val="en-GB"/>
        </w:rPr>
        <w:t>A</w:t>
      </w:r>
      <w:r w:rsidRPr="00CB2C86">
        <w:t xml:space="preserve">. Другими словами, наша позиция не отличается от той, какая изложена в пунктах 7.3 и 7.4 предыдущего доклада. </w:t>
      </w:r>
    </w:p>
    <w:p w:rsidR="00F936A8" w:rsidRPr="00CB2C86" w:rsidRDefault="00F936A8" w:rsidP="00122DDF">
      <w:pPr>
        <w:pStyle w:val="HChGR"/>
        <w:tabs>
          <w:tab w:val="left" w:pos="1980"/>
        </w:tabs>
      </w:pPr>
      <w:r w:rsidRPr="00CB2C86">
        <w:tab/>
      </w:r>
      <w:r w:rsidRPr="00CB2C86">
        <w:tab/>
        <w:t>Статья 8</w:t>
      </w:r>
      <w:r>
        <w:br/>
      </w:r>
      <w:r w:rsidRPr="00CB2C86">
        <w:t>Право вступать в профессиональные союзы</w:t>
      </w:r>
    </w:p>
    <w:p w:rsidR="00F936A8" w:rsidRPr="00CB2C86" w:rsidRDefault="00F936A8" w:rsidP="00122DDF">
      <w:pPr>
        <w:pStyle w:val="H1GR"/>
        <w:tabs>
          <w:tab w:val="left" w:pos="1980"/>
        </w:tabs>
      </w:pPr>
      <w:r w:rsidRPr="00CB2C86">
        <w:tab/>
      </w:r>
      <w:r w:rsidRPr="00CB2C86">
        <w:tab/>
        <w:t xml:space="preserve">Указ о профессиональных союзах </w:t>
      </w:r>
      <w:r>
        <w:t>(глава </w:t>
      </w:r>
      <w:r w:rsidRPr="00CB2C86">
        <w:t>332)</w:t>
      </w:r>
    </w:p>
    <w:p w:rsidR="00F936A8" w:rsidRPr="00CB2C86" w:rsidRDefault="00F936A8" w:rsidP="0045377F">
      <w:pPr>
        <w:pStyle w:val="SingleTxtGR"/>
        <w:tabs>
          <w:tab w:val="clear" w:pos="1701"/>
          <w:tab w:val="left" w:pos="1980"/>
        </w:tabs>
      </w:pPr>
      <w:r w:rsidRPr="00CB2C86">
        <w:t>8.1</w:t>
      </w:r>
      <w:r w:rsidRPr="00CB2C86">
        <w:tab/>
        <w:t>Состояние дел остается таким же, каким оно описано в пунктах 120</w:t>
      </w:r>
      <w:r>
        <w:t>−</w:t>
      </w:r>
      <w:r w:rsidRPr="00CB2C86">
        <w:t>126 первоначального доклада.</w:t>
      </w:r>
    </w:p>
    <w:p w:rsidR="00F936A8" w:rsidRPr="00CB2C86" w:rsidRDefault="00F936A8" w:rsidP="00122DDF">
      <w:pPr>
        <w:pStyle w:val="H1GR"/>
        <w:tabs>
          <w:tab w:val="left" w:pos="1980"/>
        </w:tabs>
      </w:pPr>
      <w:r w:rsidRPr="00CB2C86">
        <w:tab/>
      </w:r>
      <w:r w:rsidRPr="00CB2C86">
        <w:tab/>
        <w:t>Правовая защита от дискриминации профсоюзов в рамках Указа о занятости</w:t>
      </w:r>
    </w:p>
    <w:p w:rsidR="00F936A8" w:rsidRPr="00CB2C86" w:rsidRDefault="00F936A8" w:rsidP="0045377F">
      <w:pPr>
        <w:pStyle w:val="SingleTxtGR"/>
        <w:tabs>
          <w:tab w:val="clear" w:pos="1701"/>
          <w:tab w:val="left" w:pos="1980"/>
        </w:tabs>
      </w:pPr>
      <w:r w:rsidRPr="00CB2C86">
        <w:t>8.2</w:t>
      </w:r>
      <w:r w:rsidRPr="00CB2C86">
        <w:tab/>
        <w:t xml:space="preserve">Положение вещей остается таким же, каким оно изложено в пунктах 128 и 129 первоначального доклада. </w:t>
      </w:r>
      <w:r w:rsidR="00FE46E6">
        <w:t>Тем не менее</w:t>
      </w:r>
      <w:r w:rsidR="00E56A49">
        <w:t>,</w:t>
      </w:r>
      <w:r w:rsidR="00FE46E6">
        <w:t xml:space="preserve"> </w:t>
      </w:r>
      <w:r w:rsidRPr="00CB2C86">
        <w:t>как уже упоминалось выше в пункт</w:t>
      </w:r>
      <w:r w:rsidR="00E56A49">
        <w:t>е</w:t>
      </w:r>
      <w:r w:rsidRPr="00CB2C86">
        <w:t xml:space="preserve"> 6.16, для усиления защиты трудящихся от увольнения за осуществл</w:t>
      </w:r>
      <w:r w:rsidRPr="00CB2C86">
        <w:t>е</w:t>
      </w:r>
      <w:r w:rsidRPr="00CB2C86">
        <w:t>ние своего права вступать в профсоюзы и вести профсоюзную деятельность в пер</w:t>
      </w:r>
      <w:r w:rsidRPr="00CB2C86">
        <w:t>и</w:t>
      </w:r>
      <w:r w:rsidRPr="00CB2C86">
        <w:t>од 12 месяцев сразу же после такого увольнения правительство САРГ разраб</w:t>
      </w:r>
      <w:r w:rsidRPr="00CB2C86">
        <w:t>а</w:t>
      </w:r>
      <w:r w:rsidRPr="00CB2C86">
        <w:t>тывает, в консультации с соответствующими заинтересованными сторонами, проект законопроекта о внесении поправок, чтобы исключить обязательное у</w:t>
      </w:r>
      <w:r w:rsidRPr="00CB2C86">
        <w:t>с</w:t>
      </w:r>
      <w:r w:rsidRPr="00CB2C86">
        <w:t>ловие о согласии работодателя на восстановлении на работе или возобновл</w:t>
      </w:r>
      <w:r w:rsidRPr="00CB2C86">
        <w:t>е</w:t>
      </w:r>
      <w:r w:rsidRPr="00CB2C86">
        <w:t xml:space="preserve">ние трудового договора в случае таких увольнений. </w:t>
      </w:r>
    </w:p>
    <w:p w:rsidR="00F936A8" w:rsidRPr="00CB2C86" w:rsidRDefault="00F936A8" w:rsidP="00122DDF">
      <w:pPr>
        <w:pStyle w:val="H1GR"/>
        <w:tabs>
          <w:tab w:val="left" w:pos="1980"/>
        </w:tabs>
      </w:pPr>
      <w:r w:rsidRPr="00CB2C86">
        <w:tab/>
      </w:r>
      <w:r w:rsidRPr="00CB2C86">
        <w:tab/>
        <w:t xml:space="preserve">Количество профсоюзов и количество их членов </w:t>
      </w:r>
    </w:p>
    <w:p w:rsidR="00F936A8" w:rsidRPr="00CB2C86" w:rsidRDefault="00F936A8" w:rsidP="0045377F">
      <w:pPr>
        <w:pStyle w:val="SingleTxtGR"/>
        <w:tabs>
          <w:tab w:val="clear" w:pos="1701"/>
          <w:tab w:val="left" w:pos="1980"/>
        </w:tabs>
      </w:pPr>
      <w:r w:rsidRPr="00CB2C86">
        <w:t>8.3</w:t>
      </w:r>
      <w:r w:rsidRPr="00CB2C86">
        <w:tab/>
        <w:t>По состоянию на 31 декабря 2008</w:t>
      </w:r>
      <w:r w:rsidR="00B92291">
        <w:t> год</w:t>
      </w:r>
      <w:r w:rsidRPr="00CB2C86">
        <w:t>а количество и заявленная чи</w:t>
      </w:r>
      <w:r w:rsidRPr="00CB2C86">
        <w:t>с</w:t>
      </w:r>
      <w:r w:rsidRPr="00CB2C86">
        <w:t>ленность членов профессиональных союзов в Гонконге составляли:</w:t>
      </w:r>
    </w:p>
    <w:tbl>
      <w:tblPr>
        <w:tblStyle w:val="TabNum"/>
        <w:tblW w:w="7370" w:type="dxa"/>
        <w:tblInd w:w="1134" w:type="dxa"/>
        <w:tblLayout w:type="fixed"/>
        <w:tblLook w:val="01E0" w:firstRow="1" w:lastRow="1" w:firstColumn="1" w:lastColumn="1" w:noHBand="0" w:noVBand="0"/>
      </w:tblPr>
      <w:tblGrid>
        <w:gridCol w:w="4966"/>
        <w:gridCol w:w="1271"/>
        <w:gridCol w:w="1133"/>
      </w:tblGrid>
      <w:tr w:rsidR="00F936A8" w:rsidRPr="00C460C2" w:rsidTr="00F936A8">
        <w:trPr>
          <w:tblHeader/>
        </w:trPr>
        <w:tc>
          <w:tcPr>
            <w:cnfStyle w:val="001000000000" w:firstRow="0" w:lastRow="0" w:firstColumn="1" w:lastColumn="0" w:oddVBand="0" w:evenVBand="0" w:oddHBand="0" w:evenHBand="0" w:firstRowFirstColumn="0" w:firstRowLastColumn="0" w:lastRowFirstColumn="0" w:lastRowLastColumn="0"/>
            <w:tcW w:w="4966" w:type="dxa"/>
            <w:shd w:val="clear" w:color="auto" w:fill="auto"/>
          </w:tcPr>
          <w:p w:rsidR="00F936A8" w:rsidRPr="00C460C2" w:rsidRDefault="00F936A8" w:rsidP="00122DDF">
            <w:pPr>
              <w:tabs>
                <w:tab w:val="left" w:pos="1980"/>
              </w:tabs>
              <w:spacing w:before="80" w:after="80" w:line="200" w:lineRule="exact"/>
              <w:rPr>
                <w:i/>
                <w:sz w:val="16"/>
              </w:rPr>
            </w:pPr>
          </w:p>
        </w:tc>
        <w:tc>
          <w:tcPr>
            <w:tcW w:w="2404" w:type="dxa"/>
            <w:gridSpan w:val="2"/>
            <w:tcBorders>
              <w:top w:val="single" w:sz="4" w:space="0" w:color="auto"/>
              <w:bottom w:val="single" w:sz="4" w:space="0" w:color="auto"/>
            </w:tcBorders>
            <w:shd w:val="clear" w:color="auto" w:fill="auto"/>
          </w:tcPr>
          <w:p w:rsidR="00F936A8" w:rsidRPr="00C460C2" w:rsidRDefault="00F936A8" w:rsidP="00122DDF">
            <w:pPr>
              <w:tabs>
                <w:tab w:val="left" w:pos="1980"/>
              </w:tabs>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C460C2">
              <w:rPr>
                <w:i/>
                <w:sz w:val="16"/>
              </w:rPr>
              <w:t>2008</w:t>
            </w:r>
          </w:p>
        </w:tc>
      </w:tr>
      <w:tr w:rsidR="00F936A8" w:rsidRPr="00C460C2" w:rsidTr="00F936A8">
        <w:trPr>
          <w:tblHeader/>
        </w:trPr>
        <w:tc>
          <w:tcPr>
            <w:cnfStyle w:val="001000000000" w:firstRow="0" w:lastRow="0" w:firstColumn="1" w:lastColumn="0" w:oddVBand="0" w:evenVBand="0" w:oddHBand="0" w:evenHBand="0" w:firstRowFirstColumn="0" w:firstRowLastColumn="0" w:lastRowFirstColumn="0" w:lastRowLastColumn="0"/>
            <w:tcW w:w="4966" w:type="dxa"/>
            <w:tcBorders>
              <w:top w:val="nil"/>
              <w:bottom w:val="single" w:sz="12" w:space="0" w:color="auto"/>
            </w:tcBorders>
            <w:shd w:val="clear" w:color="auto" w:fill="auto"/>
          </w:tcPr>
          <w:p w:rsidR="00F936A8" w:rsidRPr="00C460C2" w:rsidRDefault="00F936A8" w:rsidP="00122DDF">
            <w:pPr>
              <w:tabs>
                <w:tab w:val="left" w:pos="1980"/>
              </w:tabs>
              <w:spacing w:before="80" w:after="80" w:line="200" w:lineRule="exact"/>
              <w:rPr>
                <w:i/>
                <w:sz w:val="16"/>
              </w:rPr>
            </w:pPr>
            <w:r w:rsidRPr="00C460C2">
              <w:rPr>
                <w:i/>
                <w:sz w:val="16"/>
              </w:rPr>
              <w:t>Экономический сектор</w:t>
            </w:r>
          </w:p>
        </w:tc>
        <w:tc>
          <w:tcPr>
            <w:tcW w:w="1271" w:type="dxa"/>
            <w:tcBorders>
              <w:top w:val="single" w:sz="4" w:space="0" w:color="auto"/>
              <w:bottom w:val="single" w:sz="12" w:space="0" w:color="auto"/>
            </w:tcBorders>
            <w:shd w:val="clear" w:color="auto" w:fill="auto"/>
          </w:tcPr>
          <w:p w:rsidR="00F936A8" w:rsidRPr="00C460C2"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460C2">
              <w:rPr>
                <w:i/>
                <w:sz w:val="16"/>
              </w:rPr>
              <w:t>Кол</w:t>
            </w:r>
            <w:r>
              <w:rPr>
                <w:i/>
                <w:sz w:val="16"/>
              </w:rPr>
              <w:t>ичество</w:t>
            </w:r>
            <w:r w:rsidRPr="00C460C2">
              <w:rPr>
                <w:i/>
                <w:sz w:val="16"/>
              </w:rPr>
              <w:t xml:space="preserve"> </w:t>
            </w:r>
            <w:r>
              <w:rPr>
                <w:i/>
                <w:sz w:val="16"/>
              </w:rPr>
              <w:br/>
            </w:r>
            <w:r w:rsidRPr="00C460C2">
              <w:rPr>
                <w:i/>
                <w:sz w:val="16"/>
              </w:rPr>
              <w:t>про</w:t>
            </w:r>
            <w:r w:rsidRPr="00C460C2">
              <w:rPr>
                <w:i/>
                <w:sz w:val="16"/>
              </w:rPr>
              <w:t>ф</w:t>
            </w:r>
            <w:r w:rsidRPr="00C460C2">
              <w:rPr>
                <w:i/>
                <w:sz w:val="16"/>
              </w:rPr>
              <w:t>союзов</w:t>
            </w:r>
          </w:p>
        </w:tc>
        <w:tc>
          <w:tcPr>
            <w:tcW w:w="1133" w:type="dxa"/>
            <w:tcBorders>
              <w:top w:val="single" w:sz="4" w:space="0" w:color="auto"/>
              <w:bottom w:val="single" w:sz="12" w:space="0" w:color="auto"/>
            </w:tcBorders>
            <w:shd w:val="clear" w:color="auto" w:fill="auto"/>
          </w:tcPr>
          <w:p w:rsidR="00F936A8" w:rsidRPr="00C460C2"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460C2">
              <w:rPr>
                <w:i/>
                <w:sz w:val="16"/>
              </w:rPr>
              <w:t>Заявленное членство</w:t>
            </w:r>
          </w:p>
        </w:tc>
      </w:tr>
      <w:tr w:rsidR="00F936A8" w:rsidRPr="00C460C2" w:rsidTr="00F936A8">
        <w:tc>
          <w:tcPr>
            <w:cnfStyle w:val="001000000000" w:firstRow="0" w:lastRow="0" w:firstColumn="1" w:lastColumn="0" w:oddVBand="0" w:evenVBand="0" w:oddHBand="0" w:evenHBand="0" w:firstRowFirstColumn="0" w:firstRowLastColumn="0" w:lastRowFirstColumn="0" w:lastRowLastColumn="0"/>
            <w:tcW w:w="4966" w:type="dxa"/>
            <w:tcBorders>
              <w:top w:val="single" w:sz="12" w:space="0" w:color="auto"/>
            </w:tcBorders>
          </w:tcPr>
          <w:p w:rsidR="00F936A8" w:rsidRPr="00C460C2" w:rsidRDefault="00F936A8" w:rsidP="00122DDF">
            <w:pPr>
              <w:tabs>
                <w:tab w:val="left" w:pos="1980"/>
              </w:tabs>
            </w:pPr>
            <w:r w:rsidRPr="00C460C2">
              <w:t>Сельское хозяйство и рыболовство</w:t>
            </w:r>
          </w:p>
        </w:tc>
        <w:tc>
          <w:tcPr>
            <w:tcW w:w="1271" w:type="dxa"/>
            <w:tcBorders>
              <w:top w:val="single" w:sz="12" w:space="0" w:color="auto"/>
            </w:tcBorders>
          </w:tcPr>
          <w:p w:rsidR="00F936A8" w:rsidRPr="00C460C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C460C2">
              <w:t>1</w:t>
            </w:r>
          </w:p>
        </w:tc>
        <w:tc>
          <w:tcPr>
            <w:tcW w:w="1133" w:type="dxa"/>
            <w:tcBorders>
              <w:top w:val="single" w:sz="12" w:space="0" w:color="auto"/>
            </w:tcBorders>
          </w:tcPr>
          <w:p w:rsidR="00F936A8" w:rsidRPr="00C460C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C460C2">
              <w:t>7</w:t>
            </w:r>
          </w:p>
        </w:tc>
      </w:tr>
      <w:tr w:rsidR="00F936A8" w:rsidRPr="00C460C2" w:rsidTr="00F936A8">
        <w:tc>
          <w:tcPr>
            <w:cnfStyle w:val="001000000000" w:firstRow="0" w:lastRow="0" w:firstColumn="1" w:lastColumn="0" w:oddVBand="0" w:evenVBand="0" w:oddHBand="0" w:evenHBand="0" w:firstRowFirstColumn="0" w:firstRowLastColumn="0" w:lastRowFirstColumn="0" w:lastRowLastColumn="0"/>
            <w:tcW w:w="4966" w:type="dxa"/>
          </w:tcPr>
          <w:p w:rsidR="00F936A8" w:rsidRPr="00C460C2" w:rsidRDefault="00F936A8" w:rsidP="00122DDF">
            <w:pPr>
              <w:tabs>
                <w:tab w:val="left" w:pos="1980"/>
              </w:tabs>
            </w:pPr>
            <w:r w:rsidRPr="00C460C2">
              <w:t>Обрабатывающая промышленность</w:t>
            </w:r>
          </w:p>
        </w:tc>
        <w:tc>
          <w:tcPr>
            <w:tcW w:w="1271" w:type="dxa"/>
          </w:tcPr>
          <w:p w:rsidR="00F936A8" w:rsidRPr="00C460C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C460C2">
              <w:t>83</w:t>
            </w:r>
          </w:p>
        </w:tc>
        <w:tc>
          <w:tcPr>
            <w:tcW w:w="1133" w:type="dxa"/>
          </w:tcPr>
          <w:p w:rsidR="00F936A8" w:rsidRPr="00C460C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C460C2">
              <w:t>60 768</w:t>
            </w:r>
          </w:p>
        </w:tc>
      </w:tr>
      <w:tr w:rsidR="00F936A8" w:rsidRPr="00C460C2" w:rsidTr="00F936A8">
        <w:tc>
          <w:tcPr>
            <w:cnfStyle w:val="001000000000" w:firstRow="0" w:lastRow="0" w:firstColumn="1" w:lastColumn="0" w:oddVBand="0" w:evenVBand="0" w:oddHBand="0" w:evenHBand="0" w:firstRowFirstColumn="0" w:firstRowLastColumn="0" w:lastRowFirstColumn="0" w:lastRowLastColumn="0"/>
            <w:tcW w:w="4966" w:type="dxa"/>
          </w:tcPr>
          <w:p w:rsidR="00F936A8" w:rsidRPr="00C460C2" w:rsidRDefault="00F936A8" w:rsidP="00122DDF">
            <w:pPr>
              <w:tabs>
                <w:tab w:val="left" w:pos="1980"/>
              </w:tabs>
            </w:pPr>
            <w:proofErr w:type="spellStart"/>
            <w:r w:rsidRPr="00C460C2">
              <w:t>Электро</w:t>
            </w:r>
            <w:proofErr w:type="spellEnd"/>
            <w:r w:rsidRPr="00C460C2">
              <w:t xml:space="preserve">-, </w:t>
            </w:r>
            <w:proofErr w:type="spellStart"/>
            <w:r w:rsidRPr="00C460C2">
              <w:t>газо</w:t>
            </w:r>
            <w:proofErr w:type="spellEnd"/>
            <w:r w:rsidRPr="00C460C2">
              <w:t>- и водоснабжение</w:t>
            </w:r>
          </w:p>
        </w:tc>
        <w:tc>
          <w:tcPr>
            <w:tcW w:w="1271" w:type="dxa"/>
          </w:tcPr>
          <w:p w:rsidR="00F936A8" w:rsidRPr="00C460C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C460C2">
              <w:t>4</w:t>
            </w:r>
          </w:p>
        </w:tc>
        <w:tc>
          <w:tcPr>
            <w:tcW w:w="1133" w:type="dxa"/>
          </w:tcPr>
          <w:p w:rsidR="00F936A8" w:rsidRPr="00C460C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C460C2">
              <w:t>2 015</w:t>
            </w:r>
          </w:p>
        </w:tc>
      </w:tr>
      <w:tr w:rsidR="00F936A8" w:rsidRPr="00C460C2" w:rsidTr="00F936A8">
        <w:tc>
          <w:tcPr>
            <w:cnfStyle w:val="001000000000" w:firstRow="0" w:lastRow="0" w:firstColumn="1" w:lastColumn="0" w:oddVBand="0" w:evenVBand="0" w:oddHBand="0" w:evenHBand="0" w:firstRowFirstColumn="0" w:firstRowLastColumn="0" w:lastRowFirstColumn="0" w:lastRowLastColumn="0"/>
            <w:tcW w:w="4966" w:type="dxa"/>
          </w:tcPr>
          <w:p w:rsidR="00F936A8" w:rsidRPr="00C460C2" w:rsidRDefault="00F936A8" w:rsidP="00122DDF">
            <w:pPr>
              <w:tabs>
                <w:tab w:val="left" w:pos="1980"/>
              </w:tabs>
            </w:pPr>
            <w:r w:rsidRPr="00C460C2">
              <w:t>Строительство</w:t>
            </w:r>
          </w:p>
        </w:tc>
        <w:tc>
          <w:tcPr>
            <w:tcW w:w="1271" w:type="dxa"/>
          </w:tcPr>
          <w:p w:rsidR="00F936A8" w:rsidRPr="00C460C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C460C2">
              <w:t>36</w:t>
            </w:r>
          </w:p>
        </w:tc>
        <w:tc>
          <w:tcPr>
            <w:tcW w:w="1133" w:type="dxa"/>
          </w:tcPr>
          <w:p w:rsidR="00F936A8" w:rsidRPr="00C460C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C460C2">
              <w:t>28 414</w:t>
            </w:r>
          </w:p>
        </w:tc>
      </w:tr>
      <w:tr w:rsidR="00F936A8" w:rsidRPr="00C460C2" w:rsidTr="00F936A8">
        <w:tc>
          <w:tcPr>
            <w:cnfStyle w:val="001000000000" w:firstRow="0" w:lastRow="0" w:firstColumn="1" w:lastColumn="0" w:oddVBand="0" w:evenVBand="0" w:oddHBand="0" w:evenHBand="0" w:firstRowFirstColumn="0" w:firstRowLastColumn="0" w:lastRowFirstColumn="0" w:lastRowLastColumn="0"/>
            <w:tcW w:w="4966" w:type="dxa"/>
          </w:tcPr>
          <w:p w:rsidR="00F936A8" w:rsidRPr="00C460C2" w:rsidRDefault="00F936A8" w:rsidP="00122DDF">
            <w:pPr>
              <w:tabs>
                <w:tab w:val="left" w:pos="1980"/>
              </w:tabs>
            </w:pPr>
            <w:r w:rsidRPr="00C460C2">
              <w:t>Оптовая и розничная торговля, и импор</w:t>
            </w:r>
            <w:r w:rsidRPr="00C460C2">
              <w:t>т</w:t>
            </w:r>
            <w:r w:rsidRPr="00C460C2">
              <w:t>ная/экспортная торговля, ресторанное и гостиничное хозяйства</w:t>
            </w:r>
          </w:p>
        </w:tc>
        <w:tc>
          <w:tcPr>
            <w:tcW w:w="1271" w:type="dxa"/>
          </w:tcPr>
          <w:p w:rsidR="00F936A8" w:rsidRPr="00C460C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C460C2">
              <w:t>56</w:t>
            </w:r>
          </w:p>
        </w:tc>
        <w:tc>
          <w:tcPr>
            <w:tcW w:w="1133" w:type="dxa"/>
          </w:tcPr>
          <w:p w:rsidR="00F936A8" w:rsidRPr="00C460C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C460C2">
              <w:t>59 556</w:t>
            </w:r>
          </w:p>
        </w:tc>
      </w:tr>
      <w:tr w:rsidR="00F936A8" w:rsidRPr="00C460C2" w:rsidTr="00F936A8">
        <w:tc>
          <w:tcPr>
            <w:cnfStyle w:val="001000000000" w:firstRow="0" w:lastRow="0" w:firstColumn="1" w:lastColumn="0" w:oddVBand="0" w:evenVBand="0" w:oddHBand="0" w:evenHBand="0" w:firstRowFirstColumn="0" w:firstRowLastColumn="0" w:lastRowFirstColumn="0" w:lastRowLastColumn="0"/>
            <w:tcW w:w="4966" w:type="dxa"/>
          </w:tcPr>
          <w:p w:rsidR="00F936A8" w:rsidRPr="00C460C2" w:rsidRDefault="00F936A8" w:rsidP="00122DDF">
            <w:pPr>
              <w:tabs>
                <w:tab w:val="left" w:pos="1980"/>
              </w:tabs>
            </w:pPr>
            <w:r w:rsidRPr="00C460C2">
              <w:t>Транспорт, складское хозяйство и связь</w:t>
            </w:r>
          </w:p>
        </w:tc>
        <w:tc>
          <w:tcPr>
            <w:tcW w:w="1271" w:type="dxa"/>
          </w:tcPr>
          <w:p w:rsidR="00F936A8" w:rsidRPr="00C460C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C460C2">
              <w:t>117</w:t>
            </w:r>
          </w:p>
        </w:tc>
        <w:tc>
          <w:tcPr>
            <w:tcW w:w="1133" w:type="dxa"/>
          </w:tcPr>
          <w:p w:rsidR="00F936A8" w:rsidRPr="00C460C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C460C2">
              <w:t>120 005</w:t>
            </w:r>
          </w:p>
        </w:tc>
      </w:tr>
      <w:tr w:rsidR="00F936A8" w:rsidRPr="00C460C2" w:rsidTr="00F936A8">
        <w:tc>
          <w:tcPr>
            <w:cnfStyle w:val="001000000000" w:firstRow="0" w:lastRow="0" w:firstColumn="1" w:lastColumn="0" w:oddVBand="0" w:evenVBand="0" w:oddHBand="0" w:evenHBand="0" w:firstRowFirstColumn="0" w:firstRowLastColumn="0" w:lastRowFirstColumn="0" w:lastRowLastColumn="0"/>
            <w:tcW w:w="4966" w:type="dxa"/>
          </w:tcPr>
          <w:p w:rsidR="00F936A8" w:rsidRPr="00C460C2" w:rsidRDefault="00F936A8" w:rsidP="00122DDF">
            <w:pPr>
              <w:tabs>
                <w:tab w:val="left" w:pos="1980"/>
              </w:tabs>
            </w:pPr>
            <w:r w:rsidRPr="00C460C2">
              <w:t>Финансы, страхование, недвижимость и деловые у</w:t>
            </w:r>
            <w:r w:rsidRPr="00C460C2">
              <w:t>с</w:t>
            </w:r>
            <w:r w:rsidRPr="00C460C2">
              <w:t>луги</w:t>
            </w:r>
          </w:p>
        </w:tc>
        <w:tc>
          <w:tcPr>
            <w:tcW w:w="1271" w:type="dxa"/>
          </w:tcPr>
          <w:p w:rsidR="00F936A8" w:rsidRPr="00C460C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C460C2">
              <w:t>35</w:t>
            </w:r>
          </w:p>
        </w:tc>
        <w:tc>
          <w:tcPr>
            <w:tcW w:w="1133" w:type="dxa"/>
          </w:tcPr>
          <w:p w:rsidR="00F936A8" w:rsidRPr="00C460C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C460C2">
              <w:t>68 896</w:t>
            </w:r>
          </w:p>
        </w:tc>
      </w:tr>
      <w:tr w:rsidR="00F936A8" w:rsidRPr="00C460C2" w:rsidTr="00F936A8">
        <w:tc>
          <w:tcPr>
            <w:cnfStyle w:val="001000000000" w:firstRow="0" w:lastRow="0" w:firstColumn="1" w:lastColumn="0" w:oddVBand="0" w:evenVBand="0" w:oddHBand="0" w:evenHBand="0" w:firstRowFirstColumn="0" w:firstRowLastColumn="0" w:lastRowFirstColumn="0" w:lastRowLastColumn="0"/>
            <w:tcW w:w="4966" w:type="dxa"/>
            <w:tcBorders>
              <w:bottom w:val="single" w:sz="4" w:space="0" w:color="auto"/>
            </w:tcBorders>
          </w:tcPr>
          <w:p w:rsidR="00F936A8" w:rsidRPr="00C460C2" w:rsidRDefault="00F936A8" w:rsidP="00122DDF">
            <w:pPr>
              <w:tabs>
                <w:tab w:val="left" w:pos="1980"/>
              </w:tabs>
            </w:pPr>
            <w:r w:rsidRPr="00C460C2">
              <w:t>Общественные, социальные и личные услуги</w:t>
            </w:r>
          </w:p>
        </w:tc>
        <w:tc>
          <w:tcPr>
            <w:tcW w:w="1271" w:type="dxa"/>
            <w:tcBorders>
              <w:bottom w:val="single" w:sz="4" w:space="0" w:color="auto"/>
            </w:tcBorders>
          </w:tcPr>
          <w:p w:rsidR="00F936A8" w:rsidRPr="00C460C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C460C2">
              <w:t>420</w:t>
            </w:r>
          </w:p>
        </w:tc>
        <w:tc>
          <w:tcPr>
            <w:tcW w:w="1133" w:type="dxa"/>
            <w:tcBorders>
              <w:bottom w:val="single" w:sz="4" w:space="0" w:color="auto"/>
            </w:tcBorders>
          </w:tcPr>
          <w:p w:rsidR="00F936A8" w:rsidRPr="00C460C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C460C2">
              <w:t>369 292</w:t>
            </w:r>
          </w:p>
        </w:tc>
      </w:tr>
      <w:tr w:rsidR="00F936A8" w:rsidRPr="00D87F70" w:rsidTr="00F936A8">
        <w:tc>
          <w:tcPr>
            <w:cnfStyle w:val="001000000000" w:firstRow="0" w:lastRow="0" w:firstColumn="1" w:lastColumn="0" w:oddVBand="0" w:evenVBand="0" w:oddHBand="0" w:evenHBand="0" w:firstRowFirstColumn="0" w:firstRowLastColumn="0" w:lastRowFirstColumn="0" w:lastRowLastColumn="0"/>
            <w:tcW w:w="4966" w:type="dxa"/>
            <w:tcBorders>
              <w:top w:val="single" w:sz="4" w:space="0" w:color="auto"/>
              <w:bottom w:val="single" w:sz="4" w:space="0" w:color="auto"/>
            </w:tcBorders>
          </w:tcPr>
          <w:p w:rsidR="00F936A8" w:rsidRPr="00D87F70" w:rsidRDefault="00F936A8" w:rsidP="00122DDF">
            <w:pPr>
              <w:tabs>
                <w:tab w:val="left" w:pos="1980"/>
              </w:tabs>
              <w:ind w:left="546"/>
              <w:rPr>
                <w:b/>
              </w:rPr>
            </w:pPr>
            <w:r w:rsidRPr="00D87F70">
              <w:rPr>
                <w:b/>
              </w:rPr>
              <w:t>Всего</w:t>
            </w:r>
          </w:p>
        </w:tc>
        <w:tc>
          <w:tcPr>
            <w:tcW w:w="1271" w:type="dxa"/>
            <w:tcBorders>
              <w:top w:val="single" w:sz="4" w:space="0" w:color="auto"/>
              <w:bottom w:val="single" w:sz="4" w:space="0" w:color="auto"/>
            </w:tcBorders>
          </w:tcPr>
          <w:p w:rsidR="00F936A8" w:rsidRPr="00D87F70"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D87F70">
              <w:rPr>
                <w:b/>
              </w:rPr>
              <w:t>752</w:t>
            </w:r>
          </w:p>
        </w:tc>
        <w:tc>
          <w:tcPr>
            <w:tcW w:w="1133" w:type="dxa"/>
            <w:tcBorders>
              <w:top w:val="single" w:sz="4" w:space="0" w:color="auto"/>
              <w:bottom w:val="single" w:sz="4" w:space="0" w:color="auto"/>
            </w:tcBorders>
          </w:tcPr>
          <w:p w:rsidR="00F936A8" w:rsidRPr="00D87F70"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D87F70">
              <w:rPr>
                <w:b/>
              </w:rPr>
              <w:t>708 953</w:t>
            </w:r>
          </w:p>
        </w:tc>
      </w:tr>
      <w:tr w:rsidR="00F936A8" w:rsidRPr="00C460C2" w:rsidTr="00F936A8">
        <w:tc>
          <w:tcPr>
            <w:cnfStyle w:val="001000000000" w:firstRow="0" w:lastRow="0" w:firstColumn="1" w:lastColumn="0" w:oddVBand="0" w:evenVBand="0" w:oddHBand="0" w:evenHBand="0" w:firstRowFirstColumn="0" w:firstRowLastColumn="0" w:lastRowFirstColumn="0" w:lastRowLastColumn="0"/>
            <w:tcW w:w="4966" w:type="dxa"/>
            <w:tcBorders>
              <w:top w:val="single" w:sz="4" w:space="0" w:color="auto"/>
            </w:tcBorders>
          </w:tcPr>
          <w:p w:rsidR="00F936A8" w:rsidRPr="00C460C2" w:rsidRDefault="00F936A8" w:rsidP="00122DDF">
            <w:pPr>
              <w:tabs>
                <w:tab w:val="left" w:pos="1980"/>
              </w:tabs>
            </w:pPr>
            <w:r w:rsidRPr="00C460C2">
              <w:t xml:space="preserve">Доля служащих и наемных работников, вступивших в профсоюзы </w:t>
            </w:r>
          </w:p>
        </w:tc>
        <w:tc>
          <w:tcPr>
            <w:tcW w:w="1271" w:type="dxa"/>
            <w:tcBorders>
              <w:top w:val="single" w:sz="4" w:space="0" w:color="auto"/>
            </w:tcBorders>
          </w:tcPr>
          <w:p w:rsidR="00F936A8" w:rsidRPr="00C460C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p>
        </w:tc>
        <w:tc>
          <w:tcPr>
            <w:tcW w:w="1133" w:type="dxa"/>
            <w:tcBorders>
              <w:top w:val="single" w:sz="4" w:space="0" w:color="auto"/>
            </w:tcBorders>
          </w:tcPr>
          <w:p w:rsidR="00F936A8" w:rsidRPr="00C460C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C460C2">
              <w:t>21</w:t>
            </w:r>
            <w:r>
              <w:t>,</w:t>
            </w:r>
            <w:r w:rsidRPr="00C460C2">
              <w:t>51%</w:t>
            </w:r>
          </w:p>
        </w:tc>
      </w:tr>
    </w:tbl>
    <w:p w:rsidR="00F936A8" w:rsidRPr="00CB2C86" w:rsidRDefault="00F936A8" w:rsidP="00122DDF">
      <w:pPr>
        <w:pStyle w:val="H1GR"/>
        <w:tabs>
          <w:tab w:val="left" w:pos="1980"/>
        </w:tabs>
      </w:pPr>
      <w:r w:rsidRPr="00CB2C86">
        <w:tab/>
      </w:r>
      <w:r w:rsidRPr="00CB2C86">
        <w:tab/>
        <w:t>Поощрение эффективной коммуникации, консультаций и</w:t>
      </w:r>
      <w:r>
        <w:t> </w:t>
      </w:r>
      <w:r w:rsidRPr="00CB2C86">
        <w:t xml:space="preserve">добровольных переговоров между работодателями и работниками </w:t>
      </w:r>
    </w:p>
    <w:p w:rsidR="00F936A8" w:rsidRPr="00CB2C86" w:rsidRDefault="00F936A8" w:rsidP="0045377F">
      <w:pPr>
        <w:pStyle w:val="SingleTxtGR"/>
        <w:tabs>
          <w:tab w:val="clear" w:pos="1701"/>
          <w:tab w:val="left" w:pos="1980"/>
        </w:tabs>
      </w:pPr>
      <w:r w:rsidRPr="00CB2C86">
        <w:t>8.4</w:t>
      </w:r>
      <w:r w:rsidRPr="00CB2C86">
        <w:tab/>
        <w:t>Департамент труда поощряет добровольные и прямые переговоры м</w:t>
      </w:r>
      <w:r w:rsidRPr="00CB2C86">
        <w:t>е</w:t>
      </w:r>
      <w:r w:rsidRPr="00CB2C86">
        <w:t xml:space="preserve">жду работодателями и работниками как на уровне предприятия, так и отрасли. </w:t>
      </w:r>
    </w:p>
    <w:p w:rsidR="00F936A8" w:rsidRPr="00CB2C86" w:rsidRDefault="00F936A8" w:rsidP="0045377F">
      <w:pPr>
        <w:pStyle w:val="SingleTxtGR"/>
        <w:tabs>
          <w:tab w:val="clear" w:pos="1701"/>
          <w:tab w:val="left" w:pos="1980"/>
        </w:tabs>
      </w:pPr>
      <w:r w:rsidRPr="00CB2C86">
        <w:t>8.5</w:t>
      </w:r>
      <w:r w:rsidRPr="00CB2C86">
        <w:tab/>
        <w:t xml:space="preserve">Как уже отмечалось в пункте 8.12 </w:t>
      </w:r>
      <w:r w:rsidRPr="00CB2C86">
        <w:rPr>
          <w:lang w:val="en-GB"/>
        </w:rPr>
        <w:t>a</w:t>
      </w:r>
      <w:r w:rsidRPr="00CB2C86">
        <w:t>) предыдущего доклада, на уровне предприятия работодателям рекомендуется поддерживать эффективные связи со своими работниками, советоваться с ними по трудовым вопросам и применять надлежащую кадровую практику. На уровне промышленности для укрепления коммуникации и сотрудничества между представителями работодателей, рабо</w:t>
      </w:r>
      <w:r w:rsidRPr="00CB2C86">
        <w:t>т</w:t>
      </w:r>
      <w:r w:rsidRPr="00CB2C86">
        <w:t>ников и правительства были созданы девять отраслевых трехсторонних комит</w:t>
      </w:r>
      <w:r w:rsidRPr="00CB2C86">
        <w:t>е</w:t>
      </w:r>
      <w:r w:rsidRPr="00CB2C86">
        <w:t>т</w:t>
      </w:r>
      <w:r w:rsidR="00E56A49">
        <w:t>ов</w:t>
      </w:r>
      <w:r w:rsidRPr="00CB2C86">
        <w:t>. Эти трехсторонние комитеты регулярно проводят совещания и обсуждают актуальные трудовые проблемы и пропагандируют наилучшую для конкретной отрасли практику управления персоналом путем проведения совещаний и пу</w:t>
      </w:r>
      <w:r w:rsidRPr="00CB2C86">
        <w:t>б</w:t>
      </w:r>
      <w:r w:rsidRPr="00CB2C86">
        <w:t>ликации брошюр и т.д. Был разработан ряд различных справочных руководств по вопросам занятости для таких секторов, как общественное питание, стро</w:t>
      </w:r>
      <w:r w:rsidRPr="00CB2C86">
        <w:t>и</w:t>
      </w:r>
      <w:r w:rsidRPr="00CB2C86">
        <w:t>тельство, полиграфия и управление собственностью. Например, были рассмо</w:t>
      </w:r>
      <w:r w:rsidRPr="00CB2C86">
        <w:t>т</w:t>
      </w:r>
      <w:r w:rsidRPr="00CB2C86">
        <w:t>рены такие вопросы, предполагающие оказание помощи этим отраслям в реш</w:t>
      </w:r>
      <w:r w:rsidRPr="00CB2C86">
        <w:t>е</w:t>
      </w:r>
      <w:r w:rsidRPr="00CB2C86">
        <w:t>нии таких проблем, как вспышка тяжелого острого респираторного синдрома (ТОРС), провозглашенная правительством система квалификаций и разработка нормативных актов о минимальной оплате труда и предупреждение дискрим</w:t>
      </w:r>
      <w:r w:rsidRPr="00CB2C86">
        <w:t>и</w:t>
      </w:r>
      <w:r w:rsidRPr="00CB2C86">
        <w:t>нации по признаку расы.</w:t>
      </w:r>
    </w:p>
    <w:p w:rsidR="00F936A8" w:rsidRPr="00CB2C86" w:rsidRDefault="00F936A8" w:rsidP="0045377F">
      <w:pPr>
        <w:pStyle w:val="SingleTxtGR"/>
        <w:tabs>
          <w:tab w:val="clear" w:pos="1701"/>
          <w:tab w:val="left" w:pos="1980"/>
        </w:tabs>
      </w:pPr>
      <w:r w:rsidRPr="00CB2C86">
        <w:t>8.6</w:t>
      </w:r>
      <w:r w:rsidRPr="00CB2C86">
        <w:tab/>
        <w:t>Департамент труда также организует для работодателей, работников и специалистов по кадровым ресурсам различные семинары и переговоры, чтобы содействовать эффективной коммуникации по вопросам организации труда и соответствующей надлежащей практики управления персоналом. Так, в июне 2005</w:t>
      </w:r>
      <w:r w:rsidR="00B92291">
        <w:t> год</w:t>
      </w:r>
      <w:r w:rsidRPr="00CB2C86">
        <w:t>а Департамент труда совместно с Консультативным комитетом по в</w:t>
      </w:r>
      <w:r w:rsidRPr="00CB2C86">
        <w:t>о</w:t>
      </w:r>
      <w:r w:rsidRPr="00CB2C86">
        <w:t>просам труда организовал крупный семинар на тему надлежащего управления персоналом. С целью укрепления партнерства и расширения диалога между р</w:t>
      </w:r>
      <w:r w:rsidRPr="00CB2C86">
        <w:t>а</w:t>
      </w:r>
      <w:r w:rsidRPr="00CB2C86">
        <w:t>ботодателями и работниками в марте 2006</w:t>
      </w:r>
      <w:r w:rsidR="00B92291">
        <w:t> год</w:t>
      </w:r>
      <w:r w:rsidRPr="00CB2C86">
        <w:t>а для проведения рабочего сов</w:t>
      </w:r>
      <w:r w:rsidRPr="00CB2C86">
        <w:t>е</w:t>
      </w:r>
      <w:r w:rsidRPr="00CB2C86">
        <w:t xml:space="preserve">щания для членов трехсторонних комитетов на тему </w:t>
      </w:r>
      <w:r>
        <w:t>"</w:t>
      </w:r>
      <w:r w:rsidRPr="00CB2C86">
        <w:t>Сотрудничество между работниками и управленческим персоналом</w:t>
      </w:r>
      <w:r>
        <w:t>"</w:t>
      </w:r>
      <w:r w:rsidRPr="00CB2C86">
        <w:t xml:space="preserve"> были приглашены эксперты Ме</w:t>
      </w:r>
      <w:r w:rsidRPr="00CB2C86">
        <w:t>ж</w:t>
      </w:r>
      <w:r w:rsidRPr="00CB2C86">
        <w:t>дународной организации труда. Члены трехсторонних комитетов принимали также участие в работе крупных семинаров, посвященных таким разнообра</w:t>
      </w:r>
      <w:r w:rsidRPr="00CB2C86">
        <w:t>з</w:t>
      </w:r>
      <w:r w:rsidRPr="00CB2C86">
        <w:t>ным темам надлежащего управления персоналом, как трехстороннее сотрудн</w:t>
      </w:r>
      <w:r w:rsidRPr="00CB2C86">
        <w:t>и</w:t>
      </w:r>
      <w:r w:rsidRPr="00CB2C86">
        <w:t>чество, сотрудничество на производстве, эффективная коммуникация, сотру</w:t>
      </w:r>
      <w:r w:rsidRPr="00CB2C86">
        <w:t>д</w:t>
      </w:r>
      <w:r w:rsidRPr="00CB2C86">
        <w:t xml:space="preserve">ничество между работодателем и работником и ориентированная на семейные ценности практика найма. </w:t>
      </w:r>
    </w:p>
    <w:p w:rsidR="00F936A8" w:rsidRPr="00CB2C86" w:rsidRDefault="00F936A8" w:rsidP="0045377F">
      <w:pPr>
        <w:pStyle w:val="SingleTxtGR"/>
        <w:tabs>
          <w:tab w:val="clear" w:pos="1701"/>
          <w:tab w:val="left" w:pos="1980"/>
        </w:tabs>
      </w:pPr>
      <w:r w:rsidRPr="00CB2C86">
        <w:t>8.7</w:t>
      </w:r>
      <w:r w:rsidRPr="00CB2C86">
        <w:tab/>
        <w:t>По мнению некоторых комментаторов, следует расширять полномочия профессиональных союзов на ведение переговоров о заключении коллективных договоров, имея в</w:t>
      </w:r>
      <w:r w:rsidR="00E56A49">
        <w:t xml:space="preserve"> </w:t>
      </w:r>
      <w:r w:rsidRPr="00CB2C86">
        <w:t>виду дальнейшее развитие профсоюзов. Мы хотели бы по</w:t>
      </w:r>
      <w:r w:rsidRPr="00CB2C86">
        <w:t>д</w:t>
      </w:r>
      <w:r w:rsidRPr="00CB2C86">
        <w:t>черкнуть, что правительство в полной мере привержено поощрению добр</w:t>
      </w:r>
      <w:r w:rsidRPr="00CB2C86">
        <w:t>о</w:t>
      </w:r>
      <w:r w:rsidRPr="00CB2C86">
        <w:t>вольных и прямых трехсторонних переговоров между работодателями и рабо</w:t>
      </w:r>
      <w:r w:rsidRPr="00CB2C86">
        <w:t>т</w:t>
      </w:r>
      <w:r w:rsidRPr="00CB2C86">
        <w:t>никами или между их организациями. Департамент труда непрерывно наращ</w:t>
      </w:r>
      <w:r w:rsidRPr="00CB2C86">
        <w:t>и</w:t>
      </w:r>
      <w:r w:rsidRPr="00CB2C86">
        <w:t>вает широкий ряд пропагандистских мероприятий на уровнях предприятия и отрасли для создания условий и атмосферы, благоприятных для проведения добровольных и прямых переговоров. Например, в сентябре 2009</w:t>
      </w:r>
      <w:r w:rsidR="00B92291">
        <w:t> год</w:t>
      </w:r>
      <w:r w:rsidRPr="00CB2C86">
        <w:t>а для у</w:t>
      </w:r>
      <w:r w:rsidRPr="00CB2C86">
        <w:t>к</w:t>
      </w:r>
      <w:r w:rsidRPr="00CB2C86">
        <w:t>репления сотрудничества между работодателями и работниками и эффективной коммуникации был организован еще один крупный семинар.</w:t>
      </w:r>
    </w:p>
    <w:p w:rsidR="00F936A8" w:rsidRPr="00CB2C86" w:rsidRDefault="00F936A8" w:rsidP="0045377F">
      <w:pPr>
        <w:pStyle w:val="H1GR"/>
        <w:tabs>
          <w:tab w:val="left" w:pos="1980"/>
        </w:tabs>
      </w:pPr>
      <w:r w:rsidRPr="00CB2C86">
        <w:tab/>
      </w:r>
      <w:r w:rsidRPr="00CB2C86">
        <w:tab/>
        <w:t>Право на забастовки</w:t>
      </w:r>
    </w:p>
    <w:p w:rsidR="00F936A8" w:rsidRPr="00CB2C86" w:rsidRDefault="00F936A8" w:rsidP="0045377F">
      <w:pPr>
        <w:pStyle w:val="SingleTxtGR"/>
        <w:tabs>
          <w:tab w:val="clear" w:pos="1701"/>
          <w:tab w:val="left" w:pos="1980"/>
        </w:tabs>
      </w:pPr>
      <w:r w:rsidRPr="00CB2C86">
        <w:t>8.8</w:t>
      </w:r>
      <w:r w:rsidRPr="00CB2C86">
        <w:tab/>
        <w:t>Как уже отмечалось в пунктах 6.6 и 8.5 предыдущего доклада, в</w:t>
      </w:r>
      <w:r>
        <w:t> </w:t>
      </w:r>
      <w:r w:rsidRPr="00CB2C86">
        <w:t>2000</w:t>
      </w:r>
      <w:r w:rsidR="00B92291">
        <w:t> год</w:t>
      </w:r>
      <w:r w:rsidRPr="00CB2C86">
        <w:t xml:space="preserve">у в Указ о занятости были внесены поправки, преследовавшие цель разъяснить, что участие работника в забастовке в соответствии </w:t>
      </w:r>
      <w:r w:rsidR="00E56A49">
        <w:t xml:space="preserve">с </w:t>
      </w:r>
      <w:r w:rsidRPr="00CB2C86">
        <w:t>разделом 9 Указа не является законным основанием для прекращения трудового договора.</w:t>
      </w:r>
    </w:p>
    <w:p w:rsidR="00F936A8" w:rsidRPr="00CB2C86" w:rsidRDefault="00F936A8" w:rsidP="0045377F">
      <w:pPr>
        <w:pStyle w:val="SingleTxtGR"/>
        <w:tabs>
          <w:tab w:val="clear" w:pos="1701"/>
          <w:tab w:val="left" w:pos="1980"/>
        </w:tabs>
      </w:pPr>
      <w:r w:rsidRPr="00CB2C86">
        <w:t>8.9</w:t>
      </w:r>
      <w:r w:rsidRPr="00CB2C86">
        <w:tab/>
        <w:t>Статья 27 Основного закона гарантирует право на забастовки. В статье 27 Основного закона говориться:</w:t>
      </w:r>
    </w:p>
    <w:p w:rsidR="00F936A8" w:rsidRPr="00CB2C86" w:rsidRDefault="00F936A8" w:rsidP="0045377F">
      <w:pPr>
        <w:pStyle w:val="SingleTxtGR"/>
        <w:tabs>
          <w:tab w:val="clear" w:pos="1701"/>
          <w:tab w:val="left" w:pos="1980"/>
        </w:tabs>
        <w:ind w:left="1980"/>
      </w:pPr>
      <w:r>
        <w:t>"</w:t>
      </w:r>
      <w:r w:rsidRPr="00CB2C86">
        <w:t>Жители Гонконга имеют право на свободу слова, прессы и право на публикацию; свободу ассоциации, собраний, шествий и демонстр</w:t>
      </w:r>
      <w:r w:rsidRPr="00CB2C86">
        <w:t>а</w:t>
      </w:r>
      <w:r w:rsidRPr="00CB2C86">
        <w:t>ций; и право создавать профсоюзы и вступать в таковые, а также право на заба</w:t>
      </w:r>
      <w:r w:rsidRPr="00CB2C86">
        <w:t>с</w:t>
      </w:r>
      <w:r w:rsidRPr="00CB2C86">
        <w:t>товки.</w:t>
      </w:r>
      <w:r>
        <w:t>"</w:t>
      </w:r>
    </w:p>
    <w:p w:rsidR="00F936A8" w:rsidRPr="00CB2C86" w:rsidRDefault="00F936A8" w:rsidP="00122DDF">
      <w:pPr>
        <w:pStyle w:val="HChGR"/>
        <w:tabs>
          <w:tab w:val="left" w:pos="1980"/>
        </w:tabs>
      </w:pPr>
      <w:r w:rsidRPr="00CB2C86">
        <w:tab/>
      </w:r>
      <w:r w:rsidRPr="00CB2C86">
        <w:tab/>
        <w:t>Статья 9</w:t>
      </w:r>
      <w:r>
        <w:br/>
      </w:r>
      <w:r w:rsidRPr="00CB2C86">
        <w:t>Право на социальное обеспечение</w:t>
      </w:r>
    </w:p>
    <w:p w:rsidR="00F936A8" w:rsidRPr="00CB2C86" w:rsidRDefault="00F936A8" w:rsidP="00122DDF">
      <w:pPr>
        <w:pStyle w:val="H1GR"/>
        <w:tabs>
          <w:tab w:val="left" w:pos="1980"/>
        </w:tabs>
      </w:pPr>
      <w:r w:rsidRPr="00CB2C86">
        <w:tab/>
      </w:r>
      <w:r w:rsidRPr="00CB2C86">
        <w:tab/>
        <w:t xml:space="preserve">Общий обзор системы социального обеспечения Гонконга </w:t>
      </w:r>
    </w:p>
    <w:p w:rsidR="00F936A8" w:rsidRPr="00CB2C86" w:rsidRDefault="00F936A8" w:rsidP="0045377F">
      <w:pPr>
        <w:pStyle w:val="SingleTxtGR"/>
        <w:tabs>
          <w:tab w:val="clear" w:pos="1701"/>
          <w:tab w:val="left" w:pos="1980"/>
        </w:tabs>
      </w:pPr>
      <w:r w:rsidRPr="00CB2C86">
        <w:t>9.1</w:t>
      </w:r>
      <w:r w:rsidRPr="00CB2C86">
        <w:tab/>
        <w:t>Программа всеобъемлющей социальной помощи (ПВСП) и Программа социальных пособий (СП) продолжают оставаться хребтом системы социальн</w:t>
      </w:r>
      <w:r w:rsidRPr="00CB2C86">
        <w:t>о</w:t>
      </w:r>
      <w:r w:rsidRPr="00CB2C86">
        <w:t>го обеспечения Гонконга. Как уже отмечалось в пункте 134 первоначального доклада, обе программы не предусматривают выплату взносов. ПВСП требует проверки на нуждаемость и нацелена на оказание финансовой помощи ну</w:t>
      </w:r>
      <w:r w:rsidRPr="00CB2C86">
        <w:t>ж</w:t>
      </w:r>
      <w:r w:rsidRPr="00CB2C86">
        <w:t>дающимся семьям для удовлетворения своих насущных потребностей. ПСП в целом не требует проверки на нуждаемость и преследует цель помочь людям с тяжелой формой инвалидности и престарелым людям удовлетворять свои ос</w:t>
      </w:r>
      <w:r w:rsidRPr="00CB2C86">
        <w:t>о</w:t>
      </w:r>
      <w:r w:rsidRPr="00CB2C86">
        <w:t>бые потребности соответственно за счет пособия по инвалидности и пособия по старости. Человек может получать помощь по линии ПВСП или одно из п</w:t>
      </w:r>
      <w:r w:rsidRPr="00CB2C86">
        <w:t>о</w:t>
      </w:r>
      <w:r w:rsidRPr="00CB2C86">
        <w:t xml:space="preserve">собий по линии ПСП. </w:t>
      </w:r>
    </w:p>
    <w:p w:rsidR="00F936A8" w:rsidRPr="00CB2C86" w:rsidRDefault="00F936A8" w:rsidP="0045377F">
      <w:pPr>
        <w:pStyle w:val="SingleTxtGR"/>
        <w:tabs>
          <w:tab w:val="clear" w:pos="1701"/>
          <w:tab w:val="left" w:pos="1980"/>
        </w:tabs>
      </w:pPr>
      <w:r w:rsidRPr="00CB2C86">
        <w:t>9.2</w:t>
      </w:r>
      <w:r w:rsidRPr="00CB2C86">
        <w:tab/>
        <w:t>Стандартный размер выплат по линии ПВСП и размер пособий по л</w:t>
      </w:r>
      <w:r w:rsidRPr="00CB2C86">
        <w:t>и</w:t>
      </w:r>
      <w:r w:rsidRPr="00CB2C86">
        <w:t>нии ПСП ежегодно корректируются для сохранения их покупательной спосо</w:t>
      </w:r>
      <w:r w:rsidRPr="00CB2C86">
        <w:t>б</w:t>
      </w:r>
      <w:r w:rsidRPr="00CB2C86">
        <w:t>ности в зависимости от колебания индекса цен, основанного на потребител</w:t>
      </w:r>
      <w:r w:rsidRPr="00CB2C86">
        <w:t>ь</w:t>
      </w:r>
      <w:r w:rsidRPr="00CB2C86">
        <w:t>ской корзине социального обеспечения (ИЦПКСО). ИЦПКСО показывает изм</w:t>
      </w:r>
      <w:r w:rsidRPr="00CB2C86">
        <w:t>е</w:t>
      </w:r>
      <w:r w:rsidRPr="00CB2C86">
        <w:t>нение цен на товары и услуги, потребляемые домашними хозяйствами в рамках ПВСП. Он составляется государственным Департаментом переписей и стат</w:t>
      </w:r>
      <w:r w:rsidRPr="00CB2C86">
        <w:t>и</w:t>
      </w:r>
      <w:r w:rsidRPr="00CB2C86">
        <w:t>стики, а его система весов (т.е. относительные доли расходов на отдельные к</w:t>
      </w:r>
      <w:r w:rsidRPr="00CB2C86">
        <w:t>а</w:t>
      </w:r>
      <w:r w:rsidRPr="00CB2C86">
        <w:t>тегории товаров и услуг, охватываемых этим индексом) обновляется ДСО ка</w:t>
      </w:r>
      <w:r w:rsidRPr="00CB2C86">
        <w:t>ж</w:t>
      </w:r>
      <w:r w:rsidRPr="00CB2C86">
        <w:t>дые пять лет на основе результатов обследования расходов домашних хозяйств (ОРД), охваченных ПВСП. В ходе этого обследования собирается информация о расходах на все товары и услуги, потребляемыми охваченными ПВСП дома</w:t>
      </w:r>
      <w:r w:rsidRPr="00CB2C86">
        <w:t>ш</w:t>
      </w:r>
      <w:r w:rsidRPr="00CB2C86">
        <w:t>ними хозяйствами. В обследовании регистрируются все местные домашние х</w:t>
      </w:r>
      <w:r w:rsidRPr="00CB2C86">
        <w:t>о</w:t>
      </w:r>
      <w:r w:rsidRPr="00CB2C86">
        <w:t>зяйства, включенные в ПВСП, хотя бы с одним имеющим право на стандартную помощь членом домохозяйства. На момент составления настоящего доклада ДСО проводил очередной раунд ОРД участвующих в ПВСП домашних х</w:t>
      </w:r>
      <w:r w:rsidRPr="00CB2C86">
        <w:t>о</w:t>
      </w:r>
      <w:r w:rsidRPr="00CB2C86">
        <w:t>зяйств, который должен завершиться в сентябре 2010</w:t>
      </w:r>
      <w:r w:rsidR="00B92291">
        <w:t> год</w:t>
      </w:r>
      <w:r w:rsidRPr="00CB2C86">
        <w:t xml:space="preserve">а. </w:t>
      </w:r>
    </w:p>
    <w:p w:rsidR="00F936A8" w:rsidRPr="00CB2C86" w:rsidRDefault="00F936A8" w:rsidP="0045377F">
      <w:pPr>
        <w:pStyle w:val="SingleTxtGR"/>
        <w:tabs>
          <w:tab w:val="clear" w:pos="1701"/>
          <w:tab w:val="left" w:pos="1980"/>
        </w:tabs>
      </w:pPr>
      <w:r w:rsidRPr="00CB2C86">
        <w:t>9.3</w:t>
      </w:r>
      <w:r w:rsidRPr="00CB2C86">
        <w:tab/>
        <w:t>Получатель социальных пособий по линии ПВСП и ПСП должен быть жителем Гонконга, проживающим в нем по меньшей мере семь лет и постоянно проживавшим в Гонконге не меньше одного</w:t>
      </w:r>
      <w:r w:rsidR="00B92291">
        <w:t> год</w:t>
      </w:r>
      <w:r w:rsidRPr="00CB2C86">
        <w:t>а до подачи ходатайства. Нек</w:t>
      </w:r>
      <w:r w:rsidRPr="00CB2C86">
        <w:t>о</w:t>
      </w:r>
      <w:r w:rsidRPr="00CB2C86">
        <w:t>торые комментаторы настаивали на исключении ценза семилетнего проживания из квалификационных критериев права на помощь по линии ПВСП. Мы счит</w:t>
      </w:r>
      <w:r w:rsidRPr="00CB2C86">
        <w:t>а</w:t>
      </w:r>
      <w:r w:rsidRPr="00CB2C86">
        <w:t>ем, что это условие закладывает рациональную основу для выделения наших государственных ресурсов, помогает сохранить все более востребованную си</w:t>
      </w:r>
      <w:r w:rsidRPr="00CB2C86">
        <w:t>с</w:t>
      </w:r>
      <w:r w:rsidRPr="00CB2C86">
        <w:t>тему социального обеспечения, не требующую взносов, и обеспечивает равн</w:t>
      </w:r>
      <w:r w:rsidRPr="00CB2C86">
        <w:t>о</w:t>
      </w:r>
      <w:r w:rsidRPr="00CB2C86">
        <w:t>весие между интересами различных слоев общества. Говоря более конкретно, требование о семилетнем проживании преследует цель поощрять новоприбы</w:t>
      </w:r>
      <w:r w:rsidRPr="00CB2C86">
        <w:t>в</w:t>
      </w:r>
      <w:r w:rsidRPr="00CB2C86">
        <w:t>ших работоспособных жителей полагаться на собственные силы, а не на соц</w:t>
      </w:r>
      <w:r w:rsidRPr="00CB2C86">
        <w:t>и</w:t>
      </w:r>
      <w:r w:rsidRPr="00CB2C86">
        <w:t>альную помощь. Оно выпукло подчеркивает необходимость для потенциальных иммигрантов тщательно планировать и предусматривать, чтобы перед перес</w:t>
      </w:r>
      <w:r w:rsidRPr="00CB2C86">
        <w:t>е</w:t>
      </w:r>
      <w:r w:rsidRPr="00CB2C86">
        <w:t xml:space="preserve">лением в Гонконг у них были достаточные средства для </w:t>
      </w:r>
      <w:proofErr w:type="spellStart"/>
      <w:r w:rsidRPr="00CB2C86">
        <w:t>самообеспечения</w:t>
      </w:r>
      <w:proofErr w:type="spellEnd"/>
      <w:r w:rsidRPr="00CB2C86">
        <w:t>.</w:t>
      </w:r>
    </w:p>
    <w:p w:rsidR="00F936A8" w:rsidRPr="00CB2C86" w:rsidRDefault="00F936A8" w:rsidP="0045377F">
      <w:pPr>
        <w:pStyle w:val="SingleTxtGR"/>
        <w:tabs>
          <w:tab w:val="clear" w:pos="1701"/>
          <w:tab w:val="left" w:pos="1980"/>
        </w:tabs>
      </w:pPr>
      <w:r w:rsidRPr="00CB2C86">
        <w:t>9.4.</w:t>
      </w:r>
      <w:r w:rsidRPr="00CB2C86">
        <w:tab/>
        <w:t>Некоторые комментаторы выразили озабоченность, согласно которой несмотря на корректировки, вносимые на основе ИЦПКСО и результатов ОРД, б</w:t>
      </w:r>
      <w:r w:rsidRPr="00CB2C86">
        <w:t>а</w:t>
      </w:r>
      <w:r w:rsidRPr="00CB2C86">
        <w:t xml:space="preserve">зовый уровень жизни получателей социальной помощи не пересматривался с середины </w:t>
      </w:r>
      <w:r w:rsidR="00E81773">
        <w:t>19</w:t>
      </w:r>
      <w:r w:rsidRPr="00CB2C86">
        <w:t>90-х</w:t>
      </w:r>
      <w:r w:rsidR="00B92291">
        <w:t> год</w:t>
      </w:r>
      <w:r w:rsidRPr="00CB2C86">
        <w:t>ов. В связи с этим мы хотели бы подчеркнуть, что созда</w:t>
      </w:r>
      <w:r w:rsidRPr="00CB2C86">
        <w:t>н</w:t>
      </w:r>
      <w:r w:rsidRPr="00CB2C86">
        <w:t>ный механизм корректировок размера пособий, упомянутый выше в пункте 9.2, уже обеспечивает сохранение покупательной способности социальных выплат по линии ПВСП и доказал свою эффективность для достижения этой цели с с</w:t>
      </w:r>
      <w:r w:rsidRPr="00CB2C86">
        <w:t>а</w:t>
      </w:r>
      <w:r w:rsidRPr="00CB2C86">
        <w:t>мого начала. В сущности, среднемесячные социальные пособия по линии ПВСП 20% наименее обеспеченных домохозяйств, участвующих в ПВСП, в ц</w:t>
      </w:r>
      <w:r w:rsidRPr="00CB2C86">
        <w:t>е</w:t>
      </w:r>
      <w:r w:rsidRPr="00CB2C86">
        <w:t>лом превышают среднемесячный доход этой же группы не участвующих в ПВСП домохозяйств с наименьшим доходом. Это также выше среднемесячных расх</w:t>
      </w:r>
      <w:r w:rsidRPr="00CB2C86">
        <w:t>о</w:t>
      </w:r>
      <w:r w:rsidRPr="00CB2C86">
        <w:t>дов 25% не участвующих в ПВСП домашних хозяйств с наименьшими расходами. Приведенные статистические данные свидетельствуют о том, что ПВСП обеспечивает достаточную социальную защиту нуждающегося насел</w:t>
      </w:r>
      <w:r w:rsidRPr="00CB2C86">
        <w:t>е</w:t>
      </w:r>
      <w:r w:rsidRPr="00CB2C86">
        <w:t>ния.</w:t>
      </w:r>
    </w:p>
    <w:p w:rsidR="00F936A8" w:rsidRPr="00CB2C86" w:rsidRDefault="00F936A8" w:rsidP="00122DDF">
      <w:pPr>
        <w:pStyle w:val="H1GR"/>
        <w:tabs>
          <w:tab w:val="left" w:pos="1980"/>
        </w:tabs>
      </w:pPr>
      <w:r w:rsidRPr="00CB2C86">
        <w:tab/>
      </w:r>
      <w:r w:rsidRPr="00CB2C86">
        <w:tab/>
        <w:t>Расходы правительства на социальное обеспечение</w:t>
      </w:r>
    </w:p>
    <w:p w:rsidR="00F936A8" w:rsidRPr="00CB2C86" w:rsidRDefault="00F936A8" w:rsidP="0045377F">
      <w:pPr>
        <w:pStyle w:val="SingleTxtGR"/>
        <w:tabs>
          <w:tab w:val="clear" w:pos="1701"/>
          <w:tab w:val="left" w:pos="1980"/>
        </w:tabs>
      </w:pPr>
      <w:r w:rsidRPr="00CB2C86">
        <w:t>9.5</w:t>
      </w:r>
      <w:r w:rsidRPr="00CB2C86">
        <w:tab/>
        <w:t>В 2008</w:t>
      </w:r>
      <w:r>
        <w:t>−</w:t>
      </w:r>
      <w:r w:rsidRPr="00CB2C86">
        <w:t>2009</w:t>
      </w:r>
      <w:r w:rsidR="00B92291">
        <w:t> год</w:t>
      </w:r>
      <w:r w:rsidRPr="00CB2C86">
        <w:t>ах периодические расходы правительства на социал</w:t>
      </w:r>
      <w:r w:rsidRPr="00CB2C86">
        <w:t>ь</w:t>
      </w:r>
      <w:r w:rsidRPr="00CB2C86">
        <w:t>ное обеспечение составили 23</w:t>
      </w:r>
      <w:r w:rsidR="004F720A">
        <w:t> </w:t>
      </w:r>
      <w:r w:rsidR="00B63D5C">
        <w:t>млрд. долл.</w:t>
      </w:r>
      <w:r w:rsidRPr="00CB2C86">
        <w:t>, что эквивалентно 10</w:t>
      </w:r>
      <w:r w:rsidR="00E81773">
        <w:t>,</w:t>
      </w:r>
      <w:r w:rsidRPr="00CB2C86">
        <w:t>8% общих п</w:t>
      </w:r>
      <w:r w:rsidRPr="00CB2C86">
        <w:t>е</w:t>
      </w:r>
      <w:r w:rsidRPr="00CB2C86">
        <w:t>риодических расходов правительства и 1</w:t>
      </w:r>
      <w:r w:rsidR="00E81773">
        <w:t>,</w:t>
      </w:r>
      <w:r w:rsidRPr="00CB2C86">
        <w:t>4% валового внутреннего продукта (ВВП) в</w:t>
      </w:r>
      <w:r w:rsidR="00B92291">
        <w:t> год</w:t>
      </w:r>
      <w:r w:rsidRPr="00CB2C86">
        <w:t>. В порядке сравнения, соответствующие показатели десятилетней давности в 1998</w:t>
      </w:r>
      <w:r>
        <w:t>−</w:t>
      </w:r>
      <w:r w:rsidRPr="00CB2C86">
        <w:t>1999</w:t>
      </w:r>
      <w:r w:rsidR="00B92291">
        <w:t> год</w:t>
      </w:r>
      <w:r w:rsidRPr="00CB2C86">
        <w:t>ы составляли 17,9</w:t>
      </w:r>
      <w:r w:rsidR="004F720A">
        <w:t> </w:t>
      </w:r>
      <w:r w:rsidR="00B63D5C">
        <w:t>млрд. долл.</w:t>
      </w:r>
      <w:r w:rsidR="00BC06AE">
        <w:t>,</w:t>
      </w:r>
      <w:r w:rsidRPr="00CB2C86">
        <w:t xml:space="preserve"> или 10,4% всех пери</w:t>
      </w:r>
      <w:r w:rsidRPr="00CB2C86">
        <w:t>о</w:t>
      </w:r>
      <w:r w:rsidRPr="00CB2C86">
        <w:t>дических расходов правительства и 1</w:t>
      </w:r>
      <w:r>
        <w:t>,</w:t>
      </w:r>
      <w:r w:rsidRPr="00CB2C86">
        <w:t>4% ВВП, а соответствующие цифры на 2001</w:t>
      </w:r>
      <w:r>
        <w:t>−</w:t>
      </w:r>
      <w:r w:rsidRPr="00CB2C86">
        <w:t>2002</w:t>
      </w:r>
      <w:r w:rsidR="00B92291">
        <w:t> год</w:t>
      </w:r>
      <w:r w:rsidRPr="00CB2C86">
        <w:t>ы, приведенные в предыдущем докладе, были 19,8</w:t>
      </w:r>
      <w:r w:rsidR="004F720A">
        <w:t> </w:t>
      </w:r>
      <w:r w:rsidR="00B63D5C">
        <w:t>млрд. долл.</w:t>
      </w:r>
      <w:r w:rsidRPr="00CB2C86">
        <w:t>, т.е. 10% всех периодических расходов правительства, и 1,6% ВВП.</w:t>
      </w:r>
    </w:p>
    <w:p w:rsidR="00F936A8" w:rsidRPr="00CB2C86" w:rsidRDefault="00F936A8" w:rsidP="0045377F">
      <w:pPr>
        <w:pStyle w:val="SingleTxtGR"/>
        <w:tabs>
          <w:tab w:val="clear" w:pos="1701"/>
          <w:tab w:val="left" w:pos="1980"/>
        </w:tabs>
      </w:pPr>
      <w:r w:rsidRPr="00CB2C86">
        <w:t>9.6</w:t>
      </w:r>
      <w:r w:rsidRPr="00CB2C86">
        <w:tab/>
        <w:t>В 2009</w:t>
      </w:r>
      <w:r>
        <w:t>−</w:t>
      </w:r>
      <w:r w:rsidRPr="00CB2C86">
        <w:t>2010</w:t>
      </w:r>
      <w:r w:rsidR="00B92291">
        <w:t> год</w:t>
      </w:r>
      <w:r w:rsidRPr="00CB2C86">
        <w:t>ах, по оценкам, правительство намерено израсход</w:t>
      </w:r>
      <w:r w:rsidRPr="00CB2C86">
        <w:t>о</w:t>
      </w:r>
      <w:r w:rsidRPr="00CB2C86">
        <w:t>вать на социальное обеспечение, 27</w:t>
      </w:r>
      <w:r w:rsidR="004F720A">
        <w:t> </w:t>
      </w:r>
      <w:r w:rsidR="00B63D5C">
        <w:t>млрд. долл.</w:t>
      </w:r>
      <w:r w:rsidRPr="00CB2C86">
        <w:t>, что равно  примерно 11,9% общих запланированных расходов правительства.</w:t>
      </w:r>
    </w:p>
    <w:p w:rsidR="00F936A8" w:rsidRPr="00CB2C86" w:rsidRDefault="00F936A8" w:rsidP="00122DDF">
      <w:pPr>
        <w:pStyle w:val="H1GR"/>
        <w:tabs>
          <w:tab w:val="left" w:pos="1980"/>
        </w:tabs>
      </w:pPr>
      <w:r w:rsidRPr="00CB2C86">
        <w:tab/>
      </w:r>
      <w:r w:rsidRPr="00CB2C86">
        <w:tab/>
        <w:t xml:space="preserve">Программа всеобъемлющая социального обеспечения </w:t>
      </w:r>
    </w:p>
    <w:p w:rsidR="00F936A8" w:rsidRPr="00CB2C86" w:rsidRDefault="00F936A8" w:rsidP="0045377F">
      <w:pPr>
        <w:pStyle w:val="SingleTxtGR"/>
        <w:tabs>
          <w:tab w:val="clear" w:pos="1701"/>
          <w:tab w:val="left" w:pos="1980"/>
        </w:tabs>
      </w:pPr>
      <w:r w:rsidRPr="00CB2C86">
        <w:t>9.7</w:t>
      </w:r>
      <w:r w:rsidRPr="00CB2C86">
        <w:tab/>
        <w:t xml:space="preserve">Программа ПВСП остается нашей </w:t>
      </w:r>
      <w:r>
        <w:t>"</w:t>
      </w:r>
      <w:r w:rsidRPr="00CB2C86">
        <w:t>подушкой</w:t>
      </w:r>
      <w:r>
        <w:t>"</w:t>
      </w:r>
      <w:r w:rsidRPr="00CB2C86">
        <w:t xml:space="preserve"> социальной безопасн</w:t>
      </w:r>
      <w:r w:rsidRPr="00CB2C86">
        <w:t>о</w:t>
      </w:r>
      <w:r w:rsidRPr="00CB2C86">
        <w:t>сти для отдельных граждан и семей, которые в силу таких различных причин, как преклонный возраст, болезнь, инвалидность, неполная семья, безработица и низкий заработок, не могут обеспечить себя материально. По состоянию на к</w:t>
      </w:r>
      <w:r w:rsidRPr="00CB2C86">
        <w:t>о</w:t>
      </w:r>
      <w:r w:rsidRPr="00CB2C86">
        <w:t>нец декабря 2009</w:t>
      </w:r>
      <w:r w:rsidR="00B92291">
        <w:t> год</w:t>
      </w:r>
      <w:r w:rsidRPr="00CB2C86">
        <w:t>а социальную помощь по линии этой программы получали около 289</w:t>
      </w:r>
      <w:r w:rsidR="00E758E4">
        <w:t> 000</w:t>
      </w:r>
      <w:r w:rsidRPr="00CB2C86">
        <w:t xml:space="preserve"> домашних хозяйств (482</w:t>
      </w:r>
      <w:r w:rsidR="00E758E4">
        <w:t> 000</w:t>
      </w:r>
      <w:r w:rsidRPr="00CB2C86">
        <w:t xml:space="preserve"> человек). В 2008</w:t>
      </w:r>
      <w:r>
        <w:t>−</w:t>
      </w:r>
      <w:r w:rsidRPr="00CB2C86">
        <w:t>2009</w:t>
      </w:r>
      <w:r w:rsidR="00B92291">
        <w:t> год</w:t>
      </w:r>
      <w:r w:rsidRPr="00CB2C86">
        <w:t>ах сре</w:t>
      </w:r>
      <w:r w:rsidRPr="00CB2C86">
        <w:t>д</w:t>
      </w:r>
      <w:r w:rsidRPr="00CB2C86">
        <w:t>ний размер пособия по линии ПВСП составлял 3</w:t>
      </w:r>
      <w:r>
        <w:t> </w:t>
      </w:r>
      <w:r w:rsidRPr="00CB2C86">
        <w:t>623</w:t>
      </w:r>
      <w:r w:rsidR="004F720A">
        <w:t> долл.</w:t>
      </w:r>
      <w:r w:rsidRPr="00CB2C86">
        <w:t xml:space="preserve"> в месяц на чел</w:t>
      </w:r>
      <w:r w:rsidRPr="00CB2C86">
        <w:t>о</w:t>
      </w:r>
      <w:r w:rsidRPr="00CB2C86">
        <w:t>века и 9</w:t>
      </w:r>
      <w:r>
        <w:t> </w:t>
      </w:r>
      <w:r w:rsidRPr="00CB2C86">
        <w:t>244</w:t>
      </w:r>
      <w:r w:rsidR="004F720A">
        <w:t> долл.</w:t>
      </w:r>
      <w:r w:rsidRPr="00CB2C86">
        <w:t xml:space="preserve"> на семью в составе четырех человек, т.е. соответственно 35,2% и 89</w:t>
      </w:r>
      <w:r>
        <w:t>,</w:t>
      </w:r>
      <w:r w:rsidRPr="00CB2C86">
        <w:t>8% медианного заработка.</w:t>
      </w:r>
    </w:p>
    <w:p w:rsidR="00F936A8" w:rsidRPr="00CB2C86" w:rsidRDefault="00F936A8" w:rsidP="00122DDF">
      <w:pPr>
        <w:pStyle w:val="H23GR"/>
        <w:tabs>
          <w:tab w:val="left" w:pos="1980"/>
        </w:tabs>
      </w:pPr>
      <w:r w:rsidRPr="00CB2C86">
        <w:tab/>
      </w:r>
      <w:r w:rsidRPr="00CB2C86">
        <w:tab/>
        <w:t>Квалификационные критерии</w:t>
      </w:r>
    </w:p>
    <w:p w:rsidR="00F936A8" w:rsidRPr="00CB2C86" w:rsidRDefault="00F936A8" w:rsidP="0045377F">
      <w:pPr>
        <w:pStyle w:val="SingleTxtGR"/>
        <w:tabs>
          <w:tab w:val="clear" w:pos="1701"/>
          <w:tab w:val="left" w:pos="1980"/>
        </w:tabs>
      </w:pPr>
      <w:r w:rsidRPr="00CB2C86">
        <w:t>9.8</w:t>
      </w:r>
      <w:r w:rsidRPr="00CB2C86">
        <w:tab/>
        <w:t>Как уже отмечалось выше, программа ПВСП не требует проверки на нуждаемость, а получатели пособий ПВСП должны быть жителями Гонконга, проживающими в нем по меньшей мере 7 лет, и постоянно проживать в Гонко</w:t>
      </w:r>
      <w:r w:rsidRPr="00CB2C86">
        <w:t>н</w:t>
      </w:r>
      <w:r w:rsidRPr="00CB2C86">
        <w:t>ге не меньше 1</w:t>
      </w:r>
      <w:r w:rsidR="00B92291">
        <w:t> год</w:t>
      </w:r>
      <w:r w:rsidRPr="00CB2C86">
        <w:t>а до даты подачи ходатайства. Мы принимаем к сведению, что Комитет настоятельно рекомендовал правительству пересмотреть квалиф</w:t>
      </w:r>
      <w:r w:rsidRPr="00CB2C86">
        <w:t>и</w:t>
      </w:r>
      <w:r w:rsidRPr="00CB2C86">
        <w:t>кационные критерии, чтобы нуждающиеся могли пользоваться правом на до</w:t>
      </w:r>
      <w:r w:rsidRPr="00CB2C86">
        <w:t>с</w:t>
      </w:r>
      <w:r w:rsidRPr="00CB2C86">
        <w:t>тойный уровень жизни. Неизбежно всегда найдутся люди, которые по той или иной причине не отвечают квалификационным критериям ПВСП, но мы счит</w:t>
      </w:r>
      <w:r w:rsidRPr="00CB2C86">
        <w:t>а</w:t>
      </w:r>
      <w:r w:rsidRPr="00CB2C86">
        <w:t>ем, что нынешние квалификационные критерии устанавливают равновесие м</w:t>
      </w:r>
      <w:r w:rsidRPr="00CB2C86">
        <w:t>е</w:t>
      </w:r>
      <w:r w:rsidRPr="00CB2C86">
        <w:t>жду помощью нуждающимся и предусмотрительным и эффективным использ</w:t>
      </w:r>
      <w:r w:rsidRPr="00CB2C86">
        <w:t>о</w:t>
      </w:r>
      <w:r w:rsidRPr="00CB2C86">
        <w:t>ванием государственных средств. Это важно для сохранения устойчивости пр</w:t>
      </w:r>
      <w:r w:rsidRPr="00CB2C86">
        <w:t>о</w:t>
      </w:r>
      <w:r w:rsidRPr="00CB2C86">
        <w:t>граммы социального обеспечения, не требующей взносов, без квот и финанс</w:t>
      </w:r>
      <w:r w:rsidRPr="00CB2C86">
        <w:t>и</w:t>
      </w:r>
      <w:r w:rsidRPr="00CB2C86">
        <w:t>рующейся исключительно из общих доходов правительства.</w:t>
      </w:r>
    </w:p>
    <w:p w:rsidR="00F936A8" w:rsidRPr="00CB2C86" w:rsidRDefault="00F936A8" w:rsidP="0045377F">
      <w:pPr>
        <w:pStyle w:val="SingleTxtGR"/>
        <w:tabs>
          <w:tab w:val="clear" w:pos="1701"/>
          <w:tab w:val="left" w:pos="1980"/>
        </w:tabs>
      </w:pPr>
      <w:r w:rsidRPr="00CB2C86">
        <w:t>9.9</w:t>
      </w:r>
      <w:r w:rsidRPr="00CB2C86">
        <w:tab/>
        <w:t>Однако система предусматривает определенные исключения и свободу действий, например, когда речь идет о случаях, действительно заслуживающих особого подхода, и исключительных обстоятельствах, оказание социальной п</w:t>
      </w:r>
      <w:r w:rsidRPr="00CB2C86">
        <w:t>о</w:t>
      </w:r>
      <w:r w:rsidRPr="00CB2C86">
        <w:t>мощи может распространяться на нуждающихся лиц. Примером тому может служить особый порядок для новоприбывших жителей, которые не могут соо</w:t>
      </w:r>
      <w:r w:rsidRPr="00CB2C86">
        <w:t>т</w:t>
      </w:r>
      <w:r w:rsidRPr="00CB2C86">
        <w:t>ветствовать цензу проживания. Помимо таких исключений для просителей п</w:t>
      </w:r>
      <w:r w:rsidRPr="00CB2C86">
        <w:t>о</w:t>
      </w:r>
      <w:r w:rsidRPr="00CB2C86">
        <w:t>мощи по линии ПВСП</w:t>
      </w:r>
      <w:r w:rsidR="007A1295">
        <w:t>,</w:t>
      </w:r>
      <w:r w:rsidRPr="00CB2C86">
        <w:t xml:space="preserve"> не достигших возраста 18 лет</w:t>
      </w:r>
      <w:r w:rsidR="007A1295">
        <w:t>,</w:t>
      </w:r>
      <w:r w:rsidRPr="00CB2C86">
        <w:t xml:space="preserve"> в исключительных случ</w:t>
      </w:r>
      <w:r w:rsidRPr="00CB2C86">
        <w:t>а</w:t>
      </w:r>
      <w:r w:rsidRPr="00CB2C86">
        <w:t>ях директор Департамента социального обеспечения может по своему усмотр</w:t>
      </w:r>
      <w:r w:rsidRPr="00CB2C86">
        <w:t>е</w:t>
      </w:r>
      <w:r w:rsidRPr="00CB2C86">
        <w:t>нию предоставлять помощь по линии ПВСП взрослому лицу, на которое ра</w:t>
      </w:r>
      <w:r w:rsidRPr="00CB2C86">
        <w:t>с</w:t>
      </w:r>
      <w:r w:rsidRPr="00CB2C86">
        <w:t>пространяется ценз проживания. В период с</w:t>
      </w:r>
      <w:r w:rsidR="007A1295">
        <w:t xml:space="preserve"> </w:t>
      </w:r>
      <w:r w:rsidRPr="00CB2C86">
        <w:t>1января 2004</w:t>
      </w:r>
      <w:r w:rsidR="00B92291">
        <w:t> год</w:t>
      </w:r>
      <w:r w:rsidRPr="00CB2C86">
        <w:t>а по 31 декабря 2009</w:t>
      </w:r>
      <w:r w:rsidR="00B92291">
        <w:t> год</w:t>
      </w:r>
      <w:r w:rsidRPr="00CB2C86">
        <w:t>а исключения были сделаны в отношении 6</w:t>
      </w:r>
      <w:r>
        <w:t> </w:t>
      </w:r>
      <w:r w:rsidRPr="00CB2C86">
        <w:t>780 ходатайств о помощи по линии ПВСП, авторы которых не отвечали требованию о семилетнем прож</w:t>
      </w:r>
      <w:r w:rsidRPr="00CB2C86">
        <w:t>и</w:t>
      </w:r>
      <w:r w:rsidRPr="00CB2C86">
        <w:t>вании. По состоянию на конец декабря 2009</w:t>
      </w:r>
      <w:r w:rsidR="00B92291">
        <w:t> год</w:t>
      </w:r>
      <w:r w:rsidRPr="00CB2C86">
        <w:t>а социальную помощь по линии ПВСП получали 24</w:t>
      </w:r>
      <w:r>
        <w:t> </w:t>
      </w:r>
      <w:r w:rsidRPr="00CB2C86">
        <w:t>925 просителей (в том числе члены 6</w:t>
      </w:r>
      <w:r w:rsidR="007A1295">
        <w:t> </w:t>
      </w:r>
      <w:r w:rsidRPr="00CB2C86">
        <w:t>780 домашних х</w:t>
      </w:r>
      <w:r w:rsidRPr="00CB2C86">
        <w:t>о</w:t>
      </w:r>
      <w:r w:rsidRPr="00CB2C86">
        <w:t>зяйств, упомянутые выше и по-прежнему участвующие в ПВСП) из числа н</w:t>
      </w:r>
      <w:r w:rsidRPr="00CB2C86">
        <w:t>о</w:t>
      </w:r>
      <w:r w:rsidRPr="00CB2C86">
        <w:t xml:space="preserve">воприбывших жителей, которые проживали в Гонконге менее семи лет. </w:t>
      </w:r>
    </w:p>
    <w:p w:rsidR="00F936A8" w:rsidRPr="00CB2C86" w:rsidRDefault="00F936A8" w:rsidP="0045377F">
      <w:pPr>
        <w:pStyle w:val="SingleTxtGR"/>
        <w:tabs>
          <w:tab w:val="clear" w:pos="1701"/>
          <w:tab w:val="left" w:pos="1980"/>
        </w:tabs>
      </w:pPr>
      <w:r w:rsidRPr="00CB2C86">
        <w:t>9.10</w:t>
      </w:r>
      <w:r w:rsidRPr="00CB2C86">
        <w:tab/>
        <w:t>При решении вопроса, следует ли делать исключение из требования о семилетнем цензе проживания, директор Департамента социального обеспеч</w:t>
      </w:r>
      <w:r w:rsidRPr="00CB2C86">
        <w:t>е</w:t>
      </w:r>
      <w:r w:rsidRPr="00CB2C86">
        <w:t>ния учитывает все важные факторы конкретного дела, чтобы установить дейс</w:t>
      </w:r>
      <w:r w:rsidRPr="00CB2C86">
        <w:t>т</w:t>
      </w:r>
      <w:r w:rsidRPr="00CB2C86">
        <w:t>вительно ли речь идет о нуждаемости. Каждое дело рассматривается с учетом конкретных обстоятельств. К главным факторам, которые принимаются во вн</w:t>
      </w:r>
      <w:r w:rsidRPr="00CB2C86">
        <w:t>и</w:t>
      </w:r>
      <w:r w:rsidRPr="00CB2C86">
        <w:t xml:space="preserve">мание, относятся средства существования заявителя после приезда, причина его/ее текущего тяжелого положения, средства и другая доступная для него/нее помощь и возможность его/ее возвращения в страну происхождения. </w:t>
      </w:r>
    </w:p>
    <w:p w:rsidR="00F936A8" w:rsidRPr="00CB2C86" w:rsidRDefault="00F936A8" w:rsidP="0045377F">
      <w:pPr>
        <w:pStyle w:val="SingleTxtGR"/>
        <w:tabs>
          <w:tab w:val="clear" w:pos="1701"/>
          <w:tab w:val="left" w:pos="1980"/>
        </w:tabs>
      </w:pPr>
      <w:r w:rsidRPr="00CB2C86">
        <w:t>9.11</w:t>
      </w:r>
      <w:r w:rsidRPr="00CB2C86">
        <w:tab/>
        <w:t>Если проситель, который не удовлетворяет требованию о семилетнем цензе проживания, работает и зарабатывает не менее 1</w:t>
      </w:r>
      <w:r>
        <w:t> </w:t>
      </w:r>
      <w:r w:rsidRPr="00CB2C86">
        <w:t>630</w:t>
      </w:r>
      <w:r w:rsidR="004F720A">
        <w:t> долл.</w:t>
      </w:r>
      <w:r w:rsidRPr="00CB2C86">
        <w:t xml:space="preserve"> в месяц на с</w:t>
      </w:r>
      <w:r w:rsidRPr="00CB2C86">
        <w:t>о</w:t>
      </w:r>
      <w:r w:rsidRPr="00CB2C86">
        <w:t xml:space="preserve">держание своей семьи, исключение обычно делается после рассмотрения его усилий стать </w:t>
      </w:r>
      <w:proofErr w:type="spellStart"/>
      <w:r w:rsidRPr="00CB2C86">
        <w:t>самодостаточным</w:t>
      </w:r>
      <w:proofErr w:type="spellEnd"/>
      <w:r w:rsidRPr="00CB2C86">
        <w:t>. Однако если проситель может работать по</w:t>
      </w:r>
      <w:r w:rsidRPr="00CB2C86">
        <w:t>л</w:t>
      </w:r>
      <w:r w:rsidRPr="00CB2C86">
        <w:t>ный рабочий день, но работает менее 120 часов в месяц, он должен вступить в Пр</w:t>
      </w:r>
      <w:r w:rsidRPr="00CB2C86">
        <w:t>о</w:t>
      </w:r>
      <w:r w:rsidRPr="00CB2C86">
        <w:t>грамму содействия опоре на собственные силы (ПОСС) (просьба обратиться к следующему разделу) в качестве условия для получения помощи.</w:t>
      </w:r>
    </w:p>
    <w:p w:rsidR="00F936A8" w:rsidRPr="00CB2C86" w:rsidRDefault="00F936A8" w:rsidP="0045377F">
      <w:pPr>
        <w:pStyle w:val="H23GR"/>
        <w:tabs>
          <w:tab w:val="left" w:pos="1980"/>
        </w:tabs>
      </w:pPr>
      <w:r w:rsidRPr="00CB2C86">
        <w:tab/>
      </w:r>
      <w:r w:rsidRPr="00CB2C86">
        <w:tab/>
        <w:t>От социальной обеспечения к опоре на собственные силы</w:t>
      </w:r>
    </w:p>
    <w:p w:rsidR="00F936A8" w:rsidRPr="00CB2C86" w:rsidRDefault="00F936A8" w:rsidP="0045377F">
      <w:pPr>
        <w:pStyle w:val="SingleTxtGR"/>
        <w:tabs>
          <w:tab w:val="clear" w:pos="1701"/>
          <w:tab w:val="left" w:pos="1980"/>
        </w:tabs>
      </w:pPr>
      <w:r w:rsidRPr="00CB2C86">
        <w:t>9.12</w:t>
      </w:r>
      <w:r w:rsidRPr="00CB2C86">
        <w:tab/>
        <w:t>По состоянию на конец декабря 2009</w:t>
      </w:r>
      <w:r w:rsidR="00B92291">
        <w:t> год</w:t>
      </w:r>
      <w:r w:rsidRPr="00CB2C86">
        <w:t>а помощью ПВСП пользов</w:t>
      </w:r>
      <w:r w:rsidRPr="00CB2C86">
        <w:t>а</w:t>
      </w:r>
      <w:r w:rsidRPr="00CB2C86">
        <w:t>лись 33</w:t>
      </w:r>
      <w:r>
        <w:t> </w:t>
      </w:r>
      <w:r w:rsidRPr="00CB2C86">
        <w:t xml:space="preserve">279 безработных, составляя 12% всех домашних хозяйств, охваченных ПВСП, что не отличалось от положения 10 лет назад. </w:t>
      </w:r>
    </w:p>
    <w:p w:rsidR="00F936A8" w:rsidRPr="00CB2C86" w:rsidRDefault="00F936A8" w:rsidP="0045377F">
      <w:pPr>
        <w:pStyle w:val="SingleTxtGR"/>
        <w:tabs>
          <w:tab w:val="clear" w:pos="1701"/>
          <w:tab w:val="left" w:pos="1980"/>
        </w:tabs>
      </w:pPr>
      <w:r w:rsidRPr="00CB2C86">
        <w:t>9.13</w:t>
      </w:r>
      <w:r w:rsidRPr="00CB2C86">
        <w:tab/>
        <w:t>Как отмечалось в пункте 9.7 предыдущего доклада, в июне 1999</w:t>
      </w:r>
      <w:r w:rsidR="00B92291">
        <w:t> год</w:t>
      </w:r>
      <w:r w:rsidRPr="00CB2C86">
        <w:t>а мы приняли пакет политических мер, направленных на содействие опоре на собственные силы. К ним относилась программа ПОСС, которая была призвана поощрить трудоспособных безработных, участвующих в ПВСП, и помочь им вернуться к труду. К другим новым мерам относятся ужесточение контроля для недопущения мошенничества и злоупотреблений и рационализация уровней пособий более крупным домашним хозяйствам с учетом эффекта масштаба. Т</w:t>
      </w:r>
      <w:r w:rsidRPr="00CB2C86">
        <w:t>а</w:t>
      </w:r>
      <w:r w:rsidRPr="00CB2C86">
        <w:t xml:space="preserve">кие меры были приняты в ответ на беспокойство общественности в связи </w:t>
      </w:r>
      <w:r w:rsidR="007A1295">
        <w:t xml:space="preserve">с </w:t>
      </w:r>
      <w:r w:rsidRPr="00CB2C86">
        <w:t>б</w:t>
      </w:r>
      <w:r w:rsidRPr="00CB2C86">
        <w:t>ы</w:t>
      </w:r>
      <w:r w:rsidRPr="00CB2C86">
        <w:t xml:space="preserve">стрым ростом нагрузки и расходов ПВСП, а также необходимости не допустить формирования морали иждивенчества. </w:t>
      </w:r>
    </w:p>
    <w:p w:rsidR="00F936A8" w:rsidRPr="00CB2C86" w:rsidRDefault="00F936A8" w:rsidP="0045377F">
      <w:pPr>
        <w:pStyle w:val="SingleTxtGR"/>
        <w:tabs>
          <w:tab w:val="clear" w:pos="1701"/>
          <w:tab w:val="left" w:pos="1980"/>
        </w:tabs>
      </w:pPr>
      <w:r w:rsidRPr="00CB2C86">
        <w:t>9.14</w:t>
      </w:r>
      <w:r w:rsidRPr="00CB2C86">
        <w:tab/>
        <w:t>В июне 2003</w:t>
      </w:r>
      <w:r w:rsidR="00B92291">
        <w:t> год</w:t>
      </w:r>
      <w:r w:rsidRPr="00CB2C86">
        <w:t>а Программа ПОСС была расширена для увеличения социальной помощи механизмам опоры на собственные силы. Кроме соверше</w:t>
      </w:r>
      <w:r w:rsidRPr="00CB2C86">
        <w:t>н</w:t>
      </w:r>
      <w:r w:rsidRPr="00CB2C86">
        <w:t>ствования Целевой программы содействия занятости и Программы обществе</w:t>
      </w:r>
      <w:r w:rsidRPr="00CB2C86">
        <w:t>н</w:t>
      </w:r>
      <w:r w:rsidRPr="00CB2C86">
        <w:t>ных работ, упомянутых в пункте 9.9 предыдущего доклада, в июне 2003</w:t>
      </w:r>
      <w:r w:rsidR="00B92291">
        <w:t> год</w:t>
      </w:r>
      <w:r w:rsidRPr="00CB2C86">
        <w:t xml:space="preserve">а ДСО  усовершенствовал механизм </w:t>
      </w:r>
      <w:proofErr w:type="spellStart"/>
      <w:r w:rsidRPr="00CB2C86">
        <w:t>неучитываемого</w:t>
      </w:r>
      <w:proofErr w:type="spellEnd"/>
      <w:r w:rsidRPr="00CB2C86">
        <w:t xml:space="preserve"> заработка, чтобы обесп</w:t>
      </w:r>
      <w:r w:rsidRPr="00CB2C86">
        <w:t>е</w:t>
      </w:r>
      <w:r w:rsidRPr="00CB2C86">
        <w:t>чить больше финансовых стимулов получателям помощи по линии ПВСП, п</w:t>
      </w:r>
      <w:r w:rsidRPr="00CB2C86">
        <w:t>о</w:t>
      </w:r>
      <w:r w:rsidRPr="00CB2C86">
        <w:t xml:space="preserve">ощряя их искать работу и дорожить рабочим местом. Максимальный размер </w:t>
      </w:r>
      <w:proofErr w:type="spellStart"/>
      <w:r w:rsidRPr="00CB2C86">
        <w:t>н</w:t>
      </w:r>
      <w:r w:rsidRPr="00CB2C86">
        <w:t>е</w:t>
      </w:r>
      <w:r w:rsidRPr="00CB2C86">
        <w:t>учитываемого</w:t>
      </w:r>
      <w:proofErr w:type="spellEnd"/>
      <w:r w:rsidRPr="00CB2C86">
        <w:t xml:space="preserve"> заработка был увеличен с 1</w:t>
      </w:r>
      <w:r>
        <w:t> </w:t>
      </w:r>
      <w:r w:rsidRPr="00CB2C86">
        <w:t>805</w:t>
      </w:r>
      <w:r w:rsidR="004F720A">
        <w:t> долл.</w:t>
      </w:r>
      <w:r w:rsidRPr="00CB2C86">
        <w:t xml:space="preserve"> до 2</w:t>
      </w:r>
      <w:r>
        <w:t> </w:t>
      </w:r>
      <w:r w:rsidRPr="00CB2C86">
        <w:t>500</w:t>
      </w:r>
      <w:r w:rsidR="004F720A">
        <w:t> долл.</w:t>
      </w:r>
      <w:r w:rsidRPr="00CB2C86">
        <w:t xml:space="preserve"> в месяц, а предельная сумма, не подлежащая вычетам, поднята с первых 451</w:t>
      </w:r>
      <w:r w:rsidR="004F720A">
        <w:t> долл.</w:t>
      </w:r>
      <w:r w:rsidRPr="00CB2C86">
        <w:t xml:space="preserve"> до пе</w:t>
      </w:r>
      <w:r w:rsidRPr="00CB2C86">
        <w:t>р</w:t>
      </w:r>
      <w:r w:rsidRPr="00CB2C86">
        <w:t>вых 600</w:t>
      </w:r>
      <w:r w:rsidR="004F720A">
        <w:t> долл.</w:t>
      </w:r>
      <w:r w:rsidRPr="00CB2C86">
        <w:t xml:space="preserve"> дохода для всех категорий получателей помощи, которые учас</w:t>
      </w:r>
      <w:r w:rsidRPr="00CB2C86">
        <w:t>т</w:t>
      </w:r>
      <w:r w:rsidRPr="00CB2C86">
        <w:t xml:space="preserve">вовали в ПОСС не менее трех месяцев. Квалификационные критерии и суммы </w:t>
      </w:r>
      <w:proofErr w:type="spellStart"/>
      <w:r w:rsidRPr="00CB2C86">
        <w:t>неуч</w:t>
      </w:r>
      <w:r w:rsidRPr="00CB2C86">
        <w:t>и</w:t>
      </w:r>
      <w:r w:rsidRPr="00CB2C86">
        <w:t>тываемого</w:t>
      </w:r>
      <w:proofErr w:type="spellEnd"/>
      <w:r w:rsidRPr="00CB2C86">
        <w:t xml:space="preserve"> заработка были пересмотрены после декабря 2007</w:t>
      </w:r>
      <w:r w:rsidR="00B92291">
        <w:t> год</w:t>
      </w:r>
      <w:r w:rsidRPr="00CB2C86">
        <w:t xml:space="preserve">а, когда мы </w:t>
      </w:r>
      <w:proofErr w:type="spellStart"/>
      <w:r w:rsidRPr="00CB2C86">
        <w:t>либерализовали</w:t>
      </w:r>
      <w:proofErr w:type="spellEnd"/>
      <w:r w:rsidRPr="00CB2C86">
        <w:t xml:space="preserve"> квалификационные критерии по отношению к </w:t>
      </w:r>
      <w:proofErr w:type="spellStart"/>
      <w:r w:rsidRPr="00CB2C86">
        <w:t>неучитыва</w:t>
      </w:r>
      <w:r w:rsidRPr="00CB2C86">
        <w:t>е</w:t>
      </w:r>
      <w:r w:rsidRPr="00CB2C86">
        <w:t>мому</w:t>
      </w:r>
      <w:proofErr w:type="spellEnd"/>
      <w:r w:rsidRPr="00CB2C86">
        <w:t xml:space="preserve"> заработку, сократив обязательный срок участия в ПВСП с не менее трех месяцев до двух месяцев и увеличив предельную сумму, не подлежащую выч</w:t>
      </w:r>
      <w:r w:rsidRPr="00CB2C86">
        <w:t>е</w:t>
      </w:r>
      <w:r w:rsidRPr="00CB2C86">
        <w:t>там, до первых 800</w:t>
      </w:r>
      <w:r w:rsidR="004F720A">
        <w:t> долл.</w:t>
      </w:r>
      <w:r w:rsidRPr="00CB2C86">
        <w:t xml:space="preserve"> дохода. В настоящее время максимальный </w:t>
      </w:r>
      <w:proofErr w:type="spellStart"/>
      <w:r w:rsidRPr="00CB2C86">
        <w:t>неучит</w:t>
      </w:r>
      <w:r w:rsidRPr="00CB2C86">
        <w:t>ы</w:t>
      </w:r>
      <w:r w:rsidRPr="00CB2C86">
        <w:t>ваемый</w:t>
      </w:r>
      <w:proofErr w:type="spellEnd"/>
      <w:r w:rsidRPr="00CB2C86">
        <w:t xml:space="preserve"> заработок составляет 2</w:t>
      </w:r>
      <w:r>
        <w:t> </w:t>
      </w:r>
      <w:r w:rsidRPr="00CB2C86">
        <w:t>500</w:t>
      </w:r>
      <w:r w:rsidR="004F720A">
        <w:t> долл.</w:t>
      </w:r>
      <w:r w:rsidRPr="00CB2C86">
        <w:t xml:space="preserve"> в месяц.</w:t>
      </w:r>
    </w:p>
    <w:p w:rsidR="00F936A8" w:rsidRPr="00CB2C86" w:rsidRDefault="00F936A8" w:rsidP="0045377F">
      <w:pPr>
        <w:pStyle w:val="SingleTxtGR"/>
        <w:tabs>
          <w:tab w:val="clear" w:pos="1701"/>
          <w:tab w:val="left" w:pos="1980"/>
        </w:tabs>
      </w:pPr>
      <w:r w:rsidRPr="00CB2C86">
        <w:t>9.15</w:t>
      </w:r>
      <w:r w:rsidRPr="00CB2C86">
        <w:tab/>
        <w:t>Целевая программа профессиональной подготовки и расширения во</w:t>
      </w:r>
      <w:r w:rsidRPr="00CB2C86">
        <w:t>з</w:t>
      </w:r>
      <w:r w:rsidRPr="00CB2C86">
        <w:t>можностей была начата в 2006</w:t>
      </w:r>
      <w:r w:rsidR="00B92291">
        <w:t> год</w:t>
      </w:r>
      <w:r w:rsidRPr="00CB2C86">
        <w:t>у, чтобы оказывать в рамках ПВСП трудосп</w:t>
      </w:r>
      <w:r w:rsidRPr="00CB2C86">
        <w:t>о</w:t>
      </w:r>
      <w:r w:rsidRPr="00CB2C86">
        <w:t>собной безработной молодежи услуги в сфере занятости, которые включают элементы планомерного воспитания мотивации или личной ответственности. Задача состоит в том, чтобы помочь участвующей молодежи повысить сам</w:t>
      </w:r>
      <w:r w:rsidRPr="00CB2C86">
        <w:t>о</w:t>
      </w:r>
      <w:r w:rsidRPr="00CB2C86">
        <w:t>оценку и укрепить уверенность в себе и стремиться к опоре на собственные с</w:t>
      </w:r>
      <w:r w:rsidRPr="00CB2C86">
        <w:t>и</w:t>
      </w:r>
      <w:r w:rsidRPr="00CB2C86">
        <w:t>лы путем устройства на работу или возвращения в общую систему образования. После октября 2009</w:t>
      </w:r>
      <w:r w:rsidR="00B92291">
        <w:t> год</w:t>
      </w:r>
      <w:r w:rsidRPr="00CB2C86">
        <w:t>а ДСО приступил к реализации нового этапа этой пр</w:t>
      </w:r>
      <w:r w:rsidRPr="00CB2C86">
        <w:t>о</w:t>
      </w:r>
      <w:r w:rsidRPr="00CB2C86">
        <w:t>граммы, преследуя цель оказать помощь по меньшей мере 700 получателям ПВСП в возрасте от 15 до 29 лет в трудоустройстве. Вплоть до конца декабря 2009</w:t>
      </w:r>
      <w:r w:rsidR="00B92291">
        <w:t> год</w:t>
      </w:r>
      <w:r w:rsidRPr="00CB2C86">
        <w:t>а в этой Программе принимало участие 1007 молодых получателей п</w:t>
      </w:r>
      <w:r w:rsidRPr="00CB2C86">
        <w:t>о</w:t>
      </w:r>
      <w:r w:rsidRPr="00CB2C86">
        <w:t>мощи по линии ПВСП. Среди этих участников трудоустроились или вернулись в общую систему образования на период не менее одного месяца 406 (40,3%) человек, а 335 участников (33,3%) нашли работу или вернулись в систему обр</w:t>
      </w:r>
      <w:r w:rsidRPr="00CB2C86">
        <w:t>а</w:t>
      </w:r>
      <w:r w:rsidRPr="00CB2C86">
        <w:t xml:space="preserve">зования на период не менее трех месяцев, из которых 79 участников (37,8%) покинули сеть ПВСП. </w:t>
      </w:r>
    </w:p>
    <w:p w:rsidR="00F936A8" w:rsidRPr="00CB2C86" w:rsidRDefault="00F936A8" w:rsidP="0045377F">
      <w:pPr>
        <w:pStyle w:val="SingleTxtGR"/>
        <w:tabs>
          <w:tab w:val="clear" w:pos="1701"/>
          <w:tab w:val="left" w:pos="1980"/>
        </w:tabs>
      </w:pPr>
      <w:r w:rsidRPr="00CB2C86">
        <w:t>9.16</w:t>
      </w:r>
      <w:r w:rsidRPr="00CB2C86">
        <w:tab/>
        <w:t>Одиноким родителям или опекунам, получающим пособия по линии ПВСП, у которых самым младшим детям исполнилось 12</w:t>
      </w:r>
      <w:r>
        <w:t>−</w:t>
      </w:r>
      <w:r w:rsidRPr="00CB2C86">
        <w:t>14 лет, оказывается социальная помощь, чтобы они смогли опереться на собственные силы, устр</w:t>
      </w:r>
      <w:r w:rsidRPr="00CB2C86">
        <w:t>о</w:t>
      </w:r>
      <w:r w:rsidRPr="00CB2C86">
        <w:t xml:space="preserve">ившись на оплачиваемую работу в рамках проекта </w:t>
      </w:r>
      <w:r>
        <w:t>"</w:t>
      </w:r>
      <w:r w:rsidRPr="00CB2C86">
        <w:t>Новый рассвет</w:t>
      </w:r>
      <w:r>
        <w:t>"</w:t>
      </w:r>
      <w:r w:rsidRPr="00CB2C86">
        <w:t>, который осуществляется с 2006</w:t>
      </w:r>
      <w:r w:rsidR="00B92291">
        <w:t> год</w:t>
      </w:r>
      <w:r w:rsidRPr="00CB2C86">
        <w:t xml:space="preserve">а вместо проекта </w:t>
      </w:r>
      <w:r>
        <w:t>"</w:t>
      </w:r>
      <w:r w:rsidRPr="00CB2C86">
        <w:t>Покончим с социальной изоляц</w:t>
      </w:r>
      <w:r w:rsidRPr="00CB2C86">
        <w:t>и</w:t>
      </w:r>
      <w:r w:rsidRPr="00CB2C86">
        <w:t>ей</w:t>
      </w:r>
      <w:r>
        <w:t>"</w:t>
      </w:r>
      <w:r w:rsidRPr="00CB2C86">
        <w:t>, упомянутого в пункте 9.11 предыдущего доклада. Содействие участникам проекта в активном поиске оплачиваемой работы не мене</w:t>
      </w:r>
      <w:r w:rsidR="007A1295">
        <w:t>е</w:t>
      </w:r>
      <w:r w:rsidRPr="00CB2C86">
        <w:t xml:space="preserve"> чем в течение 32 р</w:t>
      </w:r>
      <w:r w:rsidRPr="00CB2C86">
        <w:t>а</w:t>
      </w:r>
      <w:r w:rsidRPr="00CB2C86">
        <w:t>бочих часов в месяц оказывают выбранные ДСО НПО. Вплоть до конца д</w:t>
      </w:r>
      <w:r w:rsidRPr="00CB2C86">
        <w:t>е</w:t>
      </w:r>
      <w:r w:rsidRPr="00CB2C86">
        <w:t>кабря 2009</w:t>
      </w:r>
      <w:r w:rsidR="00B92291">
        <w:t> год</w:t>
      </w:r>
      <w:r w:rsidRPr="00CB2C86">
        <w:t xml:space="preserve">а в проекте </w:t>
      </w:r>
      <w:r>
        <w:t>"</w:t>
      </w:r>
      <w:r w:rsidRPr="00CB2C86">
        <w:t>Новый рассвет</w:t>
      </w:r>
      <w:r>
        <w:t>"</w:t>
      </w:r>
      <w:r w:rsidRPr="00CB2C86">
        <w:t xml:space="preserve"> в общей сложности участвовало 18</w:t>
      </w:r>
      <w:r>
        <w:t> </w:t>
      </w:r>
      <w:r w:rsidRPr="00CB2C86">
        <w:t>698</w:t>
      </w:r>
      <w:r w:rsidR="007A1295">
        <w:t> </w:t>
      </w:r>
      <w:r w:rsidRPr="00CB2C86">
        <w:t xml:space="preserve">получателей помощи ПВСП. </w:t>
      </w:r>
    </w:p>
    <w:p w:rsidR="00F936A8" w:rsidRPr="00CB2C86" w:rsidRDefault="00F936A8" w:rsidP="0045377F">
      <w:pPr>
        <w:pStyle w:val="H23GR"/>
        <w:tabs>
          <w:tab w:val="left" w:pos="1980"/>
        </w:tabs>
      </w:pPr>
      <w:r w:rsidRPr="00CB2C86">
        <w:tab/>
      </w:r>
      <w:r w:rsidRPr="00CB2C86">
        <w:tab/>
        <w:t xml:space="preserve">Взгляды на охват социального обеспечения </w:t>
      </w:r>
    </w:p>
    <w:p w:rsidR="00F936A8" w:rsidRPr="00CB2C86" w:rsidRDefault="00F936A8" w:rsidP="0045377F">
      <w:pPr>
        <w:pStyle w:val="SingleTxtGR"/>
        <w:tabs>
          <w:tab w:val="clear" w:pos="1701"/>
          <w:tab w:val="left" w:pos="1980"/>
        </w:tabs>
      </w:pPr>
      <w:r w:rsidRPr="00CB2C86">
        <w:t>9.17</w:t>
      </w:r>
      <w:r w:rsidRPr="00CB2C86">
        <w:tab/>
        <w:t>Некоторые комментаторы выразили озабоченность в связи с тем, что получателям социальной помощи или детям из малообеспеченных семей не в</w:t>
      </w:r>
      <w:r w:rsidRPr="00CB2C86">
        <w:t>ы</w:t>
      </w:r>
      <w:r w:rsidRPr="00CB2C86">
        <w:t>плачиваются ни субсидии на пользование Интернетом, ни субсидии на фина</w:t>
      </w:r>
      <w:r w:rsidRPr="00CB2C86">
        <w:t>н</w:t>
      </w:r>
      <w:r w:rsidRPr="00CB2C86">
        <w:t xml:space="preserve">сирование других соответствующих расходов на обучение и что некоторые учащиеся не могут позволить себе </w:t>
      </w:r>
      <w:proofErr w:type="spellStart"/>
      <w:r w:rsidRPr="00CB2C86">
        <w:t>внеучебные</w:t>
      </w:r>
      <w:proofErr w:type="spellEnd"/>
      <w:r w:rsidRPr="00CB2C86">
        <w:t xml:space="preserve"> занятия, например обучение и</w:t>
      </w:r>
      <w:r w:rsidRPr="00CB2C86">
        <w:t>г</w:t>
      </w:r>
      <w:r w:rsidRPr="00CB2C86">
        <w:t xml:space="preserve">ре на музыкальных инструментах. </w:t>
      </w:r>
    </w:p>
    <w:p w:rsidR="00F936A8" w:rsidRPr="00CB2C86" w:rsidRDefault="00F936A8" w:rsidP="0045377F">
      <w:pPr>
        <w:pStyle w:val="SingleTxtGR"/>
        <w:tabs>
          <w:tab w:val="clear" w:pos="1701"/>
          <w:tab w:val="left" w:pos="1980"/>
        </w:tabs>
      </w:pPr>
      <w:r w:rsidRPr="00CB2C86">
        <w:t>9.18</w:t>
      </w:r>
      <w:r w:rsidRPr="00CB2C86">
        <w:tab/>
        <w:t xml:space="preserve">В наш цифровой век обучение на </w:t>
      </w:r>
      <w:proofErr w:type="spellStart"/>
      <w:r w:rsidRPr="00CB2C86">
        <w:t>вебоснове</w:t>
      </w:r>
      <w:proofErr w:type="spellEnd"/>
      <w:r w:rsidRPr="00CB2C86">
        <w:t xml:space="preserve"> и исследования с пом</w:t>
      </w:r>
      <w:r w:rsidRPr="00CB2C86">
        <w:t>о</w:t>
      </w:r>
      <w:r w:rsidRPr="00CB2C86">
        <w:t>щью технологий Интернет стали неотъемлемой частью образования. Для пон</w:t>
      </w:r>
      <w:r w:rsidRPr="00CB2C86">
        <w:t>и</w:t>
      </w:r>
      <w:r w:rsidRPr="00CB2C86">
        <w:t xml:space="preserve">жения </w:t>
      </w:r>
      <w:r>
        <w:t>"</w:t>
      </w:r>
      <w:r w:rsidRPr="00CB2C86">
        <w:t>цифрового барьера</w:t>
      </w:r>
      <w:r>
        <w:t>"</w:t>
      </w:r>
      <w:r w:rsidRPr="00CB2C86">
        <w:t xml:space="preserve"> правительство предложило удобные и адекватные возможности обучения через Интернет нуждающимся учащимся на основе трехстороннего сотрудничества между обществом, деловым сектором и прав</w:t>
      </w:r>
      <w:r w:rsidRPr="00CB2C86">
        <w:t>и</w:t>
      </w:r>
      <w:r w:rsidRPr="00CB2C86">
        <w:t>тельством. Например, правительство примет двуединый подход к оказанию п</w:t>
      </w:r>
      <w:r w:rsidRPr="00CB2C86">
        <w:t>о</w:t>
      </w:r>
      <w:r w:rsidRPr="00CB2C86">
        <w:t>мощи школьникам начальной и средней школы из малообеспеченных семей в обучении через Интернет, которая включает предоставление субсидий на расх</w:t>
      </w:r>
      <w:r w:rsidRPr="00CB2C86">
        <w:t>о</w:t>
      </w:r>
      <w:r w:rsidRPr="00CB2C86">
        <w:t>ды по доступу в Интернет и стимулирование участников рынка Интернет-услуг оказывать этим семьям недорогие Интернет-услуги. Ожидается, что субсидия будет выплачиваться имеющим на это право семьям (в том числе соответс</w:t>
      </w:r>
      <w:r w:rsidRPr="00CB2C86">
        <w:t>т</w:t>
      </w:r>
      <w:r w:rsidRPr="00CB2C86">
        <w:t>вующим семьям, получающим пособия по линии ПВСП) в 2010</w:t>
      </w:r>
      <w:r w:rsidR="002A0193">
        <w:t>/</w:t>
      </w:r>
      <w:r w:rsidRPr="00CB2C86">
        <w:t>11</w:t>
      </w:r>
      <w:r w:rsidR="002A0193">
        <w:t xml:space="preserve"> </w:t>
      </w:r>
      <w:r w:rsidR="00A35E26">
        <w:t>учебном г</w:t>
      </w:r>
      <w:r w:rsidR="00A35E26">
        <w:t>о</w:t>
      </w:r>
      <w:r w:rsidR="00A35E26">
        <w:t>ду</w:t>
      </w:r>
      <w:r w:rsidRPr="00CB2C86">
        <w:t>. Чтобы предложить доступный вариант школьникам и семьям, получающим субсидии, правительство намеревается привлечь к сотрудничеству с поставщ</w:t>
      </w:r>
      <w:r w:rsidRPr="00CB2C86">
        <w:t>и</w:t>
      </w:r>
      <w:r w:rsidRPr="00CB2C86">
        <w:t>ками Интернет-услуг благотворительную организацию и общественные орган</w:t>
      </w:r>
      <w:r w:rsidRPr="00CB2C86">
        <w:t>и</w:t>
      </w:r>
      <w:r w:rsidRPr="00CB2C86">
        <w:t>зации, чтобы обеспечить нуждающихся учащихся и семьи дешевыми Интернет-услугами и надлежащими компьютерами, отвечающими учебным потребн</w:t>
      </w:r>
      <w:r w:rsidRPr="00CB2C86">
        <w:t>о</w:t>
      </w:r>
      <w:r w:rsidRPr="00CB2C86">
        <w:t>стям. Это приведет в действие рыночные силы и сделает политику экономич</w:t>
      </w:r>
      <w:r w:rsidRPr="00CB2C86">
        <w:t>е</w:t>
      </w:r>
      <w:r w:rsidRPr="00CB2C86">
        <w:t xml:space="preserve">ски более эффективной. Эта организация также будет оказывать такие услуги, как обучение родителей и техническая поддержка. </w:t>
      </w:r>
    </w:p>
    <w:p w:rsidR="00F936A8" w:rsidRPr="00CB2C86" w:rsidRDefault="00F936A8" w:rsidP="0045377F">
      <w:pPr>
        <w:pStyle w:val="SingleTxtGR"/>
        <w:tabs>
          <w:tab w:val="clear" w:pos="1701"/>
          <w:tab w:val="left" w:pos="1980"/>
        </w:tabs>
      </w:pPr>
      <w:r w:rsidRPr="00CB2C86">
        <w:t>9.19</w:t>
      </w:r>
      <w:r w:rsidRPr="00CB2C86">
        <w:tab/>
        <w:t>Предложенная выше программа субсидий на Интернет вместе с др</w:t>
      </w:r>
      <w:r w:rsidRPr="00CB2C86">
        <w:t>у</w:t>
      </w:r>
      <w:r w:rsidRPr="00CB2C86">
        <w:t>гими программами финансовой помощи учащимся, в частности такими</w:t>
      </w:r>
      <w:r>
        <w:t xml:space="preserve"> как</w:t>
      </w:r>
      <w:r w:rsidRPr="00CB2C86">
        <w:t xml:space="preserve"> Программа обеспечения школьными учебниками, Программа субсидий на п</w:t>
      </w:r>
      <w:r w:rsidRPr="00CB2C86">
        <w:t>о</w:t>
      </w:r>
      <w:r w:rsidRPr="00CB2C86">
        <w:t>крытие транспортных расходов учащихся и Механизм возмещения расходов на сдачу экзаменов уже охватывают большинство соответствующих статей расх</w:t>
      </w:r>
      <w:r w:rsidRPr="00CB2C86">
        <w:t>о</w:t>
      </w:r>
      <w:r w:rsidRPr="00CB2C86">
        <w:t>дов на учебу учащихся начальной и средней школ и оказывает малообеспече</w:t>
      </w:r>
      <w:r w:rsidRPr="00CB2C86">
        <w:t>н</w:t>
      </w:r>
      <w:r w:rsidRPr="00CB2C86">
        <w:t>ным учащимся необходимую помощь.</w:t>
      </w:r>
    </w:p>
    <w:p w:rsidR="00F936A8" w:rsidRPr="00CB2C86" w:rsidRDefault="00F936A8" w:rsidP="0045377F">
      <w:pPr>
        <w:pStyle w:val="SingleTxtGR"/>
        <w:tabs>
          <w:tab w:val="clear" w:pos="1701"/>
          <w:tab w:val="left" w:pos="1980"/>
        </w:tabs>
      </w:pPr>
      <w:r w:rsidRPr="00CB2C86">
        <w:t>9.20</w:t>
      </w:r>
      <w:r w:rsidRPr="00CB2C86">
        <w:tab/>
        <w:t>Кроме того в привязке к политике правительства по сокращению ма</w:t>
      </w:r>
      <w:r w:rsidRPr="00CB2C86">
        <w:t>с</w:t>
      </w:r>
      <w:r w:rsidRPr="00CB2C86">
        <w:t>штабов нищеты с 2005</w:t>
      </w:r>
      <w:r>
        <w:t>−</w:t>
      </w:r>
      <w:r w:rsidRPr="00CB2C86">
        <w:t>2006</w:t>
      </w:r>
      <w:r w:rsidR="00B92291">
        <w:t> год</w:t>
      </w:r>
      <w:r w:rsidRPr="00CB2C86">
        <w:t>ов реализуется Программа поддержки и вн</w:t>
      </w:r>
      <w:r w:rsidRPr="00CB2C86">
        <w:t>е</w:t>
      </w:r>
      <w:r w:rsidRPr="00CB2C86">
        <w:t>классного обучения в школах, чтобы НПО и государственные начальные и средние школы могли в соответствии с Программой прямых субсидий орган</w:t>
      </w:r>
      <w:r w:rsidRPr="00CB2C86">
        <w:t>и</w:t>
      </w:r>
      <w:r w:rsidRPr="00CB2C86">
        <w:t>зовывать внеклассные занятия для нуждающихся учащихся. Начиная с 2010</w:t>
      </w:r>
      <w:r>
        <w:t>−</w:t>
      </w:r>
      <w:r w:rsidRPr="00CB2C86">
        <w:t>2011</w:t>
      </w:r>
      <w:r w:rsidR="00B92291">
        <w:t> год</w:t>
      </w:r>
      <w:r w:rsidRPr="00CB2C86">
        <w:t>ов ежегодное финансирование этой программы будет увеличено с 75</w:t>
      </w:r>
      <w:r w:rsidR="004F720A">
        <w:t> млн.</w:t>
      </w:r>
      <w:r w:rsidRPr="00CB2C86">
        <w:t xml:space="preserve"> до 175</w:t>
      </w:r>
      <w:r w:rsidR="004F720A">
        <w:t> </w:t>
      </w:r>
      <w:r w:rsidR="00B63D5C">
        <w:t>млн. долларов.</w:t>
      </w:r>
      <w:r w:rsidRPr="00CB2C86">
        <w:t xml:space="preserve"> Увеличение финансирования преследует цель еще больше увеличить внеклассную помощь малообеспеченным учащимся, расширить их возможности участия в школьных и общественных учебных м</w:t>
      </w:r>
      <w:r w:rsidRPr="00CB2C86">
        <w:t>е</w:t>
      </w:r>
      <w:r w:rsidRPr="00CB2C86">
        <w:t>роприятиях и повысить эффективность занятий, расширить их кругозор за ст</w:t>
      </w:r>
      <w:r w:rsidRPr="00CB2C86">
        <w:t>е</w:t>
      </w:r>
      <w:r w:rsidRPr="00CB2C86">
        <w:t>нами классов, а также углубить их знания жизни общества и сформировать чу</w:t>
      </w:r>
      <w:r w:rsidRPr="00CB2C86">
        <w:t>в</w:t>
      </w:r>
      <w:r w:rsidRPr="00CB2C86">
        <w:t>ство сопричастности, чтобы содействовать целостному и всестороннему разв</w:t>
      </w:r>
      <w:r w:rsidRPr="00CB2C86">
        <w:t>и</w:t>
      </w:r>
      <w:r w:rsidRPr="00CB2C86">
        <w:t>тию личности учащихся. Программа включает широкий спектр мероприятий, в частности таких</w:t>
      </w:r>
      <w:r>
        <w:t xml:space="preserve"> как</w:t>
      </w:r>
      <w:r w:rsidRPr="00CB2C86">
        <w:t xml:space="preserve"> консультации преподавателей, культурные и художестве</w:t>
      </w:r>
      <w:r w:rsidRPr="00CB2C86">
        <w:t>н</w:t>
      </w:r>
      <w:r w:rsidRPr="00CB2C86">
        <w:t>ные мер</w:t>
      </w:r>
      <w:r w:rsidRPr="00CB2C86">
        <w:t>о</w:t>
      </w:r>
      <w:r w:rsidRPr="00CB2C86">
        <w:t>приятия, занятия спортом, занятия по формированию организаторских качеств, добровольную работу и экскурсии.</w:t>
      </w:r>
      <w:r w:rsidRPr="00CB2C86" w:rsidDel="004B64F5">
        <w:t xml:space="preserve"> </w:t>
      </w:r>
    </w:p>
    <w:p w:rsidR="00F936A8" w:rsidRPr="00CB2C86" w:rsidRDefault="00F936A8" w:rsidP="0045377F">
      <w:pPr>
        <w:pStyle w:val="H1GR"/>
        <w:tabs>
          <w:tab w:val="left" w:pos="1980"/>
        </w:tabs>
      </w:pPr>
      <w:r w:rsidRPr="00CB2C86">
        <w:tab/>
      </w:r>
      <w:r w:rsidRPr="00CB2C86">
        <w:tab/>
        <w:t>Программа социальных пособий</w:t>
      </w:r>
    </w:p>
    <w:p w:rsidR="00F936A8" w:rsidRPr="00CB2C86" w:rsidRDefault="00F936A8" w:rsidP="0045377F">
      <w:pPr>
        <w:pStyle w:val="SingleTxtGR"/>
        <w:tabs>
          <w:tab w:val="clear" w:pos="1701"/>
          <w:tab w:val="left" w:pos="1980"/>
        </w:tabs>
      </w:pPr>
      <w:r w:rsidRPr="00CB2C86">
        <w:t>9.21</w:t>
      </w:r>
      <w:r w:rsidRPr="00CB2C86">
        <w:tab/>
        <w:t>Основные характеристики ПСП в основном остаются такими же, как они изложены в пунктах 156</w:t>
      </w:r>
      <w:r>
        <w:t>−</w:t>
      </w:r>
      <w:r w:rsidRPr="00CB2C86">
        <w:t>160 первоначального доклада. На конец декабря 2009</w:t>
      </w:r>
      <w:r w:rsidR="00B92291">
        <w:t> год</w:t>
      </w:r>
      <w:r w:rsidRPr="00CB2C86">
        <w:t>а пособия по линии ПСП получали 624</w:t>
      </w:r>
      <w:r w:rsidR="00E758E4">
        <w:t> 000</w:t>
      </w:r>
      <w:r w:rsidRPr="00CB2C86">
        <w:t xml:space="preserve"> человек, из которых 495</w:t>
      </w:r>
      <w:r w:rsidR="00E758E4">
        <w:t> 000</w:t>
      </w:r>
      <w:r w:rsidRPr="00CB2C86">
        <w:t xml:space="preserve"> получали пособия по ставке 1</w:t>
      </w:r>
      <w:r w:rsidR="00BB6933">
        <w:t> </w:t>
      </w:r>
      <w:r w:rsidRPr="00CB2C86">
        <w:t>000</w:t>
      </w:r>
      <w:r w:rsidR="004F720A">
        <w:t> долл.</w:t>
      </w:r>
      <w:r w:rsidRPr="00CB2C86">
        <w:t>, применяемой с января 2009</w:t>
      </w:r>
      <w:r w:rsidR="00B92291">
        <w:t> год</w:t>
      </w:r>
      <w:r w:rsidRPr="00CB2C86">
        <w:t>а, а остальные 129</w:t>
      </w:r>
      <w:r w:rsidR="00E758E4">
        <w:t> 000</w:t>
      </w:r>
      <w:r w:rsidRPr="00CB2C86">
        <w:t xml:space="preserve"> получали пособия по инвалидности по ставке 1</w:t>
      </w:r>
      <w:r>
        <w:t> </w:t>
      </w:r>
      <w:r w:rsidRPr="00CB2C86">
        <w:t>280</w:t>
      </w:r>
      <w:r w:rsidR="004F720A">
        <w:t> долл.</w:t>
      </w:r>
      <w:r w:rsidRPr="00CB2C86">
        <w:t xml:space="preserve"> (пособие по инвалидности в обычной форме) или 2</w:t>
      </w:r>
      <w:r>
        <w:t> </w:t>
      </w:r>
      <w:r w:rsidRPr="00CB2C86">
        <w:t>560</w:t>
      </w:r>
      <w:r w:rsidR="004F720A">
        <w:t> долл.</w:t>
      </w:r>
      <w:r w:rsidRPr="00CB2C86">
        <w:t xml:space="preserve"> (по инвалидности в тяжелой форме). Упомянутые выше размеры пособия по ст</w:t>
      </w:r>
      <w:r w:rsidRPr="00CB2C86">
        <w:t>а</w:t>
      </w:r>
      <w:r w:rsidRPr="00CB2C86">
        <w:t>рости были на 60% и 42% больше упомянутых выше ставок в размере 625</w:t>
      </w:r>
      <w:r w:rsidR="004F720A">
        <w:t> долл.</w:t>
      </w:r>
      <w:r w:rsidRPr="00CB2C86">
        <w:t xml:space="preserve"> соответственно для получателей в возрасте м</w:t>
      </w:r>
      <w:r w:rsidR="00BB6933">
        <w:t xml:space="preserve">оложе </w:t>
      </w:r>
      <w:r w:rsidRPr="00CB2C86">
        <w:t>70 лет и 705</w:t>
      </w:r>
      <w:r w:rsidR="004F720A">
        <w:t> долл.</w:t>
      </w:r>
      <w:r w:rsidRPr="00CB2C86">
        <w:t xml:space="preserve"> для п</w:t>
      </w:r>
      <w:r w:rsidRPr="00CB2C86">
        <w:t>о</w:t>
      </w:r>
      <w:r w:rsidRPr="00CB2C86">
        <w:t>лучателей в возрасте 70 лет и старше.</w:t>
      </w:r>
    </w:p>
    <w:p w:rsidR="00F936A8" w:rsidRPr="00CB2C86" w:rsidRDefault="00F936A8" w:rsidP="0045377F">
      <w:pPr>
        <w:pStyle w:val="H1GR"/>
        <w:tabs>
          <w:tab w:val="left" w:pos="1980"/>
        </w:tabs>
      </w:pPr>
      <w:r w:rsidRPr="00CB2C86">
        <w:tab/>
      </w:r>
      <w:r w:rsidRPr="00CB2C86">
        <w:tab/>
        <w:t>Охрана оплаты труда и установленные законом права и</w:t>
      </w:r>
      <w:r>
        <w:t> </w:t>
      </w:r>
      <w:r w:rsidRPr="00CB2C86">
        <w:t>льготы</w:t>
      </w:r>
    </w:p>
    <w:p w:rsidR="00F936A8" w:rsidRPr="00CB2C86" w:rsidRDefault="00F936A8" w:rsidP="0045377F">
      <w:pPr>
        <w:pStyle w:val="SingleTxtGR"/>
        <w:tabs>
          <w:tab w:val="clear" w:pos="1701"/>
          <w:tab w:val="left" w:pos="1980"/>
        </w:tabs>
      </w:pPr>
      <w:r w:rsidRPr="00CB2C86">
        <w:t>9.22</w:t>
      </w:r>
      <w:r w:rsidRPr="00CB2C86">
        <w:tab/>
        <w:t>Положение, касающееся права на больничные дни и пособие по б</w:t>
      </w:r>
      <w:r w:rsidRPr="00CB2C86">
        <w:t>о</w:t>
      </w:r>
      <w:r w:rsidRPr="00CB2C86">
        <w:t>лезни в соответствии с Указом о занятости остается в основном таким же, как оно описано в пунктах 162</w:t>
      </w:r>
      <w:r>
        <w:t>−</w:t>
      </w:r>
      <w:r w:rsidRPr="00CB2C86">
        <w:t>164 первоначального доклада и пункте 9.17 пред</w:t>
      </w:r>
      <w:r w:rsidRPr="00CB2C86">
        <w:t>ы</w:t>
      </w:r>
      <w:r w:rsidRPr="00CB2C86">
        <w:t xml:space="preserve">дущего доклада. </w:t>
      </w:r>
    </w:p>
    <w:p w:rsidR="00F936A8" w:rsidRPr="00CB2C86" w:rsidRDefault="00F936A8" w:rsidP="0045377F">
      <w:pPr>
        <w:pStyle w:val="SingleTxtGR"/>
        <w:tabs>
          <w:tab w:val="clear" w:pos="1701"/>
          <w:tab w:val="left" w:pos="1980"/>
        </w:tabs>
      </w:pPr>
      <w:r w:rsidRPr="00CB2C86">
        <w:t>9.23</w:t>
      </w:r>
      <w:r w:rsidRPr="00CB2C86">
        <w:tab/>
        <w:t>Начиная с декабря 2006</w:t>
      </w:r>
      <w:r w:rsidR="00B92291">
        <w:t> год</w:t>
      </w:r>
      <w:r w:rsidRPr="00CB2C86">
        <w:t>а в дополнение к уже признаваемым как основание для права на пособие по болезни медицинским заключениям, выда</w:t>
      </w:r>
      <w:r w:rsidRPr="00CB2C86">
        <w:t>н</w:t>
      </w:r>
      <w:r w:rsidRPr="00CB2C86">
        <w:t>ным дипломированным врачом и или зубным врачом, таким основанием может служить медицинское заключение, выданное дипломированным врачом трад</w:t>
      </w:r>
      <w:r w:rsidRPr="00CB2C86">
        <w:t>и</w:t>
      </w:r>
      <w:r w:rsidRPr="00CB2C86">
        <w:t>ционной китайской медицины, при условии что больной/больная отвечает всем соответствующим квалификационным критериям, изложенным в Указе о зан</w:t>
      </w:r>
      <w:r w:rsidRPr="00CB2C86">
        <w:t>я</w:t>
      </w:r>
      <w:r w:rsidRPr="00CB2C86">
        <w:t xml:space="preserve">тости. </w:t>
      </w:r>
    </w:p>
    <w:p w:rsidR="00F936A8" w:rsidRPr="00CB2C86" w:rsidRDefault="00F936A8" w:rsidP="0045377F">
      <w:pPr>
        <w:pStyle w:val="SingleTxtGR"/>
        <w:tabs>
          <w:tab w:val="clear" w:pos="1701"/>
          <w:tab w:val="left" w:pos="1980"/>
        </w:tabs>
      </w:pPr>
      <w:r w:rsidRPr="00CB2C86">
        <w:t>9.24</w:t>
      </w:r>
      <w:r w:rsidRPr="00CB2C86">
        <w:tab/>
        <w:t>Начиная с июля 2007</w:t>
      </w:r>
      <w:r w:rsidR="00B92291">
        <w:t> год</w:t>
      </w:r>
      <w:r w:rsidRPr="00CB2C86">
        <w:t>а в основу расчета пособия по болезни беру</w:t>
      </w:r>
      <w:r w:rsidRPr="00CB2C86">
        <w:t>т</w:t>
      </w:r>
      <w:r w:rsidRPr="00CB2C86">
        <w:t>ся четыре пятых среднего заработка работника за предыдущие 12 месяцев. Бл</w:t>
      </w:r>
      <w:r w:rsidRPr="00CB2C86">
        <w:t>а</w:t>
      </w:r>
      <w:r w:rsidRPr="00CB2C86">
        <w:t>годаря увеличению базового периода для расчета до 12 месяцев оплата труда работников может стать более стабильной и предсказуемой. Были также внес</w:t>
      </w:r>
      <w:r w:rsidRPr="00CB2C86">
        <w:t>е</w:t>
      </w:r>
      <w:r w:rsidRPr="00CB2C86">
        <w:t>ны соответствующие поправки, чтобы ясно прописать, что все элементы зар</w:t>
      </w:r>
      <w:r w:rsidRPr="00CB2C86">
        <w:t>а</w:t>
      </w:r>
      <w:r w:rsidRPr="00CB2C86">
        <w:t>ботка определенные в соответствии с Указом о занятости, будь то назначаемые или начисляемые, должны включаться в расчеты соответствующих установле</w:t>
      </w:r>
      <w:r w:rsidRPr="00CB2C86">
        <w:t>н</w:t>
      </w:r>
      <w:r w:rsidRPr="00CB2C86">
        <w:t>ных законом льгот.</w:t>
      </w:r>
    </w:p>
    <w:p w:rsidR="00F936A8" w:rsidRPr="00CB2C86" w:rsidRDefault="00F936A8" w:rsidP="0045377F">
      <w:pPr>
        <w:pStyle w:val="SingleTxtGR"/>
        <w:tabs>
          <w:tab w:val="clear" w:pos="1701"/>
          <w:tab w:val="left" w:pos="1980"/>
        </w:tabs>
      </w:pPr>
      <w:r w:rsidRPr="00CB2C86">
        <w:t>9.25</w:t>
      </w:r>
      <w:r w:rsidRPr="00CB2C86">
        <w:tab/>
        <w:t>Положение с правом на пособие за выслугу лет в соответствии с Ук</w:t>
      </w:r>
      <w:r w:rsidRPr="00CB2C86">
        <w:t>а</w:t>
      </w:r>
      <w:r w:rsidRPr="00CB2C86">
        <w:t>зом о занятости в основном остается таким, каким оно описано в пунктах 165</w:t>
      </w:r>
      <w:r>
        <w:t>−</w:t>
      </w:r>
      <w:r w:rsidRPr="00CB2C86">
        <w:t>167 первоначального доклада.</w:t>
      </w:r>
    </w:p>
    <w:p w:rsidR="00F936A8" w:rsidRPr="00CB2C86" w:rsidRDefault="00F936A8" w:rsidP="0045377F">
      <w:pPr>
        <w:pStyle w:val="SingleTxtGR"/>
        <w:tabs>
          <w:tab w:val="clear" w:pos="1701"/>
          <w:tab w:val="left" w:pos="1980"/>
        </w:tabs>
      </w:pPr>
      <w:r w:rsidRPr="00CB2C86">
        <w:t>9.26</w:t>
      </w:r>
      <w:r w:rsidRPr="00CB2C86">
        <w:tab/>
        <w:t>С декабря 2006</w:t>
      </w:r>
      <w:r w:rsidR="00B92291">
        <w:t> год</w:t>
      </w:r>
      <w:r w:rsidRPr="00CB2C86">
        <w:t>а право работника на получение пособия за высл</w:t>
      </w:r>
      <w:r w:rsidRPr="00CB2C86">
        <w:t>у</w:t>
      </w:r>
      <w:r w:rsidRPr="00CB2C86">
        <w:t>гу лет закреплено путем признания медицинского заключения, выданного вр</w:t>
      </w:r>
      <w:r w:rsidRPr="00CB2C86">
        <w:t>а</w:t>
      </w:r>
      <w:r w:rsidRPr="00CB2C86">
        <w:t>чом традиционной китайской медицины (в дополнению к медицинскому закл</w:t>
      </w:r>
      <w:r w:rsidRPr="00CB2C86">
        <w:t>ю</w:t>
      </w:r>
      <w:r w:rsidRPr="00CB2C86">
        <w:t>чению, выданному дипломированным врачом, которое уже признается в качес</w:t>
      </w:r>
      <w:r w:rsidRPr="00CB2C86">
        <w:t>т</w:t>
      </w:r>
      <w:r w:rsidRPr="00CB2C86">
        <w:t xml:space="preserve">ве основания (в соответствии с Указом), о полной непригодности работника к его текущей трудовой деятельности. </w:t>
      </w:r>
    </w:p>
    <w:p w:rsidR="00F936A8" w:rsidRPr="00CB2C86" w:rsidRDefault="00F936A8" w:rsidP="0045377F">
      <w:pPr>
        <w:pStyle w:val="SingleTxtGR"/>
        <w:tabs>
          <w:tab w:val="clear" w:pos="1701"/>
          <w:tab w:val="left" w:pos="1980"/>
        </w:tabs>
      </w:pPr>
      <w:r w:rsidRPr="00CB2C86">
        <w:t>9.27</w:t>
      </w:r>
      <w:r w:rsidRPr="00CB2C86">
        <w:tab/>
        <w:t>Что касается охраны оплаты труда, то ее порядок сохраняется таким</w:t>
      </w:r>
      <w:r w:rsidR="00BB6933">
        <w:t>,</w:t>
      </w:r>
      <w:r>
        <w:t xml:space="preserve"> как</w:t>
      </w:r>
      <w:r w:rsidRPr="00CB2C86">
        <w:t xml:space="preserve"> он описан в пунктах 7.10 и 7.11 настоящего Доклада.</w:t>
      </w:r>
    </w:p>
    <w:p w:rsidR="00F936A8" w:rsidRPr="00CB2C86" w:rsidRDefault="00F936A8" w:rsidP="0045377F">
      <w:pPr>
        <w:pStyle w:val="H1GR"/>
        <w:tabs>
          <w:tab w:val="left" w:pos="1980"/>
        </w:tabs>
      </w:pPr>
      <w:r w:rsidRPr="00CB2C86">
        <w:tab/>
      </w:r>
      <w:r w:rsidRPr="00CB2C86">
        <w:tab/>
        <w:t xml:space="preserve">Компенсация работникам </w:t>
      </w:r>
    </w:p>
    <w:p w:rsidR="00F936A8" w:rsidRPr="00CB2C86" w:rsidRDefault="00F936A8" w:rsidP="0045377F">
      <w:pPr>
        <w:pStyle w:val="SingleTxtGR"/>
        <w:tabs>
          <w:tab w:val="clear" w:pos="1701"/>
          <w:tab w:val="left" w:pos="1980"/>
        </w:tabs>
      </w:pPr>
      <w:r w:rsidRPr="00CB2C86">
        <w:t>9.28</w:t>
      </w:r>
      <w:r w:rsidRPr="00CB2C86">
        <w:tab/>
        <w:t>Общее положение остается таким же, как оно описано в пунктах 172</w:t>
      </w:r>
      <w:r>
        <w:t>−</w:t>
      </w:r>
      <w:r w:rsidRPr="00CB2C86">
        <w:t>177 первоначального доклада. После представления предыдущего доклада в Указ о компенсации работникам были внесены изменения, чтобы усилить з</w:t>
      </w:r>
      <w:r w:rsidRPr="00CB2C86">
        <w:t>а</w:t>
      </w:r>
      <w:r w:rsidRPr="00CB2C86">
        <w:t>щиту работников. Поправки, внесенные в Указ о компенсации, излагаются в Прилож</w:t>
      </w:r>
      <w:r w:rsidRPr="00CB2C86">
        <w:t>е</w:t>
      </w:r>
      <w:r w:rsidRPr="00CB2C86">
        <w:t>нии 9</w:t>
      </w:r>
      <w:r w:rsidRPr="00CB2C86">
        <w:rPr>
          <w:lang w:val="en-GB"/>
        </w:rPr>
        <w:t>A</w:t>
      </w:r>
      <w:r w:rsidRPr="00CB2C86">
        <w:t>.</w:t>
      </w:r>
    </w:p>
    <w:p w:rsidR="00F936A8" w:rsidRPr="00CB2C86" w:rsidRDefault="00F936A8" w:rsidP="0045377F">
      <w:pPr>
        <w:pStyle w:val="H23GR"/>
        <w:tabs>
          <w:tab w:val="left" w:pos="1980"/>
        </w:tabs>
      </w:pPr>
      <w:r w:rsidRPr="00CB2C86">
        <w:tab/>
      </w:r>
      <w:r w:rsidRPr="00CB2C86">
        <w:tab/>
        <w:t xml:space="preserve">Компенсация за пневмокониоз и </w:t>
      </w:r>
      <w:proofErr w:type="spellStart"/>
      <w:r w:rsidRPr="00CB2C86">
        <w:t>мезотелиому</w:t>
      </w:r>
      <w:proofErr w:type="spellEnd"/>
    </w:p>
    <w:p w:rsidR="00F936A8" w:rsidRPr="00CB2C86" w:rsidRDefault="00F936A8" w:rsidP="0045377F">
      <w:pPr>
        <w:pStyle w:val="SingleTxtGR"/>
        <w:tabs>
          <w:tab w:val="clear" w:pos="1701"/>
          <w:tab w:val="left" w:pos="1980"/>
        </w:tabs>
      </w:pPr>
      <w:r w:rsidRPr="00CB2C86">
        <w:t>9.29</w:t>
      </w:r>
      <w:r w:rsidRPr="00CB2C86">
        <w:tab/>
        <w:t>Как уже упоминалось выше в пункте 7.48, действие Указа о компенс</w:t>
      </w:r>
      <w:r w:rsidRPr="00CB2C86">
        <w:t>а</w:t>
      </w:r>
      <w:r w:rsidRPr="00CB2C86">
        <w:t xml:space="preserve">ции за пневмокониоз было распространено на лиц, больных злокачественной </w:t>
      </w:r>
      <w:proofErr w:type="spellStart"/>
      <w:r w:rsidRPr="00CB2C86">
        <w:t>мезотелиомой</w:t>
      </w:r>
      <w:proofErr w:type="spellEnd"/>
      <w:r w:rsidRPr="00CB2C86">
        <w:t xml:space="preserve">. Имеющие на это право больные </w:t>
      </w:r>
      <w:proofErr w:type="spellStart"/>
      <w:r w:rsidRPr="00CB2C86">
        <w:t>мезотелиомой</w:t>
      </w:r>
      <w:proofErr w:type="spellEnd"/>
      <w:r w:rsidRPr="00CB2C86">
        <w:t xml:space="preserve"> получают такую же компенсацию и льготы, что и больные пневмокониозом. Соответственно, этот Указ был переименован в Указ о компенсации за пневмокониоз и </w:t>
      </w:r>
      <w:proofErr w:type="spellStart"/>
      <w:r w:rsidRPr="00CB2C86">
        <w:t>мезот</w:t>
      </w:r>
      <w:r w:rsidRPr="00CB2C86">
        <w:t>е</w:t>
      </w:r>
      <w:r w:rsidRPr="00CB2C86">
        <w:t>лиому</w:t>
      </w:r>
      <w:proofErr w:type="spellEnd"/>
      <w:r w:rsidRPr="00CB2C86">
        <w:t>. Выплаты, предусмотренные этим Указом, излагаются в Приложении 9</w:t>
      </w:r>
      <w:r w:rsidRPr="00CB2C86">
        <w:rPr>
          <w:lang w:val="en-GB"/>
        </w:rPr>
        <w:t>B</w:t>
      </w:r>
      <w:r w:rsidRPr="00CB2C86">
        <w:t>.</w:t>
      </w:r>
    </w:p>
    <w:p w:rsidR="00F936A8" w:rsidRPr="00CB2C86" w:rsidRDefault="00F936A8" w:rsidP="0045377F">
      <w:pPr>
        <w:pStyle w:val="H23GR"/>
        <w:tabs>
          <w:tab w:val="left" w:pos="1980"/>
        </w:tabs>
      </w:pPr>
      <w:r w:rsidRPr="00CB2C86">
        <w:tab/>
      </w:r>
      <w:r w:rsidRPr="00CB2C86">
        <w:tab/>
        <w:t>Компенсация за профессиональную глухоту</w:t>
      </w:r>
    </w:p>
    <w:p w:rsidR="00F936A8" w:rsidRPr="00CB2C86" w:rsidRDefault="00F936A8" w:rsidP="0045377F">
      <w:pPr>
        <w:pStyle w:val="SingleTxtGR"/>
        <w:tabs>
          <w:tab w:val="clear" w:pos="1701"/>
          <w:tab w:val="left" w:pos="1980"/>
        </w:tabs>
      </w:pPr>
      <w:r w:rsidRPr="00CB2C86">
        <w:t>9.30</w:t>
      </w:r>
      <w:r w:rsidRPr="00CB2C86">
        <w:tab/>
        <w:t>После представления предыдущего доклада ЗС принял законопроекты о внесении поправок в Указ о компенсации за профессиональную глухоту, а именно поправки к Указу о компенсации за профессиональную глухоту 2003</w:t>
      </w:r>
      <w:r w:rsidR="00B92291">
        <w:t> год</w:t>
      </w:r>
      <w:r w:rsidRPr="00CB2C86">
        <w:t>а (Компенсация) (Поправка) и поправки к Указу о компенсации за пр</w:t>
      </w:r>
      <w:r w:rsidRPr="00CB2C86">
        <w:t>о</w:t>
      </w:r>
      <w:r w:rsidRPr="00CB2C86">
        <w:t>фессиональную глухоту 2010</w:t>
      </w:r>
      <w:r w:rsidR="00B92291">
        <w:t> год</w:t>
      </w:r>
      <w:r w:rsidRPr="00CB2C86">
        <w:t>а (Компенсация) (Поправка). Оба законод</w:t>
      </w:r>
      <w:r w:rsidRPr="00CB2C86">
        <w:t>а</w:t>
      </w:r>
      <w:r w:rsidRPr="00CB2C86">
        <w:t>тельных акта преследовали цель повысить компенсационные выплаты работн</w:t>
      </w:r>
      <w:r w:rsidRPr="00CB2C86">
        <w:t>и</w:t>
      </w:r>
      <w:r w:rsidRPr="00CB2C86">
        <w:t>кам в с</w:t>
      </w:r>
      <w:r w:rsidRPr="00CB2C86">
        <w:t>о</w:t>
      </w:r>
      <w:r w:rsidRPr="00CB2C86">
        <w:t xml:space="preserve">ответствии с Указом о компенсации за профессиональную глухоту. </w:t>
      </w:r>
    </w:p>
    <w:p w:rsidR="00F936A8" w:rsidRPr="00CB2C86" w:rsidRDefault="00F936A8" w:rsidP="0045377F">
      <w:pPr>
        <w:pStyle w:val="SingleTxtGR"/>
        <w:tabs>
          <w:tab w:val="clear" w:pos="1701"/>
          <w:tab w:val="left" w:pos="1980"/>
        </w:tabs>
      </w:pPr>
      <w:r w:rsidRPr="00CB2C86">
        <w:t>9.31</w:t>
      </w:r>
      <w:r w:rsidRPr="00CB2C86">
        <w:tab/>
        <w:t>Подробное описание внесенных в соответствии с законодательными актами о внесении поправок 2003</w:t>
      </w:r>
      <w:r w:rsidR="00B92291">
        <w:t> год</w:t>
      </w:r>
      <w:r w:rsidRPr="00CB2C86">
        <w:t>а изменений приводится в Приложении 9С, а</w:t>
      </w:r>
      <w:r w:rsidR="00751DC5">
        <w:t> </w:t>
      </w:r>
      <w:r w:rsidRPr="00CB2C86">
        <w:t>изменения в соответствии с поправкой в Указ 2010</w:t>
      </w:r>
      <w:r w:rsidR="00B92291">
        <w:t> год</w:t>
      </w:r>
      <w:r w:rsidRPr="00CB2C86">
        <w:t>а приводятся в Прил</w:t>
      </w:r>
      <w:r w:rsidRPr="00CB2C86">
        <w:t>о</w:t>
      </w:r>
      <w:r w:rsidRPr="00CB2C86">
        <w:t>жении 9</w:t>
      </w:r>
      <w:r w:rsidRPr="00CB2C86">
        <w:rPr>
          <w:lang w:val="en-US"/>
        </w:rPr>
        <w:t>D</w:t>
      </w:r>
      <w:r w:rsidRPr="00CB2C86">
        <w:t>.</w:t>
      </w:r>
    </w:p>
    <w:p w:rsidR="00F936A8" w:rsidRPr="00CB2C86" w:rsidRDefault="00F936A8" w:rsidP="0045377F">
      <w:pPr>
        <w:pStyle w:val="H1GR"/>
        <w:tabs>
          <w:tab w:val="left" w:pos="1980"/>
        </w:tabs>
      </w:pPr>
      <w:r w:rsidRPr="00CB2C86">
        <w:tab/>
      </w:r>
      <w:r w:rsidRPr="00CB2C86">
        <w:tab/>
        <w:t>Пенсионные пособия и защита пенсионеров</w:t>
      </w:r>
    </w:p>
    <w:p w:rsidR="00F936A8" w:rsidRPr="00CB2C86" w:rsidRDefault="00F936A8" w:rsidP="0045377F">
      <w:pPr>
        <w:pStyle w:val="SingleTxtGR"/>
        <w:tabs>
          <w:tab w:val="clear" w:pos="1701"/>
          <w:tab w:val="left" w:pos="1980"/>
        </w:tabs>
      </w:pPr>
      <w:r w:rsidRPr="00CB2C86">
        <w:t>9.32</w:t>
      </w:r>
      <w:r w:rsidRPr="00CB2C86">
        <w:tab/>
        <w:t>Положение с пенсионными пособиями и защитой пенсионеров во мн</w:t>
      </w:r>
      <w:r w:rsidRPr="00CB2C86">
        <w:t>о</w:t>
      </w:r>
      <w:r w:rsidRPr="00CB2C86">
        <w:t>гом остается таким же, как оно описано в пунктах 9.23</w:t>
      </w:r>
      <w:r>
        <w:t>−</w:t>
      </w:r>
      <w:r w:rsidRPr="00CB2C86">
        <w:t>9.26 предыдущего до</w:t>
      </w:r>
      <w:r w:rsidRPr="00CB2C86">
        <w:t>к</w:t>
      </w:r>
      <w:r w:rsidRPr="00CB2C86">
        <w:t>лада. Комитет и некоторые комментаторы рекомендовали предоставить пенс</w:t>
      </w:r>
      <w:r w:rsidRPr="00CB2C86">
        <w:t>и</w:t>
      </w:r>
      <w:r w:rsidRPr="00CB2C86">
        <w:t>онные права различным группам, в том числе домохозяйкам, инвалидам, пр</w:t>
      </w:r>
      <w:r w:rsidRPr="00CB2C86">
        <w:t>е</w:t>
      </w:r>
      <w:r w:rsidRPr="00CB2C86">
        <w:t>старелым, безработным и помощникам по хозяйству, путем их включения в Обязательный резервный фонд (ОРФ). Как указывалось в предыдущем докладе, система ОРФ, которая представляет собой систему охран</w:t>
      </w:r>
      <w:r w:rsidR="00751DC5">
        <w:t>ы</w:t>
      </w:r>
      <w:r w:rsidRPr="00CB2C86">
        <w:t xml:space="preserve"> трудовых пенсий, отражает консенсус в обществе, сформировавшийся после продолжительных публичных обсуждений и тщательного рассмотрения в законодательных орг</w:t>
      </w:r>
      <w:r w:rsidRPr="00CB2C86">
        <w:t>а</w:t>
      </w:r>
      <w:r w:rsidRPr="00CB2C86">
        <w:t>нах. ОРФ явл</w:t>
      </w:r>
      <w:r w:rsidRPr="00CB2C86">
        <w:t>я</w:t>
      </w:r>
      <w:r w:rsidRPr="00CB2C86">
        <w:t>ется одной из трех опор системы защиты пенсионеров. Вместе с системой с</w:t>
      </w:r>
      <w:r w:rsidRPr="00CB2C86">
        <w:t>о</w:t>
      </w:r>
      <w:r w:rsidRPr="00CB2C86">
        <w:t>циального обеспечения, не требующей взносов (которая состоит из ПВСП и ПСП) и добровольных частных сбережений, Гонконг применяет тре</w:t>
      </w:r>
      <w:r w:rsidRPr="00CB2C86">
        <w:t>х</w:t>
      </w:r>
      <w:r w:rsidRPr="00CB2C86">
        <w:t>компонентную м</w:t>
      </w:r>
      <w:r w:rsidRPr="00CB2C86">
        <w:t>о</w:t>
      </w:r>
      <w:r w:rsidRPr="00CB2C86">
        <w:t>дель защиты пенсионеров.</w:t>
      </w:r>
    </w:p>
    <w:p w:rsidR="00F936A8" w:rsidRPr="00CB2C86" w:rsidRDefault="00F936A8" w:rsidP="0045377F">
      <w:pPr>
        <w:pStyle w:val="SingleTxtGR"/>
        <w:tabs>
          <w:tab w:val="clear" w:pos="1701"/>
          <w:tab w:val="left" w:pos="1980"/>
        </w:tabs>
      </w:pPr>
      <w:r w:rsidRPr="00CB2C86">
        <w:t>9.33</w:t>
      </w:r>
      <w:r w:rsidRPr="00CB2C86">
        <w:tab/>
        <w:t>Правительство изучает устойчивость этих трех столпов, и мы ра</w:t>
      </w:r>
      <w:r w:rsidRPr="00CB2C86">
        <w:t>с</w:t>
      </w:r>
      <w:r w:rsidRPr="00CB2C86">
        <w:t>смотрим результаты исследования и другие соответствующие факторы перед тем, как принять решение о плане дальнейших действий. К важным факторам, которые требуют рассмотрения, относятся сохранение традиционных семейных ценностей, поддержание общей экономической конкурентоспособности и пр</w:t>
      </w:r>
      <w:r w:rsidRPr="00CB2C86">
        <w:t>о</w:t>
      </w:r>
      <w:r w:rsidRPr="00CB2C86">
        <w:t>стой налоговой системы Гонконга и обеспечение устойчивого развития дейс</w:t>
      </w:r>
      <w:r w:rsidRPr="00CB2C86">
        <w:t>т</w:t>
      </w:r>
      <w:r w:rsidRPr="00CB2C86">
        <w:t>вующей системы социального обеспечения.</w:t>
      </w:r>
    </w:p>
    <w:p w:rsidR="00F936A8" w:rsidRPr="00CB2C86" w:rsidRDefault="00F936A8" w:rsidP="0045377F">
      <w:pPr>
        <w:pStyle w:val="HChGR"/>
        <w:tabs>
          <w:tab w:val="left" w:pos="1980"/>
        </w:tabs>
      </w:pPr>
      <w:r w:rsidRPr="00CB2C86">
        <w:tab/>
      </w:r>
      <w:r w:rsidRPr="00CB2C86">
        <w:tab/>
        <w:t>Статья 10</w:t>
      </w:r>
      <w:r>
        <w:br/>
      </w:r>
      <w:r w:rsidRPr="00CB2C86">
        <w:t>Охрана семьи</w:t>
      </w:r>
    </w:p>
    <w:p w:rsidR="00F936A8" w:rsidRPr="00CB2C86" w:rsidRDefault="00F936A8" w:rsidP="0045377F">
      <w:pPr>
        <w:pStyle w:val="H1GR"/>
        <w:tabs>
          <w:tab w:val="left" w:pos="1980"/>
        </w:tabs>
      </w:pPr>
      <w:r w:rsidRPr="00CB2C86">
        <w:tab/>
      </w:r>
      <w:r w:rsidRPr="00CB2C86">
        <w:tab/>
        <w:t xml:space="preserve">Семья </w:t>
      </w:r>
    </w:p>
    <w:p w:rsidR="00F936A8" w:rsidRPr="00CB2C86" w:rsidRDefault="00F936A8" w:rsidP="0045377F">
      <w:pPr>
        <w:pStyle w:val="H23GR"/>
        <w:tabs>
          <w:tab w:val="left" w:pos="1980"/>
        </w:tabs>
      </w:pPr>
      <w:r w:rsidRPr="00CB2C86">
        <w:tab/>
      </w:r>
      <w:r w:rsidRPr="00CB2C86">
        <w:tab/>
        <w:t>Определение и положение в САРГ</w:t>
      </w:r>
    </w:p>
    <w:p w:rsidR="00F936A8" w:rsidRPr="00CB2C86" w:rsidRDefault="00F936A8" w:rsidP="0045377F">
      <w:pPr>
        <w:pStyle w:val="SingleTxtGR"/>
        <w:tabs>
          <w:tab w:val="clear" w:pos="1701"/>
          <w:tab w:val="left" w:pos="1980"/>
        </w:tabs>
      </w:pPr>
      <w:r w:rsidRPr="00CB2C86">
        <w:t>10.1</w:t>
      </w:r>
      <w:r w:rsidRPr="00CB2C86">
        <w:tab/>
        <w:t xml:space="preserve">Положение, в том числе определение термина </w:t>
      </w:r>
      <w:r>
        <w:t>"</w:t>
      </w:r>
      <w:r w:rsidRPr="00CB2C86">
        <w:t>семья</w:t>
      </w:r>
      <w:r>
        <w:t>"</w:t>
      </w:r>
      <w:r w:rsidRPr="00CB2C86">
        <w:t>, остается таким же, как оно описано в пунктах 198 и 199 первоначального доклада.</w:t>
      </w:r>
    </w:p>
    <w:p w:rsidR="00F936A8" w:rsidRPr="00CB2C86" w:rsidRDefault="00F936A8" w:rsidP="0045377F">
      <w:pPr>
        <w:pStyle w:val="SingleTxtGR"/>
        <w:tabs>
          <w:tab w:val="clear" w:pos="1701"/>
          <w:tab w:val="left" w:pos="1980"/>
        </w:tabs>
      </w:pPr>
      <w:r w:rsidRPr="00CB2C86">
        <w:t>10.2</w:t>
      </w:r>
      <w:r w:rsidRPr="00CB2C86">
        <w:tab/>
        <w:t>Результаты промежуточной переписи населения Гонконга 2006</w:t>
      </w:r>
      <w:r w:rsidR="00B92291">
        <w:t> год</w:t>
      </w:r>
      <w:r w:rsidRPr="00CB2C86">
        <w:t xml:space="preserve">а показывают, что процентная доля домашних хозяйств нерасширенных </w:t>
      </w:r>
      <w:proofErr w:type="spellStart"/>
      <w:r w:rsidRPr="00CB2C86">
        <w:t>нуклеа</w:t>
      </w:r>
      <w:r w:rsidRPr="00CB2C86">
        <w:t>р</w:t>
      </w:r>
      <w:r w:rsidRPr="00CB2C86">
        <w:t>ных</w:t>
      </w:r>
      <w:proofErr w:type="spellEnd"/>
      <w:r w:rsidRPr="00CB2C86">
        <w:t xml:space="preserve"> семей увеличилась с 66,2% в 2001</w:t>
      </w:r>
      <w:r w:rsidR="00B92291">
        <w:t> год</w:t>
      </w:r>
      <w:r w:rsidRPr="00CB2C86">
        <w:t>у (в соответствии с переписью нас</w:t>
      </w:r>
      <w:r w:rsidRPr="00CB2C86">
        <w:t>е</w:t>
      </w:r>
      <w:r w:rsidRPr="00CB2C86">
        <w:t>ления 2001</w:t>
      </w:r>
      <w:r w:rsidR="00B92291">
        <w:t> год</w:t>
      </w:r>
      <w:r w:rsidRPr="00CB2C86">
        <w:t>а) до 67% в 2006</w:t>
      </w:r>
      <w:r w:rsidR="00B92291">
        <w:t> год</w:t>
      </w:r>
      <w:r w:rsidRPr="00CB2C86">
        <w:t>у. Однако средний состав этих семей сокр</w:t>
      </w:r>
      <w:r w:rsidRPr="00CB2C86">
        <w:t>а</w:t>
      </w:r>
      <w:r w:rsidRPr="00CB2C86">
        <w:t>тился за этот же период с 3,4 до 3,3 членов. Обновленные данные о неполных семьях по сравнению с данными, приведенными в пункте 10.5 предыдущего доклада, в</w:t>
      </w:r>
      <w:r w:rsidRPr="00CB2C86">
        <w:t>ы</w:t>
      </w:r>
      <w:r w:rsidRPr="00CB2C86">
        <w:t>глядят следующим образом:</w:t>
      </w:r>
    </w:p>
    <w:tbl>
      <w:tblPr>
        <w:tblStyle w:val="TabNum"/>
        <w:tblW w:w="7370" w:type="dxa"/>
        <w:tblInd w:w="1134" w:type="dxa"/>
        <w:tblLayout w:type="fixed"/>
        <w:tblLook w:val="01E0" w:firstRow="1" w:lastRow="1" w:firstColumn="1" w:lastColumn="1" w:noHBand="0" w:noVBand="0"/>
      </w:tblPr>
      <w:tblGrid>
        <w:gridCol w:w="1166"/>
        <w:gridCol w:w="2068"/>
        <w:gridCol w:w="2068"/>
        <w:gridCol w:w="2068"/>
      </w:tblGrid>
      <w:tr w:rsidR="00F936A8" w:rsidRPr="00A84628" w:rsidTr="00F936A8">
        <w:trPr>
          <w:tblHeader/>
        </w:trPr>
        <w:tc>
          <w:tcPr>
            <w:cnfStyle w:val="001000000000" w:firstRow="0" w:lastRow="0" w:firstColumn="1" w:lastColumn="0" w:oddVBand="0" w:evenVBand="0" w:oddHBand="0" w:evenHBand="0" w:firstRowFirstColumn="0" w:firstRowLastColumn="0" w:lastRowFirstColumn="0" w:lastRowLastColumn="0"/>
            <w:tcW w:w="1166" w:type="dxa"/>
            <w:tcBorders>
              <w:bottom w:val="single" w:sz="12" w:space="0" w:color="auto"/>
            </w:tcBorders>
            <w:shd w:val="clear" w:color="auto" w:fill="auto"/>
          </w:tcPr>
          <w:p w:rsidR="00F936A8" w:rsidRPr="00A84628" w:rsidRDefault="00F936A8" w:rsidP="00122DDF">
            <w:pPr>
              <w:tabs>
                <w:tab w:val="left" w:pos="1980"/>
              </w:tabs>
              <w:spacing w:before="80" w:after="80" w:line="200" w:lineRule="exact"/>
              <w:rPr>
                <w:i/>
                <w:sz w:val="16"/>
              </w:rPr>
            </w:pPr>
            <w:r w:rsidRPr="00A84628">
              <w:rPr>
                <w:i/>
                <w:sz w:val="16"/>
              </w:rPr>
              <w:t>Год</w:t>
            </w:r>
          </w:p>
        </w:tc>
        <w:tc>
          <w:tcPr>
            <w:tcW w:w="2068" w:type="dxa"/>
            <w:tcBorders>
              <w:top w:val="single" w:sz="4" w:space="0" w:color="auto"/>
              <w:bottom w:val="single" w:sz="12" w:space="0" w:color="auto"/>
            </w:tcBorders>
            <w:shd w:val="clear" w:color="auto" w:fill="auto"/>
          </w:tcPr>
          <w:p w:rsidR="00F936A8" w:rsidRPr="00A84628"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84628">
              <w:rPr>
                <w:i/>
                <w:sz w:val="16"/>
              </w:rPr>
              <w:t>Одинокие матери</w:t>
            </w:r>
          </w:p>
        </w:tc>
        <w:tc>
          <w:tcPr>
            <w:tcW w:w="2068" w:type="dxa"/>
            <w:tcBorders>
              <w:top w:val="single" w:sz="4" w:space="0" w:color="auto"/>
              <w:bottom w:val="single" w:sz="12" w:space="0" w:color="auto"/>
            </w:tcBorders>
            <w:shd w:val="clear" w:color="auto" w:fill="auto"/>
          </w:tcPr>
          <w:p w:rsidR="00F936A8" w:rsidRPr="00A84628"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84628">
              <w:rPr>
                <w:i/>
                <w:sz w:val="16"/>
              </w:rPr>
              <w:t>Одинокие отцы</w:t>
            </w:r>
          </w:p>
        </w:tc>
        <w:tc>
          <w:tcPr>
            <w:tcW w:w="2068" w:type="dxa"/>
            <w:tcBorders>
              <w:top w:val="single" w:sz="4" w:space="0" w:color="auto"/>
              <w:bottom w:val="single" w:sz="12" w:space="0" w:color="auto"/>
            </w:tcBorders>
            <w:shd w:val="clear" w:color="auto" w:fill="auto"/>
          </w:tcPr>
          <w:p w:rsidR="00F936A8" w:rsidRPr="00A84628"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A84628">
              <w:rPr>
                <w:b/>
                <w:i/>
                <w:sz w:val="16"/>
              </w:rPr>
              <w:t>Всего</w:t>
            </w:r>
          </w:p>
        </w:tc>
      </w:tr>
      <w:tr w:rsidR="00F936A8" w:rsidRPr="00A84628" w:rsidTr="00F936A8">
        <w:tc>
          <w:tcPr>
            <w:cnfStyle w:val="001000000000" w:firstRow="0" w:lastRow="0" w:firstColumn="1" w:lastColumn="0" w:oddVBand="0" w:evenVBand="0" w:oddHBand="0" w:evenHBand="0" w:firstRowFirstColumn="0" w:firstRowLastColumn="0" w:lastRowFirstColumn="0" w:lastRowLastColumn="0"/>
            <w:tcW w:w="1166" w:type="dxa"/>
            <w:tcBorders>
              <w:top w:val="single" w:sz="12" w:space="0" w:color="auto"/>
            </w:tcBorders>
          </w:tcPr>
          <w:p w:rsidR="00F936A8" w:rsidRPr="00A84628" w:rsidRDefault="00F936A8" w:rsidP="00122DDF">
            <w:pPr>
              <w:tabs>
                <w:tab w:val="left" w:pos="1980"/>
              </w:tabs>
            </w:pPr>
            <w:r w:rsidRPr="00A84628">
              <w:t>2006*</w:t>
            </w:r>
          </w:p>
        </w:tc>
        <w:tc>
          <w:tcPr>
            <w:tcW w:w="2068" w:type="dxa"/>
            <w:tcBorders>
              <w:top w:val="single" w:sz="12" w:space="0" w:color="auto"/>
            </w:tcBorders>
          </w:tcPr>
          <w:p w:rsidR="00F936A8" w:rsidRPr="00A84628"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A84628">
              <w:t>57 613 (79</w:t>
            </w:r>
            <w:r>
              <w:t>,</w:t>
            </w:r>
            <w:r w:rsidRPr="00A84628">
              <w:t>7%)</w:t>
            </w:r>
          </w:p>
        </w:tc>
        <w:tc>
          <w:tcPr>
            <w:tcW w:w="2068" w:type="dxa"/>
            <w:tcBorders>
              <w:top w:val="single" w:sz="12" w:space="0" w:color="auto"/>
            </w:tcBorders>
          </w:tcPr>
          <w:p w:rsidR="00F936A8" w:rsidRPr="00A84628"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A84628">
              <w:t>14 713 (20</w:t>
            </w:r>
            <w:r>
              <w:t>,</w:t>
            </w:r>
            <w:r w:rsidRPr="00A84628">
              <w:t>3%)</w:t>
            </w:r>
          </w:p>
        </w:tc>
        <w:tc>
          <w:tcPr>
            <w:tcW w:w="2068" w:type="dxa"/>
            <w:tcBorders>
              <w:top w:val="single" w:sz="12" w:space="0" w:color="auto"/>
            </w:tcBorders>
          </w:tcPr>
          <w:p w:rsidR="00F936A8" w:rsidRPr="00A84628"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A84628">
              <w:rPr>
                <w:b/>
              </w:rPr>
              <w:t>72 326 (100%)</w:t>
            </w:r>
          </w:p>
        </w:tc>
      </w:tr>
      <w:tr w:rsidR="00F936A8" w:rsidRPr="00A84628" w:rsidTr="00F936A8">
        <w:tc>
          <w:tcPr>
            <w:cnfStyle w:val="001000000000" w:firstRow="0" w:lastRow="0" w:firstColumn="1" w:lastColumn="0" w:oddVBand="0" w:evenVBand="0" w:oddHBand="0" w:evenHBand="0" w:firstRowFirstColumn="0" w:firstRowLastColumn="0" w:lastRowFirstColumn="0" w:lastRowLastColumn="0"/>
            <w:tcW w:w="1166" w:type="dxa"/>
          </w:tcPr>
          <w:p w:rsidR="00F936A8" w:rsidRPr="00A84628" w:rsidRDefault="00F936A8" w:rsidP="00122DDF">
            <w:pPr>
              <w:tabs>
                <w:tab w:val="left" w:pos="1980"/>
              </w:tabs>
            </w:pPr>
            <w:r w:rsidRPr="00A84628">
              <w:t>2001**</w:t>
            </w:r>
          </w:p>
        </w:tc>
        <w:tc>
          <w:tcPr>
            <w:tcW w:w="2068" w:type="dxa"/>
          </w:tcPr>
          <w:p w:rsidR="00F936A8" w:rsidRPr="00A84628"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A84628">
              <w:t>45 072 (77</w:t>
            </w:r>
            <w:r>
              <w:t>,</w:t>
            </w:r>
            <w:r w:rsidRPr="00A84628">
              <w:t>1%)</w:t>
            </w:r>
          </w:p>
        </w:tc>
        <w:tc>
          <w:tcPr>
            <w:tcW w:w="2068" w:type="dxa"/>
          </w:tcPr>
          <w:p w:rsidR="00F936A8" w:rsidRPr="00A84628"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A84628">
              <w:t>13 388 (22</w:t>
            </w:r>
            <w:r>
              <w:t>,</w:t>
            </w:r>
            <w:r w:rsidRPr="00A84628">
              <w:t>9%)</w:t>
            </w:r>
          </w:p>
        </w:tc>
        <w:tc>
          <w:tcPr>
            <w:tcW w:w="2068" w:type="dxa"/>
          </w:tcPr>
          <w:p w:rsidR="00F936A8" w:rsidRPr="00A84628"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A84628">
              <w:rPr>
                <w:b/>
              </w:rPr>
              <w:t>58 460 (100%)</w:t>
            </w:r>
          </w:p>
        </w:tc>
      </w:tr>
      <w:tr w:rsidR="00F936A8" w:rsidRPr="00A84628" w:rsidTr="00F936A8">
        <w:tc>
          <w:tcPr>
            <w:cnfStyle w:val="001000000000" w:firstRow="0" w:lastRow="0" w:firstColumn="1" w:lastColumn="0" w:oddVBand="0" w:evenVBand="0" w:oddHBand="0" w:evenHBand="0" w:firstRowFirstColumn="0" w:firstRowLastColumn="0" w:lastRowFirstColumn="0" w:lastRowLastColumn="0"/>
            <w:tcW w:w="1166" w:type="dxa"/>
          </w:tcPr>
          <w:p w:rsidR="00F936A8" w:rsidRPr="00A84628" w:rsidRDefault="00F936A8" w:rsidP="00122DDF">
            <w:pPr>
              <w:tabs>
                <w:tab w:val="left" w:pos="1980"/>
              </w:tabs>
            </w:pPr>
            <w:r w:rsidRPr="00A84628">
              <w:t>1996*</w:t>
            </w:r>
          </w:p>
        </w:tc>
        <w:tc>
          <w:tcPr>
            <w:tcW w:w="2068" w:type="dxa"/>
          </w:tcPr>
          <w:p w:rsidR="00F936A8" w:rsidRPr="00A84628"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A84628">
              <w:t>30 402 (71</w:t>
            </w:r>
            <w:r>
              <w:t>,</w:t>
            </w:r>
            <w:r w:rsidRPr="00A84628">
              <w:t>9%)</w:t>
            </w:r>
          </w:p>
        </w:tc>
        <w:tc>
          <w:tcPr>
            <w:tcW w:w="2068" w:type="dxa"/>
          </w:tcPr>
          <w:p w:rsidR="00F936A8" w:rsidRPr="00A84628"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A84628">
              <w:t>11 907 (28</w:t>
            </w:r>
            <w:r>
              <w:t>,</w:t>
            </w:r>
            <w:r w:rsidRPr="00A84628">
              <w:t>1%)</w:t>
            </w:r>
          </w:p>
        </w:tc>
        <w:tc>
          <w:tcPr>
            <w:tcW w:w="2068" w:type="dxa"/>
          </w:tcPr>
          <w:p w:rsidR="00F936A8" w:rsidRPr="00A84628"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A84628">
              <w:rPr>
                <w:b/>
              </w:rPr>
              <w:t>42 309 (100%)</w:t>
            </w:r>
          </w:p>
        </w:tc>
      </w:tr>
      <w:tr w:rsidR="00F936A8" w:rsidRPr="00A84628" w:rsidTr="00F936A8">
        <w:tc>
          <w:tcPr>
            <w:cnfStyle w:val="001000000000" w:firstRow="0" w:lastRow="0" w:firstColumn="1" w:lastColumn="0" w:oddVBand="0" w:evenVBand="0" w:oddHBand="0" w:evenHBand="0" w:firstRowFirstColumn="0" w:firstRowLastColumn="0" w:lastRowFirstColumn="0" w:lastRowLastColumn="0"/>
            <w:tcW w:w="1166" w:type="dxa"/>
          </w:tcPr>
          <w:p w:rsidR="00F936A8" w:rsidRPr="00A84628" w:rsidRDefault="00F936A8" w:rsidP="00122DDF">
            <w:pPr>
              <w:tabs>
                <w:tab w:val="left" w:pos="1980"/>
              </w:tabs>
            </w:pPr>
            <w:r w:rsidRPr="00A84628">
              <w:t>1991**</w:t>
            </w:r>
          </w:p>
        </w:tc>
        <w:tc>
          <w:tcPr>
            <w:tcW w:w="2068" w:type="dxa"/>
          </w:tcPr>
          <w:p w:rsidR="00F936A8" w:rsidRPr="00A84628"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A84628">
              <w:t>23 059 (66</w:t>
            </w:r>
            <w:r>
              <w:t>,</w:t>
            </w:r>
            <w:r w:rsidRPr="00A84628">
              <w:t>8%)</w:t>
            </w:r>
          </w:p>
        </w:tc>
        <w:tc>
          <w:tcPr>
            <w:tcW w:w="2068" w:type="dxa"/>
          </w:tcPr>
          <w:p w:rsidR="00F936A8" w:rsidRPr="00A84628"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A84628">
              <w:t>11 479 (33</w:t>
            </w:r>
            <w:r>
              <w:t>,</w:t>
            </w:r>
            <w:r w:rsidRPr="00A84628">
              <w:t>2%)</w:t>
            </w:r>
          </w:p>
        </w:tc>
        <w:tc>
          <w:tcPr>
            <w:tcW w:w="2068" w:type="dxa"/>
          </w:tcPr>
          <w:p w:rsidR="00F936A8" w:rsidRPr="00A84628"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A84628">
              <w:rPr>
                <w:b/>
              </w:rPr>
              <w:t>34 538 (100%)</w:t>
            </w:r>
          </w:p>
        </w:tc>
      </w:tr>
    </w:tbl>
    <w:p w:rsidR="00F936A8" w:rsidRPr="00A84628" w:rsidRDefault="00F936A8" w:rsidP="00122DDF">
      <w:pPr>
        <w:pStyle w:val="SingleTxtGR"/>
        <w:tabs>
          <w:tab w:val="left" w:pos="1980"/>
        </w:tabs>
        <w:spacing w:before="60" w:after="0"/>
        <w:ind w:left="1366"/>
        <w:rPr>
          <w:sz w:val="18"/>
          <w:szCs w:val="18"/>
          <w:lang w:val="en-GB"/>
        </w:rPr>
      </w:pPr>
      <w:r w:rsidRPr="00A84628">
        <w:rPr>
          <w:sz w:val="18"/>
          <w:szCs w:val="18"/>
          <w:lang w:val="en-GB"/>
        </w:rPr>
        <w:t xml:space="preserve"> * </w:t>
      </w:r>
      <w:r w:rsidRPr="00A84628">
        <w:rPr>
          <w:sz w:val="18"/>
          <w:szCs w:val="18"/>
        </w:rPr>
        <w:t>Промежуточная перепись</w:t>
      </w:r>
      <w:r w:rsidRPr="00A84628">
        <w:rPr>
          <w:sz w:val="18"/>
          <w:szCs w:val="18"/>
          <w:lang w:val="en-GB"/>
        </w:rPr>
        <w:t>.</w:t>
      </w:r>
    </w:p>
    <w:p w:rsidR="00F936A8" w:rsidRPr="00A84628" w:rsidRDefault="00F936A8" w:rsidP="00122DDF">
      <w:pPr>
        <w:pStyle w:val="SingleTxtGR"/>
        <w:tabs>
          <w:tab w:val="left" w:pos="1980"/>
        </w:tabs>
        <w:spacing w:after="0"/>
        <w:ind w:left="1365"/>
        <w:rPr>
          <w:sz w:val="18"/>
          <w:szCs w:val="18"/>
          <w:lang w:val="en-GB"/>
        </w:rPr>
      </w:pPr>
      <w:r w:rsidRPr="00A84628">
        <w:rPr>
          <w:sz w:val="18"/>
          <w:szCs w:val="18"/>
          <w:lang w:val="en-GB"/>
        </w:rPr>
        <w:t xml:space="preserve">** </w:t>
      </w:r>
      <w:r w:rsidRPr="00A84628">
        <w:rPr>
          <w:sz w:val="18"/>
          <w:szCs w:val="18"/>
        </w:rPr>
        <w:t>Перепись</w:t>
      </w:r>
      <w:r w:rsidRPr="00A84628">
        <w:rPr>
          <w:sz w:val="18"/>
          <w:szCs w:val="18"/>
          <w:lang w:val="en-GB"/>
        </w:rPr>
        <w:t xml:space="preserve"> </w:t>
      </w:r>
      <w:r w:rsidRPr="00A84628">
        <w:rPr>
          <w:sz w:val="18"/>
          <w:szCs w:val="18"/>
        </w:rPr>
        <w:t>населения</w:t>
      </w:r>
      <w:r w:rsidRPr="00A84628">
        <w:rPr>
          <w:sz w:val="18"/>
          <w:szCs w:val="18"/>
          <w:lang w:val="en-GB"/>
        </w:rPr>
        <w:t>.</w:t>
      </w:r>
    </w:p>
    <w:p w:rsidR="00F936A8" w:rsidRPr="00CB2C86" w:rsidRDefault="00F936A8" w:rsidP="00F91733">
      <w:pPr>
        <w:pStyle w:val="SingleTxtGR"/>
        <w:tabs>
          <w:tab w:val="clear" w:pos="1701"/>
          <w:tab w:val="clear" w:pos="2268"/>
          <w:tab w:val="left" w:pos="1980"/>
          <w:tab w:val="left" w:pos="2520"/>
        </w:tabs>
        <w:spacing w:before="240"/>
      </w:pPr>
      <w:r w:rsidRPr="00CB2C86">
        <w:t>10.3</w:t>
      </w:r>
      <w:r w:rsidRPr="00CB2C86">
        <w:tab/>
        <w:t>Процентная доля одиноких родителей, имеющих оплачиваемую раб</w:t>
      </w:r>
      <w:r w:rsidRPr="00CB2C86">
        <w:t>о</w:t>
      </w:r>
      <w:r w:rsidRPr="00CB2C86">
        <w:t>ту, незначительно увеличилась с 57% в 2001</w:t>
      </w:r>
      <w:r w:rsidR="00B92291">
        <w:t> год</w:t>
      </w:r>
      <w:r w:rsidRPr="00CB2C86">
        <w:t>у до 58% в 2006</w:t>
      </w:r>
      <w:r w:rsidR="00B92291">
        <w:t> год</w:t>
      </w:r>
      <w:r w:rsidRPr="00CB2C86">
        <w:t>у. Близко к этому прослеживается увеличение числа разводов, причем количество заявл</w:t>
      </w:r>
      <w:r w:rsidRPr="00CB2C86">
        <w:t>е</w:t>
      </w:r>
      <w:r w:rsidRPr="00CB2C86">
        <w:t>ний о разводе</w:t>
      </w:r>
      <w:r w:rsidRPr="004F0ED8">
        <w:rPr>
          <w:sz w:val="18"/>
          <w:szCs w:val="18"/>
          <w:vertAlign w:val="superscript"/>
          <w:lang w:val="en-GB"/>
        </w:rPr>
        <w:footnoteReference w:id="8"/>
      </w:r>
      <w:r w:rsidRPr="00CB2C86">
        <w:t xml:space="preserve"> увеличилось с 14</w:t>
      </w:r>
      <w:r>
        <w:t> </w:t>
      </w:r>
      <w:r w:rsidRPr="00CB2C86">
        <w:t>482, указанных в пункте 203 первоначального доклада, до 15</w:t>
      </w:r>
      <w:r>
        <w:t> </w:t>
      </w:r>
      <w:r w:rsidRPr="00CB2C86">
        <w:t>380 в 2001</w:t>
      </w:r>
      <w:r w:rsidR="00B92291">
        <w:t> год</w:t>
      </w:r>
      <w:r w:rsidRPr="00CB2C86">
        <w:t>у и еще до 18</w:t>
      </w:r>
      <w:r>
        <w:t> </w:t>
      </w:r>
      <w:r w:rsidRPr="00CB2C86">
        <w:t>172 в 2006</w:t>
      </w:r>
      <w:r w:rsidR="00B92291">
        <w:t> год</w:t>
      </w:r>
      <w:r w:rsidRPr="00CB2C86">
        <w:t>у. Причины этой с</w:t>
      </w:r>
      <w:r w:rsidRPr="00CB2C86">
        <w:t>о</w:t>
      </w:r>
      <w:r w:rsidRPr="00CB2C86">
        <w:t>храняющейся тенденции остаются такими же, как причины, изложенные в пункте 203 первоначального доклада.</w:t>
      </w:r>
    </w:p>
    <w:p w:rsidR="00F936A8" w:rsidRPr="00CB2C86" w:rsidRDefault="00F936A8" w:rsidP="00F91733">
      <w:pPr>
        <w:pStyle w:val="SingleTxtGR"/>
        <w:tabs>
          <w:tab w:val="clear" w:pos="1701"/>
          <w:tab w:val="clear" w:pos="2268"/>
          <w:tab w:val="left" w:pos="1980"/>
          <w:tab w:val="left" w:pos="2520"/>
        </w:tabs>
      </w:pPr>
      <w:r w:rsidRPr="00CB2C86">
        <w:t>10.4</w:t>
      </w:r>
      <w:r w:rsidRPr="00CB2C86">
        <w:tab/>
        <w:t xml:space="preserve">Определение ребенка, как оно зафиксировано в законах САРГ, было обсуждено в Главе </w:t>
      </w:r>
      <w:r w:rsidRPr="00CB2C86">
        <w:rPr>
          <w:lang w:val="en-US"/>
        </w:rPr>
        <w:t>II</w:t>
      </w:r>
      <w:r w:rsidRPr="00CB2C86">
        <w:t xml:space="preserve"> Части </w:t>
      </w:r>
      <w:r w:rsidRPr="00CB2C86">
        <w:rPr>
          <w:lang w:val="en-US"/>
        </w:rPr>
        <w:t>II</w:t>
      </w:r>
      <w:r w:rsidRPr="00CB2C86">
        <w:t xml:space="preserve"> второго доклада САРГ в соответствии с Конве</w:t>
      </w:r>
      <w:r w:rsidRPr="00CB2C86">
        <w:t>н</w:t>
      </w:r>
      <w:r w:rsidRPr="00CB2C86">
        <w:t xml:space="preserve">цией о правах ребенка (КПР) в части, касающейся статьи 1 Конвенции. </w:t>
      </w:r>
    </w:p>
    <w:p w:rsidR="00F936A8" w:rsidRPr="00CB2C86" w:rsidRDefault="00F936A8" w:rsidP="00F91733">
      <w:pPr>
        <w:pStyle w:val="H23GR"/>
        <w:tabs>
          <w:tab w:val="left" w:pos="1980"/>
          <w:tab w:val="left" w:pos="2520"/>
        </w:tabs>
      </w:pPr>
      <w:r w:rsidRPr="00CB2C86">
        <w:tab/>
      </w:r>
      <w:r w:rsidRPr="00CB2C86">
        <w:tab/>
        <w:t>Совет по делам семьи</w:t>
      </w:r>
    </w:p>
    <w:p w:rsidR="00F936A8" w:rsidRPr="00CB2C86" w:rsidRDefault="00F936A8" w:rsidP="00F91733">
      <w:pPr>
        <w:pStyle w:val="SingleTxtGR"/>
        <w:tabs>
          <w:tab w:val="clear" w:pos="1701"/>
          <w:tab w:val="clear" w:pos="2268"/>
          <w:tab w:val="left" w:pos="1980"/>
          <w:tab w:val="left" w:pos="2520"/>
        </w:tabs>
      </w:pPr>
      <w:r w:rsidRPr="00CB2C86">
        <w:t>10.5</w:t>
      </w:r>
      <w:r w:rsidRPr="00CB2C86">
        <w:tab/>
        <w:t>Председателем Совета по делам семьи является Главный секретарь администрации, а его состав включает четыре государственных должностных лица, а именно Секретаря образования, Секретаря внутренних дел, Секретаря труда и социального обеспечения и Главу Центрального политического отдела, и представителей различных секторов. Хотя услуги, предоставляемые для по</w:t>
      </w:r>
      <w:r w:rsidRPr="00CB2C86">
        <w:t>д</w:t>
      </w:r>
      <w:r w:rsidRPr="00CB2C86">
        <w:t>держки семей, финансируются и оказываются различными соответствующими поставщиками услуг и службами социального обеспечения, Совет по делам с</w:t>
      </w:r>
      <w:r w:rsidRPr="00CB2C86">
        <w:t>е</w:t>
      </w:r>
      <w:r w:rsidRPr="00CB2C86">
        <w:t>мьи, консультативный орган при правительстве, созданный в декабре 2007</w:t>
      </w:r>
      <w:r w:rsidR="00B92291">
        <w:t> год</w:t>
      </w:r>
      <w:r w:rsidRPr="00CB2C86">
        <w:t>а, обеспечивает площадку высокого уровня для обсуждения актуальных проблем семьи под углом зрения ее интересов и стратегических направлений и приор</w:t>
      </w:r>
      <w:r w:rsidRPr="00CB2C86">
        <w:t>и</w:t>
      </w:r>
      <w:r w:rsidRPr="00CB2C86">
        <w:t xml:space="preserve">тетов семейной политики. </w:t>
      </w:r>
    </w:p>
    <w:p w:rsidR="00F936A8" w:rsidRPr="00CB2C86" w:rsidRDefault="00F936A8" w:rsidP="00F91733">
      <w:pPr>
        <w:pStyle w:val="SingleTxtGR"/>
        <w:tabs>
          <w:tab w:val="clear" w:pos="1701"/>
          <w:tab w:val="clear" w:pos="2268"/>
          <w:tab w:val="left" w:pos="1980"/>
          <w:tab w:val="left" w:pos="2520"/>
        </w:tabs>
      </w:pPr>
      <w:r w:rsidRPr="00CB2C86">
        <w:t>10.6</w:t>
      </w:r>
      <w:r w:rsidRPr="00CB2C86">
        <w:tab/>
        <w:t>Совет по делам семьи понимает, что семья является основой социал</w:t>
      </w:r>
      <w:r w:rsidRPr="00CB2C86">
        <w:t>ь</w:t>
      </w:r>
      <w:r w:rsidRPr="00CB2C86">
        <w:t>ной гармонии. С этой целью Совет по делам семьи определил следующие о</w:t>
      </w:r>
      <w:r w:rsidRPr="00CB2C86">
        <w:t>с</w:t>
      </w:r>
      <w:r w:rsidRPr="00CB2C86">
        <w:t>новные семейные ценности в качестве ключевых элементов здоровой и счас</w:t>
      </w:r>
      <w:r w:rsidRPr="00CB2C86">
        <w:t>т</w:t>
      </w:r>
      <w:r w:rsidRPr="00CB2C86">
        <w:t>ливой семьи: любовь и забота, уважение и ответственность и общение и гарм</w:t>
      </w:r>
      <w:r w:rsidRPr="00CB2C86">
        <w:t>о</w:t>
      </w:r>
      <w:r w:rsidRPr="00CB2C86">
        <w:t xml:space="preserve">ния. Он также обсудил пути обеспечения благоприятных для семьи условий. Совет по делам семьи организует на всей территории кампанию </w:t>
      </w:r>
      <w:r>
        <w:t>"</w:t>
      </w:r>
      <w:r w:rsidRPr="00CB2C86">
        <w:t>Счастливая семья</w:t>
      </w:r>
      <w:r>
        <w:t>"</w:t>
      </w:r>
      <w:r w:rsidRPr="00CB2C86">
        <w:t>, чтобы призвать население создавать семьи, которыми дорожат жители Гонконг</w:t>
      </w:r>
      <w:r w:rsidR="00751DC5">
        <w:t>а</w:t>
      </w:r>
      <w:r w:rsidRPr="00CB2C86">
        <w:t>. Кроме того, мы намерены связаться с соответствующими заинтерес</w:t>
      </w:r>
      <w:r w:rsidRPr="00CB2C86">
        <w:t>о</w:t>
      </w:r>
      <w:r w:rsidRPr="00CB2C86">
        <w:t>ванными сторонами, имея в виду учреждение межведомственного и междисц</w:t>
      </w:r>
      <w:r w:rsidRPr="00CB2C86">
        <w:t>и</w:t>
      </w:r>
      <w:r w:rsidRPr="00CB2C86">
        <w:t xml:space="preserve">плинарного информационного центра </w:t>
      </w:r>
      <w:r>
        <w:t>"</w:t>
      </w:r>
      <w:r w:rsidRPr="00CB2C86">
        <w:t>Счастливая семья</w:t>
      </w:r>
      <w:r>
        <w:t>"</w:t>
      </w:r>
      <w:r w:rsidRPr="00CB2C86">
        <w:t xml:space="preserve"> и создание электро</w:t>
      </w:r>
      <w:r w:rsidRPr="00CB2C86">
        <w:t>н</w:t>
      </w:r>
      <w:r w:rsidRPr="00CB2C86">
        <w:t>ной платформы для анализа справочных и просветительских материалов по в</w:t>
      </w:r>
      <w:r w:rsidRPr="00CB2C86">
        <w:t>о</w:t>
      </w:r>
      <w:r w:rsidRPr="00CB2C86">
        <w:t>просам семьи, а также распространения информации о видах деятельности, связанных с семьей, с намерением содейст</w:t>
      </w:r>
      <w:r>
        <w:t>во</w:t>
      </w:r>
      <w:r w:rsidRPr="00CB2C86">
        <w:t>вать укреплению основных семе</w:t>
      </w:r>
      <w:r w:rsidRPr="00CB2C86">
        <w:t>й</w:t>
      </w:r>
      <w:r w:rsidRPr="00CB2C86">
        <w:t>ных ценностей и продвижению просвещения по вопросам семьи и вспомог</w:t>
      </w:r>
      <w:r w:rsidRPr="00CB2C86">
        <w:t>а</w:t>
      </w:r>
      <w:r w:rsidRPr="00CB2C86">
        <w:t>тельных услуг.</w:t>
      </w:r>
    </w:p>
    <w:p w:rsidR="00F936A8" w:rsidRPr="00CB2C86" w:rsidRDefault="00F936A8" w:rsidP="00F91733">
      <w:pPr>
        <w:pStyle w:val="SingleTxtGR"/>
        <w:tabs>
          <w:tab w:val="clear" w:pos="1701"/>
          <w:tab w:val="clear" w:pos="2268"/>
          <w:tab w:val="left" w:pos="1980"/>
          <w:tab w:val="left" w:pos="2520"/>
        </w:tabs>
      </w:pPr>
      <w:r w:rsidRPr="00CB2C86">
        <w:t>10.7</w:t>
      </w:r>
      <w:r w:rsidRPr="00CB2C86">
        <w:tab/>
        <w:t>По мнению некоторых комментаторов, Совет по делам семьи ставит во главу угла информационно-пропагандистскую деятельность, хотя ему не хват</w:t>
      </w:r>
      <w:r w:rsidRPr="00CB2C86">
        <w:t>а</w:t>
      </w:r>
      <w:r w:rsidRPr="00CB2C86">
        <w:t>ет  стратегий и планов для консолидации различных направлений государс</w:t>
      </w:r>
      <w:r w:rsidRPr="00CB2C86">
        <w:t>т</w:t>
      </w:r>
      <w:r w:rsidRPr="00CB2C86">
        <w:t>венной семейной политики. Совет по делам семьи призывает общество уделять больше внимания вопросам семьи и беречь традиции любящей и счастливой семьи. При том что Совет по делам семьи консультирует правительство по в</w:t>
      </w:r>
      <w:r w:rsidRPr="00CB2C86">
        <w:t>о</w:t>
      </w:r>
      <w:r w:rsidRPr="00CB2C86">
        <w:t>просам политики и стратегий, направленных на поддержку и укрепление и</w:t>
      </w:r>
      <w:r w:rsidRPr="00CB2C86">
        <w:t>н</w:t>
      </w:r>
      <w:r w:rsidRPr="00CB2C86">
        <w:t>ститута семьи, различные профильные ведомства/департаменты также осущ</w:t>
      </w:r>
      <w:r w:rsidRPr="00CB2C86">
        <w:t>е</w:t>
      </w:r>
      <w:r w:rsidRPr="00CB2C86">
        <w:t>ствляют соответствующие программы и мероприятия. Кроме того, Межведо</w:t>
      </w:r>
      <w:r w:rsidRPr="00CB2C86">
        <w:t>м</w:t>
      </w:r>
      <w:r w:rsidRPr="00CB2C86">
        <w:t xml:space="preserve">ственный и междисциплинарный информационный центр </w:t>
      </w:r>
      <w:r>
        <w:t>"</w:t>
      </w:r>
      <w:r w:rsidRPr="00CB2C86">
        <w:t>Счастливая семья</w:t>
      </w:r>
      <w:r>
        <w:t>"</w:t>
      </w:r>
      <w:r w:rsidRPr="00CB2C86">
        <w:t xml:space="preserve"> должен обеспечить электронную платформу для анализа полезной информации по вопросам семьи и упрощения обмена информацией и основными семейными ценностями, которая могла бы стать полезным инструментом и координацио</w:t>
      </w:r>
      <w:r w:rsidRPr="00CB2C86">
        <w:t>н</w:t>
      </w:r>
      <w:r w:rsidRPr="00CB2C86">
        <w:t>ным центром для обмена мнениями по вопросам семьи.</w:t>
      </w:r>
    </w:p>
    <w:p w:rsidR="00F936A8" w:rsidRPr="00CB2C86" w:rsidRDefault="00F936A8" w:rsidP="00F91733">
      <w:pPr>
        <w:pStyle w:val="H23GR"/>
        <w:tabs>
          <w:tab w:val="left" w:pos="1980"/>
          <w:tab w:val="left" w:pos="2520"/>
        </w:tabs>
      </w:pPr>
      <w:r w:rsidRPr="00CB2C86">
        <w:tab/>
      </w:r>
      <w:r w:rsidRPr="00CB2C86">
        <w:tab/>
        <w:t>Создание Комиссии по правам детей</w:t>
      </w:r>
    </w:p>
    <w:p w:rsidR="00F936A8" w:rsidRPr="00CB2C86" w:rsidRDefault="00F936A8" w:rsidP="00F91733">
      <w:pPr>
        <w:pStyle w:val="SingleTxtGR"/>
        <w:tabs>
          <w:tab w:val="clear" w:pos="1701"/>
          <w:tab w:val="clear" w:pos="2268"/>
          <w:tab w:val="left" w:pos="1980"/>
          <w:tab w:val="left" w:pos="2520"/>
        </w:tabs>
      </w:pPr>
      <w:r w:rsidRPr="00CB2C86">
        <w:t>10.8</w:t>
      </w:r>
      <w:r w:rsidRPr="00CB2C86">
        <w:tab/>
        <w:t>По мнению некоторых комментаторов, для контроля политики и и</w:t>
      </w:r>
      <w:r w:rsidRPr="00CB2C86">
        <w:t>с</w:t>
      </w:r>
      <w:r w:rsidRPr="00CB2C86">
        <w:t>полнения законодательства, касающихся прав детей и семьи, следует создать комиссию по правам детей или управление омбудсмена по правам ребенка. Зв</w:t>
      </w:r>
      <w:r w:rsidRPr="00CB2C86">
        <w:t>у</w:t>
      </w:r>
      <w:r w:rsidRPr="00CB2C86">
        <w:t>чат также призывы проводить оценку воздействия законодательства и полит</w:t>
      </w:r>
      <w:r w:rsidRPr="00CB2C86">
        <w:t>и</w:t>
      </w:r>
      <w:r w:rsidRPr="00CB2C86">
        <w:t xml:space="preserve">ческих мер на детей. </w:t>
      </w:r>
    </w:p>
    <w:p w:rsidR="00F936A8" w:rsidRPr="00CB2C86" w:rsidRDefault="00F936A8" w:rsidP="00F91733">
      <w:pPr>
        <w:pStyle w:val="SingleTxtGR"/>
        <w:tabs>
          <w:tab w:val="clear" w:pos="1701"/>
          <w:tab w:val="clear" w:pos="2268"/>
          <w:tab w:val="left" w:pos="1980"/>
          <w:tab w:val="left" w:pos="2520"/>
        </w:tabs>
      </w:pPr>
      <w:r w:rsidRPr="00CB2C86">
        <w:t>10.9</w:t>
      </w:r>
      <w:r w:rsidRPr="00CB2C86">
        <w:tab/>
        <w:t xml:space="preserve">Как мы уже объясняли в Главе </w:t>
      </w:r>
      <w:r w:rsidRPr="00CB2C86">
        <w:rPr>
          <w:lang w:val="en-US"/>
        </w:rPr>
        <w:t>I</w:t>
      </w:r>
      <w:r w:rsidRPr="00CB2C86">
        <w:t xml:space="preserve"> Части </w:t>
      </w:r>
      <w:r w:rsidRPr="00CB2C86">
        <w:rPr>
          <w:lang w:val="en-US"/>
        </w:rPr>
        <w:t>II</w:t>
      </w:r>
      <w:r w:rsidRPr="00CB2C86">
        <w:t xml:space="preserve"> </w:t>
      </w:r>
      <w:r w:rsidRPr="00CB2C86">
        <w:rPr>
          <w:lang w:val="en-US"/>
        </w:rPr>
        <w:t>l</w:t>
      </w:r>
      <w:r w:rsidRPr="00CB2C86">
        <w:t xml:space="preserve"> доклада САРГ, представле</w:t>
      </w:r>
      <w:r w:rsidRPr="00CB2C86">
        <w:t>н</w:t>
      </w:r>
      <w:r w:rsidRPr="00CB2C86">
        <w:t>ного в соответствии с КПР, вопросы, касающиеся детей, охватывают широкий спектр политических мер. Их решением занимаются соответствующие пр</w:t>
      </w:r>
      <w:r w:rsidRPr="00CB2C86">
        <w:t>о</w:t>
      </w:r>
      <w:r w:rsidRPr="00CB2C86">
        <w:t>фильные государственные ведомства САРГ. Правительство располагает мех</w:t>
      </w:r>
      <w:r w:rsidRPr="00CB2C86">
        <w:t>а</w:t>
      </w:r>
      <w:r w:rsidRPr="00CB2C86">
        <w:t>низмами, способными должным образом удовлетворять потребность в коорд</w:t>
      </w:r>
      <w:r w:rsidRPr="00CB2C86">
        <w:t>и</w:t>
      </w:r>
      <w:r w:rsidRPr="00CB2C86">
        <w:t>нации политики и мер государственных ведомств, обеспечивая, чтобы интер</w:t>
      </w:r>
      <w:r w:rsidRPr="00CB2C86">
        <w:t>е</w:t>
      </w:r>
      <w:r w:rsidRPr="00CB2C86">
        <w:t xml:space="preserve">сам детей уделялось необходимое внимание. </w:t>
      </w:r>
    </w:p>
    <w:p w:rsidR="00F936A8" w:rsidRPr="00CB2C86" w:rsidRDefault="00F936A8" w:rsidP="00F91733">
      <w:pPr>
        <w:pStyle w:val="SingleTxtGR"/>
        <w:tabs>
          <w:tab w:val="clear" w:pos="1701"/>
          <w:tab w:val="clear" w:pos="2268"/>
          <w:tab w:val="left" w:pos="1980"/>
          <w:tab w:val="left" w:pos="2520"/>
        </w:tabs>
      </w:pPr>
      <w:r w:rsidRPr="00CB2C86">
        <w:t>10.10</w:t>
      </w:r>
      <w:r w:rsidRPr="00CB2C86">
        <w:tab/>
        <w:t>К тому же, как отмечалось в пункте 2.52 настоящего Доклада в связи со статьей 2 Пакта, мы считаем, что в Гонконге уже действует эффективный м</w:t>
      </w:r>
      <w:r w:rsidRPr="00CB2C86">
        <w:t>е</w:t>
      </w:r>
      <w:r w:rsidRPr="00CB2C86">
        <w:t>ханизм защиты прав человека, а поэтому мы остаемся при мнении, что в созд</w:t>
      </w:r>
      <w:r w:rsidRPr="00CB2C86">
        <w:t>а</w:t>
      </w:r>
      <w:r w:rsidRPr="00CB2C86">
        <w:t>нии дополнительного независимого контрольного механизма защиты прав ч</w:t>
      </w:r>
      <w:r w:rsidRPr="00CB2C86">
        <w:t>е</w:t>
      </w:r>
      <w:r w:rsidRPr="00CB2C86">
        <w:t>ловека нет необходимости.</w:t>
      </w:r>
    </w:p>
    <w:p w:rsidR="00F936A8" w:rsidRPr="00CB2C86" w:rsidRDefault="00F936A8" w:rsidP="00F91733">
      <w:pPr>
        <w:pStyle w:val="H1GR"/>
        <w:tabs>
          <w:tab w:val="left" w:pos="1980"/>
          <w:tab w:val="left" w:pos="2520"/>
        </w:tabs>
      </w:pPr>
      <w:r w:rsidRPr="00CB2C86">
        <w:tab/>
      </w:r>
      <w:r w:rsidRPr="00CB2C86">
        <w:tab/>
        <w:t xml:space="preserve">Социальное обслуживание семей </w:t>
      </w:r>
    </w:p>
    <w:p w:rsidR="00F936A8" w:rsidRPr="00CB2C86" w:rsidRDefault="00F936A8" w:rsidP="00F91733">
      <w:pPr>
        <w:pStyle w:val="H23GR"/>
        <w:tabs>
          <w:tab w:val="left" w:pos="1980"/>
          <w:tab w:val="left" w:pos="2520"/>
        </w:tabs>
      </w:pPr>
      <w:r w:rsidRPr="00CB2C86">
        <w:tab/>
      </w:r>
      <w:r w:rsidRPr="00CB2C86">
        <w:tab/>
        <w:t>Центры комплексного социального обслуживания семей</w:t>
      </w:r>
    </w:p>
    <w:p w:rsidR="00F936A8" w:rsidRPr="00CB2C86" w:rsidRDefault="00F936A8" w:rsidP="00F91733">
      <w:pPr>
        <w:pStyle w:val="SingleTxtGR"/>
        <w:tabs>
          <w:tab w:val="clear" w:pos="1701"/>
          <w:tab w:val="clear" w:pos="2268"/>
          <w:tab w:val="left" w:pos="1980"/>
          <w:tab w:val="left" w:pos="2520"/>
        </w:tabs>
      </w:pPr>
      <w:r w:rsidRPr="00CB2C86">
        <w:t>10.11</w:t>
      </w:r>
      <w:r w:rsidRPr="00CB2C86">
        <w:tab/>
        <w:t>До 2004</w:t>
      </w:r>
      <w:r w:rsidR="00B92291">
        <w:t> год</w:t>
      </w:r>
      <w:r w:rsidRPr="00CB2C86">
        <w:t>а первым учреждением, куда могли обратиться семьи, н</w:t>
      </w:r>
      <w:r w:rsidRPr="00CB2C86">
        <w:t>у</w:t>
      </w:r>
      <w:r w:rsidRPr="00CB2C86">
        <w:t>ждающиеся в помощи и совете, был центр социального обслуживания семьи. В</w:t>
      </w:r>
      <w:r>
        <w:t> </w:t>
      </w:r>
      <w:r w:rsidRPr="00CB2C86">
        <w:t>пункте 10.33 предыдущего доклада мы сообщали, что в порядке экспериме</w:t>
      </w:r>
      <w:r w:rsidRPr="00CB2C86">
        <w:t>н</w:t>
      </w:r>
      <w:r w:rsidRPr="00CB2C86">
        <w:t>та мы испытываем новую модель комплексного социального обслуживания в 15</w:t>
      </w:r>
      <w:r>
        <w:t> </w:t>
      </w:r>
      <w:r w:rsidRPr="00CB2C86">
        <w:t>цент</w:t>
      </w:r>
      <w:r>
        <w:t>р</w:t>
      </w:r>
      <w:r w:rsidRPr="00CB2C86">
        <w:t>ах комплексного социального обслуживания семей (ЦКСОС). В</w:t>
      </w:r>
      <w:r>
        <w:t> </w:t>
      </w:r>
      <w:r w:rsidRPr="00CB2C86">
        <w:t>2004</w:t>
      </w:r>
      <w:r w:rsidR="00B92291">
        <w:t> год</w:t>
      </w:r>
      <w:r w:rsidRPr="00CB2C86">
        <w:t>у, приняв к сведению заключение, что новая модель социального о</w:t>
      </w:r>
      <w:r w:rsidRPr="00CB2C86">
        <w:t>б</w:t>
      </w:r>
      <w:r w:rsidRPr="00CB2C86">
        <w:t>служивания может эффективнее удовлетворять потребности в социальных у</w:t>
      </w:r>
      <w:r w:rsidRPr="00CB2C86">
        <w:t>с</w:t>
      </w:r>
      <w:r w:rsidRPr="00CB2C86">
        <w:t>лугах, ДСО приступил к консолидации работы всех центров социального о</w:t>
      </w:r>
      <w:r w:rsidRPr="00CB2C86">
        <w:t>б</w:t>
      </w:r>
      <w:r w:rsidRPr="00CB2C86">
        <w:t>служивания с</w:t>
      </w:r>
      <w:r w:rsidRPr="00CB2C86">
        <w:t>е</w:t>
      </w:r>
      <w:r w:rsidRPr="00CB2C86">
        <w:t>мей и других учреждений социального обеспечения семей, чтобы поэтапно сформировать систему ЦКСОС. Под моделью комплексного социал</w:t>
      </w:r>
      <w:r w:rsidRPr="00CB2C86">
        <w:t>ь</w:t>
      </w:r>
      <w:r w:rsidRPr="00CB2C86">
        <w:t>ного обслуживания понимается модель системы эффективного оказания соц</w:t>
      </w:r>
      <w:r w:rsidRPr="00CB2C86">
        <w:t>и</w:t>
      </w:r>
      <w:r w:rsidRPr="00CB2C86">
        <w:t>альных услуг, которая может предоставлять клиентам социальные услуги в комплек</w:t>
      </w:r>
      <w:r w:rsidRPr="00CB2C86">
        <w:t>с</w:t>
      </w:r>
      <w:r w:rsidRPr="00CB2C86">
        <w:t xml:space="preserve">ной, удобной и легко доступной форме. </w:t>
      </w:r>
    </w:p>
    <w:p w:rsidR="00F936A8" w:rsidRPr="00CB2C86" w:rsidRDefault="00F936A8" w:rsidP="00F91733">
      <w:pPr>
        <w:pStyle w:val="SingleTxtGR"/>
        <w:tabs>
          <w:tab w:val="clear" w:pos="1701"/>
          <w:tab w:val="clear" w:pos="2268"/>
          <w:tab w:val="left" w:pos="1980"/>
          <w:tab w:val="left" w:pos="2520"/>
        </w:tabs>
      </w:pPr>
      <w:r w:rsidRPr="00CB2C86">
        <w:t>10.12</w:t>
      </w:r>
      <w:r w:rsidRPr="00CB2C86">
        <w:tab/>
        <w:t>По состоянию на 31 декабря 2009</w:t>
      </w:r>
      <w:r w:rsidR="00B92291">
        <w:t> год</w:t>
      </w:r>
      <w:r w:rsidRPr="00CB2C86">
        <w:t>а в Гонконге действовала обши</w:t>
      </w:r>
      <w:r w:rsidRPr="00CB2C86">
        <w:t>р</w:t>
      </w:r>
      <w:r w:rsidRPr="00CB2C86">
        <w:t>ная сеть из 61 ЦКСОС, которая оказывала целый ряд профилактических, мат</w:t>
      </w:r>
      <w:r w:rsidRPr="00CB2C86">
        <w:t>е</w:t>
      </w:r>
      <w:r w:rsidRPr="00CB2C86">
        <w:t>риально-бытовых и правовых услуг, в том числе в таких областях, как просв</w:t>
      </w:r>
      <w:r w:rsidRPr="00CB2C86">
        <w:t>е</w:t>
      </w:r>
      <w:r w:rsidRPr="00CB2C86">
        <w:t>щение по вопросам жизни семьи, формы родительского воспитания детей, справочные телефонные службы, социальная работа, группы взаимопомощи, консультативно-справочная служба для нуждающихся детей или семей. Лю</w:t>
      </w:r>
      <w:r w:rsidRPr="00CB2C86">
        <w:t>д</w:t>
      </w:r>
      <w:r w:rsidRPr="00CB2C86">
        <w:t>ские ресурсы, привлекаемые для работы в ЦКСОС, существенно увеличились после перестройки, когда общее количество практических социальных рабо</w:t>
      </w:r>
      <w:r w:rsidRPr="00CB2C86">
        <w:t>т</w:t>
      </w:r>
      <w:r w:rsidRPr="00CB2C86">
        <w:t>ников выросло с 896 в 2004</w:t>
      </w:r>
      <w:r>
        <w:t>−</w:t>
      </w:r>
      <w:r w:rsidRPr="00CB2C86">
        <w:t>2005</w:t>
      </w:r>
      <w:r w:rsidR="00B92291">
        <w:t> год</w:t>
      </w:r>
      <w:r w:rsidRPr="00CB2C86">
        <w:t>ах до 1</w:t>
      </w:r>
      <w:r w:rsidR="00751DC5">
        <w:t> </w:t>
      </w:r>
      <w:r w:rsidRPr="00CB2C86">
        <w:t>017 человек в 2009</w:t>
      </w:r>
      <w:r>
        <w:t>−</w:t>
      </w:r>
      <w:r w:rsidRPr="00CB2C86">
        <w:t>2010</w:t>
      </w:r>
      <w:r w:rsidR="00B92291">
        <w:t> год</w:t>
      </w:r>
      <w:r w:rsidRPr="00CB2C86">
        <w:t>ах. За этот же период количество курирующих центров/супервизоров увеличилось с 62 до</w:t>
      </w:r>
      <w:r w:rsidR="00751DC5">
        <w:t> </w:t>
      </w:r>
      <w:r w:rsidRPr="00CB2C86">
        <w:t>91. Общее количество практических социальных работников и куриру</w:t>
      </w:r>
      <w:r w:rsidRPr="00CB2C86">
        <w:t>ю</w:t>
      </w:r>
      <w:r w:rsidRPr="00CB2C86">
        <w:t>щих центров/супервизоров выросло на 15%.</w:t>
      </w:r>
    </w:p>
    <w:p w:rsidR="00F936A8" w:rsidRPr="00CB2C86" w:rsidRDefault="00F936A8" w:rsidP="00F91733">
      <w:pPr>
        <w:pStyle w:val="H23GR"/>
        <w:tabs>
          <w:tab w:val="left" w:pos="1980"/>
          <w:tab w:val="left" w:pos="2520"/>
        </w:tabs>
      </w:pPr>
      <w:r w:rsidRPr="00CB2C86">
        <w:tab/>
      </w:r>
      <w:r w:rsidRPr="00CB2C86">
        <w:tab/>
        <w:t>Службы горячей линии</w:t>
      </w:r>
    </w:p>
    <w:p w:rsidR="00F936A8" w:rsidRPr="00CB2C86" w:rsidRDefault="00F936A8" w:rsidP="00F91733">
      <w:pPr>
        <w:pStyle w:val="SingleTxtGR"/>
        <w:tabs>
          <w:tab w:val="clear" w:pos="1701"/>
          <w:tab w:val="clear" w:pos="2268"/>
          <w:tab w:val="left" w:pos="1980"/>
          <w:tab w:val="left" w:pos="2520"/>
        </w:tabs>
      </w:pPr>
      <w:r w:rsidRPr="00CB2C86">
        <w:t>10.13</w:t>
      </w:r>
      <w:r w:rsidRPr="00CB2C86">
        <w:tab/>
        <w:t>В дополнение к сказанному в пункте 10.34 предыдущего доклада, в котором упоминалось, что для облегчения доступа к социальным услугам ДСО о</w:t>
      </w:r>
      <w:r w:rsidRPr="00CB2C86">
        <w:t>т</w:t>
      </w:r>
      <w:r w:rsidRPr="00CB2C86">
        <w:t>крыл горячую линию, в октябре 2008</w:t>
      </w:r>
      <w:r w:rsidR="00B92291">
        <w:t> год</w:t>
      </w:r>
      <w:r w:rsidRPr="00CB2C86">
        <w:t>а ДСО укрепил свою службу горячей линии, поручив одной из НПО курировать горячую линию и группу социальн</w:t>
      </w:r>
      <w:r w:rsidRPr="00CB2C86">
        <w:t>о</w:t>
      </w:r>
      <w:r w:rsidRPr="00CB2C86">
        <w:t>го обслуживания ДСО после рабочего дня, чтобы горячая линия могла фун</w:t>
      </w:r>
      <w:r w:rsidRPr="00CB2C86">
        <w:t>к</w:t>
      </w:r>
      <w:r w:rsidRPr="00CB2C86">
        <w:t xml:space="preserve">ционировать круглосуточно, а социальные услуги могли предоставляться после рабочего дня всем нуждающимся. Такое укрепление упрощает своевременное выявление, а следовательно, и предупреждение семейных проблем. </w:t>
      </w:r>
    </w:p>
    <w:p w:rsidR="00F936A8" w:rsidRPr="00CB2C86" w:rsidRDefault="00F936A8" w:rsidP="00F91733">
      <w:pPr>
        <w:pStyle w:val="SingleTxtGR"/>
        <w:tabs>
          <w:tab w:val="clear" w:pos="1701"/>
          <w:tab w:val="clear" w:pos="2268"/>
          <w:tab w:val="left" w:pos="1980"/>
          <w:tab w:val="left" w:pos="2520"/>
        </w:tabs>
      </w:pPr>
      <w:r w:rsidRPr="00CB2C86">
        <w:t>10.14</w:t>
      </w:r>
      <w:r w:rsidRPr="00CB2C86">
        <w:tab/>
        <w:t>Поскольку глобальный финансовый кризис может воздействовать на эмоционально-психическое состояние некоторых людей и семейные отнош</w:t>
      </w:r>
      <w:r w:rsidRPr="00CB2C86">
        <w:t>е</w:t>
      </w:r>
      <w:r w:rsidRPr="00CB2C86">
        <w:t>ния, в октябре 2008</w:t>
      </w:r>
      <w:r w:rsidR="00B92291">
        <w:t> год</w:t>
      </w:r>
      <w:r w:rsidRPr="00CB2C86">
        <w:t>а ДСО выделил дополнительные средства двум НПО, чтобы они, имея эти субсидии, могли организовать горячую линию по оказанию психологической помощи в период финансового кризиса. В службе горячей л</w:t>
      </w:r>
      <w:r w:rsidRPr="00CB2C86">
        <w:t>и</w:t>
      </w:r>
      <w:r w:rsidRPr="00CB2C86">
        <w:t>нии круглосуточно работают дипломированные социальные работники. Соц</w:t>
      </w:r>
      <w:r w:rsidRPr="00CB2C86">
        <w:t>и</w:t>
      </w:r>
      <w:r w:rsidRPr="00CB2C86">
        <w:t>альные работники консультируют также на индивидуальной основе обрати</w:t>
      </w:r>
      <w:r w:rsidRPr="00CB2C86">
        <w:t>в</w:t>
      </w:r>
      <w:r w:rsidRPr="00CB2C86">
        <w:t>шихся за помощью клиентов и организуют группы помощи с целью развить у них умение справляться со стрессом и помочь им положительно воспринимать свои пр</w:t>
      </w:r>
      <w:r w:rsidRPr="00CB2C86">
        <w:t>о</w:t>
      </w:r>
      <w:r w:rsidRPr="00CB2C86">
        <w:t>блемы. При необходимости соответствующие случаи передаются в надлеж</w:t>
      </w:r>
      <w:r w:rsidRPr="00CB2C86">
        <w:t>а</w:t>
      </w:r>
      <w:r w:rsidRPr="00CB2C86">
        <w:t>щие органы социального обеспечения для принятия последующих мер.</w:t>
      </w:r>
    </w:p>
    <w:p w:rsidR="00F936A8" w:rsidRPr="00CB2C86" w:rsidRDefault="00F936A8" w:rsidP="00F91733">
      <w:pPr>
        <w:pStyle w:val="H23GR"/>
        <w:tabs>
          <w:tab w:val="left" w:pos="1980"/>
          <w:tab w:val="left" w:pos="2520"/>
        </w:tabs>
      </w:pPr>
      <w:r w:rsidRPr="00CB2C86">
        <w:tab/>
      </w:r>
      <w:r w:rsidRPr="00CB2C86">
        <w:tab/>
        <w:t>Услуги по присмотру и уходу за детьми</w:t>
      </w:r>
    </w:p>
    <w:p w:rsidR="00F936A8" w:rsidRPr="00CB2C86" w:rsidRDefault="00F936A8" w:rsidP="00F91733">
      <w:pPr>
        <w:pStyle w:val="SingleTxtGR"/>
        <w:tabs>
          <w:tab w:val="clear" w:pos="1701"/>
          <w:tab w:val="clear" w:pos="2268"/>
          <w:tab w:val="left" w:pos="1980"/>
          <w:tab w:val="left" w:pos="2520"/>
        </w:tabs>
      </w:pPr>
      <w:r w:rsidRPr="00CB2C86">
        <w:t>10.15</w:t>
      </w:r>
      <w:r w:rsidRPr="00CB2C86">
        <w:tab/>
        <w:t>Хотя присмотр и уход за своими детьми является первейшей обяза</w:t>
      </w:r>
      <w:r w:rsidRPr="00CB2C86">
        <w:t>н</w:t>
      </w:r>
      <w:r w:rsidRPr="00CB2C86">
        <w:t>ностью родителей, правительство понимает, что некоторые родители не могут делать это в силу занятости на работе или по иным причинам. Поэтому мы пр</w:t>
      </w:r>
      <w:r w:rsidRPr="00CB2C86">
        <w:t>о</w:t>
      </w:r>
      <w:r w:rsidRPr="00CB2C86">
        <w:t>должаем финансировать НПО, чтобы они могли оказывать различные услуги по присмотру и уходу за детьми нуждающимся в этом родителям. В последнее время мы укрепили/перестроили услуги по присмотру и уходу за детьми, чтобы лучше удовлетворять потребности в этих услугах. К основным мерам относя</w:t>
      </w:r>
      <w:r w:rsidRPr="00CB2C86">
        <w:t>т</w:t>
      </w:r>
      <w:r w:rsidRPr="00CB2C86">
        <w:t>ся:</w:t>
      </w:r>
    </w:p>
    <w:p w:rsidR="00F936A8" w:rsidRPr="00CB2C86" w:rsidRDefault="00F936A8" w:rsidP="00F91733">
      <w:pPr>
        <w:pStyle w:val="SingleTxtGR"/>
        <w:tabs>
          <w:tab w:val="clear" w:pos="1701"/>
          <w:tab w:val="clear" w:pos="2268"/>
          <w:tab w:val="left" w:pos="1980"/>
          <w:tab w:val="left" w:pos="2520"/>
        </w:tabs>
      </w:pPr>
      <w:r>
        <w:tab/>
      </w:r>
      <w:proofErr w:type="spellStart"/>
      <w:r>
        <w:t>a</w:t>
      </w:r>
      <w:proofErr w:type="spellEnd"/>
      <w:r>
        <w:t>)</w:t>
      </w:r>
      <w:r w:rsidRPr="00CB2C86">
        <w:tab/>
      </w:r>
      <w:r w:rsidRPr="00CB2C86">
        <w:rPr>
          <w:b/>
        </w:rPr>
        <w:t>Отдельный центр по присмотру за детьми и детский сад/детский центр</w:t>
      </w:r>
      <w:r w:rsidRPr="00CB2C86">
        <w:t>: В прошлом детские центры и детские сады оказывали т</w:t>
      </w:r>
      <w:r w:rsidRPr="00CB2C86">
        <w:t>и</w:t>
      </w:r>
      <w:r w:rsidRPr="00CB2C86">
        <w:t>повые услуги по присмотру и уходу за детьми той же самой адресной группе пользователей этих услуг. Чтобы эффективнее использовать ресурсы, в</w:t>
      </w:r>
      <w:r w:rsidR="00B16654">
        <w:t> </w:t>
      </w:r>
      <w:r w:rsidRPr="00CB2C86">
        <w:t>2005</w:t>
      </w:r>
      <w:r w:rsidR="00B92291">
        <w:t> год</w:t>
      </w:r>
      <w:r w:rsidRPr="00CB2C86">
        <w:t>у их услуги были упорядочены, а адресные пользователи перераспр</w:t>
      </w:r>
      <w:r w:rsidRPr="00CB2C86">
        <w:t>е</w:t>
      </w:r>
      <w:r w:rsidRPr="00CB2C86">
        <w:t>делены. Отдельные центры по присмотру за детьми, которые курирует ДСО, были переименованы в службы дневного ухода за детьми младше трех лет, а</w:t>
      </w:r>
      <w:r w:rsidR="00B16654">
        <w:t> </w:t>
      </w:r>
      <w:r w:rsidRPr="00CB2C86">
        <w:t>детские сады/детские це</w:t>
      </w:r>
      <w:r w:rsidRPr="00CB2C86">
        <w:t>н</w:t>
      </w:r>
      <w:r w:rsidRPr="00CB2C86">
        <w:t>тры, которые находятся в ведении БО, обслуживают детей младше шести лет. Чтобы оказывать услуги одного окна детским с</w:t>
      </w:r>
      <w:r w:rsidRPr="00CB2C86">
        <w:t>а</w:t>
      </w:r>
      <w:r w:rsidRPr="00CB2C86">
        <w:t>дам/детским центрам, под эгидой БО было создано Совместное бюро дошкол</w:t>
      </w:r>
      <w:r w:rsidRPr="00CB2C86">
        <w:t>ь</w:t>
      </w:r>
      <w:r w:rsidRPr="00CB2C86">
        <w:t>ных услуг, укомплектованное сотрудниками БО и ДСО. Некоторых из этих це</w:t>
      </w:r>
      <w:r w:rsidRPr="00CB2C86">
        <w:t>н</w:t>
      </w:r>
      <w:r w:rsidRPr="00CB2C86">
        <w:t>тров продолжают оказывать периодические услуги по присмотру за детьми (р</w:t>
      </w:r>
      <w:r w:rsidRPr="00CB2C86">
        <w:t>о</w:t>
      </w:r>
      <w:r w:rsidRPr="00CB2C86">
        <w:t>дителям, которые не могут временно уделять внимание уходу за детьми) и ув</w:t>
      </w:r>
      <w:r w:rsidRPr="00CB2C86">
        <w:t>е</w:t>
      </w:r>
      <w:r w:rsidRPr="00CB2C86">
        <w:t>личили время оказания услуг по присмотру и уходу за детьми (для родителей, которые нуждаются в услугах продленного дня после обычных часов работы);</w:t>
      </w:r>
    </w:p>
    <w:p w:rsidR="00F936A8" w:rsidRPr="00CB2C86" w:rsidRDefault="00F936A8" w:rsidP="00F91733">
      <w:pPr>
        <w:pStyle w:val="SingleTxtGR"/>
        <w:tabs>
          <w:tab w:val="clear" w:pos="1701"/>
          <w:tab w:val="clear" w:pos="2268"/>
          <w:tab w:val="left" w:pos="1980"/>
          <w:tab w:val="left" w:pos="2520"/>
        </w:tabs>
      </w:pPr>
      <w:r>
        <w:tab/>
      </w:r>
      <w:proofErr w:type="spellStart"/>
      <w:r>
        <w:t>b</w:t>
      </w:r>
      <w:proofErr w:type="spellEnd"/>
      <w:r>
        <w:t>)</w:t>
      </w:r>
      <w:r w:rsidRPr="00CB2C86">
        <w:tab/>
      </w:r>
      <w:r w:rsidRPr="00CB2C86">
        <w:rPr>
          <w:b/>
        </w:rPr>
        <w:t>Новые услуги по присмотру и уходу за детьми</w:t>
      </w:r>
      <w:r w:rsidRPr="00CB2C86">
        <w:t>: Новые услуги по присмотру и уходу за детьми, которые оказываются в гибком рабочем и вр</w:t>
      </w:r>
      <w:r w:rsidRPr="00CB2C86">
        <w:t>е</w:t>
      </w:r>
      <w:r w:rsidRPr="00CB2C86">
        <w:t>менном режиме, стали предоставляться в последние несколько лет, чтобы э</w:t>
      </w:r>
      <w:r w:rsidRPr="00CB2C86">
        <w:t>ф</w:t>
      </w:r>
      <w:r w:rsidRPr="00CB2C86">
        <w:t>фективнее удовлетворить спрос на эти услуги. Новые услуги включают:</w:t>
      </w:r>
    </w:p>
    <w:p w:rsidR="00F936A8" w:rsidRPr="00CB2C86" w:rsidRDefault="00F936A8" w:rsidP="007837CA">
      <w:pPr>
        <w:pStyle w:val="Bullet1GR"/>
        <w:numPr>
          <w:ilvl w:val="0"/>
          <w:numId w:val="1"/>
        </w:numPr>
        <w:tabs>
          <w:tab w:val="clear" w:pos="1701"/>
          <w:tab w:val="left" w:pos="1980"/>
          <w:tab w:val="left" w:pos="2520"/>
        </w:tabs>
        <w:ind w:left="1980" w:hanging="188"/>
      </w:pPr>
      <w:r w:rsidRPr="00CB2C86">
        <w:rPr>
          <w:b/>
        </w:rPr>
        <w:t>Присмотр за детьми в центрах взаимопомощи по присмотру и ух</w:t>
      </w:r>
      <w:r w:rsidRPr="00CB2C86">
        <w:rPr>
          <w:b/>
        </w:rPr>
        <w:t>о</w:t>
      </w:r>
      <w:r w:rsidRPr="00CB2C86">
        <w:rPr>
          <w:b/>
        </w:rPr>
        <w:t>ду за детьми (ЦВПУД)</w:t>
      </w:r>
      <w:r w:rsidRPr="00CB2C86">
        <w:t>: Услуга ЦВПУД (упомянутая в пункте 10.31 предыдущего доклада) оказывается органами социального обеспеч</w:t>
      </w:r>
      <w:r w:rsidRPr="00CB2C86">
        <w:t>е</w:t>
      </w:r>
      <w:r w:rsidRPr="00CB2C86">
        <w:t>ния, це</w:t>
      </w:r>
      <w:r w:rsidRPr="00CB2C86">
        <w:t>р</w:t>
      </w:r>
      <w:r w:rsidRPr="00CB2C86">
        <w:t>ковными организациями и женскими ассоциациями. С января 2008</w:t>
      </w:r>
      <w:r w:rsidR="00B92291">
        <w:t> год</w:t>
      </w:r>
      <w:r w:rsidRPr="00CB2C86">
        <w:t>а мы субсидируем ЦВПУД, чтобы активизировать их фун</w:t>
      </w:r>
      <w:r w:rsidRPr="00CB2C86">
        <w:t>к</w:t>
      </w:r>
      <w:r w:rsidRPr="00CB2C86">
        <w:t xml:space="preserve">ционирование по вечерам, по выходным дням и праздникам. </w:t>
      </w:r>
    </w:p>
    <w:p w:rsidR="00F936A8" w:rsidRPr="00CB2C86" w:rsidRDefault="00F936A8" w:rsidP="007837CA">
      <w:pPr>
        <w:pStyle w:val="Bullet1GR"/>
        <w:numPr>
          <w:ilvl w:val="0"/>
          <w:numId w:val="1"/>
        </w:numPr>
        <w:tabs>
          <w:tab w:val="clear" w:pos="1701"/>
          <w:tab w:val="left" w:pos="1980"/>
          <w:tab w:val="left" w:pos="2520"/>
        </w:tabs>
        <w:ind w:left="1980" w:hanging="188"/>
      </w:pPr>
      <w:r w:rsidRPr="00CB2C86">
        <w:rPr>
          <w:b/>
        </w:rPr>
        <w:t>Присмотр за детьми в небольших дневных группах семейного т</w:t>
      </w:r>
      <w:r w:rsidRPr="00CB2C86">
        <w:rPr>
          <w:b/>
        </w:rPr>
        <w:t>и</w:t>
      </w:r>
      <w:r w:rsidRPr="00CB2C86">
        <w:rPr>
          <w:b/>
        </w:rPr>
        <w:t>па и семейных детских садах</w:t>
      </w:r>
      <w:r w:rsidRPr="00CB2C86">
        <w:t>: В прошлом небольшие домашние группы и семейные детские сады предоставляли детям только пом</w:t>
      </w:r>
      <w:r w:rsidRPr="00CB2C86">
        <w:t>е</w:t>
      </w:r>
      <w:r w:rsidRPr="00CB2C86">
        <w:t>щения. В</w:t>
      </w:r>
      <w:r>
        <w:t> </w:t>
      </w:r>
      <w:r w:rsidRPr="00CB2C86">
        <w:t>2007</w:t>
      </w:r>
      <w:r w:rsidR="00B92291">
        <w:t> год</w:t>
      </w:r>
      <w:r w:rsidRPr="00CB2C86">
        <w:t>у ДСО объединил эти два вида услуг. Часы предо</w:t>
      </w:r>
      <w:r w:rsidRPr="00CB2C86">
        <w:t>с</w:t>
      </w:r>
      <w:r w:rsidRPr="00CB2C86">
        <w:t>тавления этих услуг были увеличены и стали более гибкими (иногда до 22 часов) по сравнению с другими обычными услугами.</w:t>
      </w:r>
    </w:p>
    <w:p w:rsidR="00F936A8" w:rsidRPr="00CB2C86" w:rsidRDefault="00F936A8" w:rsidP="007837CA">
      <w:pPr>
        <w:pStyle w:val="Bullet1GR"/>
        <w:numPr>
          <w:ilvl w:val="0"/>
          <w:numId w:val="1"/>
        </w:numPr>
        <w:tabs>
          <w:tab w:val="clear" w:pos="1701"/>
          <w:tab w:val="left" w:pos="1980"/>
          <w:tab w:val="left" w:pos="2520"/>
        </w:tabs>
        <w:ind w:left="1980" w:hanging="188"/>
      </w:pPr>
      <w:r w:rsidRPr="00CB2C86">
        <w:rPr>
          <w:b/>
        </w:rPr>
        <w:t>Районный проект поддержки присмотру за детьми (РПППД)</w:t>
      </w:r>
      <w:r w:rsidRPr="00CB2C86">
        <w:t>: В о</w:t>
      </w:r>
      <w:r w:rsidRPr="00CB2C86">
        <w:t>к</w:t>
      </w:r>
      <w:r w:rsidRPr="00CB2C86">
        <w:t>тябре 2008</w:t>
      </w:r>
      <w:r w:rsidR="00B92291">
        <w:t> год</w:t>
      </w:r>
      <w:r w:rsidR="00B16654">
        <w:t>а</w:t>
      </w:r>
      <w:r w:rsidRPr="00CB2C86">
        <w:t xml:space="preserve"> ДСО приступил к реализации трехлетнего экспер</w:t>
      </w:r>
      <w:r w:rsidRPr="00CB2C86">
        <w:t>и</w:t>
      </w:r>
      <w:r w:rsidRPr="00CB2C86">
        <w:t xml:space="preserve">ментального РПППД. Проект состоит из двух компонентов: </w:t>
      </w:r>
      <w:proofErr w:type="spellStart"/>
      <w:r>
        <w:t>i</w:t>
      </w:r>
      <w:proofErr w:type="spellEnd"/>
      <w:r>
        <w:t>)</w:t>
      </w:r>
      <w:r w:rsidRPr="00CB2C86">
        <w:t xml:space="preserve"> пр</w:t>
      </w:r>
      <w:r w:rsidRPr="00CB2C86">
        <w:t>и</w:t>
      </w:r>
      <w:r w:rsidRPr="00CB2C86">
        <w:t xml:space="preserve">смотр за детьми младше шести лет в домашних условиях и </w:t>
      </w:r>
      <w:proofErr w:type="spellStart"/>
      <w:r>
        <w:t>ii</w:t>
      </w:r>
      <w:proofErr w:type="spellEnd"/>
      <w:r>
        <w:t>)</w:t>
      </w:r>
      <w:r w:rsidRPr="00CB2C86">
        <w:t xml:space="preserve"> пр</w:t>
      </w:r>
      <w:r w:rsidRPr="00CB2C86">
        <w:t>и</w:t>
      </w:r>
      <w:r w:rsidRPr="00CB2C86">
        <w:t xml:space="preserve">смотр за детьми от трех до шести лет в группах дошкольных центров. </w:t>
      </w:r>
      <w:proofErr w:type="spellStart"/>
      <w:r w:rsidRPr="00CB2C86">
        <w:t>Найм</w:t>
      </w:r>
      <w:proofErr w:type="spellEnd"/>
      <w:r w:rsidRPr="00CB2C86">
        <w:t xml:space="preserve"> и подготовка воспитателей для присмотра за детьми в районах происходят в центрах, принадлежащих поставщикам у</w:t>
      </w:r>
      <w:r w:rsidRPr="00CB2C86">
        <w:t>с</w:t>
      </w:r>
      <w:r w:rsidRPr="00CB2C86">
        <w:t>луг (группы в дошкольных центрах) или в домах воспитателей (услуга по домашн</w:t>
      </w:r>
      <w:r w:rsidRPr="00CB2C86">
        <w:t>е</w:t>
      </w:r>
      <w:r w:rsidRPr="00CB2C86">
        <w:t>му присмотру). График предо</w:t>
      </w:r>
      <w:r w:rsidRPr="00CB2C86">
        <w:t>с</w:t>
      </w:r>
      <w:r w:rsidRPr="00CB2C86">
        <w:t>тавления этих двух услуг по линии РПППД охватывает вечернее время, некоторые нерабочие дни и гос</w:t>
      </w:r>
      <w:r w:rsidRPr="00CB2C86">
        <w:t>у</w:t>
      </w:r>
      <w:r w:rsidRPr="00CB2C86">
        <w:t>дарственные праз</w:t>
      </w:r>
      <w:r w:rsidRPr="00CB2C86">
        <w:t>д</w:t>
      </w:r>
      <w:r w:rsidRPr="00CB2C86">
        <w:t xml:space="preserve">ники. </w:t>
      </w:r>
    </w:p>
    <w:p w:rsidR="00F936A8" w:rsidRPr="00CB2C86" w:rsidRDefault="00F936A8" w:rsidP="00F91733">
      <w:pPr>
        <w:pStyle w:val="SingleTxtGR"/>
        <w:tabs>
          <w:tab w:val="clear" w:pos="1701"/>
          <w:tab w:val="clear" w:pos="2268"/>
          <w:tab w:val="left" w:pos="1980"/>
          <w:tab w:val="left" w:pos="2520"/>
        </w:tabs>
      </w:pPr>
      <w:r w:rsidRPr="00CB2C86">
        <w:t>10.16</w:t>
      </w:r>
      <w:r w:rsidRPr="00CB2C86">
        <w:tab/>
        <w:t>Кроме упомянутых выше услуг продолжают оказываться различные виды услуг по присмотру и уходу за детьми (домашний присмотр, небольшие домашние группы, домашние дневные ясли/детские ясли и присмотр и уход за детьми на дому), которые упоминались в пункте 10.35 предыдущего доклада. Количество мест в домашних дошкольных учреждениях, составляющих в 1997</w:t>
      </w:r>
      <w:r>
        <w:t>−</w:t>
      </w:r>
      <w:r w:rsidRPr="00CB2C86">
        <w:t>1998</w:t>
      </w:r>
      <w:r w:rsidR="00B92291">
        <w:t> год</w:t>
      </w:r>
      <w:r w:rsidRPr="00CB2C86">
        <w:t>ах и 730 в 2003</w:t>
      </w:r>
      <w:r>
        <w:t>−</w:t>
      </w:r>
      <w:r w:rsidRPr="00CB2C86">
        <w:t>2004</w:t>
      </w:r>
      <w:r w:rsidR="00B92291">
        <w:t> год</w:t>
      </w:r>
      <w:r w:rsidRPr="00CB2C86">
        <w:t>ах, о чем сообщалось в предыдущем докладе, увеличилось до 970 в 2009</w:t>
      </w:r>
      <w:r>
        <w:t>−</w:t>
      </w:r>
      <w:r w:rsidRPr="00CB2C86">
        <w:t>2010</w:t>
      </w:r>
      <w:r w:rsidR="00B92291">
        <w:t> год</w:t>
      </w:r>
      <w:r w:rsidRPr="00CB2C86">
        <w:t>ах. В декабре 2009</w:t>
      </w:r>
      <w:r w:rsidR="00B92291">
        <w:t> год</w:t>
      </w:r>
      <w:r w:rsidRPr="00CB2C86">
        <w:t>а в гру</w:t>
      </w:r>
      <w:r w:rsidRPr="00CB2C86">
        <w:t>п</w:t>
      </w:r>
      <w:r w:rsidRPr="00CB2C86">
        <w:t>пах домашнего присмотра и ухода в целом насчитывалось 3</w:t>
      </w:r>
      <w:r>
        <w:t> </w:t>
      </w:r>
      <w:r w:rsidRPr="00CB2C86">
        <w:t>532 мест по сра</w:t>
      </w:r>
      <w:r w:rsidRPr="00CB2C86">
        <w:t>в</w:t>
      </w:r>
      <w:r w:rsidRPr="00CB2C86">
        <w:t>нению с 3</w:t>
      </w:r>
      <w:r>
        <w:t> </w:t>
      </w:r>
      <w:r w:rsidRPr="00CB2C86">
        <w:t>355 местами в апреле 2003</w:t>
      </w:r>
      <w:r w:rsidR="00B92291">
        <w:t> год</w:t>
      </w:r>
      <w:r w:rsidRPr="00CB2C86">
        <w:t>а, о чем сообщалось в предыдущем докладе.</w:t>
      </w:r>
    </w:p>
    <w:p w:rsidR="00F936A8" w:rsidRPr="00CB2C86" w:rsidRDefault="00F936A8" w:rsidP="00F91733">
      <w:pPr>
        <w:pStyle w:val="SingleTxtGR"/>
        <w:tabs>
          <w:tab w:val="clear" w:pos="1701"/>
          <w:tab w:val="clear" w:pos="2268"/>
          <w:tab w:val="left" w:pos="1980"/>
          <w:tab w:val="left" w:pos="2520"/>
        </w:tabs>
      </w:pPr>
      <w:r w:rsidRPr="00CB2C86">
        <w:t>10.17</w:t>
      </w:r>
      <w:r w:rsidRPr="00CB2C86">
        <w:tab/>
        <w:t>Обновленные данные о наших услугах по поддержке семей и пр</w:t>
      </w:r>
      <w:r w:rsidRPr="00CB2C86">
        <w:t>и</w:t>
      </w:r>
      <w:r w:rsidRPr="00CB2C86">
        <w:t>смотру и уходу за детьми по сравнению с данными, содержащимися в пунктах 10.32 и 10.36 предыдущего доклада, приводятся ниже:</w:t>
      </w:r>
    </w:p>
    <w:tbl>
      <w:tblPr>
        <w:tblStyle w:val="TabNum"/>
        <w:tblW w:w="7370" w:type="dxa"/>
        <w:tblInd w:w="1134" w:type="dxa"/>
        <w:tblLayout w:type="fixed"/>
        <w:tblLook w:val="01E0" w:firstRow="1" w:lastRow="1" w:firstColumn="1" w:lastColumn="1" w:noHBand="0" w:noVBand="0"/>
      </w:tblPr>
      <w:tblGrid>
        <w:gridCol w:w="2828"/>
        <w:gridCol w:w="1514"/>
        <w:gridCol w:w="1514"/>
        <w:gridCol w:w="1514"/>
      </w:tblGrid>
      <w:tr w:rsidR="00F936A8" w:rsidRPr="00233E9A" w:rsidTr="00B16654">
        <w:trPr>
          <w:tblHeader/>
        </w:trPr>
        <w:tc>
          <w:tcPr>
            <w:cnfStyle w:val="001000000000" w:firstRow="0" w:lastRow="0" w:firstColumn="1" w:lastColumn="0" w:oddVBand="0" w:evenVBand="0" w:oddHBand="0" w:evenHBand="0" w:firstRowFirstColumn="0" w:firstRowLastColumn="0" w:lastRowFirstColumn="0" w:lastRowLastColumn="0"/>
            <w:tcW w:w="2828" w:type="dxa"/>
            <w:tcBorders>
              <w:bottom w:val="single" w:sz="12" w:space="0" w:color="auto"/>
            </w:tcBorders>
            <w:shd w:val="clear" w:color="auto" w:fill="auto"/>
          </w:tcPr>
          <w:p w:rsidR="00F936A8" w:rsidRPr="00233E9A" w:rsidRDefault="00F936A8" w:rsidP="00122DDF">
            <w:pPr>
              <w:tabs>
                <w:tab w:val="left" w:pos="1980"/>
              </w:tabs>
              <w:spacing w:before="80" w:after="80" w:line="200" w:lineRule="exact"/>
              <w:rPr>
                <w:i/>
                <w:sz w:val="16"/>
              </w:rPr>
            </w:pPr>
          </w:p>
        </w:tc>
        <w:tc>
          <w:tcPr>
            <w:tcW w:w="1514" w:type="dxa"/>
            <w:tcBorders>
              <w:top w:val="single" w:sz="4" w:space="0" w:color="auto"/>
              <w:bottom w:val="single" w:sz="12" w:space="0" w:color="auto"/>
            </w:tcBorders>
            <w:shd w:val="clear" w:color="auto" w:fill="auto"/>
          </w:tcPr>
          <w:p w:rsidR="00F936A8" w:rsidRPr="00233E9A"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33E9A">
              <w:rPr>
                <w:i/>
                <w:sz w:val="16"/>
              </w:rPr>
              <w:t>Обеспече</w:t>
            </w:r>
            <w:r w:rsidRPr="00233E9A">
              <w:rPr>
                <w:i/>
                <w:sz w:val="16"/>
              </w:rPr>
              <w:t>н</w:t>
            </w:r>
            <w:r>
              <w:rPr>
                <w:i/>
                <w:sz w:val="16"/>
              </w:rPr>
              <w:t>ность</w:t>
            </w:r>
            <w:r>
              <w:rPr>
                <w:i/>
                <w:sz w:val="16"/>
              </w:rPr>
              <w:br/>
              <w:t xml:space="preserve">в </w:t>
            </w:r>
            <w:r w:rsidRPr="00233E9A">
              <w:rPr>
                <w:i/>
                <w:sz w:val="16"/>
              </w:rPr>
              <w:t>1997−</w:t>
            </w:r>
            <w:r>
              <w:rPr>
                <w:i/>
                <w:sz w:val="16"/>
              </w:rPr>
              <w:t>19</w:t>
            </w:r>
            <w:r w:rsidRPr="00233E9A">
              <w:rPr>
                <w:i/>
                <w:sz w:val="16"/>
              </w:rPr>
              <w:t>98</w:t>
            </w:r>
            <w:r w:rsidR="00B92291">
              <w:rPr>
                <w:i/>
                <w:sz w:val="16"/>
              </w:rPr>
              <w:t> год</w:t>
            </w:r>
            <w:r>
              <w:rPr>
                <w:i/>
                <w:sz w:val="16"/>
              </w:rPr>
              <w:t>ах</w:t>
            </w:r>
          </w:p>
        </w:tc>
        <w:tc>
          <w:tcPr>
            <w:tcW w:w="1514" w:type="dxa"/>
            <w:tcBorders>
              <w:top w:val="single" w:sz="4" w:space="0" w:color="auto"/>
              <w:bottom w:val="single" w:sz="12" w:space="0" w:color="auto"/>
            </w:tcBorders>
            <w:shd w:val="clear" w:color="auto" w:fill="auto"/>
          </w:tcPr>
          <w:p w:rsidR="00F936A8" w:rsidRPr="00233E9A"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33E9A">
              <w:rPr>
                <w:i/>
                <w:sz w:val="16"/>
              </w:rPr>
              <w:t>Обеспече</w:t>
            </w:r>
            <w:r w:rsidRPr="00233E9A">
              <w:rPr>
                <w:i/>
                <w:sz w:val="16"/>
              </w:rPr>
              <w:t>н</w:t>
            </w:r>
            <w:r w:rsidRPr="00233E9A">
              <w:rPr>
                <w:i/>
                <w:sz w:val="16"/>
              </w:rPr>
              <w:t>ность</w:t>
            </w:r>
            <w:r>
              <w:rPr>
                <w:i/>
                <w:sz w:val="16"/>
              </w:rPr>
              <w:br/>
            </w:r>
            <w:r w:rsidRPr="00233E9A">
              <w:rPr>
                <w:i/>
                <w:sz w:val="16"/>
              </w:rPr>
              <w:t xml:space="preserve"> в</w:t>
            </w:r>
            <w:r>
              <w:rPr>
                <w:i/>
                <w:sz w:val="16"/>
              </w:rPr>
              <w:t xml:space="preserve"> </w:t>
            </w:r>
            <w:r w:rsidRPr="00233E9A">
              <w:rPr>
                <w:i/>
                <w:sz w:val="16"/>
              </w:rPr>
              <w:t>2002−</w:t>
            </w:r>
            <w:r>
              <w:rPr>
                <w:i/>
                <w:sz w:val="16"/>
              </w:rPr>
              <w:t>20</w:t>
            </w:r>
            <w:r w:rsidRPr="00233E9A">
              <w:rPr>
                <w:i/>
                <w:sz w:val="16"/>
              </w:rPr>
              <w:t>03</w:t>
            </w:r>
            <w:r w:rsidR="00B92291">
              <w:rPr>
                <w:i/>
                <w:sz w:val="16"/>
              </w:rPr>
              <w:t> год</w:t>
            </w:r>
            <w:r>
              <w:rPr>
                <w:i/>
                <w:sz w:val="16"/>
              </w:rPr>
              <w:t>а</w:t>
            </w:r>
          </w:p>
        </w:tc>
        <w:tc>
          <w:tcPr>
            <w:tcW w:w="1514" w:type="dxa"/>
            <w:tcBorders>
              <w:top w:val="single" w:sz="4" w:space="0" w:color="auto"/>
              <w:bottom w:val="single" w:sz="12" w:space="0" w:color="auto"/>
            </w:tcBorders>
            <w:shd w:val="clear" w:color="auto" w:fill="auto"/>
          </w:tcPr>
          <w:p w:rsidR="00F936A8" w:rsidRPr="00233E9A"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33E9A">
              <w:rPr>
                <w:i/>
                <w:sz w:val="16"/>
              </w:rPr>
              <w:t>Обеспече</w:t>
            </w:r>
            <w:r w:rsidRPr="00233E9A">
              <w:rPr>
                <w:i/>
                <w:sz w:val="16"/>
              </w:rPr>
              <w:t>н</w:t>
            </w:r>
            <w:r w:rsidRPr="00233E9A">
              <w:rPr>
                <w:i/>
                <w:sz w:val="16"/>
              </w:rPr>
              <w:t>ность</w:t>
            </w:r>
            <w:r w:rsidR="00B16654">
              <w:rPr>
                <w:i/>
                <w:sz w:val="16"/>
              </w:rPr>
              <w:br/>
            </w:r>
            <w:r w:rsidRPr="00233E9A">
              <w:rPr>
                <w:i/>
                <w:sz w:val="16"/>
              </w:rPr>
              <w:t>в 2009−</w:t>
            </w:r>
            <w:r>
              <w:rPr>
                <w:i/>
                <w:sz w:val="16"/>
              </w:rPr>
              <w:t>20</w:t>
            </w:r>
            <w:r w:rsidRPr="00233E9A">
              <w:rPr>
                <w:i/>
                <w:sz w:val="16"/>
              </w:rPr>
              <w:t>10</w:t>
            </w:r>
            <w:r w:rsidR="00B92291">
              <w:rPr>
                <w:i/>
                <w:sz w:val="16"/>
              </w:rPr>
              <w:t> год</w:t>
            </w:r>
            <w:r>
              <w:rPr>
                <w:i/>
                <w:sz w:val="16"/>
              </w:rPr>
              <w:t>ах</w:t>
            </w:r>
          </w:p>
        </w:tc>
      </w:tr>
      <w:tr w:rsidR="00F936A8" w:rsidRPr="00233E9A" w:rsidTr="00B16654">
        <w:tc>
          <w:tcPr>
            <w:cnfStyle w:val="001000000000" w:firstRow="0" w:lastRow="0" w:firstColumn="1" w:lastColumn="0" w:oddVBand="0" w:evenVBand="0" w:oddHBand="0" w:evenHBand="0" w:firstRowFirstColumn="0" w:firstRowLastColumn="0" w:lastRowFirstColumn="0" w:lastRowLastColumn="0"/>
            <w:tcW w:w="2828" w:type="dxa"/>
            <w:tcBorders>
              <w:top w:val="single" w:sz="12" w:space="0" w:color="auto"/>
            </w:tcBorders>
            <w:vAlign w:val="top"/>
          </w:tcPr>
          <w:p w:rsidR="00F936A8" w:rsidRPr="00233E9A" w:rsidRDefault="00F936A8" w:rsidP="00122DDF">
            <w:pPr>
              <w:tabs>
                <w:tab w:val="left" w:pos="1980"/>
              </w:tabs>
            </w:pPr>
            <w:r w:rsidRPr="00233E9A">
              <w:t>Места в государственных и су</w:t>
            </w:r>
            <w:r w:rsidRPr="00233E9A">
              <w:t>б</w:t>
            </w:r>
            <w:r w:rsidRPr="00233E9A">
              <w:t xml:space="preserve">сидируемых дневных яслях </w:t>
            </w:r>
          </w:p>
        </w:tc>
        <w:tc>
          <w:tcPr>
            <w:tcW w:w="1514" w:type="dxa"/>
            <w:tcBorders>
              <w:top w:val="single" w:sz="12" w:space="0" w:color="auto"/>
            </w:tcBorders>
          </w:tcPr>
          <w:p w:rsidR="00F936A8" w:rsidRPr="00233E9A"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33E9A">
              <w:t>25 941 мест</w:t>
            </w:r>
          </w:p>
        </w:tc>
        <w:tc>
          <w:tcPr>
            <w:tcW w:w="1514" w:type="dxa"/>
            <w:tcBorders>
              <w:top w:val="single" w:sz="12" w:space="0" w:color="auto"/>
            </w:tcBorders>
          </w:tcPr>
          <w:p w:rsidR="00F936A8" w:rsidRPr="00233E9A"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33E9A">
              <w:t>29 314 мест</w:t>
            </w:r>
          </w:p>
        </w:tc>
        <w:tc>
          <w:tcPr>
            <w:tcW w:w="1514" w:type="dxa"/>
            <w:vMerge w:val="restart"/>
            <w:tcBorders>
              <w:top w:val="single" w:sz="12" w:space="0" w:color="auto"/>
            </w:tcBorders>
          </w:tcPr>
          <w:p w:rsidR="00F936A8" w:rsidRPr="00233E9A"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33E9A">
              <w:t>См. Прим. (1)</w:t>
            </w:r>
          </w:p>
        </w:tc>
      </w:tr>
      <w:tr w:rsidR="00F936A8" w:rsidRPr="00233E9A" w:rsidTr="00B16654">
        <w:tc>
          <w:tcPr>
            <w:cnfStyle w:val="001000000000" w:firstRow="0" w:lastRow="0" w:firstColumn="1" w:lastColumn="0" w:oddVBand="0" w:evenVBand="0" w:oddHBand="0" w:evenHBand="0" w:firstRowFirstColumn="0" w:firstRowLastColumn="0" w:lastRowFirstColumn="0" w:lastRowLastColumn="0"/>
            <w:tcW w:w="2828" w:type="dxa"/>
            <w:vAlign w:val="top"/>
          </w:tcPr>
          <w:p w:rsidR="00F936A8" w:rsidRPr="00233E9A" w:rsidRDefault="00F936A8" w:rsidP="00122DDF">
            <w:pPr>
              <w:tabs>
                <w:tab w:val="left" w:pos="1980"/>
              </w:tabs>
            </w:pPr>
            <w:r w:rsidRPr="00233E9A">
              <w:t>Места в субсидируемых детских я</w:t>
            </w:r>
            <w:r w:rsidRPr="00233E9A">
              <w:t>с</w:t>
            </w:r>
            <w:r w:rsidRPr="00233E9A">
              <w:t>лях</w:t>
            </w:r>
          </w:p>
        </w:tc>
        <w:tc>
          <w:tcPr>
            <w:tcW w:w="1514" w:type="dxa"/>
          </w:tcPr>
          <w:p w:rsidR="00F936A8" w:rsidRPr="00233E9A"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33E9A">
              <w:t>1 479 мест</w:t>
            </w:r>
          </w:p>
        </w:tc>
        <w:tc>
          <w:tcPr>
            <w:tcW w:w="1514" w:type="dxa"/>
          </w:tcPr>
          <w:p w:rsidR="00F936A8" w:rsidRPr="00233E9A"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33E9A">
              <w:t>1 113 мест</w:t>
            </w:r>
          </w:p>
        </w:tc>
        <w:tc>
          <w:tcPr>
            <w:tcW w:w="1514" w:type="dxa"/>
            <w:vMerge/>
          </w:tcPr>
          <w:p w:rsidR="00F936A8" w:rsidRPr="00233E9A"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p>
        </w:tc>
      </w:tr>
      <w:tr w:rsidR="00F936A8" w:rsidRPr="00233E9A" w:rsidTr="00B16654">
        <w:tc>
          <w:tcPr>
            <w:cnfStyle w:val="001000000000" w:firstRow="0" w:lastRow="0" w:firstColumn="1" w:lastColumn="0" w:oddVBand="0" w:evenVBand="0" w:oddHBand="0" w:evenHBand="0" w:firstRowFirstColumn="0" w:firstRowLastColumn="0" w:lastRowFirstColumn="0" w:lastRowLastColumn="0"/>
            <w:tcW w:w="2828" w:type="dxa"/>
            <w:vAlign w:val="top"/>
          </w:tcPr>
          <w:p w:rsidR="00F936A8" w:rsidRPr="00233E9A" w:rsidRDefault="00F936A8" w:rsidP="00122DDF">
            <w:pPr>
              <w:tabs>
                <w:tab w:val="left" w:pos="1980"/>
              </w:tabs>
            </w:pPr>
            <w:r w:rsidRPr="00233E9A">
              <w:t xml:space="preserve">Группы временного присмотра </w:t>
            </w:r>
            <w:r w:rsidRPr="00233E9A">
              <w:br/>
              <w:t>(три места на группу)</w:t>
            </w:r>
          </w:p>
        </w:tc>
        <w:tc>
          <w:tcPr>
            <w:tcW w:w="1514" w:type="dxa"/>
          </w:tcPr>
          <w:p w:rsidR="00F936A8" w:rsidRPr="00233E9A"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33E9A">
              <w:t>230 групп</w:t>
            </w:r>
            <w:r w:rsidRPr="00233E9A">
              <w:br/>
              <w:t>(690 мест)</w:t>
            </w:r>
          </w:p>
        </w:tc>
        <w:tc>
          <w:tcPr>
            <w:tcW w:w="1514" w:type="dxa"/>
          </w:tcPr>
          <w:p w:rsidR="00F936A8" w:rsidRPr="00233E9A"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33E9A">
              <w:t>243 групп</w:t>
            </w:r>
            <w:r w:rsidRPr="00233E9A">
              <w:br/>
              <w:t>(729 мест)</w:t>
            </w:r>
          </w:p>
        </w:tc>
        <w:tc>
          <w:tcPr>
            <w:tcW w:w="1514" w:type="dxa"/>
          </w:tcPr>
          <w:p w:rsidR="00F936A8" w:rsidRPr="00233E9A"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33E9A">
              <w:t>217 групп</w:t>
            </w:r>
            <w:r w:rsidRPr="00233E9A">
              <w:br/>
              <w:t>(494 мест)</w:t>
            </w:r>
            <w:r w:rsidRPr="00233E9A">
              <w:br/>
              <w:t>См. Прим. (2)</w:t>
            </w:r>
          </w:p>
        </w:tc>
      </w:tr>
      <w:tr w:rsidR="00F936A8" w:rsidRPr="00233E9A" w:rsidTr="00B16654">
        <w:tc>
          <w:tcPr>
            <w:cnfStyle w:val="001000000000" w:firstRow="0" w:lastRow="0" w:firstColumn="1" w:lastColumn="0" w:oddVBand="0" w:evenVBand="0" w:oddHBand="0" w:evenHBand="0" w:firstRowFirstColumn="0" w:firstRowLastColumn="0" w:lastRowFirstColumn="0" w:lastRowLastColumn="0"/>
            <w:tcW w:w="2828" w:type="dxa"/>
            <w:vAlign w:val="top"/>
          </w:tcPr>
          <w:p w:rsidR="00F936A8" w:rsidRPr="00233E9A" w:rsidRDefault="00F936A8" w:rsidP="00122DDF">
            <w:pPr>
              <w:tabs>
                <w:tab w:val="left" w:pos="1980"/>
              </w:tabs>
            </w:pPr>
            <w:r w:rsidRPr="00233E9A">
              <w:t xml:space="preserve">Группы продленного дня </w:t>
            </w:r>
            <w:r w:rsidRPr="00233E9A">
              <w:br/>
              <w:t>(14 мест на группу)</w:t>
            </w:r>
          </w:p>
        </w:tc>
        <w:tc>
          <w:tcPr>
            <w:tcW w:w="1514" w:type="dxa"/>
          </w:tcPr>
          <w:p w:rsidR="00F936A8" w:rsidRPr="00233E9A"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33E9A">
              <w:t>5 групп</w:t>
            </w:r>
            <w:r w:rsidRPr="00233E9A">
              <w:br/>
              <w:t>(70 мест)</w:t>
            </w:r>
          </w:p>
        </w:tc>
        <w:tc>
          <w:tcPr>
            <w:tcW w:w="1514" w:type="dxa"/>
          </w:tcPr>
          <w:p w:rsidR="00F936A8" w:rsidRPr="00233E9A"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33E9A">
              <w:t>115 групп</w:t>
            </w:r>
            <w:r w:rsidRPr="00233E9A">
              <w:br/>
              <w:t>(1 610 мест)</w:t>
            </w:r>
          </w:p>
        </w:tc>
        <w:tc>
          <w:tcPr>
            <w:tcW w:w="1514" w:type="dxa"/>
          </w:tcPr>
          <w:p w:rsidR="00F936A8" w:rsidRPr="00233E9A"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33E9A">
              <w:t>105 групп</w:t>
            </w:r>
            <w:r w:rsidRPr="00233E9A">
              <w:br/>
              <w:t>(1 230 мест)</w:t>
            </w:r>
            <w:r w:rsidRPr="00233E9A">
              <w:br/>
              <w:t>См. Прим. (2)</w:t>
            </w:r>
          </w:p>
        </w:tc>
      </w:tr>
      <w:tr w:rsidR="00F936A8" w:rsidRPr="00233E9A" w:rsidTr="00B16654">
        <w:tc>
          <w:tcPr>
            <w:cnfStyle w:val="001000000000" w:firstRow="0" w:lastRow="0" w:firstColumn="1" w:lastColumn="0" w:oddVBand="0" w:evenVBand="0" w:oddHBand="0" w:evenHBand="0" w:firstRowFirstColumn="0" w:firstRowLastColumn="0" w:lastRowFirstColumn="0" w:lastRowLastColumn="0"/>
            <w:tcW w:w="2828" w:type="dxa"/>
            <w:vAlign w:val="top"/>
          </w:tcPr>
          <w:p w:rsidR="00F936A8" w:rsidRPr="00233E9A" w:rsidRDefault="00F936A8" w:rsidP="00122DDF">
            <w:pPr>
              <w:tabs>
                <w:tab w:val="left" w:pos="1980"/>
              </w:tabs>
            </w:pPr>
            <w:r w:rsidRPr="00233E9A">
              <w:t>Домашние помощники</w:t>
            </w:r>
          </w:p>
        </w:tc>
        <w:tc>
          <w:tcPr>
            <w:tcW w:w="1514" w:type="dxa"/>
          </w:tcPr>
          <w:p w:rsidR="00F936A8" w:rsidRPr="00233E9A"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33E9A">
              <w:t>52 помощн</w:t>
            </w:r>
            <w:r w:rsidRPr="00233E9A">
              <w:t>и</w:t>
            </w:r>
            <w:r w:rsidRPr="00233E9A">
              <w:t>к</w:t>
            </w:r>
            <w:r w:rsidR="00B16654">
              <w:t>а</w:t>
            </w:r>
          </w:p>
        </w:tc>
        <w:tc>
          <w:tcPr>
            <w:tcW w:w="1514" w:type="dxa"/>
          </w:tcPr>
          <w:p w:rsidR="00F936A8" w:rsidRPr="00233E9A"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33E9A">
              <w:t>44 помощник</w:t>
            </w:r>
            <w:r w:rsidR="00B16654">
              <w:t>а</w:t>
            </w:r>
          </w:p>
        </w:tc>
        <w:tc>
          <w:tcPr>
            <w:tcW w:w="1514" w:type="dxa"/>
          </w:tcPr>
          <w:p w:rsidR="00F936A8" w:rsidRPr="00233E9A"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33E9A">
              <w:t>44 помощн</w:t>
            </w:r>
            <w:r w:rsidRPr="00233E9A">
              <w:t>и</w:t>
            </w:r>
            <w:r w:rsidRPr="00233E9A">
              <w:t>к</w:t>
            </w:r>
            <w:r w:rsidR="00B16654">
              <w:t>а</w:t>
            </w:r>
          </w:p>
        </w:tc>
      </w:tr>
    </w:tbl>
    <w:p w:rsidR="00F936A8" w:rsidRPr="009B670E" w:rsidRDefault="00F936A8" w:rsidP="00122DDF">
      <w:pPr>
        <w:pStyle w:val="SingleTxtGR"/>
        <w:tabs>
          <w:tab w:val="left" w:pos="1980"/>
        </w:tabs>
        <w:suppressAutoHyphens/>
        <w:spacing w:before="120" w:after="0"/>
        <w:ind w:left="1330"/>
        <w:jc w:val="left"/>
        <w:rPr>
          <w:i/>
          <w:sz w:val="18"/>
          <w:szCs w:val="18"/>
          <w:lang w:val="en-GB"/>
        </w:rPr>
      </w:pPr>
      <w:r w:rsidRPr="009B670E">
        <w:rPr>
          <w:i/>
          <w:sz w:val="18"/>
          <w:szCs w:val="18"/>
        </w:rPr>
        <w:t>Примечания</w:t>
      </w:r>
      <w:r w:rsidRPr="009B670E">
        <w:rPr>
          <w:i/>
          <w:sz w:val="18"/>
          <w:szCs w:val="18"/>
          <w:lang w:val="en-GB"/>
        </w:rPr>
        <w:t xml:space="preserve">: </w:t>
      </w:r>
    </w:p>
    <w:p w:rsidR="00F936A8" w:rsidRPr="009B670E" w:rsidRDefault="00F936A8" w:rsidP="00122DDF">
      <w:pPr>
        <w:pStyle w:val="SingleTxtGR"/>
        <w:tabs>
          <w:tab w:val="left" w:pos="1980"/>
        </w:tabs>
        <w:suppressAutoHyphens/>
        <w:spacing w:after="0"/>
        <w:ind w:left="1330"/>
        <w:jc w:val="left"/>
        <w:rPr>
          <w:sz w:val="18"/>
          <w:szCs w:val="18"/>
        </w:rPr>
      </w:pPr>
      <w:r w:rsidRPr="009B670E">
        <w:rPr>
          <w:sz w:val="18"/>
          <w:szCs w:val="18"/>
        </w:rPr>
        <w:t>(1) После упорядочения в 2005</w:t>
      </w:r>
      <w:r w:rsidR="00B92291">
        <w:rPr>
          <w:sz w:val="18"/>
          <w:szCs w:val="18"/>
        </w:rPr>
        <w:t> год</w:t>
      </w:r>
      <w:r w:rsidRPr="009B670E">
        <w:rPr>
          <w:sz w:val="18"/>
          <w:szCs w:val="18"/>
        </w:rPr>
        <w:t>у услуг по присмотру и уходу за детьми правительственные и субсидируемые дневные ясли и детские ясли были преобразованы в отдельные дошкольные центры и детские сады/дошкольные центры. В 2009−2010</w:t>
      </w:r>
      <w:r w:rsidR="00B92291">
        <w:rPr>
          <w:sz w:val="18"/>
          <w:szCs w:val="18"/>
        </w:rPr>
        <w:t> год</w:t>
      </w:r>
      <w:r w:rsidRPr="009B670E">
        <w:rPr>
          <w:sz w:val="18"/>
          <w:szCs w:val="18"/>
        </w:rPr>
        <w:t>ах отдельные дошкольные центры и детские сады/дошкольные центры располагали соответственно 690 и 80 517 местами.</w:t>
      </w:r>
    </w:p>
    <w:p w:rsidR="00F936A8" w:rsidRDefault="00F936A8" w:rsidP="00122DDF">
      <w:pPr>
        <w:pStyle w:val="SingleTxtGR"/>
        <w:tabs>
          <w:tab w:val="left" w:pos="1980"/>
        </w:tabs>
        <w:suppressAutoHyphens/>
        <w:spacing w:after="0"/>
        <w:ind w:left="1330"/>
        <w:jc w:val="left"/>
        <w:rPr>
          <w:sz w:val="18"/>
          <w:szCs w:val="18"/>
        </w:rPr>
      </w:pPr>
      <w:r w:rsidRPr="009B670E">
        <w:rPr>
          <w:sz w:val="18"/>
          <w:szCs w:val="18"/>
        </w:rPr>
        <w:t>(2) За последние несколько лет количество мест в группах временного присмотра и группах продленного дня сократилось в связи с падением спроса на эти услуги. Среднее пользование этими двумя услугами в период с апреля по декабрь 2009</w:t>
      </w:r>
      <w:r w:rsidR="00B92291">
        <w:rPr>
          <w:sz w:val="18"/>
          <w:szCs w:val="18"/>
        </w:rPr>
        <w:t> год</w:t>
      </w:r>
      <w:r w:rsidRPr="009B670E">
        <w:rPr>
          <w:sz w:val="18"/>
          <w:szCs w:val="18"/>
        </w:rPr>
        <w:t>а составило соответственно всего лишь 49% и 74%. Чтобы удовлетворить спрос родителей на гибкие и временные услуги по присмотру и уходу за детьми, в последнее время ДСО организовал ряд новых услуг, которые отличаются гибкостью как по режиму, так и по графику работы. Подробности см. в пункте 10.15</w:t>
      </w:r>
      <w:r w:rsidRPr="009B670E">
        <w:rPr>
          <w:sz w:val="18"/>
          <w:szCs w:val="18"/>
          <w:lang w:val="en-US"/>
        </w:rPr>
        <w:t xml:space="preserve"> </w:t>
      </w:r>
      <w:r w:rsidRPr="009B670E">
        <w:rPr>
          <w:sz w:val="18"/>
          <w:szCs w:val="18"/>
          <w:lang w:val="en-GB"/>
        </w:rPr>
        <w:t>b</w:t>
      </w:r>
      <w:r w:rsidRPr="009B670E">
        <w:rPr>
          <w:sz w:val="18"/>
          <w:szCs w:val="18"/>
        </w:rPr>
        <w:t>) выше.</w:t>
      </w:r>
    </w:p>
    <w:tbl>
      <w:tblPr>
        <w:tblStyle w:val="TabNum"/>
        <w:tblW w:w="7370" w:type="dxa"/>
        <w:tblInd w:w="1134" w:type="dxa"/>
        <w:tblLayout w:type="fixed"/>
        <w:tblLook w:val="01E0" w:firstRow="1" w:lastRow="1" w:firstColumn="1" w:lastColumn="1" w:noHBand="0" w:noVBand="0"/>
      </w:tblPr>
      <w:tblGrid>
        <w:gridCol w:w="2478"/>
        <w:gridCol w:w="1512"/>
        <w:gridCol w:w="1525"/>
        <w:gridCol w:w="1855"/>
      </w:tblGrid>
      <w:tr w:rsidR="00F936A8" w:rsidRPr="009B670E" w:rsidTr="00F66529">
        <w:trPr>
          <w:tblHeader/>
        </w:trPr>
        <w:tc>
          <w:tcPr>
            <w:cnfStyle w:val="001000000000" w:firstRow="0" w:lastRow="0" w:firstColumn="1" w:lastColumn="0" w:oddVBand="0" w:evenVBand="0" w:oddHBand="0" w:evenHBand="0" w:firstRowFirstColumn="0" w:firstRowLastColumn="0" w:lastRowFirstColumn="0" w:lastRowLastColumn="0"/>
            <w:tcW w:w="2478" w:type="dxa"/>
            <w:tcBorders>
              <w:bottom w:val="single" w:sz="12" w:space="0" w:color="auto"/>
            </w:tcBorders>
            <w:shd w:val="clear" w:color="auto" w:fill="auto"/>
            <w:vAlign w:val="top"/>
          </w:tcPr>
          <w:p w:rsidR="00F936A8" w:rsidRPr="009B670E" w:rsidRDefault="00F936A8" w:rsidP="007837CA">
            <w:pPr>
              <w:pageBreakBefore/>
              <w:tabs>
                <w:tab w:val="left" w:pos="1980"/>
              </w:tabs>
              <w:spacing w:before="80" w:after="80" w:line="200" w:lineRule="exact"/>
              <w:rPr>
                <w:i/>
                <w:sz w:val="16"/>
              </w:rPr>
            </w:pPr>
          </w:p>
        </w:tc>
        <w:tc>
          <w:tcPr>
            <w:tcW w:w="1512" w:type="dxa"/>
            <w:tcBorders>
              <w:top w:val="single" w:sz="4" w:space="0" w:color="auto"/>
              <w:bottom w:val="single" w:sz="12" w:space="0" w:color="auto"/>
            </w:tcBorders>
            <w:shd w:val="clear" w:color="auto" w:fill="auto"/>
          </w:tcPr>
          <w:p w:rsidR="00F936A8" w:rsidRPr="009B670E"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B670E">
              <w:rPr>
                <w:i/>
                <w:sz w:val="16"/>
              </w:rPr>
              <w:t>Обеспече</w:t>
            </w:r>
            <w:r w:rsidRPr="009B670E">
              <w:rPr>
                <w:i/>
                <w:sz w:val="16"/>
              </w:rPr>
              <w:t>н</w:t>
            </w:r>
            <w:r w:rsidRPr="009B670E">
              <w:rPr>
                <w:i/>
                <w:sz w:val="16"/>
              </w:rPr>
              <w:t>ность</w:t>
            </w:r>
            <w:r>
              <w:rPr>
                <w:i/>
                <w:sz w:val="16"/>
              </w:rPr>
              <w:br/>
            </w:r>
            <w:r w:rsidRPr="009B670E">
              <w:rPr>
                <w:i/>
                <w:sz w:val="16"/>
              </w:rPr>
              <w:t>в 1997−</w:t>
            </w:r>
            <w:r>
              <w:rPr>
                <w:i/>
                <w:sz w:val="16"/>
              </w:rPr>
              <w:t>19</w:t>
            </w:r>
            <w:r w:rsidRPr="009B670E">
              <w:rPr>
                <w:i/>
                <w:sz w:val="16"/>
              </w:rPr>
              <w:t>98</w:t>
            </w:r>
            <w:r w:rsidR="00B92291">
              <w:rPr>
                <w:i/>
                <w:sz w:val="16"/>
              </w:rPr>
              <w:t> год</w:t>
            </w:r>
            <w:r>
              <w:rPr>
                <w:i/>
                <w:sz w:val="16"/>
              </w:rPr>
              <w:t>ах</w:t>
            </w:r>
          </w:p>
        </w:tc>
        <w:tc>
          <w:tcPr>
            <w:tcW w:w="1525" w:type="dxa"/>
            <w:tcBorders>
              <w:top w:val="single" w:sz="4" w:space="0" w:color="auto"/>
              <w:bottom w:val="single" w:sz="12" w:space="0" w:color="auto"/>
            </w:tcBorders>
            <w:shd w:val="clear" w:color="auto" w:fill="auto"/>
          </w:tcPr>
          <w:p w:rsidR="00F936A8" w:rsidRPr="009B670E"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B670E">
              <w:rPr>
                <w:i/>
                <w:sz w:val="16"/>
              </w:rPr>
              <w:t>Обеспече</w:t>
            </w:r>
            <w:r w:rsidRPr="009B670E">
              <w:rPr>
                <w:i/>
                <w:sz w:val="16"/>
              </w:rPr>
              <w:t>н</w:t>
            </w:r>
            <w:r w:rsidRPr="009B670E">
              <w:rPr>
                <w:i/>
                <w:sz w:val="16"/>
              </w:rPr>
              <w:t xml:space="preserve">ность </w:t>
            </w:r>
            <w:r>
              <w:rPr>
                <w:i/>
                <w:sz w:val="16"/>
              </w:rPr>
              <w:br/>
            </w:r>
            <w:r w:rsidRPr="009B670E">
              <w:rPr>
                <w:i/>
                <w:sz w:val="16"/>
              </w:rPr>
              <w:t>в 2002−</w:t>
            </w:r>
            <w:r>
              <w:rPr>
                <w:i/>
                <w:sz w:val="16"/>
              </w:rPr>
              <w:t>20</w:t>
            </w:r>
            <w:r w:rsidRPr="009B670E">
              <w:rPr>
                <w:i/>
                <w:sz w:val="16"/>
              </w:rPr>
              <w:t>03</w:t>
            </w:r>
            <w:r w:rsidR="00B92291">
              <w:rPr>
                <w:i/>
                <w:sz w:val="16"/>
              </w:rPr>
              <w:t> год</w:t>
            </w:r>
            <w:r>
              <w:rPr>
                <w:i/>
                <w:sz w:val="16"/>
              </w:rPr>
              <w:t>ах</w:t>
            </w:r>
          </w:p>
        </w:tc>
        <w:tc>
          <w:tcPr>
            <w:tcW w:w="1855" w:type="dxa"/>
            <w:tcBorders>
              <w:top w:val="single" w:sz="4" w:space="0" w:color="auto"/>
              <w:bottom w:val="single" w:sz="12" w:space="0" w:color="auto"/>
            </w:tcBorders>
            <w:shd w:val="clear" w:color="auto" w:fill="auto"/>
          </w:tcPr>
          <w:p w:rsidR="00F936A8" w:rsidRPr="009B670E"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B670E">
              <w:rPr>
                <w:i/>
                <w:sz w:val="16"/>
              </w:rPr>
              <w:t xml:space="preserve">Обеспеченность </w:t>
            </w:r>
            <w:r>
              <w:rPr>
                <w:i/>
                <w:sz w:val="16"/>
              </w:rPr>
              <w:br/>
            </w:r>
            <w:r w:rsidRPr="009B670E">
              <w:rPr>
                <w:i/>
                <w:sz w:val="16"/>
              </w:rPr>
              <w:t>в</w:t>
            </w:r>
            <w:r>
              <w:rPr>
                <w:i/>
                <w:sz w:val="16"/>
              </w:rPr>
              <w:t xml:space="preserve"> </w:t>
            </w:r>
            <w:r w:rsidRPr="009B670E">
              <w:rPr>
                <w:i/>
                <w:sz w:val="16"/>
              </w:rPr>
              <w:t>2009−</w:t>
            </w:r>
            <w:r>
              <w:rPr>
                <w:i/>
                <w:sz w:val="16"/>
              </w:rPr>
              <w:t>20</w:t>
            </w:r>
            <w:r w:rsidRPr="009B670E">
              <w:rPr>
                <w:i/>
                <w:sz w:val="16"/>
              </w:rPr>
              <w:t>10</w:t>
            </w:r>
            <w:r w:rsidR="00B92291">
              <w:rPr>
                <w:i/>
                <w:sz w:val="16"/>
              </w:rPr>
              <w:t> год</w:t>
            </w:r>
            <w:r>
              <w:rPr>
                <w:i/>
                <w:sz w:val="16"/>
              </w:rPr>
              <w:t>ах</w:t>
            </w:r>
          </w:p>
        </w:tc>
      </w:tr>
      <w:tr w:rsidR="00F936A8" w:rsidRPr="009B670E" w:rsidTr="00F66529">
        <w:tc>
          <w:tcPr>
            <w:cnfStyle w:val="001000000000" w:firstRow="0" w:lastRow="0" w:firstColumn="1" w:lastColumn="0" w:oddVBand="0" w:evenVBand="0" w:oddHBand="0" w:evenHBand="0" w:firstRowFirstColumn="0" w:firstRowLastColumn="0" w:lastRowFirstColumn="0" w:lastRowLastColumn="0"/>
            <w:tcW w:w="2478" w:type="dxa"/>
            <w:tcBorders>
              <w:top w:val="single" w:sz="12" w:space="0" w:color="auto"/>
            </w:tcBorders>
            <w:vAlign w:val="top"/>
          </w:tcPr>
          <w:p w:rsidR="00F936A8" w:rsidRPr="009B670E" w:rsidRDefault="00F936A8" w:rsidP="00122DDF">
            <w:pPr>
              <w:tabs>
                <w:tab w:val="left" w:pos="1980"/>
              </w:tabs>
            </w:pPr>
            <w:r w:rsidRPr="009B670E">
              <w:t xml:space="preserve">Сотрудники службы помощи неблагополучным семьям </w:t>
            </w:r>
          </w:p>
        </w:tc>
        <w:tc>
          <w:tcPr>
            <w:tcW w:w="1512" w:type="dxa"/>
            <w:tcBorders>
              <w:top w:val="single" w:sz="12" w:space="0" w:color="auto"/>
            </w:tcBorders>
          </w:tcPr>
          <w:p w:rsidR="00F936A8" w:rsidRPr="009B670E"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9B670E">
              <w:t>706</w:t>
            </w:r>
          </w:p>
        </w:tc>
        <w:tc>
          <w:tcPr>
            <w:tcW w:w="1525" w:type="dxa"/>
            <w:tcBorders>
              <w:top w:val="single" w:sz="12" w:space="0" w:color="auto"/>
            </w:tcBorders>
          </w:tcPr>
          <w:p w:rsidR="00F936A8" w:rsidRPr="009B670E"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9B670E">
              <w:t>744</w:t>
            </w:r>
          </w:p>
        </w:tc>
        <w:tc>
          <w:tcPr>
            <w:tcW w:w="1855" w:type="dxa"/>
            <w:tcBorders>
              <w:top w:val="single" w:sz="12" w:space="0" w:color="auto"/>
            </w:tcBorders>
          </w:tcPr>
          <w:p w:rsidR="00F936A8" w:rsidRPr="009B670E" w:rsidRDefault="00F936A8" w:rsidP="00F66529">
            <w:pPr>
              <w:tabs>
                <w:tab w:val="left" w:pos="1980"/>
              </w:tabs>
              <w:spacing w:line="200" w:lineRule="atLeast"/>
              <w:cnfStyle w:val="000000000000" w:firstRow="0" w:lastRow="0" w:firstColumn="0" w:lastColumn="0" w:oddVBand="0" w:evenVBand="0" w:oddHBand="0" w:evenHBand="0" w:firstRowFirstColumn="0" w:firstRowLastColumn="0" w:lastRowFirstColumn="0" w:lastRowLastColumn="0"/>
            </w:pPr>
            <w:r w:rsidRPr="009B670E">
              <w:t xml:space="preserve">1 017 </w:t>
            </w:r>
            <w:r w:rsidRPr="009B670E">
              <w:br/>
            </w:r>
            <w:r w:rsidRPr="0065382E">
              <w:rPr>
                <w:sz w:val="16"/>
                <w:szCs w:val="16"/>
              </w:rPr>
              <w:t>(социальные работн</w:t>
            </w:r>
            <w:r w:rsidRPr="0065382E">
              <w:rPr>
                <w:sz w:val="16"/>
                <w:szCs w:val="16"/>
              </w:rPr>
              <w:t>и</w:t>
            </w:r>
            <w:r w:rsidRPr="0065382E">
              <w:rPr>
                <w:sz w:val="16"/>
                <w:szCs w:val="16"/>
              </w:rPr>
              <w:t>ки ЦКСОС)</w:t>
            </w:r>
          </w:p>
        </w:tc>
      </w:tr>
      <w:tr w:rsidR="00F936A8" w:rsidRPr="009B670E" w:rsidTr="00F66529">
        <w:tc>
          <w:tcPr>
            <w:cnfStyle w:val="001000000000" w:firstRow="0" w:lastRow="0" w:firstColumn="1" w:lastColumn="0" w:oddVBand="0" w:evenVBand="0" w:oddHBand="0" w:evenHBand="0" w:firstRowFirstColumn="0" w:firstRowLastColumn="0" w:lastRowFirstColumn="0" w:lastRowLastColumn="0"/>
            <w:tcW w:w="2478" w:type="dxa"/>
            <w:vAlign w:val="top"/>
          </w:tcPr>
          <w:p w:rsidR="00F936A8" w:rsidRPr="009B670E" w:rsidRDefault="00F936A8" w:rsidP="00122DDF">
            <w:pPr>
              <w:tabs>
                <w:tab w:val="left" w:pos="1980"/>
              </w:tabs>
            </w:pPr>
            <w:r w:rsidRPr="009B670E">
              <w:t xml:space="preserve">Сотрудники службы защиты </w:t>
            </w:r>
            <w:r>
              <w:br/>
            </w:r>
            <w:r w:rsidRPr="009B670E">
              <w:t>с</w:t>
            </w:r>
            <w:r w:rsidRPr="009B670E">
              <w:t>е</w:t>
            </w:r>
            <w:r w:rsidRPr="009B670E">
              <w:t>мьи и детей</w:t>
            </w:r>
          </w:p>
        </w:tc>
        <w:tc>
          <w:tcPr>
            <w:tcW w:w="1512" w:type="dxa"/>
          </w:tcPr>
          <w:p w:rsidR="00F936A8" w:rsidRPr="009B670E"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9B670E">
              <w:t>29</w:t>
            </w:r>
          </w:p>
        </w:tc>
        <w:tc>
          <w:tcPr>
            <w:tcW w:w="1525" w:type="dxa"/>
          </w:tcPr>
          <w:p w:rsidR="00F936A8" w:rsidRPr="009B670E"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9B670E">
              <w:t>105</w:t>
            </w:r>
          </w:p>
        </w:tc>
        <w:tc>
          <w:tcPr>
            <w:tcW w:w="1855" w:type="dxa"/>
          </w:tcPr>
          <w:p w:rsidR="00F936A8" w:rsidRPr="009B670E"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9B670E">
              <w:t>168</w:t>
            </w:r>
          </w:p>
        </w:tc>
      </w:tr>
      <w:tr w:rsidR="00F936A8" w:rsidRPr="009B670E" w:rsidTr="00F66529">
        <w:tc>
          <w:tcPr>
            <w:cnfStyle w:val="001000000000" w:firstRow="0" w:lastRow="0" w:firstColumn="1" w:lastColumn="0" w:oddVBand="0" w:evenVBand="0" w:oddHBand="0" w:evenHBand="0" w:firstRowFirstColumn="0" w:firstRowLastColumn="0" w:lastRowFirstColumn="0" w:lastRowLastColumn="0"/>
            <w:tcW w:w="2478" w:type="dxa"/>
            <w:vAlign w:val="top"/>
          </w:tcPr>
          <w:p w:rsidR="00F936A8" w:rsidRPr="009B670E" w:rsidRDefault="00F936A8" w:rsidP="00122DDF">
            <w:pPr>
              <w:tabs>
                <w:tab w:val="left" w:pos="1980"/>
              </w:tabs>
            </w:pPr>
            <w:r w:rsidRPr="009B670E">
              <w:t>Клинические психологи</w:t>
            </w:r>
          </w:p>
        </w:tc>
        <w:tc>
          <w:tcPr>
            <w:tcW w:w="1512" w:type="dxa"/>
          </w:tcPr>
          <w:p w:rsidR="00F936A8" w:rsidRPr="009B670E"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9B670E">
              <w:t>59</w:t>
            </w:r>
          </w:p>
        </w:tc>
        <w:tc>
          <w:tcPr>
            <w:tcW w:w="1525" w:type="dxa"/>
          </w:tcPr>
          <w:p w:rsidR="00F936A8" w:rsidRPr="009B670E"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9B670E">
              <w:t>69</w:t>
            </w:r>
          </w:p>
        </w:tc>
        <w:tc>
          <w:tcPr>
            <w:tcW w:w="1855" w:type="dxa"/>
          </w:tcPr>
          <w:p w:rsidR="00F936A8" w:rsidRPr="009B670E"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9B670E">
              <w:t>78</w:t>
            </w:r>
          </w:p>
        </w:tc>
      </w:tr>
      <w:tr w:rsidR="00F936A8" w:rsidRPr="009B670E" w:rsidTr="00F66529">
        <w:tc>
          <w:tcPr>
            <w:cnfStyle w:val="001000000000" w:firstRow="0" w:lastRow="0" w:firstColumn="1" w:lastColumn="0" w:oddVBand="0" w:evenVBand="0" w:oddHBand="0" w:evenHBand="0" w:firstRowFirstColumn="0" w:firstRowLastColumn="0" w:lastRowFirstColumn="0" w:lastRowLastColumn="0"/>
            <w:tcW w:w="2478" w:type="dxa"/>
            <w:vAlign w:val="top"/>
          </w:tcPr>
          <w:p w:rsidR="00F936A8" w:rsidRPr="009B670E" w:rsidRDefault="00F936A8" w:rsidP="00122DDF">
            <w:pPr>
              <w:tabs>
                <w:tab w:val="left" w:pos="1980"/>
              </w:tabs>
            </w:pPr>
            <w:r w:rsidRPr="009B670E">
              <w:t xml:space="preserve">Школьные социальные </w:t>
            </w:r>
            <w:r>
              <w:br/>
            </w:r>
            <w:r w:rsidRPr="009B670E">
              <w:t>работн</w:t>
            </w:r>
            <w:r w:rsidRPr="009B670E">
              <w:t>и</w:t>
            </w:r>
            <w:r w:rsidRPr="009B670E">
              <w:t>ки</w:t>
            </w:r>
          </w:p>
        </w:tc>
        <w:tc>
          <w:tcPr>
            <w:tcW w:w="1512" w:type="dxa"/>
          </w:tcPr>
          <w:p w:rsidR="00F936A8" w:rsidRPr="009B670E"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9B670E">
              <w:t>286</w:t>
            </w:r>
          </w:p>
        </w:tc>
        <w:tc>
          <w:tcPr>
            <w:tcW w:w="1525" w:type="dxa"/>
          </w:tcPr>
          <w:p w:rsidR="00F936A8" w:rsidRPr="009B670E"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9B670E">
              <w:t>466</w:t>
            </w:r>
          </w:p>
        </w:tc>
        <w:tc>
          <w:tcPr>
            <w:tcW w:w="1855" w:type="dxa"/>
          </w:tcPr>
          <w:p w:rsidR="00F936A8" w:rsidRPr="009B670E"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9B670E">
              <w:t>484</w:t>
            </w:r>
          </w:p>
        </w:tc>
      </w:tr>
      <w:tr w:rsidR="00F936A8" w:rsidRPr="009B670E" w:rsidTr="00F66529">
        <w:tc>
          <w:tcPr>
            <w:cnfStyle w:val="001000000000" w:firstRow="0" w:lastRow="0" w:firstColumn="1" w:lastColumn="0" w:oddVBand="0" w:evenVBand="0" w:oddHBand="0" w:evenHBand="0" w:firstRowFirstColumn="0" w:firstRowLastColumn="0" w:lastRowFirstColumn="0" w:lastRowLastColumn="0"/>
            <w:tcW w:w="2478" w:type="dxa"/>
            <w:vAlign w:val="top"/>
          </w:tcPr>
          <w:p w:rsidR="00F936A8" w:rsidRPr="009B670E" w:rsidRDefault="00F936A8" w:rsidP="00122DDF">
            <w:pPr>
              <w:tabs>
                <w:tab w:val="left" w:pos="1980"/>
              </w:tabs>
            </w:pPr>
            <w:r w:rsidRPr="009B670E">
              <w:t>Медицинские социальные рабо</w:t>
            </w:r>
            <w:r w:rsidRPr="009B670E">
              <w:t>т</w:t>
            </w:r>
            <w:r w:rsidRPr="009B670E">
              <w:t>ники</w:t>
            </w:r>
          </w:p>
        </w:tc>
        <w:tc>
          <w:tcPr>
            <w:tcW w:w="1512" w:type="dxa"/>
          </w:tcPr>
          <w:p w:rsidR="00F936A8" w:rsidRPr="009B670E"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9B670E">
              <w:t>372</w:t>
            </w:r>
          </w:p>
        </w:tc>
        <w:tc>
          <w:tcPr>
            <w:tcW w:w="1525" w:type="dxa"/>
          </w:tcPr>
          <w:p w:rsidR="00F936A8" w:rsidRPr="009B670E"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9B670E">
              <w:t>361</w:t>
            </w:r>
          </w:p>
        </w:tc>
        <w:tc>
          <w:tcPr>
            <w:tcW w:w="1855" w:type="dxa"/>
          </w:tcPr>
          <w:p w:rsidR="00F936A8" w:rsidRPr="009B670E"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9B670E">
              <w:t>386</w:t>
            </w:r>
          </w:p>
        </w:tc>
      </w:tr>
      <w:tr w:rsidR="00F936A8" w:rsidRPr="009B670E" w:rsidTr="00F66529">
        <w:tc>
          <w:tcPr>
            <w:cnfStyle w:val="001000000000" w:firstRow="0" w:lastRow="0" w:firstColumn="1" w:lastColumn="0" w:oddVBand="0" w:evenVBand="0" w:oddHBand="0" w:evenHBand="0" w:firstRowFirstColumn="0" w:firstRowLastColumn="0" w:lastRowFirstColumn="0" w:lastRowLastColumn="0"/>
            <w:tcW w:w="2478" w:type="dxa"/>
            <w:vAlign w:val="top"/>
          </w:tcPr>
          <w:p w:rsidR="00F936A8" w:rsidRPr="009B670E" w:rsidRDefault="00F936A8" w:rsidP="00122DDF">
            <w:pPr>
              <w:tabs>
                <w:tab w:val="left" w:pos="1980"/>
              </w:tabs>
            </w:pPr>
            <w:r w:rsidRPr="009B670E">
              <w:t xml:space="preserve">Места в семейных детских садах </w:t>
            </w:r>
          </w:p>
        </w:tc>
        <w:tc>
          <w:tcPr>
            <w:tcW w:w="1512" w:type="dxa"/>
          </w:tcPr>
          <w:p w:rsidR="00F936A8" w:rsidRPr="009B670E"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9B670E">
              <w:t>600</w:t>
            </w:r>
          </w:p>
        </w:tc>
        <w:tc>
          <w:tcPr>
            <w:tcW w:w="1525" w:type="dxa"/>
          </w:tcPr>
          <w:p w:rsidR="00F936A8" w:rsidRPr="009B670E"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9B670E">
              <w:t>670</w:t>
            </w:r>
          </w:p>
        </w:tc>
        <w:tc>
          <w:tcPr>
            <w:tcW w:w="1855" w:type="dxa"/>
          </w:tcPr>
          <w:p w:rsidR="00F936A8" w:rsidRPr="009B670E"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9B670E">
              <w:t>970</w:t>
            </w:r>
          </w:p>
        </w:tc>
      </w:tr>
      <w:tr w:rsidR="00F936A8" w:rsidRPr="009B670E" w:rsidTr="00F66529">
        <w:tc>
          <w:tcPr>
            <w:cnfStyle w:val="001000000000" w:firstRow="0" w:lastRow="0" w:firstColumn="1" w:lastColumn="0" w:oddVBand="0" w:evenVBand="0" w:oddHBand="0" w:evenHBand="0" w:firstRowFirstColumn="0" w:firstRowLastColumn="0" w:lastRowFirstColumn="0" w:lastRowLastColumn="0"/>
            <w:tcW w:w="2478" w:type="dxa"/>
            <w:vAlign w:val="top"/>
          </w:tcPr>
          <w:p w:rsidR="00F936A8" w:rsidRPr="009B670E" w:rsidRDefault="00F936A8" w:rsidP="00122DDF">
            <w:pPr>
              <w:tabs>
                <w:tab w:val="left" w:pos="1980"/>
              </w:tabs>
            </w:pPr>
            <w:r w:rsidRPr="009B670E">
              <w:t>Места в небольших семе</w:t>
            </w:r>
            <w:r w:rsidRPr="009B670E">
              <w:t>й</w:t>
            </w:r>
            <w:r w:rsidRPr="009B670E">
              <w:t>ных группах</w:t>
            </w:r>
          </w:p>
        </w:tc>
        <w:tc>
          <w:tcPr>
            <w:tcW w:w="1512" w:type="dxa"/>
          </w:tcPr>
          <w:p w:rsidR="00F936A8" w:rsidRPr="009B670E"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9B670E">
              <w:t>113</w:t>
            </w:r>
          </w:p>
        </w:tc>
        <w:tc>
          <w:tcPr>
            <w:tcW w:w="1525" w:type="dxa"/>
          </w:tcPr>
          <w:p w:rsidR="00F936A8" w:rsidRPr="009B670E"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9B670E">
              <w:t>119</w:t>
            </w:r>
          </w:p>
        </w:tc>
        <w:tc>
          <w:tcPr>
            <w:tcW w:w="1855" w:type="dxa"/>
          </w:tcPr>
          <w:p w:rsidR="00F936A8" w:rsidRPr="009B670E"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9B670E">
              <w:t>108</w:t>
            </w:r>
          </w:p>
        </w:tc>
      </w:tr>
    </w:tbl>
    <w:p w:rsidR="00F936A8" w:rsidRPr="00CB2C86" w:rsidRDefault="00F936A8" w:rsidP="00122DDF">
      <w:pPr>
        <w:pStyle w:val="H23GR"/>
        <w:tabs>
          <w:tab w:val="left" w:pos="1980"/>
        </w:tabs>
      </w:pPr>
      <w:r w:rsidRPr="00CB2C86">
        <w:tab/>
      </w:r>
      <w:r w:rsidRPr="00CB2C86">
        <w:tab/>
        <w:t>Программа присмотра за детьми в группах продленного дня</w:t>
      </w:r>
    </w:p>
    <w:p w:rsidR="00F936A8" w:rsidRPr="00CB2C86" w:rsidRDefault="00F936A8" w:rsidP="00F91733">
      <w:pPr>
        <w:pStyle w:val="SingleTxtGR"/>
        <w:tabs>
          <w:tab w:val="clear" w:pos="1701"/>
          <w:tab w:val="clear" w:pos="2268"/>
          <w:tab w:val="left" w:pos="1980"/>
          <w:tab w:val="left" w:pos="2520"/>
        </w:tabs>
      </w:pPr>
      <w:r w:rsidRPr="00CB2C86">
        <w:t>10.18</w:t>
      </w:r>
      <w:r w:rsidRPr="00CB2C86">
        <w:tab/>
        <w:t>В рамках Программы присмотра за детьми в группах продленного дня (ППДГПД) (упомянутой в пунктах 10.40 и 10.41предыдущего доклада) детям в возрасте от 6 до 12 лет, родители которых не могут обеспечить им присмотр после школьных занятий, предлагаются услуги по присмотру в течение полов</w:t>
      </w:r>
      <w:r w:rsidRPr="00CB2C86">
        <w:t>и</w:t>
      </w:r>
      <w:r w:rsidRPr="00CB2C86">
        <w:t>ны дня. Программа реализуется НПО на основе самофинансирования или на платной основе. Услуги, предоставляемые в рамках программы, включают пр</w:t>
      </w:r>
      <w:r w:rsidRPr="00CB2C86">
        <w:t>о</w:t>
      </w:r>
      <w:r w:rsidRPr="00CB2C86">
        <w:t>верку домашних заданий, питание, консультирование родителей, образование, обучение навыкам и другие социальные функции. По состоянию на конец д</w:t>
      </w:r>
      <w:r w:rsidRPr="00CB2C86">
        <w:t>е</w:t>
      </w:r>
      <w:r w:rsidRPr="00CB2C86">
        <w:t>кабря 2009</w:t>
      </w:r>
      <w:r w:rsidR="00B92291">
        <w:t> год</w:t>
      </w:r>
      <w:r w:rsidRPr="00CB2C86">
        <w:t>а в рамках ППДГПД действовало 137 групп, располагавши</w:t>
      </w:r>
      <w:r w:rsidR="008E318A">
        <w:t>х</w:t>
      </w:r>
      <w:r w:rsidRPr="00CB2C86">
        <w:t xml:space="preserve"> в общей сложности 5 579 местами.</w:t>
      </w:r>
    </w:p>
    <w:p w:rsidR="00F936A8" w:rsidRPr="00CB2C86" w:rsidRDefault="00F936A8" w:rsidP="00F91733">
      <w:pPr>
        <w:pStyle w:val="SingleTxtGR"/>
        <w:tabs>
          <w:tab w:val="clear" w:pos="1701"/>
          <w:tab w:val="clear" w:pos="2268"/>
          <w:tab w:val="left" w:pos="1980"/>
          <w:tab w:val="left" w:pos="2520"/>
        </w:tabs>
      </w:pPr>
      <w:r w:rsidRPr="00CB2C86">
        <w:t>10.19</w:t>
      </w:r>
      <w:r w:rsidRPr="00CB2C86">
        <w:tab/>
        <w:t>Некоторые комментаторы выразили озабоченность в связи с пробл</w:t>
      </w:r>
      <w:r w:rsidRPr="00CB2C86">
        <w:t>е</w:t>
      </w:r>
      <w:r w:rsidRPr="00CB2C86">
        <w:t>мами, с которыми сталкиваются малообеспеченные семьи с низким доходом в получении услуг по присмотру за детьми в группах продленного дня. ДСО пр</w:t>
      </w:r>
      <w:r w:rsidRPr="00CB2C86">
        <w:t>о</w:t>
      </w:r>
      <w:r w:rsidRPr="00CB2C86">
        <w:t>должает оказывать полностью бесплатные услуги или предоставлять субсидии на оплату услуг по половинной ставке в рамках ППДГПД малообеспеченным семьям с низким доходом и получателям пособий по линии ПВСП. В 2009</w:t>
      </w:r>
      <w:r w:rsidR="00B92291">
        <w:t> год</w:t>
      </w:r>
      <w:r w:rsidRPr="00CB2C86">
        <w:t>у доля бюджетных мест составляла 1540. На конец декабря 2009</w:t>
      </w:r>
      <w:r w:rsidR="00B92291">
        <w:t> год</w:t>
      </w:r>
      <w:r w:rsidRPr="00CB2C86">
        <w:t>а не занят</w:t>
      </w:r>
      <w:r w:rsidRPr="00CB2C86">
        <w:t>ы</w:t>
      </w:r>
      <w:r w:rsidRPr="00CB2C86">
        <w:t>ми оставалось 198 бюджетных мест. ДСО продолжит контролировать использ</w:t>
      </w:r>
      <w:r w:rsidRPr="00CB2C86">
        <w:t>о</w:t>
      </w:r>
      <w:r w:rsidRPr="00CB2C86">
        <w:t>вание этих квот и выделять средства в зависимости от потребностей каждого округа.</w:t>
      </w:r>
    </w:p>
    <w:p w:rsidR="00F936A8" w:rsidRPr="00CB2C86" w:rsidRDefault="00F936A8" w:rsidP="00F91733">
      <w:pPr>
        <w:pStyle w:val="H23GR"/>
        <w:tabs>
          <w:tab w:val="left" w:pos="1980"/>
          <w:tab w:val="left" w:pos="2520"/>
        </w:tabs>
      </w:pPr>
      <w:r w:rsidRPr="00CB2C86">
        <w:tab/>
      </w:r>
      <w:r w:rsidRPr="00CB2C86">
        <w:tab/>
        <w:t>Служба всестороннего развития ребенка</w:t>
      </w:r>
    </w:p>
    <w:p w:rsidR="00F936A8" w:rsidRPr="00CB2C86" w:rsidRDefault="00F936A8" w:rsidP="00F91733">
      <w:pPr>
        <w:pStyle w:val="SingleTxtGR"/>
        <w:tabs>
          <w:tab w:val="clear" w:pos="1701"/>
          <w:tab w:val="clear" w:pos="2268"/>
          <w:tab w:val="left" w:pos="1980"/>
          <w:tab w:val="left" w:pos="2520"/>
        </w:tabs>
      </w:pPr>
      <w:r w:rsidRPr="00CB2C86">
        <w:t>10.20</w:t>
      </w:r>
      <w:r w:rsidRPr="00CB2C86">
        <w:tab/>
        <w:t>В июле 2005</w:t>
      </w:r>
      <w:r w:rsidR="00B92291">
        <w:t> год</w:t>
      </w:r>
      <w:r w:rsidRPr="00CB2C86">
        <w:t>а в интересах детей в возрасте 5 лет и младше была создана Служба всестороннего развития ребенка (СВРР). Задача СВРР заключ</w:t>
      </w:r>
      <w:r w:rsidRPr="00CB2C86">
        <w:t>а</w:t>
      </w:r>
      <w:r w:rsidRPr="00CB2C86">
        <w:t>ется в том, чтобы на ранних этапах выявлять и удовлетворять различные п</w:t>
      </w:r>
      <w:r w:rsidRPr="00CB2C86">
        <w:t>о</w:t>
      </w:r>
      <w:r w:rsidRPr="00CB2C86">
        <w:t>требности психофизического и социального развития детей в возрасте 5 лет и младше и их семей. Путем межведомственного сотрудничества между Депа</w:t>
      </w:r>
      <w:r w:rsidRPr="00CB2C86">
        <w:t>р</w:t>
      </w:r>
      <w:r w:rsidRPr="00CB2C86">
        <w:t>таментом здравоохранения (ДЗ), Администрацией больниц (АБ), БО, ДСО и НПО на окружном уровне детям в малообеспеченных семьях оказывается вс</w:t>
      </w:r>
      <w:r w:rsidRPr="00CB2C86">
        <w:t>е</w:t>
      </w:r>
      <w:r w:rsidRPr="00CB2C86">
        <w:t>сторонняя и своевременная помощь. Поскольку на Центры охраны материнства и детства при ДЗ возложена ответственность за заботу о 90% новорожденных в Гонконге, СВРР использует эти центры и другие подразделения службы (в том числе госпитали АБ, ЦКСОС, центры комплексного обслуживания (ЦКО) и д</w:t>
      </w:r>
      <w:r w:rsidRPr="00CB2C86">
        <w:t>о</w:t>
      </w:r>
      <w:r w:rsidRPr="00CB2C86">
        <w:t>школьные образовательные учреждения) как площадку для выявления береме</w:t>
      </w:r>
      <w:r w:rsidRPr="00CB2C86">
        <w:t>н</w:t>
      </w:r>
      <w:r w:rsidRPr="00CB2C86">
        <w:t>ных матерей группы риска с послеродовой депрессией, семей, нуждающихся в психологической помощи, а также дошкольников с  нарушениями здоровья, развития и поведения. Нуждающиеся в этом дети и семьи направляются в соо</w:t>
      </w:r>
      <w:r w:rsidRPr="00CB2C86">
        <w:t>т</w:t>
      </w:r>
      <w:r w:rsidRPr="00CB2C86">
        <w:t>ветствующие подразделения службы для принятия последующих мер</w:t>
      </w:r>
    </w:p>
    <w:p w:rsidR="00F936A8" w:rsidRPr="00CB2C86" w:rsidRDefault="00F936A8" w:rsidP="00F91733">
      <w:pPr>
        <w:pStyle w:val="H1GR"/>
        <w:tabs>
          <w:tab w:val="left" w:pos="1980"/>
          <w:tab w:val="left" w:pos="2520"/>
        </w:tabs>
      </w:pPr>
      <w:r w:rsidRPr="00CB2C86">
        <w:tab/>
      </w:r>
      <w:r w:rsidRPr="00CB2C86">
        <w:tab/>
        <w:t>Охрана материнства</w:t>
      </w:r>
    </w:p>
    <w:p w:rsidR="00F936A8" w:rsidRPr="00CB2C86" w:rsidRDefault="00F936A8" w:rsidP="00F91733">
      <w:pPr>
        <w:pStyle w:val="SingleTxtGR"/>
        <w:tabs>
          <w:tab w:val="clear" w:pos="1701"/>
          <w:tab w:val="clear" w:pos="2268"/>
          <w:tab w:val="left" w:pos="1980"/>
          <w:tab w:val="left" w:pos="2520"/>
        </w:tabs>
      </w:pPr>
      <w:r w:rsidRPr="00CB2C86">
        <w:t>10.21</w:t>
      </w:r>
      <w:r w:rsidRPr="00CB2C86">
        <w:tab/>
        <w:t>Правовой основой охраны материнства по-прежнему остаются Указ о з</w:t>
      </w:r>
      <w:r w:rsidRPr="00CB2C86">
        <w:t>а</w:t>
      </w:r>
      <w:r w:rsidRPr="00CB2C86">
        <w:t>нятости и УПДП.</w:t>
      </w:r>
    </w:p>
    <w:p w:rsidR="00F936A8" w:rsidRPr="00CB2C86" w:rsidRDefault="00F936A8" w:rsidP="00F91733">
      <w:pPr>
        <w:pStyle w:val="H23GR"/>
        <w:tabs>
          <w:tab w:val="left" w:pos="1980"/>
          <w:tab w:val="left" w:pos="2520"/>
        </w:tabs>
      </w:pPr>
      <w:r w:rsidRPr="00CB2C86">
        <w:tab/>
      </w:r>
      <w:r w:rsidRPr="00CB2C86">
        <w:tab/>
        <w:t>Указ о занятости</w:t>
      </w:r>
    </w:p>
    <w:p w:rsidR="00F936A8" w:rsidRPr="00CB2C86" w:rsidRDefault="00F936A8" w:rsidP="00F91733">
      <w:pPr>
        <w:pStyle w:val="SingleTxtGR"/>
        <w:tabs>
          <w:tab w:val="clear" w:pos="1701"/>
          <w:tab w:val="clear" w:pos="2268"/>
          <w:tab w:val="left" w:pos="1980"/>
          <w:tab w:val="left" w:pos="2520"/>
        </w:tabs>
      </w:pPr>
      <w:r w:rsidRPr="00CB2C86">
        <w:t>10.22</w:t>
      </w:r>
      <w:r w:rsidRPr="00CB2C86">
        <w:tab/>
        <w:t>Положение с применением Указа о занятости в части, касающейся о</w:t>
      </w:r>
      <w:r w:rsidRPr="00CB2C86">
        <w:t>х</w:t>
      </w:r>
      <w:r w:rsidRPr="00CB2C86">
        <w:t>раны материнства, в основном не изменилось по сравнению с положением, и</w:t>
      </w:r>
      <w:r w:rsidRPr="00CB2C86">
        <w:t>з</w:t>
      </w:r>
      <w:r w:rsidRPr="00CB2C86">
        <w:t>ложенным в пунктах 239</w:t>
      </w:r>
      <w:r>
        <w:t>−</w:t>
      </w:r>
      <w:r w:rsidRPr="00CB2C86">
        <w:t xml:space="preserve">241 первоначального доклада. </w:t>
      </w:r>
    </w:p>
    <w:p w:rsidR="00F936A8" w:rsidRPr="00CB2C86" w:rsidRDefault="00F936A8" w:rsidP="00F91733">
      <w:pPr>
        <w:pStyle w:val="SingleTxtGR"/>
        <w:tabs>
          <w:tab w:val="clear" w:pos="1701"/>
          <w:tab w:val="clear" w:pos="2268"/>
          <w:tab w:val="left" w:pos="1980"/>
          <w:tab w:val="left" w:pos="2520"/>
        </w:tabs>
      </w:pPr>
      <w:r w:rsidRPr="00CB2C86">
        <w:t>10.23</w:t>
      </w:r>
      <w:r w:rsidRPr="00CB2C86">
        <w:tab/>
        <w:t>Работница, нанятая по постоянному трудовому договору (т.е. нанятая тем же самым работодателем на срок одного месяца и больше при рабочей н</w:t>
      </w:r>
      <w:r w:rsidRPr="00CB2C86">
        <w:t>е</w:t>
      </w:r>
      <w:r w:rsidRPr="00CB2C86">
        <w:t>дел</w:t>
      </w:r>
      <w:r w:rsidR="008E318A">
        <w:t>е</w:t>
      </w:r>
      <w:r w:rsidRPr="00CB2C86">
        <w:t xml:space="preserve"> не менее 18 часов) непосредственно перед началом своего отпуска по б</w:t>
      </w:r>
      <w:r w:rsidRPr="00CB2C86">
        <w:t>е</w:t>
      </w:r>
      <w:r w:rsidRPr="00CB2C86">
        <w:t>ременности и родам и после уведомления своего работодателя о беременности имеет право на десятинедельный отпуск по беременности и родам. Она также имеет право на оплачиваемый отпуск по беременности и родам при условии, что она проработала по непрерывному трудовому договору не менее 40 недель до нач</w:t>
      </w:r>
      <w:r w:rsidRPr="00CB2C86">
        <w:t>а</w:t>
      </w:r>
      <w:r w:rsidRPr="00CB2C86">
        <w:t>ла своего отпуска по беременности и родам.</w:t>
      </w:r>
    </w:p>
    <w:p w:rsidR="00F936A8" w:rsidRPr="00CB2C86" w:rsidRDefault="00F936A8" w:rsidP="00F91733">
      <w:pPr>
        <w:pStyle w:val="SingleTxtGR"/>
        <w:tabs>
          <w:tab w:val="clear" w:pos="1701"/>
          <w:tab w:val="clear" w:pos="2268"/>
          <w:tab w:val="left" w:pos="1980"/>
          <w:tab w:val="left" w:pos="2520"/>
        </w:tabs>
      </w:pPr>
      <w:r w:rsidRPr="00CB2C86">
        <w:t>10.24</w:t>
      </w:r>
      <w:r w:rsidRPr="00CB2C86">
        <w:tab/>
        <w:t>Указ также защищает женщину, работающую по постоянному догов</w:t>
      </w:r>
      <w:r w:rsidRPr="00CB2C86">
        <w:t>о</w:t>
      </w:r>
      <w:r w:rsidRPr="00CB2C86">
        <w:t>ру, от увольнения во время беременности и отпуска по беременности и родам, когда она уведомляет своего работодателя о беременности.</w:t>
      </w:r>
    </w:p>
    <w:p w:rsidR="00F936A8" w:rsidRPr="00CB2C86" w:rsidRDefault="00F936A8" w:rsidP="00F91733">
      <w:pPr>
        <w:pStyle w:val="SingleTxtGR"/>
        <w:tabs>
          <w:tab w:val="clear" w:pos="1701"/>
          <w:tab w:val="clear" w:pos="2268"/>
          <w:tab w:val="left" w:pos="1980"/>
          <w:tab w:val="left" w:pos="2520"/>
        </w:tabs>
      </w:pPr>
      <w:r w:rsidRPr="00CB2C86">
        <w:t>10.25</w:t>
      </w:r>
      <w:r w:rsidRPr="00CB2C86">
        <w:tab/>
        <w:t>В соответствии с Указом о занятости работодатель не может напра</w:t>
      </w:r>
      <w:r w:rsidRPr="00CB2C86">
        <w:t>в</w:t>
      </w:r>
      <w:r w:rsidRPr="00CB2C86">
        <w:t>лять беременную работницу на тяжелые, опасные или вредные работы, незав</w:t>
      </w:r>
      <w:r w:rsidRPr="00CB2C86">
        <w:t>и</w:t>
      </w:r>
      <w:r w:rsidRPr="00CB2C86">
        <w:t>симо от того, работает ли она по постоянному договору или нет, если она пре</w:t>
      </w:r>
      <w:r w:rsidRPr="00CB2C86">
        <w:t>д</w:t>
      </w:r>
      <w:r w:rsidRPr="00CB2C86">
        <w:t>ставит медицинскую справку, в которой говорится, что ей не рекомендуется з</w:t>
      </w:r>
      <w:r w:rsidRPr="00CB2C86">
        <w:t>а</w:t>
      </w:r>
      <w:r w:rsidRPr="00CB2C86">
        <w:t>нимат</w:t>
      </w:r>
      <w:r w:rsidRPr="00CB2C86">
        <w:t>ь</w:t>
      </w:r>
      <w:r w:rsidRPr="00CB2C86">
        <w:t>ся такими работами. Если работница уже была занята на таких работах, работ</w:t>
      </w:r>
      <w:r w:rsidRPr="00CB2C86">
        <w:t>о</w:t>
      </w:r>
      <w:r w:rsidRPr="00CB2C86">
        <w:t>датель обязан в течении 14 дней освободить работницу от таких работ.</w:t>
      </w:r>
    </w:p>
    <w:p w:rsidR="00F936A8" w:rsidRPr="00CB2C86" w:rsidRDefault="00F936A8" w:rsidP="00F91733">
      <w:pPr>
        <w:pStyle w:val="SingleTxtGR"/>
        <w:tabs>
          <w:tab w:val="clear" w:pos="1701"/>
          <w:tab w:val="clear" w:pos="2268"/>
          <w:tab w:val="left" w:pos="1980"/>
          <w:tab w:val="left" w:pos="2520"/>
        </w:tabs>
      </w:pPr>
      <w:r w:rsidRPr="00CB2C86">
        <w:t>10.26</w:t>
      </w:r>
      <w:r w:rsidRPr="00CB2C86">
        <w:tab/>
        <w:t>Положения Указа о занятости применяются ко всем без исключения работающим в Гонконге женщинам, включая ИДР и других привлеченных р</w:t>
      </w:r>
      <w:r w:rsidRPr="00CB2C86">
        <w:t>а</w:t>
      </w:r>
      <w:r w:rsidRPr="00CB2C86">
        <w:t>ботников.</w:t>
      </w:r>
    </w:p>
    <w:p w:rsidR="00F936A8" w:rsidRPr="00CB2C86" w:rsidRDefault="00F936A8" w:rsidP="00F91733">
      <w:pPr>
        <w:pStyle w:val="SingleTxtGR"/>
        <w:tabs>
          <w:tab w:val="clear" w:pos="1701"/>
          <w:tab w:val="clear" w:pos="2268"/>
          <w:tab w:val="left" w:pos="1980"/>
          <w:tab w:val="left" w:pos="2520"/>
        </w:tabs>
      </w:pPr>
      <w:r w:rsidRPr="00CB2C86">
        <w:t>10.27</w:t>
      </w:r>
      <w:r w:rsidRPr="00CB2C86">
        <w:tab/>
        <w:t>С июля 2007года оплата отпуска по беременности и родам начисляется в размере четырех пятых среднего заработка работницы за предыдущие 12 м</w:t>
      </w:r>
      <w:r w:rsidRPr="00CB2C86">
        <w:t>е</w:t>
      </w:r>
      <w:r w:rsidRPr="00CB2C86">
        <w:t>сяцев. Благодаря принятию за основу начислений более продолжительного ра</w:t>
      </w:r>
      <w:r w:rsidRPr="00CB2C86">
        <w:t>с</w:t>
      </w:r>
      <w:r w:rsidRPr="00CB2C86">
        <w:t>четного периода продолжительностью 12 месяцев выплаты работницам могут стать боле</w:t>
      </w:r>
      <w:r w:rsidR="008E318A">
        <w:t>е</w:t>
      </w:r>
      <w:r w:rsidRPr="00CB2C86">
        <w:t xml:space="preserve"> стабильными и предсказуемыми. Соответствующие поправки в Указ о занятости ясно продемонстрировали, что в расчеты полагающихся по закону выплат должны включаться все элементы заработной платы, определенные Ук</w:t>
      </w:r>
      <w:r w:rsidRPr="00CB2C86">
        <w:t>а</w:t>
      </w:r>
      <w:r w:rsidRPr="00CB2C86">
        <w:t>зом, будь то назначенные или подсчитанные.</w:t>
      </w:r>
    </w:p>
    <w:p w:rsidR="00F936A8" w:rsidRPr="00CB2C86" w:rsidRDefault="00F936A8" w:rsidP="00F91733">
      <w:pPr>
        <w:pStyle w:val="H23GR"/>
        <w:tabs>
          <w:tab w:val="left" w:pos="1980"/>
          <w:tab w:val="left" w:pos="2520"/>
        </w:tabs>
      </w:pPr>
      <w:r w:rsidRPr="00CB2C86">
        <w:tab/>
      </w:r>
      <w:r w:rsidRPr="00CB2C86">
        <w:tab/>
        <w:t>Указ о предупреждении дискриминации по признаку пола</w:t>
      </w:r>
    </w:p>
    <w:p w:rsidR="00F936A8" w:rsidRPr="00CB2C86" w:rsidRDefault="00F936A8" w:rsidP="00F91733">
      <w:pPr>
        <w:pStyle w:val="SingleTxtGR"/>
        <w:keepLines/>
        <w:tabs>
          <w:tab w:val="clear" w:pos="1701"/>
          <w:tab w:val="clear" w:pos="2268"/>
          <w:tab w:val="left" w:pos="1980"/>
          <w:tab w:val="left" w:pos="2520"/>
        </w:tabs>
      </w:pPr>
      <w:r w:rsidRPr="00CB2C86">
        <w:t>10.28</w:t>
      </w:r>
      <w:r w:rsidRPr="00CB2C86">
        <w:tab/>
        <w:t>УПДП защищает женщин от дискриминации по признаку семейного положения и беременности. Он запрещает работодателям использовать бер</w:t>
      </w:r>
      <w:r w:rsidRPr="00CB2C86">
        <w:t>е</w:t>
      </w:r>
      <w:r w:rsidRPr="00CB2C86">
        <w:t>менность и семейное положение в качестве критерия для найма или увольнения и как основание для иного обращения по сравнению с остальными работник</w:t>
      </w:r>
      <w:r w:rsidRPr="00CB2C86">
        <w:t>а</w:t>
      </w:r>
      <w:r w:rsidRPr="00CB2C86">
        <w:t>ми.</w:t>
      </w:r>
    </w:p>
    <w:p w:rsidR="00F936A8" w:rsidRPr="00CB2C86" w:rsidRDefault="00F936A8" w:rsidP="00F91733">
      <w:pPr>
        <w:pStyle w:val="H23GR"/>
        <w:tabs>
          <w:tab w:val="left" w:pos="1980"/>
          <w:tab w:val="left" w:pos="2520"/>
        </w:tabs>
      </w:pPr>
      <w:r w:rsidRPr="00CB2C86">
        <w:tab/>
      </w:r>
      <w:r w:rsidRPr="00CB2C86">
        <w:tab/>
        <w:t>Другие применимые правовые акты</w:t>
      </w:r>
    </w:p>
    <w:p w:rsidR="00F936A8" w:rsidRPr="00CB2C86" w:rsidRDefault="00F936A8" w:rsidP="00F91733">
      <w:pPr>
        <w:pStyle w:val="SingleTxtGR"/>
        <w:tabs>
          <w:tab w:val="clear" w:pos="1701"/>
          <w:tab w:val="clear" w:pos="2268"/>
          <w:tab w:val="left" w:pos="1980"/>
          <w:tab w:val="left" w:pos="2520"/>
        </w:tabs>
      </w:pPr>
      <w:r w:rsidRPr="00CB2C86">
        <w:t>10.29</w:t>
      </w:r>
      <w:r w:rsidRPr="00CB2C86">
        <w:tab/>
        <w:t xml:space="preserve">Указ о технике безопасности и охране здоровья </w:t>
      </w:r>
      <w:r>
        <w:t>(глава </w:t>
      </w:r>
      <w:r w:rsidRPr="00CB2C86">
        <w:t>509) и его всп</w:t>
      </w:r>
      <w:r w:rsidRPr="00CB2C86">
        <w:t>о</w:t>
      </w:r>
      <w:r w:rsidRPr="00CB2C86">
        <w:t>могательные положения призваны обеспечить безопасность и охрану здоровья работников на производстве. Законодательство предусматривает одинаковые нормы охраны здоровья и безопасности как для работников, так и для работниц во всех секторах. В соответствии с Регламентом по технике безопасности и о</w:t>
      </w:r>
      <w:r w:rsidRPr="00CB2C86">
        <w:t>х</w:t>
      </w:r>
      <w:r w:rsidRPr="00CB2C86">
        <w:t>ране здоровья беременность определяется как один из факторов, которые сл</w:t>
      </w:r>
      <w:r w:rsidRPr="00CB2C86">
        <w:t>е</w:t>
      </w:r>
      <w:r w:rsidRPr="00CB2C86">
        <w:t xml:space="preserve">дует учитывать при оценке риска ручных операций. </w:t>
      </w:r>
    </w:p>
    <w:p w:rsidR="00F936A8" w:rsidRPr="00CB2C86" w:rsidRDefault="00F936A8" w:rsidP="00F91733">
      <w:pPr>
        <w:pStyle w:val="SingleTxtGR"/>
        <w:tabs>
          <w:tab w:val="clear" w:pos="1701"/>
          <w:tab w:val="clear" w:pos="2268"/>
          <w:tab w:val="left" w:pos="1980"/>
          <w:tab w:val="left" w:pos="2520"/>
        </w:tabs>
      </w:pPr>
      <w:r w:rsidRPr="00CB2C86">
        <w:t>10.30</w:t>
      </w:r>
      <w:r w:rsidRPr="00CB2C86">
        <w:tab/>
        <w:t xml:space="preserve">Указ о фабриках и промышленных предприятиях </w:t>
      </w:r>
      <w:r>
        <w:t>(глава </w:t>
      </w:r>
      <w:r w:rsidRPr="00CB2C86">
        <w:t>59) и его вспомогательные регламенты образуют главную законодательную основу Го</w:t>
      </w:r>
      <w:r w:rsidRPr="00CB2C86">
        <w:t>н</w:t>
      </w:r>
      <w:r w:rsidRPr="00CB2C86">
        <w:t>конга в области техники безопасности и охраны здоровья в промышленности. В них прописаны требования, касающиеся профилактики несчастных случаев и заболеваний, включая подробные инструкции в разбивке по определенным профессиям и технологическим процессам. Соответствующие положения пр</w:t>
      </w:r>
      <w:r w:rsidRPr="00CB2C86">
        <w:t>и</w:t>
      </w:r>
      <w:r w:rsidRPr="00CB2C86">
        <w:t>меняются к таким промышленным предприятиям, как фабрики, шахты, карь</w:t>
      </w:r>
      <w:r w:rsidRPr="00CB2C86">
        <w:t>е</w:t>
      </w:r>
      <w:r w:rsidRPr="00CB2C86">
        <w:t>ры, судостроительные верфи, строительные работы и предприятия обществе</w:t>
      </w:r>
      <w:r w:rsidRPr="00CB2C86">
        <w:t>н</w:t>
      </w:r>
      <w:r w:rsidRPr="00CB2C86">
        <w:t>ного питания. В</w:t>
      </w:r>
      <w:r>
        <w:t> </w:t>
      </w:r>
      <w:r w:rsidRPr="00CB2C86">
        <w:t>соответствии с этим законодательством работодатель в целом обязан обеспечить безопасность и охрану здоровья его/ее работников и один</w:t>
      </w:r>
      <w:r w:rsidRPr="00CB2C86">
        <w:t>а</w:t>
      </w:r>
      <w:r w:rsidRPr="00CB2C86">
        <w:t>ковые нормы защиты как для работников, так и работниц, в том числе раб</w:t>
      </w:r>
      <w:r w:rsidRPr="00CB2C86">
        <w:t>о</w:t>
      </w:r>
      <w:r w:rsidRPr="00CB2C86">
        <w:t>тающих береме</w:t>
      </w:r>
      <w:r w:rsidRPr="00CB2C86">
        <w:t>н</w:t>
      </w:r>
      <w:r w:rsidRPr="00CB2C86">
        <w:t xml:space="preserve">ных женщин. </w:t>
      </w:r>
    </w:p>
    <w:p w:rsidR="00F936A8" w:rsidRPr="00CB2C86" w:rsidRDefault="00F936A8" w:rsidP="00F91733">
      <w:pPr>
        <w:pStyle w:val="SingleTxtGR"/>
        <w:tabs>
          <w:tab w:val="clear" w:pos="1701"/>
          <w:tab w:val="clear" w:pos="2268"/>
          <w:tab w:val="left" w:pos="1980"/>
          <w:tab w:val="left" w:pos="2520"/>
        </w:tabs>
      </w:pPr>
      <w:r w:rsidRPr="00CB2C86">
        <w:t>10.31</w:t>
      </w:r>
      <w:r w:rsidRPr="00CB2C86">
        <w:tab/>
        <w:t>Санитарные правила работы с устройствами, генерирующими иониз</w:t>
      </w:r>
      <w:r w:rsidRPr="00CB2C86">
        <w:t>и</w:t>
      </w:r>
      <w:r w:rsidRPr="00CB2C86">
        <w:t>рующее излучение и Санитарные правила работы с радиоактивными веществ</w:t>
      </w:r>
      <w:r w:rsidRPr="00CB2C86">
        <w:t>а</w:t>
      </w:r>
      <w:r w:rsidRPr="00CB2C86">
        <w:t>ми в рамках Указа об ионизирующих излучениях (гл</w:t>
      </w:r>
      <w:r w:rsidR="008E318A">
        <w:t xml:space="preserve">ава </w:t>
      </w:r>
      <w:r w:rsidRPr="00CB2C86">
        <w:t>303) конкретно уст</w:t>
      </w:r>
      <w:r w:rsidRPr="00CB2C86">
        <w:t>а</w:t>
      </w:r>
      <w:r w:rsidRPr="00CB2C86">
        <w:t>навливают предельные дозы радиации, влияющие на репродуктивную функцию и плод беременных женщин, работающих с источниками радиации, с целью свести к минимуму неблагоприятный исход беременности в результате возде</w:t>
      </w:r>
      <w:r w:rsidRPr="00CB2C86">
        <w:t>й</w:t>
      </w:r>
      <w:r w:rsidRPr="00CB2C86">
        <w:t>ствию радиации.</w:t>
      </w:r>
    </w:p>
    <w:p w:rsidR="00F936A8" w:rsidRPr="00CB2C86" w:rsidRDefault="00F936A8" w:rsidP="00F91733">
      <w:pPr>
        <w:pStyle w:val="H23GR"/>
        <w:tabs>
          <w:tab w:val="left" w:pos="1980"/>
          <w:tab w:val="left" w:pos="2520"/>
        </w:tabs>
      </w:pPr>
      <w:r w:rsidRPr="00CB2C86">
        <w:tab/>
      </w:r>
      <w:r w:rsidRPr="00CB2C86">
        <w:tab/>
        <w:t>Отпуск для отца по уходу за ребенком</w:t>
      </w:r>
    </w:p>
    <w:p w:rsidR="00F936A8" w:rsidRPr="00CB2C86" w:rsidRDefault="00F936A8" w:rsidP="00F91733">
      <w:pPr>
        <w:pStyle w:val="SingleTxtGR"/>
        <w:tabs>
          <w:tab w:val="clear" w:pos="1701"/>
          <w:tab w:val="clear" w:pos="2268"/>
          <w:tab w:val="left" w:pos="1980"/>
          <w:tab w:val="left" w:pos="2520"/>
        </w:tabs>
      </w:pPr>
      <w:r w:rsidRPr="00CB2C86">
        <w:t>10.32</w:t>
      </w:r>
      <w:r w:rsidRPr="00CB2C86">
        <w:tab/>
        <w:t xml:space="preserve">В настоящее время в САРГ нет предусмотренного законом положения об отпуске для отца по уходу за ребенком. </w:t>
      </w:r>
      <w:r w:rsidR="00FE46E6">
        <w:t xml:space="preserve">Тем не менее </w:t>
      </w:r>
      <w:r w:rsidRPr="00CB2C86">
        <w:t>Департамент труда п</w:t>
      </w:r>
      <w:r w:rsidRPr="00CB2C86">
        <w:t>о</w:t>
      </w:r>
      <w:r w:rsidRPr="00CB2C86">
        <w:t>ощряет работодателей применять ориентированную на семейные ценности пра</w:t>
      </w:r>
      <w:r w:rsidRPr="00CB2C86">
        <w:t>к</w:t>
      </w:r>
      <w:r w:rsidRPr="00CB2C86">
        <w:t>тику трудовых отношений, включая предоставление отпуска отцу по уходу за ребенком, помогающую работникам увязать работу и семейные обязательс</w:t>
      </w:r>
      <w:r w:rsidRPr="00CB2C86">
        <w:t>т</w:t>
      </w:r>
      <w:r w:rsidRPr="00CB2C86">
        <w:t>ва. Каналами для продвижения этой идеи являются отраслевые трехсторонние комитеты, в состав которых входят представители правительства, предприним</w:t>
      </w:r>
      <w:r w:rsidRPr="00CB2C86">
        <w:t>а</w:t>
      </w:r>
      <w:r w:rsidRPr="00CB2C86">
        <w:t>тели и работники или представители их организаций, клубов менеджеров по людским ресурсам, образованных по различным профессиям, а также такие пропагандистские мероприятия, как семинары, передвижные выставки в ра</w:t>
      </w:r>
      <w:r w:rsidRPr="00CB2C86">
        <w:t>з</w:t>
      </w:r>
      <w:r w:rsidRPr="00CB2C86">
        <w:t>личных местах, газетные приложения и брошюры, в которых приводятся пр</w:t>
      </w:r>
      <w:r w:rsidRPr="00CB2C86">
        <w:t>и</w:t>
      </w:r>
      <w:r w:rsidRPr="00CB2C86">
        <w:t>меры надлежащей практики из реальной жизни.</w:t>
      </w:r>
    </w:p>
    <w:p w:rsidR="00F936A8" w:rsidRPr="00CB2C86" w:rsidRDefault="00F936A8" w:rsidP="00F66529">
      <w:pPr>
        <w:pStyle w:val="SingleTxtGR"/>
        <w:keepLines/>
        <w:tabs>
          <w:tab w:val="clear" w:pos="1701"/>
          <w:tab w:val="clear" w:pos="2268"/>
          <w:tab w:val="left" w:pos="1980"/>
          <w:tab w:val="left" w:pos="2520"/>
        </w:tabs>
      </w:pPr>
      <w:r w:rsidRPr="00CB2C86">
        <w:t>10.33</w:t>
      </w:r>
      <w:r w:rsidRPr="00CB2C86">
        <w:tab/>
        <w:t>Мы рады отметить, что в последние</w:t>
      </w:r>
      <w:r w:rsidR="00B92291">
        <w:t> год</w:t>
      </w:r>
      <w:r w:rsidRPr="00CB2C86">
        <w:t>ы количество предприятий, на которых введен порядок предоставления отцам отпуска по уходу за ребенком, увеличилось. Мы намерены по-прежнему выступать в роли посредника и стр</w:t>
      </w:r>
      <w:r w:rsidRPr="00CB2C86">
        <w:t>е</w:t>
      </w:r>
      <w:r w:rsidRPr="00CB2C86">
        <w:t>миться к партнерству с сообществом работодателей в деле дальнейшего соде</w:t>
      </w:r>
      <w:r w:rsidRPr="00CB2C86">
        <w:t>й</w:t>
      </w:r>
      <w:r w:rsidRPr="00CB2C86">
        <w:t xml:space="preserve">ствия надлежащей кадровой практики включая предоставление отпуска отцам по уходу за ребенком. </w:t>
      </w:r>
    </w:p>
    <w:p w:rsidR="00F936A8" w:rsidRPr="00CB2C86" w:rsidRDefault="00F936A8" w:rsidP="00F91733">
      <w:pPr>
        <w:pStyle w:val="H23GR"/>
        <w:tabs>
          <w:tab w:val="left" w:pos="1980"/>
          <w:tab w:val="left" w:pos="2520"/>
        </w:tabs>
      </w:pPr>
      <w:r w:rsidRPr="00CB2C86">
        <w:tab/>
      </w:r>
      <w:r w:rsidRPr="00CB2C86">
        <w:tab/>
        <w:t>Охрана материнства в тюрьмах</w:t>
      </w:r>
    </w:p>
    <w:p w:rsidR="00F936A8" w:rsidRPr="00CB2C86" w:rsidRDefault="00F936A8" w:rsidP="00F91733">
      <w:pPr>
        <w:pStyle w:val="SingleTxtGR"/>
        <w:tabs>
          <w:tab w:val="clear" w:pos="1701"/>
          <w:tab w:val="clear" w:pos="2268"/>
          <w:tab w:val="left" w:pos="1980"/>
          <w:tab w:val="left" w:pos="2520"/>
        </w:tabs>
      </w:pPr>
      <w:r w:rsidRPr="00CB2C86">
        <w:t>10.34</w:t>
      </w:r>
      <w:r w:rsidRPr="00CB2C86">
        <w:tab/>
        <w:t>Положение, касающееся беременных женщин, лишенных свободы, в целом остается таким же, каким оно упомянуто в пунктах 242</w:t>
      </w:r>
      <w:r>
        <w:t>−</w:t>
      </w:r>
      <w:r w:rsidRPr="00CB2C86">
        <w:t>245 первон</w:t>
      </w:r>
      <w:r w:rsidRPr="00CB2C86">
        <w:t>а</w:t>
      </w:r>
      <w:r w:rsidRPr="00CB2C86">
        <w:t>чального доклада, т.е. беременным женщинам, отбывающим тюремное наказ</w:t>
      </w:r>
      <w:r w:rsidRPr="00CB2C86">
        <w:t>а</w:t>
      </w:r>
      <w:r w:rsidRPr="00CB2C86">
        <w:t>ние, оказывается особый круглосуточный уход, причем для них установлен особый р</w:t>
      </w:r>
      <w:r w:rsidRPr="00CB2C86">
        <w:t>е</w:t>
      </w:r>
      <w:r w:rsidRPr="00CB2C86">
        <w:t>жим, предусматривающий предродовой уход и консультации врачей-акушеров в обычных больницах через определенные интервалы или по мере необходимости. В 2008 и 2009</w:t>
      </w:r>
      <w:r w:rsidR="00B92291">
        <w:t> год</w:t>
      </w:r>
      <w:r w:rsidRPr="00CB2C86">
        <w:t>ах в обычных палатах государственных бол</w:t>
      </w:r>
      <w:r w:rsidRPr="00CB2C86">
        <w:t>ь</w:t>
      </w:r>
      <w:r w:rsidRPr="00CB2C86">
        <w:t>ниц было зарегистрировано соответственно 17 и 20 деторождений у женщин, лишенных свободы, и в 2008 и 2009</w:t>
      </w:r>
      <w:r w:rsidR="00B92291">
        <w:t> год</w:t>
      </w:r>
      <w:r w:rsidRPr="00CB2C86">
        <w:t>ы в тюрьмах было принято соответс</w:t>
      </w:r>
      <w:r w:rsidRPr="00CB2C86">
        <w:t>т</w:t>
      </w:r>
      <w:r w:rsidRPr="00CB2C86">
        <w:t>венно 74 и 65 родов, после которых дети оставались со своими матерями на п</w:t>
      </w:r>
      <w:r w:rsidRPr="00CB2C86">
        <w:t>е</w:t>
      </w:r>
      <w:r w:rsidRPr="00CB2C86">
        <w:t>риод кормл</w:t>
      </w:r>
      <w:r w:rsidRPr="00CB2C86">
        <w:t>е</w:t>
      </w:r>
      <w:r w:rsidRPr="00CB2C86">
        <w:t>ния грудью.</w:t>
      </w:r>
    </w:p>
    <w:p w:rsidR="00F936A8" w:rsidRPr="00CB2C86" w:rsidRDefault="00F936A8" w:rsidP="00F91733">
      <w:pPr>
        <w:pStyle w:val="H23GR"/>
        <w:tabs>
          <w:tab w:val="left" w:pos="1980"/>
          <w:tab w:val="left" w:pos="2520"/>
        </w:tabs>
      </w:pPr>
      <w:r w:rsidRPr="00CB2C86">
        <w:tab/>
      </w:r>
      <w:r w:rsidRPr="00CB2C86">
        <w:tab/>
        <w:t>Деторождения у незаконных матерей-иммигранток</w:t>
      </w:r>
    </w:p>
    <w:p w:rsidR="00F936A8" w:rsidRPr="00CB2C86" w:rsidRDefault="00F936A8" w:rsidP="00F91733">
      <w:pPr>
        <w:pStyle w:val="SingleTxtGR"/>
        <w:tabs>
          <w:tab w:val="clear" w:pos="1701"/>
          <w:tab w:val="clear" w:pos="2268"/>
          <w:tab w:val="left" w:pos="1980"/>
          <w:tab w:val="left" w:pos="2520"/>
        </w:tabs>
      </w:pPr>
      <w:r w:rsidRPr="00CB2C86">
        <w:t>10.35</w:t>
      </w:r>
      <w:r w:rsidRPr="00CB2C86">
        <w:tab/>
        <w:t>Количество младенцев, родившихся в Гонконге у незаконных матерей-иммигранток, прибывших из материкового Китая, резко сократилось. В период 1998</w:t>
      </w:r>
      <w:r>
        <w:t>−</w:t>
      </w:r>
      <w:r w:rsidRPr="00CB2C86">
        <w:t>2000</w:t>
      </w:r>
      <w:r w:rsidR="00B92291">
        <w:t> год</w:t>
      </w:r>
      <w:r w:rsidRPr="00CB2C86">
        <w:t>ов у таких матерей ежегодно рождалось более 1</w:t>
      </w:r>
      <w:r>
        <w:t> </w:t>
      </w:r>
      <w:r w:rsidRPr="00CB2C86">
        <w:t>000 младенцев. С</w:t>
      </w:r>
      <w:r>
        <w:t> </w:t>
      </w:r>
      <w:r w:rsidRPr="00CB2C86">
        <w:t>2007</w:t>
      </w:r>
      <w:r w:rsidR="00B92291">
        <w:t> год</w:t>
      </w:r>
      <w:r w:rsidRPr="00CB2C86">
        <w:t>а по 2009</w:t>
      </w:r>
      <w:r w:rsidR="00B92291">
        <w:t> год</w:t>
      </w:r>
      <w:r w:rsidRPr="00CB2C86">
        <w:t xml:space="preserve"> их количество соответственно составило 43, 16 и 5 д</w:t>
      </w:r>
      <w:r w:rsidRPr="00CB2C86">
        <w:t>е</w:t>
      </w:r>
      <w:r w:rsidRPr="00CB2C86">
        <w:t>тей. Такое сокращение, возможно</w:t>
      </w:r>
      <w:r>
        <w:t>,</w:t>
      </w:r>
      <w:r w:rsidRPr="00CB2C86">
        <w:t xml:space="preserve"> обусловлено тем фактом, что жительницы материкового Китая, желающие рожать в Гонконге, теперь предпочитают пр</w:t>
      </w:r>
      <w:r w:rsidRPr="00CB2C86">
        <w:t>и</w:t>
      </w:r>
      <w:r w:rsidRPr="00CB2C86">
        <w:t>езжать в Гонконг на законных основаниях, обычно как туристы. Согласно О</w:t>
      </w:r>
      <w:r w:rsidRPr="00CB2C86">
        <w:t>с</w:t>
      </w:r>
      <w:r w:rsidRPr="00CB2C86">
        <w:t>новному закону китайские граждане, родившиеся в Гонконге, имеют право на проживание в Гонконге.</w:t>
      </w:r>
    </w:p>
    <w:p w:rsidR="00F936A8" w:rsidRPr="00CB2C86" w:rsidRDefault="00F936A8" w:rsidP="00F91733">
      <w:pPr>
        <w:pStyle w:val="H1GR"/>
        <w:tabs>
          <w:tab w:val="left" w:pos="1980"/>
          <w:tab w:val="left" w:pos="2520"/>
        </w:tabs>
      </w:pPr>
      <w:r w:rsidRPr="00CB2C86">
        <w:tab/>
      </w:r>
      <w:r w:rsidRPr="00CB2C86">
        <w:tab/>
        <w:t>Новоприбывшие из материкового Китая</w:t>
      </w:r>
    </w:p>
    <w:p w:rsidR="00F936A8" w:rsidRPr="00CB2C86" w:rsidRDefault="00F936A8" w:rsidP="00F91733">
      <w:pPr>
        <w:pStyle w:val="SingleTxtGR"/>
        <w:tabs>
          <w:tab w:val="clear" w:pos="1701"/>
          <w:tab w:val="clear" w:pos="2268"/>
          <w:tab w:val="left" w:pos="1980"/>
          <w:tab w:val="left" w:pos="2520"/>
        </w:tabs>
      </w:pPr>
      <w:r w:rsidRPr="00CB2C86">
        <w:t>10.36</w:t>
      </w:r>
      <w:r w:rsidRPr="00CB2C86">
        <w:tab/>
        <w:t>В период между 1 июля 1998</w:t>
      </w:r>
      <w:r w:rsidR="00B92291">
        <w:t> год</w:t>
      </w:r>
      <w:r w:rsidRPr="00CB2C86">
        <w:t>а 31 декабря 2009 в Гонконг из мат</w:t>
      </w:r>
      <w:r w:rsidRPr="00CB2C86">
        <w:t>е</w:t>
      </w:r>
      <w:r w:rsidRPr="00CB2C86">
        <w:t>рикового Китая переселилось почти 570</w:t>
      </w:r>
      <w:r w:rsidR="00E758E4">
        <w:t> 000</w:t>
      </w:r>
      <w:r w:rsidRPr="00CB2C86">
        <w:t xml:space="preserve"> человек.</w:t>
      </w:r>
    </w:p>
    <w:p w:rsidR="00F936A8" w:rsidRPr="00CB2C86" w:rsidRDefault="00F936A8" w:rsidP="00F91733">
      <w:pPr>
        <w:pStyle w:val="SingleTxtGR"/>
        <w:tabs>
          <w:tab w:val="clear" w:pos="1701"/>
          <w:tab w:val="clear" w:pos="2268"/>
          <w:tab w:val="left" w:pos="1980"/>
          <w:tab w:val="left" w:pos="2520"/>
        </w:tabs>
      </w:pPr>
      <w:r w:rsidRPr="00CB2C86">
        <w:t>10.37</w:t>
      </w:r>
      <w:r w:rsidRPr="00CB2C86">
        <w:tab/>
        <w:t>Правительство продолжает придавать большое значение скорейшей интеграции новоприбывших в жизнь местного общества. Как и другие местные ж</w:t>
      </w:r>
      <w:r w:rsidRPr="00CB2C86">
        <w:t>и</w:t>
      </w:r>
      <w:r w:rsidRPr="00CB2C86">
        <w:t>тели, новоприбывшие имеют право на такие социальные услуги, как услуги по присмотру и уходу за детьми, поддержка общества, финансовая помощь и т.д. Кроме того, правительство предоставляет новоприбывшим из материкового Китая ряд государственных услуг, чтобы облегчить им интеграцию в жизнь м</w:t>
      </w:r>
      <w:r w:rsidRPr="00CB2C86">
        <w:t>е</w:t>
      </w:r>
      <w:r w:rsidRPr="00CB2C86">
        <w:t>стного общества. К таким государственным услугам относятся услуги по тр</w:t>
      </w:r>
      <w:r w:rsidRPr="00CB2C86">
        <w:t>у</w:t>
      </w:r>
      <w:r w:rsidRPr="00CB2C86">
        <w:t>доустройству, профессиональная подготовка, социальные услуги, государстве</w:t>
      </w:r>
      <w:r w:rsidRPr="00CB2C86">
        <w:t>н</w:t>
      </w:r>
      <w:r w:rsidRPr="00CB2C86">
        <w:t>ное жилье, государственное медицинское обслуживание и помощь в получении о</w:t>
      </w:r>
      <w:r w:rsidRPr="00CB2C86">
        <w:t>б</w:t>
      </w:r>
      <w:r w:rsidRPr="00CB2C86">
        <w:t xml:space="preserve">разования. Цель состоит в том, чтобы ослабить остроту проблем адаптации и содействовать формированию личной ответственности за опору на собственные силы. НПО осуществляют дополнительные проекты, которые финансируются из таких источников, как Благотворительный фонд Жокейского клуба Гонконга и Объединенный общественный благотворительный фонд. Такие инициативы включают образовательные программы в целях развития местного общества, программы занятости и помощь добровольцев. </w:t>
      </w:r>
    </w:p>
    <w:p w:rsidR="00F936A8" w:rsidRPr="00CB2C86" w:rsidRDefault="00F936A8" w:rsidP="00F91733">
      <w:pPr>
        <w:pStyle w:val="H1GR"/>
        <w:tabs>
          <w:tab w:val="left" w:pos="1980"/>
          <w:tab w:val="left" w:pos="2520"/>
        </w:tabs>
      </w:pPr>
      <w:r w:rsidRPr="00CB2C86">
        <w:tab/>
      </w:r>
      <w:r w:rsidRPr="00CB2C86">
        <w:tab/>
        <w:t xml:space="preserve">Семьи с одним родителем и разлученные семьи </w:t>
      </w:r>
    </w:p>
    <w:p w:rsidR="00F936A8" w:rsidRPr="00CB2C86" w:rsidRDefault="00F936A8" w:rsidP="00F91733">
      <w:pPr>
        <w:pStyle w:val="SingleTxtGR"/>
        <w:tabs>
          <w:tab w:val="clear" w:pos="1701"/>
          <w:tab w:val="clear" w:pos="2268"/>
          <w:tab w:val="left" w:pos="1980"/>
          <w:tab w:val="left" w:pos="2520"/>
        </w:tabs>
      </w:pPr>
      <w:r w:rsidRPr="00CB2C86">
        <w:t>10.38</w:t>
      </w:r>
      <w:r w:rsidRPr="00CB2C86">
        <w:tab/>
        <w:t>Социальные услуги, предоставляемые в Гонконге семьям с одним р</w:t>
      </w:r>
      <w:r w:rsidRPr="00CB2C86">
        <w:t>о</w:t>
      </w:r>
      <w:r w:rsidRPr="00CB2C86">
        <w:t>дителем и разлученным семьям, перечислены в пунктах 10.7 и 10.8 предыдущ</w:t>
      </w:r>
      <w:r w:rsidRPr="00CB2C86">
        <w:t>е</w:t>
      </w:r>
      <w:r w:rsidRPr="00CB2C86">
        <w:t>го доклада. После реализации в 2004</w:t>
      </w:r>
      <w:r w:rsidR="00B92291">
        <w:t> год</w:t>
      </w:r>
      <w:r w:rsidRPr="00CB2C86">
        <w:t>у модели комплексной социальной п</w:t>
      </w:r>
      <w:r w:rsidRPr="00CB2C86">
        <w:t>о</w:t>
      </w:r>
      <w:r w:rsidRPr="00CB2C86">
        <w:t>мощи семьям эти семьи получили в Гонконге доступ к ряду комплексных соц</w:t>
      </w:r>
      <w:r w:rsidRPr="00CB2C86">
        <w:t>и</w:t>
      </w:r>
      <w:r w:rsidRPr="00CB2C86">
        <w:t>альных услуг в режиме одного окна в 61 ЦКСОС и двух ЦКО. Социальное о</w:t>
      </w:r>
      <w:r w:rsidRPr="00CB2C86">
        <w:t>б</w:t>
      </w:r>
      <w:r w:rsidRPr="00CB2C86">
        <w:t>служивание семей теперь обеспечивается им в более удобной, доступной и вс</w:t>
      </w:r>
      <w:r w:rsidRPr="00CB2C86">
        <w:t>е</w:t>
      </w:r>
      <w:r w:rsidRPr="00CB2C86">
        <w:t>объемлющей форме. Социальные работники ЦКСОС и ЦКО обладают соотве</w:t>
      </w:r>
      <w:r w:rsidRPr="00CB2C86">
        <w:t>т</w:t>
      </w:r>
      <w:r w:rsidRPr="00CB2C86">
        <w:t>ствующим опытом и квалификацией для помощи семьям с одним родителем и разлученным семьям. Эти социальные работники тщательно оценивают и заб</w:t>
      </w:r>
      <w:r w:rsidRPr="00CB2C86">
        <w:t>о</w:t>
      </w:r>
      <w:r w:rsidRPr="00CB2C86">
        <w:t>тятся об их потребностях и оказывают соответствующие социальные услуги. Периодически в этих центрах организуются программы и мероприятия, адрес</w:t>
      </w:r>
      <w:r w:rsidRPr="00CB2C86">
        <w:t>о</w:t>
      </w:r>
      <w:r w:rsidRPr="00CB2C86">
        <w:t>ванные семьям с одним родителем и разлученным семьям. Кроме того, гру</w:t>
      </w:r>
      <w:r w:rsidRPr="00CB2C86">
        <w:t>п</w:t>
      </w:r>
      <w:r w:rsidRPr="00CB2C86">
        <w:t>пы Сети помощи семьям продолжают обслуживать малообеспеченное насел</w:t>
      </w:r>
      <w:r w:rsidRPr="00CB2C86">
        <w:t>е</w:t>
      </w:r>
      <w:r w:rsidRPr="00CB2C86">
        <w:t xml:space="preserve">ние (в том числе семьи с одним родителем и разлученные семьи), выявляя их для своевременного вмешательства. </w:t>
      </w:r>
    </w:p>
    <w:p w:rsidR="00F936A8" w:rsidRPr="00CB2C86" w:rsidRDefault="00F936A8" w:rsidP="00F91733">
      <w:pPr>
        <w:pStyle w:val="SingleTxtGR"/>
        <w:tabs>
          <w:tab w:val="clear" w:pos="1701"/>
          <w:tab w:val="clear" w:pos="2268"/>
          <w:tab w:val="left" w:pos="1980"/>
          <w:tab w:val="left" w:pos="2520"/>
        </w:tabs>
      </w:pPr>
      <w:r w:rsidRPr="00CB2C86">
        <w:t>10.39</w:t>
      </w:r>
      <w:r w:rsidRPr="00CB2C86">
        <w:tab/>
        <w:t>Как уже упоминалось в пункте 10.7 предыдущего доклада, семьи с о</w:t>
      </w:r>
      <w:r w:rsidRPr="00CB2C86">
        <w:t>д</w:t>
      </w:r>
      <w:r w:rsidRPr="00CB2C86">
        <w:t>ним родителем продолжают пользоваться правом на получение услуг госуда</w:t>
      </w:r>
      <w:r w:rsidRPr="00CB2C86">
        <w:t>р</w:t>
      </w:r>
      <w:r w:rsidRPr="00CB2C86">
        <w:t>ственных учреждений по присмотру и уходу за детьми и другую помощь, в ч</w:t>
      </w:r>
      <w:r w:rsidRPr="00CB2C86">
        <w:t>а</w:t>
      </w:r>
      <w:r w:rsidRPr="00CB2C86">
        <w:t>стности такую</w:t>
      </w:r>
      <w:r>
        <w:t xml:space="preserve"> как</w:t>
      </w:r>
      <w:r w:rsidRPr="00CB2C86">
        <w:t xml:space="preserve"> жилье и финансовая помощь, о чем сообщалось в прошлый раз. Одинокие разведенные/разводящиеся родители могут рекомендоваться для соответственно предоставления по гуманным соображениям нового ж</w:t>
      </w:r>
      <w:r w:rsidRPr="00CB2C86">
        <w:t>и</w:t>
      </w:r>
      <w:r w:rsidRPr="00CB2C86">
        <w:t>лья/условной аренды жилья, если они действительно нуждаются в нем и у них есть для этого социальные/медицинские основания. Некоторые комментаторы высказали озабоченность в связи с положением  разлученных семей, включая семьи, в которых родители детей развелись или умерли, а поэтому дети не имеют разрешения на проезд (Разрешение) в Гонконг и Макао, хотя они род</w:t>
      </w:r>
      <w:r w:rsidRPr="00CB2C86">
        <w:t>и</w:t>
      </w:r>
      <w:r w:rsidRPr="00CB2C86">
        <w:t>лись в САРГ, но не имеют опекунов в Гонконге и гражданских прав в материк</w:t>
      </w:r>
      <w:r w:rsidRPr="00CB2C86">
        <w:t>о</w:t>
      </w:r>
      <w:r w:rsidRPr="00CB2C86">
        <w:t>вом Китае, несмотря на то, что для посещения школы им необходимо перес</w:t>
      </w:r>
      <w:r w:rsidRPr="00CB2C86">
        <w:t>е</w:t>
      </w:r>
      <w:r w:rsidRPr="00CB2C86">
        <w:t xml:space="preserve">кать границу. Для разлученных семей, члены которых проживают в </w:t>
      </w:r>
      <w:proofErr w:type="spellStart"/>
      <w:r w:rsidRPr="00CB2C86">
        <w:t>Шэньчжэне</w:t>
      </w:r>
      <w:proofErr w:type="spellEnd"/>
      <w:r w:rsidRPr="00CB2C86">
        <w:t xml:space="preserve"> и Гонконге, одна из НПО и гонконгское отделение Международной социальной службы совместно с правительством провинции </w:t>
      </w:r>
      <w:proofErr w:type="spellStart"/>
      <w:r w:rsidRPr="00CB2C86">
        <w:t>Гуандун</w:t>
      </w:r>
      <w:proofErr w:type="spellEnd"/>
      <w:r w:rsidRPr="00CB2C86">
        <w:t xml:space="preserve"> создали центр соц</w:t>
      </w:r>
      <w:r w:rsidRPr="00CB2C86">
        <w:t>и</w:t>
      </w:r>
      <w:r w:rsidRPr="00CB2C86">
        <w:t>альных услуг семьям, который финансируется Объединенным общественным благотворительным фондом для оказания специализированных услуг. К таким услугам относятся индивидуальная работа с семьями, групповая психотерапия, программы профориентации и профессиональной подготовки, курсы англи</w:t>
      </w:r>
      <w:r w:rsidRPr="00CB2C86">
        <w:t>й</w:t>
      </w:r>
      <w:r w:rsidRPr="00CB2C86">
        <w:t>ского языка и компьютерной грамотности, информационные и справочные у</w:t>
      </w:r>
      <w:r w:rsidRPr="00CB2C86">
        <w:t>с</w:t>
      </w:r>
      <w:r w:rsidRPr="00CB2C86">
        <w:t>луги и другие виды социального обслуживания. С 2009</w:t>
      </w:r>
      <w:r>
        <w:t>−</w:t>
      </w:r>
      <w:r w:rsidRPr="00CB2C86">
        <w:t>2010</w:t>
      </w:r>
      <w:r w:rsidR="00B92291">
        <w:t> год</w:t>
      </w:r>
      <w:r w:rsidRPr="00CB2C86">
        <w:t xml:space="preserve">ов ДСО также выделяет дополнительные средства Трансграничной и </w:t>
      </w:r>
      <w:proofErr w:type="spellStart"/>
      <w:r w:rsidRPr="00CB2C86">
        <w:t>межстрановой</w:t>
      </w:r>
      <w:proofErr w:type="spellEnd"/>
      <w:r w:rsidRPr="00CB2C86">
        <w:t xml:space="preserve"> службе индивидуальной социальной работы гонконгского отделения Международной социальной службы для активного социального обслуживания трансграничных семей, чтобы они могли содействовать этим семьям в решении семейных пр</w:t>
      </w:r>
      <w:r w:rsidRPr="00CB2C86">
        <w:t>о</w:t>
      </w:r>
      <w:r w:rsidRPr="00CB2C86">
        <w:t>блем путем раннего выявления и своевременного вмешательства.</w:t>
      </w:r>
    </w:p>
    <w:p w:rsidR="00F936A8" w:rsidRPr="00CB2C86" w:rsidRDefault="00F936A8" w:rsidP="00F91733">
      <w:pPr>
        <w:pStyle w:val="H23GR"/>
        <w:tabs>
          <w:tab w:val="left" w:pos="1980"/>
          <w:tab w:val="left" w:pos="2520"/>
        </w:tabs>
      </w:pPr>
      <w:r w:rsidRPr="00CB2C86">
        <w:tab/>
      </w:r>
      <w:r w:rsidRPr="00CB2C86">
        <w:tab/>
        <w:t>Воссоединение разлученных семей</w:t>
      </w:r>
    </w:p>
    <w:p w:rsidR="00F936A8" w:rsidRPr="00CB2C86" w:rsidRDefault="00F936A8" w:rsidP="00F91733">
      <w:pPr>
        <w:pStyle w:val="SingleTxtGR"/>
        <w:tabs>
          <w:tab w:val="clear" w:pos="1701"/>
          <w:tab w:val="clear" w:pos="2268"/>
          <w:tab w:val="left" w:pos="1980"/>
          <w:tab w:val="left" w:pos="2520"/>
        </w:tabs>
      </w:pPr>
      <w:r w:rsidRPr="00CB2C86">
        <w:t>10.40</w:t>
      </w:r>
      <w:r w:rsidRPr="00CB2C86">
        <w:tab/>
        <w:t>Некоторые комментаторы продолжали высказывать озабоченность в связи с проблемой воссоединения разлученных семей. Наша позиция, в том числе законодательные положения, касающиеся права на проживание и Пр</w:t>
      </w:r>
      <w:r w:rsidRPr="00CB2C86">
        <w:t>о</w:t>
      </w:r>
      <w:r w:rsidRPr="00CB2C86">
        <w:t>граммы выдачи свидетельств о праве на проживание (СПП), изложена в пун</w:t>
      </w:r>
      <w:r w:rsidRPr="00CB2C86">
        <w:t>к</w:t>
      </w:r>
      <w:r w:rsidRPr="00CB2C86">
        <w:t>тах</w:t>
      </w:r>
      <w:r>
        <w:t> </w:t>
      </w:r>
      <w:r w:rsidRPr="00CB2C86">
        <w:t>10.10</w:t>
      </w:r>
      <w:r>
        <w:t>−</w:t>
      </w:r>
      <w:r w:rsidRPr="00CB2C86">
        <w:t>10.14 предыдущего доклада. При решении вопросов, связанных с правом на проживание, мы учитываем все соответствующие факторы.</w:t>
      </w:r>
    </w:p>
    <w:p w:rsidR="00F936A8" w:rsidRPr="00CB2C86" w:rsidRDefault="00F936A8" w:rsidP="00F91733">
      <w:pPr>
        <w:pStyle w:val="SingleTxtGR"/>
        <w:tabs>
          <w:tab w:val="clear" w:pos="1701"/>
          <w:tab w:val="clear" w:pos="2268"/>
          <w:tab w:val="left" w:pos="1980"/>
          <w:tab w:val="left" w:pos="2520"/>
        </w:tabs>
      </w:pPr>
      <w:r w:rsidRPr="00CB2C86">
        <w:t>10.41</w:t>
      </w:r>
      <w:r w:rsidRPr="00CB2C86">
        <w:tab/>
        <w:t>В Основном законе говорится, что для въезда в Специальный админ</w:t>
      </w:r>
      <w:r w:rsidRPr="00CB2C86">
        <w:t>и</w:t>
      </w:r>
      <w:r w:rsidRPr="00CB2C86">
        <w:t>стративный район Гонконг жители других частей Китая должны обращаться за разрешением (пункт 4 статьи 22). Жители материковой части, которые желают поселиться в Гонконге, должны обращаться с ходатайством через Программу разрешений, которая находится в ведении властей материкового Китая. Пр</w:t>
      </w:r>
      <w:r w:rsidRPr="00CB2C86">
        <w:t>о</w:t>
      </w:r>
      <w:r w:rsidRPr="00CB2C86">
        <w:t>грамма разрешений является в основном программой воссоединения семей, к</w:t>
      </w:r>
      <w:r w:rsidRPr="00CB2C86">
        <w:t>о</w:t>
      </w:r>
      <w:r w:rsidRPr="00CB2C86">
        <w:t>торая обеспечивает имеющим на это право кандидатам возможность организ</w:t>
      </w:r>
      <w:r w:rsidRPr="00CB2C86">
        <w:t>о</w:t>
      </w:r>
      <w:r w:rsidRPr="00CB2C86">
        <w:t xml:space="preserve">ванно приехать и поселиться в Гонконге с учетом ограничений его социально-экономической инфраструктуры. </w:t>
      </w:r>
    </w:p>
    <w:p w:rsidR="00F936A8" w:rsidRPr="00CB2C86" w:rsidRDefault="00F936A8" w:rsidP="00F91733">
      <w:pPr>
        <w:pStyle w:val="SingleTxtGR"/>
        <w:tabs>
          <w:tab w:val="clear" w:pos="1701"/>
          <w:tab w:val="clear" w:pos="2268"/>
          <w:tab w:val="left" w:pos="1980"/>
          <w:tab w:val="left" w:pos="2520"/>
        </w:tabs>
      </w:pPr>
      <w:r w:rsidRPr="00CB2C86">
        <w:t>10.42</w:t>
      </w:r>
      <w:r w:rsidRPr="00CB2C86">
        <w:tab/>
        <w:t>С мая 1997</w:t>
      </w:r>
      <w:r w:rsidR="00B92291">
        <w:t> год</w:t>
      </w:r>
      <w:r w:rsidRPr="00CB2C86">
        <w:t>а власти материковой части применяют систему баллов, которая совершенствуется время от времени для оценки и определения на осн</w:t>
      </w:r>
      <w:r w:rsidRPr="00CB2C86">
        <w:t>о</w:t>
      </w:r>
      <w:r w:rsidRPr="00CB2C86">
        <w:t>ве объективных критериев правомочности просителей и порядок их пересел</w:t>
      </w:r>
      <w:r w:rsidRPr="00CB2C86">
        <w:t>е</w:t>
      </w:r>
      <w:r w:rsidRPr="00CB2C86">
        <w:t>ния в Гонконг. За исключением держателей СПП главными аргументами при рассмотрении ходатайств о получении Разрешения и их удовлетворения явл</w:t>
      </w:r>
      <w:r w:rsidRPr="00CB2C86">
        <w:t>я</w:t>
      </w:r>
      <w:r w:rsidRPr="00CB2C86">
        <w:t xml:space="preserve">ются время разлуки и возраст просителей или их родственников в Гонконге. Жители материковой части, заявляющие право на проживание в соответствии со Списком </w:t>
      </w:r>
      <w:r w:rsidR="008E318A">
        <w:t>1</w:t>
      </w:r>
      <w:r w:rsidRPr="00CB2C86">
        <w:t xml:space="preserve"> Указа об иммиграции, могут ходатайствовать об участи в Пр</w:t>
      </w:r>
      <w:r w:rsidRPr="00CB2C86">
        <w:t>о</w:t>
      </w:r>
      <w:r w:rsidRPr="00CB2C86">
        <w:t>грамме получения СПП через Управления государственной безопасности мат</w:t>
      </w:r>
      <w:r w:rsidRPr="00CB2C86">
        <w:t>е</w:t>
      </w:r>
      <w:r w:rsidRPr="00CB2C86">
        <w:t>риковой части, где хранится регистрация их домашнего хозяйства.</w:t>
      </w:r>
    </w:p>
    <w:p w:rsidR="00F936A8" w:rsidRPr="00CB2C86" w:rsidRDefault="00F936A8" w:rsidP="00F91733">
      <w:pPr>
        <w:pStyle w:val="SingleTxtGR"/>
        <w:tabs>
          <w:tab w:val="clear" w:pos="1701"/>
          <w:tab w:val="clear" w:pos="2268"/>
          <w:tab w:val="left" w:pos="1980"/>
          <w:tab w:val="left" w:pos="2520"/>
        </w:tabs>
      </w:pPr>
      <w:r w:rsidRPr="00CB2C86">
        <w:t>10.43</w:t>
      </w:r>
      <w:r w:rsidRPr="00CB2C86">
        <w:tab/>
        <w:t>В соответствии с действующим механизмом среди ежедневных 150 квотируемых разрешений 60 разрешений предоставляются держателям СПП, которые имеют право на проживание в Гонконге, а остальная квота предоста</w:t>
      </w:r>
      <w:r w:rsidRPr="00CB2C86">
        <w:t>в</w:t>
      </w:r>
      <w:r w:rsidRPr="00CB2C86">
        <w:t>ляется просителям Разрешения, принадлежащим к другим категориям, включая проживающим в материковом Китае супругам и сопровождающим их детям. Маленькие дети, являющиеся держателями СПП, могут также  предпочесть приехать в Гонконг вместе со своими родителями, проживающими в материк</w:t>
      </w:r>
      <w:r w:rsidRPr="00CB2C86">
        <w:t>о</w:t>
      </w:r>
      <w:r w:rsidRPr="00CB2C86">
        <w:t>вой части, в качестве сопровождающих детей. В последние</w:t>
      </w:r>
      <w:r w:rsidR="00B92291">
        <w:t> год</w:t>
      </w:r>
      <w:r w:rsidRPr="00CB2C86">
        <w:t>ы Программа разрешений была усовершенствована, включая послабления в отношении пр</w:t>
      </w:r>
      <w:r w:rsidRPr="00CB2C86">
        <w:t>е</w:t>
      </w:r>
      <w:r w:rsidRPr="00CB2C86">
        <w:t>дельн</w:t>
      </w:r>
      <w:r w:rsidRPr="00CB2C86">
        <w:t>о</w:t>
      </w:r>
      <w:r w:rsidRPr="00CB2C86">
        <w:t xml:space="preserve">го возраста в прошениях для сопровождающих супругов детей с младше 14 лет до младше 18 лет и устранение </w:t>
      </w:r>
      <w:r w:rsidR="00C56DC0">
        <w:t xml:space="preserve">в </w:t>
      </w:r>
      <w:r w:rsidRPr="00CB2C86">
        <w:t>2003</w:t>
      </w:r>
      <w:r w:rsidR="00B92291">
        <w:t> год</w:t>
      </w:r>
      <w:r w:rsidRPr="00CB2C86">
        <w:t>у ограничения, согласно кот</w:t>
      </w:r>
      <w:r w:rsidRPr="00CB2C86">
        <w:t>о</w:t>
      </w:r>
      <w:r w:rsidRPr="00CB2C86">
        <w:t>рому въезд разрешался только одному сопровождающему ребенку. В январе 2009</w:t>
      </w:r>
      <w:r w:rsidR="00B92291">
        <w:t> год</w:t>
      </w:r>
      <w:r w:rsidRPr="00CB2C86">
        <w:t>а время ожидания Разрешения для супругов и сопровождающих их д</w:t>
      </w:r>
      <w:r w:rsidRPr="00CB2C86">
        <w:t>е</w:t>
      </w:r>
      <w:r w:rsidRPr="00CB2C86">
        <w:t>тей было с</w:t>
      </w:r>
      <w:r w:rsidRPr="00CB2C86">
        <w:t>о</w:t>
      </w:r>
      <w:r w:rsidRPr="00CB2C86">
        <w:t xml:space="preserve">кращено с пяти до четырех лет. </w:t>
      </w:r>
    </w:p>
    <w:p w:rsidR="00F936A8" w:rsidRPr="00CB2C86" w:rsidRDefault="00F936A8" w:rsidP="00F91733">
      <w:pPr>
        <w:pStyle w:val="SingleTxtGR"/>
        <w:tabs>
          <w:tab w:val="clear" w:pos="1701"/>
          <w:tab w:val="clear" w:pos="2268"/>
          <w:tab w:val="left" w:pos="1980"/>
          <w:tab w:val="left" w:pos="2520"/>
        </w:tabs>
      </w:pPr>
      <w:r w:rsidRPr="00CB2C86">
        <w:t>10.44</w:t>
      </w:r>
      <w:r w:rsidRPr="00CB2C86">
        <w:tab/>
        <w:t>По состоянию на 31 декабря 2009</w:t>
      </w:r>
      <w:r w:rsidR="00B92291">
        <w:t> год</w:t>
      </w:r>
      <w:r w:rsidRPr="00CB2C86">
        <w:t>а Программа СПП способствов</w:t>
      </w:r>
      <w:r w:rsidRPr="00CB2C86">
        <w:t>а</w:t>
      </w:r>
      <w:r w:rsidRPr="00CB2C86">
        <w:t>ла оперативному и организованному переселению 180</w:t>
      </w:r>
      <w:r w:rsidR="00E758E4">
        <w:t> 000</w:t>
      </w:r>
      <w:r w:rsidRPr="00CB2C86">
        <w:t xml:space="preserve"> жителей материк</w:t>
      </w:r>
      <w:r w:rsidRPr="00CB2C86">
        <w:t>о</w:t>
      </w:r>
      <w:r w:rsidRPr="00CB2C86">
        <w:t>вой части, чье право на проживание было проверено. С июля 1997</w:t>
      </w:r>
      <w:r w:rsidR="00B92291">
        <w:t> год</w:t>
      </w:r>
      <w:r w:rsidRPr="00CB2C86">
        <w:t>а по 31 декабря 2009 в соответствии с Программой разрешений в Гонконг переселилось свыше 620</w:t>
      </w:r>
      <w:r w:rsidR="00E758E4">
        <w:t> 000</w:t>
      </w:r>
      <w:r w:rsidRPr="00CB2C86">
        <w:t xml:space="preserve"> жителей материковой части (в том числе держатели СПП). </w:t>
      </w:r>
    </w:p>
    <w:p w:rsidR="00F936A8" w:rsidRPr="00CB2C86" w:rsidRDefault="00F936A8" w:rsidP="00F91733">
      <w:pPr>
        <w:pStyle w:val="SingleTxtGR"/>
        <w:tabs>
          <w:tab w:val="clear" w:pos="1701"/>
          <w:tab w:val="clear" w:pos="2268"/>
          <w:tab w:val="left" w:pos="1980"/>
          <w:tab w:val="left" w:pos="2520"/>
        </w:tabs>
      </w:pPr>
      <w:r w:rsidRPr="00CB2C86">
        <w:t>10.45</w:t>
      </w:r>
      <w:r w:rsidRPr="00CB2C86">
        <w:tab/>
        <w:t>Кроме въезда в Гонконг для проживания на основании Разрешения</w:t>
      </w:r>
      <w:r w:rsidR="00C56DC0">
        <w:t>,</w:t>
      </w:r>
      <w:r w:rsidRPr="00CB2C86">
        <w:t xml:space="preserve"> жители материковой части могут посещать Гонконг для осмотра достопримеч</w:t>
      </w:r>
      <w:r w:rsidRPr="00CB2C86">
        <w:t>а</w:t>
      </w:r>
      <w:r w:rsidRPr="00CB2C86">
        <w:t>тельностей, ведения бизнеса и посещения родственников. Имеющие на это пр</w:t>
      </w:r>
      <w:r w:rsidRPr="00CB2C86">
        <w:t>а</w:t>
      </w:r>
      <w:r w:rsidRPr="00CB2C86">
        <w:t>во жители материкового Китая могут ходатайствовать также о разрешении мн</w:t>
      </w:r>
      <w:r w:rsidRPr="00CB2C86">
        <w:t>о</w:t>
      </w:r>
      <w:r w:rsidRPr="00CB2C86">
        <w:t>гократного въезда и выезда для посещения родственников в Гонконге, что п</w:t>
      </w:r>
      <w:r w:rsidRPr="00CB2C86">
        <w:t>о</w:t>
      </w:r>
      <w:r w:rsidRPr="00CB2C86">
        <w:t xml:space="preserve">зволяет им находиться в Гонконге в течение 90 дней при каждом въезде. </w:t>
      </w:r>
    </w:p>
    <w:p w:rsidR="00F936A8" w:rsidRPr="00CB2C86" w:rsidRDefault="00F936A8" w:rsidP="00F91733">
      <w:pPr>
        <w:pStyle w:val="H1GR"/>
        <w:tabs>
          <w:tab w:val="left" w:pos="1980"/>
          <w:tab w:val="left" w:pos="2520"/>
        </w:tabs>
      </w:pPr>
      <w:r w:rsidRPr="00CB2C86">
        <w:tab/>
      </w:r>
      <w:r w:rsidRPr="00CB2C86">
        <w:tab/>
        <w:t xml:space="preserve">Насилие в семье </w:t>
      </w:r>
    </w:p>
    <w:p w:rsidR="00F936A8" w:rsidRPr="00CB2C86" w:rsidRDefault="00F936A8" w:rsidP="00F91733">
      <w:pPr>
        <w:pStyle w:val="SingleTxtGR"/>
        <w:keepLines/>
        <w:tabs>
          <w:tab w:val="clear" w:pos="1701"/>
          <w:tab w:val="clear" w:pos="2268"/>
          <w:tab w:val="left" w:pos="1980"/>
          <w:tab w:val="left" w:pos="2520"/>
        </w:tabs>
      </w:pPr>
      <w:r w:rsidRPr="00CB2C86">
        <w:t>10.46</w:t>
      </w:r>
      <w:r w:rsidRPr="00CB2C86">
        <w:tab/>
        <w:t>Правительство уделяет первостепенное внимание предупреждению насилия в семье и помощи его жертвам. Междисциплинарный подход, структ</w:t>
      </w:r>
      <w:r w:rsidRPr="00CB2C86">
        <w:t>у</w:t>
      </w:r>
      <w:r w:rsidRPr="00CB2C86">
        <w:t>ра, услуги и превентивная стратегия в отношении насилия в семье в целом не отличаются от тех, какие описаны в пунктах 10.42</w:t>
      </w:r>
      <w:r>
        <w:t>−</w:t>
      </w:r>
      <w:r w:rsidRPr="00CB2C86">
        <w:t>10.46 предыдущего доклада. Дальнейшие изменения и улучшения излагаются ниже.</w:t>
      </w:r>
    </w:p>
    <w:p w:rsidR="00F936A8" w:rsidRPr="00CB2C86" w:rsidRDefault="00F936A8" w:rsidP="00F91733">
      <w:pPr>
        <w:pStyle w:val="H23GR"/>
        <w:tabs>
          <w:tab w:val="left" w:pos="1980"/>
          <w:tab w:val="left" w:pos="2520"/>
        </w:tabs>
      </w:pPr>
      <w:r w:rsidRPr="00CB2C86">
        <w:tab/>
      </w:r>
      <w:r w:rsidRPr="00CB2C86">
        <w:tab/>
        <w:t>Поправки к Указу о предупреждении насилия в семье</w:t>
      </w:r>
    </w:p>
    <w:p w:rsidR="00F936A8" w:rsidRPr="00CB2C86" w:rsidRDefault="00F936A8" w:rsidP="00F91733">
      <w:pPr>
        <w:pStyle w:val="SingleTxtGR"/>
        <w:tabs>
          <w:tab w:val="clear" w:pos="1701"/>
          <w:tab w:val="clear" w:pos="2268"/>
          <w:tab w:val="left" w:pos="1980"/>
          <w:tab w:val="left" w:pos="2520"/>
        </w:tabs>
      </w:pPr>
      <w:r w:rsidRPr="00CB2C86">
        <w:t>10.47</w:t>
      </w:r>
      <w:r w:rsidRPr="00CB2C86">
        <w:tab/>
        <w:t>На законодательном фронте принятый в 1986</w:t>
      </w:r>
      <w:r w:rsidR="00B92291">
        <w:t> год</w:t>
      </w:r>
      <w:r w:rsidRPr="00CB2C86">
        <w:t>у Указ о предупре</w:t>
      </w:r>
      <w:r w:rsidRPr="00CB2C86">
        <w:t>ж</w:t>
      </w:r>
      <w:r w:rsidRPr="00CB2C86">
        <w:t xml:space="preserve">дении насилия в семье </w:t>
      </w:r>
      <w:r>
        <w:t>(глава </w:t>
      </w:r>
      <w:r w:rsidRPr="00CB2C86">
        <w:t>189), о чем сообщалось в пунктах 231</w:t>
      </w:r>
      <w:r>
        <w:t>−</w:t>
      </w:r>
      <w:r w:rsidRPr="00CB2C86">
        <w:t>232 перв</w:t>
      </w:r>
      <w:r w:rsidRPr="00CB2C86">
        <w:t>о</w:t>
      </w:r>
      <w:r w:rsidRPr="00CB2C86">
        <w:t>начального доклада, позволяет одному из супругов, совместно проживающим мужчине или женщине получить быструю и временную защиту от насилия п</w:t>
      </w:r>
      <w:r w:rsidRPr="00CB2C86">
        <w:t>у</w:t>
      </w:r>
      <w:r w:rsidRPr="00CB2C86">
        <w:t>тем обращения в суд за судебным приказом. Указ о предупреждении насилия в семье (Поправка) 2008</w:t>
      </w:r>
      <w:r w:rsidR="00B92291">
        <w:t> год</w:t>
      </w:r>
      <w:r w:rsidRPr="00CB2C86">
        <w:t>а усиливает защиту жертв насилия. Он вносит п</w:t>
      </w:r>
      <w:r w:rsidRPr="00CB2C86">
        <w:t>о</w:t>
      </w:r>
      <w:r w:rsidRPr="00CB2C86">
        <w:t>правку в предыдущий указ, расширяя сферу защиты, предусмотренную Указом, в виде судебного приказа, запрещающего насилие, чтобы защитить бывших супругов или гетеросексуальных партнеров и их детей, а также близких и дал</w:t>
      </w:r>
      <w:r w:rsidRPr="00CB2C86">
        <w:t>ь</w:t>
      </w:r>
      <w:r w:rsidRPr="00CB2C86">
        <w:t xml:space="preserve">них родственников. В добавок к прочим поправкам эта поправка разрешает также суду: </w:t>
      </w:r>
      <w:proofErr w:type="spellStart"/>
      <w:r>
        <w:t>a</w:t>
      </w:r>
      <w:proofErr w:type="spellEnd"/>
      <w:r>
        <w:t>)</w:t>
      </w:r>
      <w:r w:rsidRPr="00CB2C86">
        <w:t xml:space="preserve"> изменять или приостанавливать существующую форму опеки или приказ о доступе к детям в отношении ребенка, ставшего жертвой насилия в семье, когда суд принимает решение о лишении соответствующих прав согла</w:t>
      </w:r>
      <w:r w:rsidRPr="00CB2C86">
        <w:t>с</w:t>
      </w:r>
      <w:r w:rsidRPr="00CB2C86">
        <w:t xml:space="preserve">но УПНС; </w:t>
      </w:r>
      <w:proofErr w:type="spellStart"/>
      <w:r>
        <w:t>b</w:t>
      </w:r>
      <w:proofErr w:type="spellEnd"/>
      <w:r>
        <w:t>)</w:t>
      </w:r>
      <w:r w:rsidRPr="00CB2C86">
        <w:t xml:space="preserve"> выдавать санкцию на арест, если он обосновано полагает, что о</w:t>
      </w:r>
      <w:r w:rsidRPr="00CB2C86">
        <w:t>т</w:t>
      </w:r>
      <w:r w:rsidRPr="00CB2C86">
        <w:t>ветчик обязательно нанесет телесные повреждения соответствующему заявит</w:t>
      </w:r>
      <w:r w:rsidRPr="00CB2C86">
        <w:t>е</w:t>
      </w:r>
      <w:r w:rsidRPr="00CB2C86">
        <w:t xml:space="preserve">лю/ребенку; </w:t>
      </w:r>
      <w:proofErr w:type="spellStart"/>
      <w:r>
        <w:t>c</w:t>
      </w:r>
      <w:proofErr w:type="spellEnd"/>
      <w:r>
        <w:t>)</w:t>
      </w:r>
      <w:r w:rsidRPr="00CB2C86">
        <w:t xml:space="preserve"> обязать нарушителя посещать программу борьбы с насилием, утвержденную директором ДСО, чтобы изменить его/ее отношение и повед</w:t>
      </w:r>
      <w:r w:rsidRPr="00CB2C86">
        <w:t>е</w:t>
      </w:r>
      <w:r w:rsidRPr="00CB2C86">
        <w:t>ние, которое стало основанием для издания судебного приказа.</w:t>
      </w:r>
    </w:p>
    <w:p w:rsidR="00F936A8" w:rsidRPr="00CB2C86" w:rsidRDefault="00F936A8" w:rsidP="00F91733">
      <w:pPr>
        <w:pStyle w:val="H23GR"/>
        <w:tabs>
          <w:tab w:val="left" w:pos="1980"/>
          <w:tab w:val="left" w:pos="2520"/>
        </w:tabs>
      </w:pPr>
      <w:r w:rsidRPr="00CB2C86">
        <w:tab/>
      </w:r>
      <w:r w:rsidRPr="00CB2C86">
        <w:tab/>
        <w:t>Структура и меры по предупреждению и борьбе с насилием в семье</w:t>
      </w:r>
    </w:p>
    <w:p w:rsidR="00F936A8" w:rsidRPr="00CB2C86" w:rsidRDefault="00F936A8" w:rsidP="00F91733">
      <w:pPr>
        <w:pStyle w:val="SingleTxtGR"/>
        <w:tabs>
          <w:tab w:val="clear" w:pos="1701"/>
          <w:tab w:val="clear" w:pos="2268"/>
          <w:tab w:val="left" w:pos="1980"/>
          <w:tab w:val="left" w:pos="2520"/>
        </w:tabs>
      </w:pPr>
      <w:r w:rsidRPr="00CB2C86">
        <w:t>10.48</w:t>
      </w:r>
      <w:r w:rsidRPr="00CB2C86">
        <w:tab/>
        <w:t>Мы еще больше умножили наши совместные усилия по предупрежд</w:t>
      </w:r>
      <w:r w:rsidRPr="00CB2C86">
        <w:t>е</w:t>
      </w:r>
      <w:r w:rsidRPr="00CB2C86">
        <w:t>нию и борьбе с насилием в семье и усилили помощь его жертвам. Чтобы обле</w:t>
      </w:r>
      <w:r w:rsidRPr="00CB2C86">
        <w:t>г</w:t>
      </w:r>
      <w:r w:rsidRPr="00CB2C86">
        <w:t>чить предупреждение случаев насилия в семье и реализацию различных ин</w:t>
      </w:r>
      <w:r w:rsidRPr="00CB2C86">
        <w:t>и</w:t>
      </w:r>
      <w:r w:rsidRPr="00CB2C86">
        <w:t>циатив, касающихся борьбы с насилием в семье, был увеличен штат сотрудн</w:t>
      </w:r>
      <w:r w:rsidRPr="00CB2C86">
        <w:t>и</w:t>
      </w:r>
      <w:r w:rsidRPr="00CB2C86">
        <w:t>ков ДСО:</w:t>
      </w:r>
    </w:p>
    <w:p w:rsidR="00F936A8" w:rsidRPr="00CB2C86" w:rsidRDefault="00F936A8" w:rsidP="00F91733">
      <w:pPr>
        <w:pStyle w:val="SingleTxtGR"/>
        <w:tabs>
          <w:tab w:val="clear" w:pos="1701"/>
          <w:tab w:val="clear" w:pos="2268"/>
          <w:tab w:val="left" w:pos="1980"/>
          <w:tab w:val="left" w:pos="2520"/>
        </w:tabs>
      </w:pPr>
      <w:r>
        <w:tab/>
      </w:r>
      <w:proofErr w:type="spellStart"/>
      <w:r>
        <w:t>a</w:t>
      </w:r>
      <w:proofErr w:type="spellEnd"/>
      <w:r>
        <w:t>)</w:t>
      </w:r>
      <w:r w:rsidRPr="00CB2C86">
        <w:tab/>
        <w:t>хотя государственная структура, упомянутая в пункте 10.42 пр</w:t>
      </w:r>
      <w:r w:rsidRPr="00CB2C86">
        <w:t>е</w:t>
      </w:r>
      <w:r w:rsidRPr="00CB2C86">
        <w:t>дыдущего доклада, продолжает функционировать, на окружном уровне 13 о</w:t>
      </w:r>
      <w:r w:rsidRPr="00CB2C86">
        <w:t>к</w:t>
      </w:r>
      <w:r w:rsidRPr="00CB2C86">
        <w:t>ружных координационных комитетов по охране семьи и детства были преобр</w:t>
      </w:r>
      <w:r w:rsidRPr="00CB2C86">
        <w:t>а</w:t>
      </w:r>
      <w:r w:rsidRPr="00CB2C86">
        <w:t>зованы в 11</w:t>
      </w:r>
      <w:r>
        <w:t> </w:t>
      </w:r>
      <w:r w:rsidRPr="00CB2C86">
        <w:t>комитетов. Кроме того, для дальнейшего укрепления связей между ДСО, Полицией и местными социальными службами в марте 2005</w:t>
      </w:r>
      <w:r w:rsidR="00B92291">
        <w:t> год</w:t>
      </w:r>
      <w:r w:rsidRPr="00CB2C86">
        <w:t>а на те</w:t>
      </w:r>
      <w:r w:rsidRPr="00CB2C86">
        <w:t>р</w:t>
      </w:r>
      <w:r w:rsidRPr="00CB2C86">
        <w:t>ритории было создано 13 окружных Групп связи по вопросам насилия в семье, которые в середине 2007</w:t>
      </w:r>
      <w:r w:rsidR="00B92291">
        <w:t> год</w:t>
      </w:r>
      <w:r w:rsidRPr="00CB2C86">
        <w:t>а были реорганизованы в 11 групп, чтобы заинт</w:t>
      </w:r>
      <w:r w:rsidRPr="00CB2C86">
        <w:t>е</w:t>
      </w:r>
      <w:r w:rsidRPr="00CB2C86">
        <w:t>ресованные специалисты могли обсуждать меры, направленные на укрепление сотруднич</w:t>
      </w:r>
      <w:r w:rsidRPr="00CB2C86">
        <w:t>е</w:t>
      </w:r>
      <w:r w:rsidRPr="00CB2C86">
        <w:t>ства на окружном уровне в деле предупреждения случаев насилия в семье, ос</w:t>
      </w:r>
      <w:r w:rsidRPr="00CB2C86">
        <w:t>о</w:t>
      </w:r>
      <w:r w:rsidRPr="00CB2C86">
        <w:t xml:space="preserve">бенно в случаях особого риска; </w:t>
      </w:r>
    </w:p>
    <w:p w:rsidR="00F936A8" w:rsidRPr="00CB2C86" w:rsidRDefault="00F936A8" w:rsidP="00F91733">
      <w:pPr>
        <w:pStyle w:val="SingleTxtGR"/>
        <w:tabs>
          <w:tab w:val="clear" w:pos="1701"/>
          <w:tab w:val="clear" w:pos="2268"/>
          <w:tab w:val="left" w:pos="1980"/>
          <w:tab w:val="left" w:pos="2520"/>
        </w:tabs>
      </w:pPr>
      <w:r>
        <w:tab/>
      </w:r>
      <w:proofErr w:type="spellStart"/>
      <w:r>
        <w:t>b</w:t>
      </w:r>
      <w:proofErr w:type="spellEnd"/>
      <w:r>
        <w:t>)</w:t>
      </w:r>
      <w:r w:rsidRPr="00CB2C86">
        <w:tab/>
        <w:t>помимо учебных курсов по профилактике насилия в семье на г</w:t>
      </w:r>
      <w:r w:rsidRPr="00CB2C86">
        <w:t>о</w:t>
      </w:r>
      <w:r w:rsidRPr="00CB2C86">
        <w:t>сударственном уровне, о которых упоминалось в пункте 10.43 предыдущего доклада, для удовлетворения конкретных потребностей отдельных округов на окружном уровне также организуется профессиональная подготовка. Дополн</w:t>
      </w:r>
      <w:r w:rsidRPr="00CB2C86">
        <w:t>и</w:t>
      </w:r>
      <w:r w:rsidRPr="00CB2C86">
        <w:t>тельную подготовку с учетом поправок, внесенных в Указ о предупреждении насилия в семье, также проходят практические социальные работники и сл</w:t>
      </w:r>
      <w:r w:rsidRPr="00CB2C86">
        <w:t>у</w:t>
      </w:r>
      <w:r w:rsidRPr="00CB2C86">
        <w:t>жащие Пол</w:t>
      </w:r>
      <w:r w:rsidRPr="00CB2C86">
        <w:t>и</w:t>
      </w:r>
      <w:r w:rsidRPr="00CB2C86">
        <w:t xml:space="preserve">ции (см. пункт 10.47 выше); </w:t>
      </w:r>
    </w:p>
    <w:p w:rsidR="00F936A8" w:rsidRPr="00CB2C86" w:rsidRDefault="00F936A8" w:rsidP="00F91733">
      <w:pPr>
        <w:pStyle w:val="SingleTxtGR"/>
        <w:tabs>
          <w:tab w:val="clear" w:pos="1701"/>
          <w:tab w:val="clear" w:pos="2268"/>
          <w:tab w:val="left" w:pos="1980"/>
          <w:tab w:val="left" w:pos="2520"/>
        </w:tabs>
      </w:pPr>
      <w:r>
        <w:tab/>
      </w:r>
      <w:proofErr w:type="spellStart"/>
      <w:r>
        <w:t>c</w:t>
      </w:r>
      <w:proofErr w:type="spellEnd"/>
      <w:r>
        <w:t>)</w:t>
      </w:r>
      <w:r w:rsidRPr="00CB2C86">
        <w:tab/>
        <w:t>мы обновили руководство по предупреждению случаев жесток</w:t>
      </w:r>
      <w:r w:rsidRPr="00CB2C86">
        <w:t>о</w:t>
      </w:r>
      <w:r w:rsidRPr="00CB2C86">
        <w:t>го обращения с детьми, избиения супругов и сексуального насилия, которым могли бы пользоваться в качестве справочного материала различные специал</w:t>
      </w:r>
      <w:r w:rsidRPr="00CB2C86">
        <w:t>и</w:t>
      </w:r>
      <w:r w:rsidRPr="00CB2C86">
        <w:t>сты, з</w:t>
      </w:r>
      <w:r w:rsidRPr="00CB2C86">
        <w:t>а</w:t>
      </w:r>
      <w:r w:rsidRPr="00CB2C86">
        <w:t>нимающиеся предупреждением насилия в семье</w:t>
      </w:r>
      <w:r w:rsidRPr="004F0ED8">
        <w:rPr>
          <w:sz w:val="18"/>
          <w:szCs w:val="18"/>
          <w:vertAlign w:val="superscript"/>
          <w:lang w:val="en-GB"/>
        </w:rPr>
        <w:footnoteReference w:id="9"/>
      </w:r>
      <w:r>
        <w:t>;</w:t>
      </w:r>
    </w:p>
    <w:p w:rsidR="00F936A8" w:rsidRPr="00CB2C86" w:rsidRDefault="00F936A8" w:rsidP="00F91733">
      <w:pPr>
        <w:pStyle w:val="SingleTxtGR"/>
        <w:tabs>
          <w:tab w:val="clear" w:pos="1701"/>
          <w:tab w:val="clear" w:pos="2268"/>
          <w:tab w:val="left" w:pos="1980"/>
          <w:tab w:val="left" w:pos="2520"/>
        </w:tabs>
      </w:pPr>
      <w:r>
        <w:tab/>
      </w:r>
      <w:proofErr w:type="spellStart"/>
      <w:r>
        <w:t>d</w:t>
      </w:r>
      <w:proofErr w:type="spellEnd"/>
      <w:r>
        <w:t>)</w:t>
      </w:r>
      <w:r w:rsidRPr="00CB2C86">
        <w:tab/>
        <w:t>в развитие механизма экстренной помощи, упомянутого в пун</w:t>
      </w:r>
      <w:r w:rsidRPr="00CB2C86">
        <w:t>к</w:t>
      </w:r>
      <w:r w:rsidRPr="00CB2C86">
        <w:t>те</w:t>
      </w:r>
      <w:r>
        <w:t> </w:t>
      </w:r>
      <w:r w:rsidRPr="00CB2C86">
        <w:t>10.44 предыдущего доклада, с 2006</w:t>
      </w:r>
      <w:r w:rsidR="00B92291">
        <w:t> год</w:t>
      </w:r>
      <w:r w:rsidRPr="00CB2C86">
        <w:t>а ДСО использует круглосуточную прямую телефонную линию связи с Полицией, чтобы сотрудники Полиции мо</w:t>
      </w:r>
      <w:r w:rsidRPr="00CB2C86">
        <w:t>г</w:t>
      </w:r>
      <w:r w:rsidRPr="00CB2C86">
        <w:t>ли получить срочный профессиональный совет и/или немедленную помощь с</w:t>
      </w:r>
      <w:r w:rsidRPr="00CB2C86">
        <w:t>о</w:t>
      </w:r>
      <w:r w:rsidRPr="00CB2C86">
        <w:t>циальн</w:t>
      </w:r>
      <w:r w:rsidRPr="00CB2C86">
        <w:t>о</w:t>
      </w:r>
      <w:r w:rsidRPr="00CB2C86">
        <w:t>го работника в случаях, не терпящих отлагательства, и высокого риска. С 2006</w:t>
      </w:r>
      <w:r w:rsidR="00B92291">
        <w:t> год</w:t>
      </w:r>
      <w:r w:rsidRPr="00CB2C86">
        <w:t>а Полиция также совершенствует процедуры предупреждения случ</w:t>
      </w:r>
      <w:r w:rsidRPr="00CB2C86">
        <w:t>а</w:t>
      </w:r>
      <w:r w:rsidRPr="00CB2C86">
        <w:t xml:space="preserve">ев насилия в семье, чтобы </w:t>
      </w:r>
      <w:proofErr w:type="spellStart"/>
      <w:r w:rsidRPr="00CB2C86">
        <w:t>оперативнее</w:t>
      </w:r>
      <w:proofErr w:type="spellEnd"/>
      <w:r w:rsidRPr="00CB2C86">
        <w:t xml:space="preserve"> и более профессионально реагировать на сообщения о случаях насилия в семье; </w:t>
      </w:r>
    </w:p>
    <w:p w:rsidR="00F936A8" w:rsidRPr="00CB2C86" w:rsidRDefault="00F936A8" w:rsidP="00F91733">
      <w:pPr>
        <w:pStyle w:val="SingleTxtGR"/>
        <w:tabs>
          <w:tab w:val="clear" w:pos="1701"/>
          <w:tab w:val="clear" w:pos="2268"/>
          <w:tab w:val="left" w:pos="1980"/>
          <w:tab w:val="left" w:pos="2520"/>
        </w:tabs>
      </w:pPr>
      <w:r>
        <w:tab/>
      </w:r>
      <w:proofErr w:type="spellStart"/>
      <w:r>
        <w:t>e</w:t>
      </w:r>
      <w:proofErr w:type="spellEnd"/>
      <w:r>
        <w:t>)</w:t>
      </w:r>
      <w:r w:rsidRPr="00CB2C86">
        <w:tab/>
        <w:t>в марте 2007</w:t>
      </w:r>
      <w:r w:rsidR="00B92291">
        <w:t> год</w:t>
      </w:r>
      <w:r w:rsidRPr="00CB2C86">
        <w:t>а для круглосуточного оказания своевременных, профессиональных и специализированных услуг жертвам насилия в семье об</w:t>
      </w:r>
      <w:r w:rsidRPr="00CB2C86">
        <w:t>о</w:t>
      </w:r>
      <w:r w:rsidRPr="00CB2C86">
        <w:t>их полов и членам их семей был создан кризисный центр помощи жертвам н</w:t>
      </w:r>
      <w:r w:rsidRPr="00CB2C86">
        <w:t>а</w:t>
      </w:r>
      <w:r w:rsidRPr="00CB2C86">
        <w:t>силия в семье, находящийся в ведении одной НПО и финансируемый Лотере</w:t>
      </w:r>
      <w:r w:rsidRPr="00CB2C86">
        <w:t>й</w:t>
      </w:r>
      <w:r w:rsidRPr="00CB2C86">
        <w:t>ным фондом. К услугам, оказываемым центром, относятся краткосрочное ра</w:t>
      </w:r>
      <w:r w:rsidRPr="00CB2C86">
        <w:t>з</w:t>
      </w:r>
      <w:r w:rsidRPr="00CB2C86">
        <w:t>мещение взрослых жертв сексуального насилия и отдельных лиц/семей, кот</w:t>
      </w:r>
      <w:r w:rsidRPr="00CB2C86">
        <w:t>о</w:t>
      </w:r>
      <w:r w:rsidRPr="00CB2C86">
        <w:t>рым грозит насилие в семье или семейный конфликт, в кризисных центрах, круглосуточная горячая линия для населения, консультации психологов и н</w:t>
      </w:r>
      <w:r w:rsidRPr="00CB2C86">
        <w:t>е</w:t>
      </w:r>
      <w:r w:rsidRPr="00CB2C86">
        <w:t>медленное адре</w:t>
      </w:r>
      <w:r w:rsidRPr="00CB2C86">
        <w:t>с</w:t>
      </w:r>
      <w:r w:rsidRPr="00CB2C86">
        <w:t xml:space="preserve">ное/кризисное вмешательство; </w:t>
      </w:r>
    </w:p>
    <w:p w:rsidR="00F936A8" w:rsidRPr="00CB2C86" w:rsidRDefault="00F936A8" w:rsidP="00F91733">
      <w:pPr>
        <w:pStyle w:val="SingleTxtGR"/>
        <w:tabs>
          <w:tab w:val="clear" w:pos="1701"/>
          <w:tab w:val="clear" w:pos="2268"/>
          <w:tab w:val="left" w:pos="1980"/>
          <w:tab w:val="left" w:pos="2520"/>
        </w:tabs>
      </w:pPr>
      <w:r>
        <w:tab/>
      </w:r>
      <w:proofErr w:type="spellStart"/>
      <w:r>
        <w:t>f</w:t>
      </w:r>
      <w:proofErr w:type="spellEnd"/>
      <w:r>
        <w:t>)</w:t>
      </w:r>
      <w:r w:rsidRPr="00CB2C86">
        <w:tab/>
        <w:t>ДСО находится в процессе осуществления новой программы, нацеленной на оказание помощи жертвам насилия в семье, особенно тем, кто участвует в судебном разбирательстве; и</w:t>
      </w:r>
    </w:p>
    <w:p w:rsidR="00F936A8" w:rsidRPr="00CB2C86" w:rsidRDefault="00F936A8" w:rsidP="00F91733">
      <w:pPr>
        <w:pStyle w:val="SingleTxtGR"/>
        <w:tabs>
          <w:tab w:val="clear" w:pos="1701"/>
          <w:tab w:val="clear" w:pos="2268"/>
          <w:tab w:val="left" w:pos="1980"/>
          <w:tab w:val="left" w:pos="2520"/>
        </w:tabs>
      </w:pPr>
      <w:r>
        <w:tab/>
      </w:r>
      <w:proofErr w:type="spellStart"/>
      <w:r>
        <w:t>g</w:t>
      </w:r>
      <w:proofErr w:type="spellEnd"/>
      <w:r>
        <w:t>)</w:t>
      </w:r>
      <w:r w:rsidRPr="00CB2C86">
        <w:tab/>
        <w:t>в дополнение к сказанному в пункте 10.46 предыдущего докл</w:t>
      </w:r>
      <w:r w:rsidRPr="00CB2C86">
        <w:t>а</w:t>
      </w:r>
      <w:r w:rsidRPr="00CB2C86">
        <w:t>да, центры материальной помощи семьям и центры социального обслуживания с</w:t>
      </w:r>
      <w:r w:rsidRPr="00CB2C86">
        <w:t>е</w:t>
      </w:r>
      <w:r w:rsidRPr="00CB2C86">
        <w:t xml:space="preserve">мей были преобразованы в ЦКСОС, призванные эффективнее предоставлять социальные услуги малообеспеченным семьям. </w:t>
      </w:r>
    </w:p>
    <w:p w:rsidR="00F936A8" w:rsidRPr="00CB2C86" w:rsidRDefault="00F936A8" w:rsidP="00F91733">
      <w:pPr>
        <w:pStyle w:val="H23GR"/>
        <w:tabs>
          <w:tab w:val="left" w:pos="1980"/>
          <w:tab w:val="left" w:pos="2520"/>
        </w:tabs>
      </w:pPr>
      <w:r w:rsidRPr="00CB2C86">
        <w:tab/>
      </w:r>
      <w:r w:rsidRPr="00CB2C86">
        <w:tab/>
        <w:t>Информационно-пропагандистская деятельность</w:t>
      </w:r>
    </w:p>
    <w:p w:rsidR="00F936A8" w:rsidRPr="00CB2C86" w:rsidRDefault="00F936A8" w:rsidP="00F91733">
      <w:pPr>
        <w:pStyle w:val="SingleTxtGR"/>
        <w:tabs>
          <w:tab w:val="clear" w:pos="1701"/>
          <w:tab w:val="clear" w:pos="2268"/>
          <w:tab w:val="left" w:pos="1980"/>
          <w:tab w:val="left" w:pos="2520"/>
        </w:tabs>
      </w:pPr>
      <w:r w:rsidRPr="00CB2C86">
        <w:t>10.49</w:t>
      </w:r>
      <w:r w:rsidRPr="00CB2C86">
        <w:tab/>
        <w:t>Чтобы повысить уровень информированности общественности о пр</w:t>
      </w:r>
      <w:r w:rsidRPr="00CB2C86">
        <w:t>е</w:t>
      </w:r>
      <w:r w:rsidRPr="00CB2C86">
        <w:t xml:space="preserve">дупреждении насилия в семье и о большом значении семейной солидарности, а также чтобы поощрить жертв обращаться за помощью на раннем этапе, ДСО организовал информационно-пропагандистскую кампанию </w:t>
      </w:r>
      <w:r>
        <w:t>"</w:t>
      </w:r>
      <w:r w:rsidRPr="00CB2C86">
        <w:t>Укрепление семей и борьба с насилием</w:t>
      </w:r>
      <w:r>
        <w:t>"</w:t>
      </w:r>
      <w:r w:rsidRPr="00CB2C86">
        <w:t>, преследуя цель содействовать, в частности, предупре</w:t>
      </w:r>
      <w:r w:rsidRPr="00CB2C86">
        <w:t>ж</w:t>
      </w:r>
      <w:r w:rsidRPr="00CB2C86">
        <w:t>дению жестокого обращения с детьми, избиения супругов и сексуального нас</w:t>
      </w:r>
      <w:r w:rsidRPr="00CB2C86">
        <w:t>и</w:t>
      </w:r>
      <w:r w:rsidRPr="00CB2C86">
        <w:t>лия, жестокого обращения с престарелыми. Мы продолжим наши усилия по просвещению общественности в этой области.</w:t>
      </w:r>
    </w:p>
    <w:p w:rsidR="00F936A8" w:rsidRPr="00CB2C86" w:rsidRDefault="00F936A8" w:rsidP="00F91733">
      <w:pPr>
        <w:pStyle w:val="H23GR"/>
        <w:tabs>
          <w:tab w:val="left" w:pos="1980"/>
          <w:tab w:val="left" w:pos="2520"/>
        </w:tabs>
      </w:pPr>
      <w:r w:rsidRPr="00CB2C86">
        <w:tab/>
      </w:r>
      <w:r w:rsidRPr="00CB2C86">
        <w:tab/>
        <w:t xml:space="preserve">Доклад Комиссии по делам женщин о безопасности женщин </w:t>
      </w:r>
    </w:p>
    <w:p w:rsidR="00F936A8" w:rsidRPr="00CB2C86" w:rsidRDefault="00F936A8" w:rsidP="00F91733">
      <w:pPr>
        <w:pStyle w:val="SingleTxtGR"/>
        <w:tabs>
          <w:tab w:val="clear" w:pos="1701"/>
          <w:tab w:val="clear" w:pos="2268"/>
          <w:tab w:val="left" w:pos="1980"/>
          <w:tab w:val="left" w:pos="2520"/>
        </w:tabs>
      </w:pPr>
      <w:r w:rsidRPr="00CB2C86">
        <w:t>10.50</w:t>
      </w:r>
      <w:r w:rsidRPr="00CB2C86">
        <w:tab/>
        <w:t>В связи с растущей озабоченностью по поводу насилия в семье в я</w:t>
      </w:r>
      <w:r w:rsidRPr="00CB2C86">
        <w:t>н</w:t>
      </w:r>
      <w:r w:rsidRPr="00CB2C86">
        <w:t>варе 2006</w:t>
      </w:r>
      <w:r w:rsidR="00B92291">
        <w:t> год</w:t>
      </w:r>
      <w:r w:rsidRPr="00CB2C86">
        <w:t xml:space="preserve">а КДЖ опубликовала доклад под названием </w:t>
      </w:r>
      <w:r>
        <w:t>"</w:t>
      </w:r>
      <w:r w:rsidRPr="00CB2C86">
        <w:t>Безопасность же</w:t>
      </w:r>
      <w:r w:rsidRPr="00CB2C86">
        <w:t>н</w:t>
      </w:r>
      <w:r w:rsidRPr="00CB2C86">
        <w:t xml:space="preserve">щин в Гонконге </w:t>
      </w:r>
      <w:r>
        <w:t>−</w:t>
      </w:r>
      <w:r w:rsidRPr="00CB2C86">
        <w:t xml:space="preserve"> покончим с насилием в семье</w:t>
      </w:r>
      <w:r>
        <w:t>"</w:t>
      </w:r>
      <w:r w:rsidRPr="00CB2C86">
        <w:t xml:space="preserve">. Его цель </w:t>
      </w:r>
      <w:r>
        <w:t>−</w:t>
      </w:r>
      <w:r w:rsidRPr="00CB2C86">
        <w:t xml:space="preserve"> заложить прочную основу для формирования концепции насилия в семье в Гонконге и наметить стратегии расширения прав и возможностей жертв, предотвращения насилия и обеспечения своевременного и эффективного вмешательства, а также содейс</w:t>
      </w:r>
      <w:r w:rsidRPr="00CB2C86">
        <w:t>т</w:t>
      </w:r>
      <w:r w:rsidRPr="00CB2C86">
        <w:t>вия мун</w:t>
      </w:r>
      <w:r w:rsidRPr="00CB2C86">
        <w:t>и</w:t>
      </w:r>
      <w:r w:rsidRPr="00CB2C86">
        <w:t xml:space="preserve">ципальному образованию взрослых и поддержке общества. </w:t>
      </w:r>
    </w:p>
    <w:p w:rsidR="00F936A8" w:rsidRPr="00CB2C86" w:rsidRDefault="00F936A8" w:rsidP="00F91733">
      <w:pPr>
        <w:pStyle w:val="SingleTxtGR"/>
        <w:tabs>
          <w:tab w:val="clear" w:pos="1701"/>
          <w:tab w:val="clear" w:pos="2268"/>
          <w:tab w:val="left" w:pos="1980"/>
          <w:tab w:val="left" w:pos="2520"/>
        </w:tabs>
      </w:pPr>
      <w:r w:rsidRPr="00CB2C86">
        <w:t>10.51</w:t>
      </w:r>
      <w:r w:rsidRPr="00CB2C86">
        <w:tab/>
        <w:t>После консультаций с более чем 50 организациями и соответству</w:t>
      </w:r>
      <w:r w:rsidRPr="00CB2C86">
        <w:t>ю</w:t>
      </w:r>
      <w:r w:rsidRPr="00CB2C86">
        <w:t>щими государственными департаментами КДЖ рекомендовала для предупре</w:t>
      </w:r>
      <w:r w:rsidRPr="00CB2C86">
        <w:t>ж</w:t>
      </w:r>
      <w:r w:rsidRPr="00CB2C86">
        <w:t>дения насилия в семье применять междисциплинарную модель вмешательства. КДЖ рекомендовала также пять ключевых принципов, а именно: расширение прав и возможностей женщин, предупреждение насилия, просвещение и по</w:t>
      </w:r>
      <w:r w:rsidRPr="00CB2C86">
        <w:t>д</w:t>
      </w:r>
      <w:r w:rsidRPr="00CB2C86">
        <w:t>держка общества, раннее вмешательство, меры уголовной юстиции и исслед</w:t>
      </w:r>
      <w:r w:rsidRPr="00CB2C86">
        <w:t>о</w:t>
      </w:r>
      <w:r w:rsidRPr="00CB2C86">
        <w:t>вания, обмен данными и распространение результатов исследований. КДЖ та</w:t>
      </w:r>
      <w:r w:rsidRPr="00CB2C86">
        <w:t>к</w:t>
      </w:r>
      <w:r w:rsidRPr="00CB2C86">
        <w:t>же дала 21 рекомендацию, касающуюся реформирования законодательства, си</w:t>
      </w:r>
      <w:r w:rsidRPr="00CB2C86">
        <w:t>с</w:t>
      </w:r>
      <w:r w:rsidRPr="00CB2C86">
        <w:t>темы с</w:t>
      </w:r>
      <w:r w:rsidRPr="00CB2C86">
        <w:t>о</w:t>
      </w:r>
      <w:r w:rsidRPr="00CB2C86">
        <w:t>циальных услуг, информационно-пропагандистской работы, обмена професси</w:t>
      </w:r>
      <w:r w:rsidRPr="00CB2C86">
        <w:t>о</w:t>
      </w:r>
      <w:r w:rsidRPr="00CB2C86">
        <w:t xml:space="preserve">нальными данными, всестороннего учета </w:t>
      </w:r>
      <w:proofErr w:type="spellStart"/>
      <w:r w:rsidRPr="00CB2C86">
        <w:t>гендерной</w:t>
      </w:r>
      <w:proofErr w:type="spellEnd"/>
      <w:r w:rsidRPr="00CB2C86">
        <w:t xml:space="preserve"> специфики, профессиональной подготовки по </w:t>
      </w:r>
      <w:proofErr w:type="spellStart"/>
      <w:r w:rsidRPr="00CB2C86">
        <w:t>гендерным</w:t>
      </w:r>
      <w:proofErr w:type="spellEnd"/>
      <w:r w:rsidRPr="00CB2C86">
        <w:t xml:space="preserve"> вопросам, а также раннего выя</w:t>
      </w:r>
      <w:r w:rsidRPr="00CB2C86">
        <w:t>в</w:t>
      </w:r>
      <w:r w:rsidRPr="00CB2C86">
        <w:t xml:space="preserve">ления и вмешательства. </w:t>
      </w:r>
    </w:p>
    <w:p w:rsidR="00F936A8" w:rsidRPr="00CB2C86" w:rsidRDefault="00F936A8" w:rsidP="00F91733">
      <w:pPr>
        <w:pStyle w:val="SingleTxtGR"/>
        <w:tabs>
          <w:tab w:val="clear" w:pos="1701"/>
          <w:tab w:val="clear" w:pos="2268"/>
          <w:tab w:val="left" w:pos="1980"/>
          <w:tab w:val="left" w:pos="2520"/>
        </w:tabs>
      </w:pPr>
      <w:r w:rsidRPr="00CB2C86">
        <w:t>10.52</w:t>
      </w:r>
      <w:r w:rsidRPr="00CB2C86">
        <w:tab/>
        <w:t>В августе 2009</w:t>
      </w:r>
      <w:r w:rsidR="00B92291">
        <w:t> год</w:t>
      </w:r>
      <w:r w:rsidRPr="00CB2C86">
        <w:t>а для обзора достигнуто прогресса после выхода первого доклада в январе 2006</w:t>
      </w:r>
      <w:r w:rsidR="00B92291">
        <w:t> год</w:t>
      </w:r>
      <w:r w:rsidRPr="00CB2C86">
        <w:t>а КДЖ опубликовала дополнение к нему, оз</w:t>
      </w:r>
      <w:r w:rsidRPr="00CB2C86">
        <w:t>а</w:t>
      </w:r>
      <w:r w:rsidRPr="00CB2C86">
        <w:t xml:space="preserve">главленное </w:t>
      </w:r>
      <w:r>
        <w:t>"</w:t>
      </w:r>
      <w:r w:rsidRPr="00CB2C86">
        <w:t xml:space="preserve">Безопасность женщин в Гонконге </w:t>
      </w:r>
      <w:r>
        <w:t>−</w:t>
      </w:r>
      <w:r w:rsidRPr="00CB2C86">
        <w:t xml:space="preserve"> покончим с насилием в семье. Обновление и следующий шаг</w:t>
      </w:r>
      <w:r>
        <w:t>"</w:t>
      </w:r>
      <w:r w:rsidRPr="00CB2C86">
        <w:t>. КДЖ с гордостью отметила, что на различных фронтах был достигнут существенный прогресс, в частности, речь о поправках к Указу о предупреждении насилия в семье, новых дополнительных мерах, принятых Полицией для предупреждения случаев насилия в семье, укреплении системы социальных услуг и помощи жертвам насилия в семье и программах санкций в отношении субъектов насилия, повышении уровня информированн</w:t>
      </w:r>
      <w:r w:rsidRPr="00CB2C86">
        <w:t>о</w:t>
      </w:r>
      <w:r w:rsidRPr="00CB2C86">
        <w:t>сти общественности о проблеме насилия в семье через систему просвещения общественности и профессиональной подготовке практических специалистов. К тому же НПО, общественные группы и женские организации в дополнение к государственным усилиям по укреплению сети общественной поддержки и п</w:t>
      </w:r>
      <w:r w:rsidRPr="00CB2C86">
        <w:t>о</w:t>
      </w:r>
      <w:r w:rsidRPr="00CB2C86">
        <w:t xml:space="preserve">вышению информированности общественности о проблеме насилия в семье осуществляют различные программы и мероприятия как на общинном, так и районом уровнях. </w:t>
      </w:r>
    </w:p>
    <w:p w:rsidR="00F936A8" w:rsidRPr="00CB2C86" w:rsidRDefault="00F936A8" w:rsidP="00F91733">
      <w:pPr>
        <w:pStyle w:val="SingleTxtGR"/>
        <w:tabs>
          <w:tab w:val="clear" w:pos="1701"/>
          <w:tab w:val="clear" w:pos="2268"/>
          <w:tab w:val="left" w:pos="1980"/>
          <w:tab w:val="left" w:pos="2520"/>
        </w:tabs>
      </w:pPr>
      <w:r w:rsidRPr="00CB2C86">
        <w:t>10.53</w:t>
      </w:r>
      <w:r w:rsidRPr="00CB2C86">
        <w:tab/>
        <w:t xml:space="preserve">Упомянутые выше доклады получили широкое распространение среди общественности, включая ЗС, общинные группы и женские организации. Эти доклады были также размещены для ознакомления общественности на </w:t>
      </w:r>
      <w:proofErr w:type="spellStart"/>
      <w:r>
        <w:t>вебсайт</w:t>
      </w:r>
      <w:r w:rsidRPr="00CB2C86">
        <w:t>е</w:t>
      </w:r>
      <w:proofErr w:type="spellEnd"/>
      <w:r w:rsidRPr="00CB2C86">
        <w:t xml:space="preserve"> КДЖ (</w:t>
      </w:r>
      <w:r w:rsidRPr="00CB2C86">
        <w:rPr>
          <w:lang w:val="en-GB"/>
        </w:rPr>
        <w:t>www</w:t>
      </w:r>
      <w:r w:rsidRPr="00CB2C86">
        <w:t>.</w:t>
      </w:r>
      <w:r w:rsidRPr="00CB2C86">
        <w:rPr>
          <w:lang w:val="en-GB"/>
        </w:rPr>
        <w:t>women</w:t>
      </w:r>
      <w:r w:rsidRPr="00CB2C86">
        <w:t>.</w:t>
      </w:r>
      <w:proofErr w:type="spellStart"/>
      <w:r w:rsidRPr="00CB2C86">
        <w:rPr>
          <w:lang w:val="en-GB"/>
        </w:rPr>
        <w:t>gov</w:t>
      </w:r>
      <w:proofErr w:type="spellEnd"/>
      <w:r w:rsidRPr="00CB2C86">
        <w:t>.</w:t>
      </w:r>
      <w:proofErr w:type="spellStart"/>
      <w:r w:rsidRPr="00CB2C86">
        <w:rPr>
          <w:lang w:val="en-GB"/>
        </w:rPr>
        <w:t>hk</w:t>
      </w:r>
      <w:proofErr w:type="spellEnd"/>
      <w:r w:rsidRPr="00CB2C86">
        <w:t>).</w:t>
      </w:r>
    </w:p>
    <w:p w:rsidR="00F936A8" w:rsidRPr="00CB2C86" w:rsidRDefault="00F936A8" w:rsidP="00F91733">
      <w:pPr>
        <w:pStyle w:val="H1GR"/>
        <w:tabs>
          <w:tab w:val="left" w:pos="1980"/>
          <w:tab w:val="left" w:pos="2520"/>
        </w:tabs>
      </w:pPr>
      <w:r w:rsidRPr="00CB2C86">
        <w:tab/>
      </w:r>
      <w:r w:rsidRPr="00CB2C86">
        <w:tab/>
        <w:t xml:space="preserve">Защита детей и подростков </w:t>
      </w:r>
    </w:p>
    <w:p w:rsidR="00F936A8" w:rsidRPr="00CB2C86" w:rsidRDefault="00F936A8" w:rsidP="00F91733">
      <w:pPr>
        <w:pStyle w:val="H23GR"/>
        <w:tabs>
          <w:tab w:val="left" w:pos="1980"/>
          <w:tab w:val="left" w:pos="2520"/>
        </w:tabs>
      </w:pPr>
      <w:r w:rsidRPr="00CB2C86">
        <w:tab/>
      </w:r>
      <w:r w:rsidRPr="00CB2C86">
        <w:tab/>
        <w:t>Защита детей от насилия</w:t>
      </w:r>
    </w:p>
    <w:p w:rsidR="00F936A8" w:rsidRPr="00CB2C86" w:rsidRDefault="00F936A8" w:rsidP="00F91733">
      <w:pPr>
        <w:pStyle w:val="SingleTxtGR"/>
        <w:tabs>
          <w:tab w:val="clear" w:pos="1701"/>
          <w:tab w:val="clear" w:pos="2268"/>
          <w:tab w:val="left" w:pos="1980"/>
          <w:tab w:val="left" w:pos="2520"/>
        </w:tabs>
      </w:pPr>
      <w:r w:rsidRPr="00CB2C86">
        <w:t>10.54</w:t>
      </w:r>
      <w:r w:rsidRPr="00CB2C86">
        <w:tab/>
        <w:t>Насильственные действия в отношении детей являются обычной фо</w:t>
      </w:r>
      <w:r w:rsidRPr="00CB2C86">
        <w:t>р</w:t>
      </w:r>
      <w:r w:rsidRPr="00CB2C86">
        <w:t xml:space="preserve">мой насилия в семье. Обновленные данные о нашей всеобъемлющей политике по защите детей от насильственных действий в этом контексте были приведены выше. </w:t>
      </w:r>
    </w:p>
    <w:p w:rsidR="00F936A8" w:rsidRPr="00CB2C86" w:rsidRDefault="00F936A8" w:rsidP="00F91733">
      <w:pPr>
        <w:pStyle w:val="SingleTxtGR"/>
        <w:tabs>
          <w:tab w:val="clear" w:pos="1701"/>
          <w:tab w:val="clear" w:pos="2268"/>
          <w:tab w:val="left" w:pos="1980"/>
          <w:tab w:val="left" w:pos="2520"/>
        </w:tabs>
      </w:pPr>
      <w:r w:rsidRPr="00CB2C86">
        <w:t>10.55</w:t>
      </w:r>
      <w:r w:rsidRPr="00CB2C86">
        <w:tab/>
        <w:t>Правовая основа предупреждения насилия над детьми в целом остае</w:t>
      </w:r>
      <w:r w:rsidRPr="00CB2C86">
        <w:t>т</w:t>
      </w:r>
      <w:r w:rsidRPr="00CB2C86">
        <w:t>ся такой же, как она излагается в пунктах 259, 260 и 262</w:t>
      </w:r>
      <w:r>
        <w:t>−</w:t>
      </w:r>
      <w:r w:rsidRPr="00CB2C86">
        <w:t>264 первоначального доклада. Указ о предупреждении преступлений против личности и Указ о пр</w:t>
      </w:r>
      <w:r w:rsidRPr="00CB2C86">
        <w:t>е</w:t>
      </w:r>
      <w:r w:rsidRPr="00CB2C86">
        <w:t>дупреждении преступлений обеспечивают надежную нормативно-правовую з</w:t>
      </w:r>
      <w:r w:rsidRPr="00CB2C86">
        <w:t>а</w:t>
      </w:r>
      <w:r w:rsidRPr="00CB2C86">
        <w:t>щиту детей от физического и сексуального насилия. Указ о защите детей и по</w:t>
      </w:r>
      <w:r w:rsidRPr="00CB2C86">
        <w:t>д</w:t>
      </w:r>
      <w:r w:rsidRPr="00CB2C86">
        <w:t xml:space="preserve">ростков </w:t>
      </w:r>
      <w:r>
        <w:t>(глава </w:t>
      </w:r>
      <w:r w:rsidRPr="00CB2C86">
        <w:t>213) уполномочивает суды выносить судебные приказы об опеке и надзоре в отношении ребенка или подростка, который подвергся насилию, жестокому обращению, остался безнадзорным или оказался без родительского контроля до такой степени, что это может быть чревато вредом как для него, так для окружающих.</w:t>
      </w:r>
    </w:p>
    <w:p w:rsidR="00F936A8" w:rsidRPr="00CB2C86" w:rsidRDefault="00F936A8" w:rsidP="00F91733">
      <w:pPr>
        <w:pStyle w:val="SingleTxtGR"/>
        <w:tabs>
          <w:tab w:val="clear" w:pos="1701"/>
          <w:tab w:val="clear" w:pos="2268"/>
          <w:tab w:val="left" w:pos="1980"/>
          <w:tab w:val="left" w:pos="2520"/>
        </w:tabs>
      </w:pPr>
      <w:r w:rsidRPr="00CB2C86">
        <w:t>10.56</w:t>
      </w:r>
      <w:r w:rsidRPr="00CB2C86">
        <w:tab/>
        <w:t>Совместными усилиями ДСО, НПО и гонконгского Совета социальн</w:t>
      </w:r>
      <w:r w:rsidRPr="00CB2C86">
        <w:t>о</w:t>
      </w:r>
      <w:r w:rsidRPr="00CB2C86">
        <w:t>го обслуживания была разработана компьютеризованная регистрационная си</w:t>
      </w:r>
      <w:r w:rsidRPr="00CB2C86">
        <w:t>с</w:t>
      </w:r>
      <w:r w:rsidRPr="00CB2C86">
        <w:t>тема, получившая название Реестр защиты ребенка. Под управлением ДСО этот реестр выполняет функции по регистрации соответствующих случаев, их пр</w:t>
      </w:r>
      <w:r w:rsidRPr="00CB2C86">
        <w:t>о</w:t>
      </w:r>
      <w:r w:rsidRPr="00CB2C86">
        <w:t>верки, а также упрощает статистические исследования. Всем социальным о</w:t>
      </w:r>
      <w:r w:rsidRPr="00CB2C86">
        <w:t>б</w:t>
      </w:r>
      <w:r w:rsidRPr="00CB2C86">
        <w:t>служивающим подразделениям ДСО и НПО, занимающимся изучением условий жизни неблагополучных семей, предлагается сообщать РЗР о случаях насилия в отношении детей и о детях, которым угрожает опасность подвергнуться нас</w:t>
      </w:r>
      <w:r w:rsidRPr="00CB2C86">
        <w:t>и</w:t>
      </w:r>
      <w:r w:rsidRPr="00CB2C86">
        <w:t>лию. Одна из главных задач РЗР состоит в том, чтобы облегчить контакты ме</w:t>
      </w:r>
      <w:r w:rsidRPr="00CB2C86">
        <w:t>ж</w:t>
      </w:r>
      <w:r w:rsidRPr="00CB2C86">
        <w:t>ду различными государственными департаментами и НПО, которые занимаются случаями насилия в отношении детей и планированием и развитием системы услуг, которые предотвращают возникновение насилия в отношении детей, в том числе программ просвещения общественности. Ниже приводятся статист</w:t>
      </w:r>
      <w:r w:rsidRPr="00CB2C86">
        <w:t>и</w:t>
      </w:r>
      <w:r w:rsidRPr="00CB2C86">
        <w:t>ческие данные о случаях насилия в отношении детей и  виды отношений суб</w:t>
      </w:r>
      <w:r w:rsidRPr="00CB2C86">
        <w:t>ъ</w:t>
      </w:r>
      <w:r w:rsidRPr="00CB2C86">
        <w:t xml:space="preserve">екта насилия с жертвой, зарегистрированные в РЗР. </w:t>
      </w:r>
    </w:p>
    <w:p w:rsidR="00F936A8" w:rsidRPr="00CB2C86" w:rsidRDefault="00F936A8" w:rsidP="00122DDF">
      <w:pPr>
        <w:pStyle w:val="H23GR"/>
        <w:tabs>
          <w:tab w:val="left" w:pos="1980"/>
        </w:tabs>
      </w:pPr>
      <w:r w:rsidRPr="00CB2C86">
        <w:tab/>
      </w:r>
      <w:r w:rsidRPr="00CB2C86">
        <w:tab/>
        <w:t>Классификация случаев насилия в отношении детей в 2005</w:t>
      </w:r>
      <w:r>
        <w:t>−</w:t>
      </w:r>
      <w:r w:rsidRPr="00CB2C86">
        <w:t>2008</w:t>
      </w:r>
      <w:r w:rsidR="00B92291">
        <w:t> год</w:t>
      </w:r>
      <w:r>
        <w:t>ах</w:t>
      </w:r>
    </w:p>
    <w:tbl>
      <w:tblPr>
        <w:tblStyle w:val="TabNum"/>
        <w:tblW w:w="7370" w:type="dxa"/>
        <w:tblInd w:w="1134" w:type="dxa"/>
        <w:tblLayout w:type="fixed"/>
        <w:tblLook w:val="01E0" w:firstRow="1" w:lastRow="1" w:firstColumn="1" w:lastColumn="1" w:noHBand="0" w:noVBand="0"/>
      </w:tblPr>
      <w:tblGrid>
        <w:gridCol w:w="3234"/>
        <w:gridCol w:w="1034"/>
        <w:gridCol w:w="1034"/>
        <w:gridCol w:w="1034"/>
        <w:gridCol w:w="1034"/>
      </w:tblGrid>
      <w:tr w:rsidR="00F936A8" w:rsidRPr="006E7ADF" w:rsidTr="00F936A8">
        <w:trPr>
          <w:tblHeader/>
        </w:trPr>
        <w:tc>
          <w:tcPr>
            <w:cnfStyle w:val="001000000000" w:firstRow="0" w:lastRow="0" w:firstColumn="1" w:lastColumn="0" w:oddVBand="0" w:evenVBand="0" w:oddHBand="0" w:evenHBand="0" w:firstRowFirstColumn="0" w:firstRowLastColumn="0" w:lastRowFirstColumn="0" w:lastRowLastColumn="0"/>
            <w:tcW w:w="3234" w:type="dxa"/>
            <w:tcBorders>
              <w:bottom w:val="single" w:sz="12" w:space="0" w:color="auto"/>
            </w:tcBorders>
            <w:shd w:val="clear" w:color="auto" w:fill="auto"/>
          </w:tcPr>
          <w:p w:rsidR="00F936A8" w:rsidRPr="006E7ADF" w:rsidRDefault="00F936A8" w:rsidP="00122DDF">
            <w:pPr>
              <w:tabs>
                <w:tab w:val="left" w:pos="1980"/>
              </w:tabs>
              <w:spacing w:before="80" w:after="80" w:line="200" w:lineRule="exact"/>
              <w:rPr>
                <w:i/>
                <w:sz w:val="16"/>
              </w:rPr>
            </w:pPr>
            <w:r w:rsidRPr="006E7ADF">
              <w:rPr>
                <w:i/>
                <w:sz w:val="16"/>
              </w:rPr>
              <w:t>Виды насилия</w:t>
            </w:r>
          </w:p>
        </w:tc>
        <w:tc>
          <w:tcPr>
            <w:tcW w:w="1034" w:type="dxa"/>
            <w:tcBorders>
              <w:top w:val="single" w:sz="4" w:space="0" w:color="auto"/>
              <w:bottom w:val="single" w:sz="12" w:space="0" w:color="auto"/>
            </w:tcBorders>
            <w:shd w:val="clear" w:color="auto" w:fill="auto"/>
          </w:tcPr>
          <w:p w:rsidR="00F936A8" w:rsidRPr="006E7ADF"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E7ADF">
              <w:rPr>
                <w:i/>
                <w:sz w:val="16"/>
              </w:rPr>
              <w:t>2005</w:t>
            </w:r>
          </w:p>
        </w:tc>
        <w:tc>
          <w:tcPr>
            <w:tcW w:w="1034" w:type="dxa"/>
            <w:tcBorders>
              <w:top w:val="single" w:sz="4" w:space="0" w:color="auto"/>
              <w:bottom w:val="single" w:sz="12" w:space="0" w:color="auto"/>
            </w:tcBorders>
            <w:shd w:val="clear" w:color="auto" w:fill="auto"/>
          </w:tcPr>
          <w:p w:rsidR="00F936A8" w:rsidRPr="006E7ADF"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E7ADF">
              <w:rPr>
                <w:i/>
                <w:sz w:val="16"/>
              </w:rPr>
              <w:t>2006</w:t>
            </w:r>
          </w:p>
        </w:tc>
        <w:tc>
          <w:tcPr>
            <w:tcW w:w="1034" w:type="dxa"/>
            <w:tcBorders>
              <w:top w:val="single" w:sz="4" w:space="0" w:color="auto"/>
              <w:bottom w:val="single" w:sz="12" w:space="0" w:color="auto"/>
            </w:tcBorders>
            <w:shd w:val="clear" w:color="auto" w:fill="auto"/>
          </w:tcPr>
          <w:p w:rsidR="00F936A8" w:rsidRPr="006E7ADF"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E7ADF">
              <w:rPr>
                <w:i/>
                <w:sz w:val="16"/>
              </w:rPr>
              <w:t>2007</w:t>
            </w:r>
          </w:p>
        </w:tc>
        <w:tc>
          <w:tcPr>
            <w:tcW w:w="1034" w:type="dxa"/>
            <w:tcBorders>
              <w:top w:val="single" w:sz="4" w:space="0" w:color="auto"/>
              <w:bottom w:val="single" w:sz="12" w:space="0" w:color="auto"/>
            </w:tcBorders>
            <w:shd w:val="clear" w:color="auto" w:fill="auto"/>
          </w:tcPr>
          <w:p w:rsidR="00F936A8" w:rsidRPr="006E7ADF"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E7ADF">
              <w:rPr>
                <w:i/>
                <w:sz w:val="16"/>
              </w:rPr>
              <w:t>2008</w:t>
            </w:r>
          </w:p>
        </w:tc>
      </w:tr>
      <w:tr w:rsidR="00F936A8" w:rsidRPr="006E7ADF" w:rsidTr="00F936A8">
        <w:tc>
          <w:tcPr>
            <w:cnfStyle w:val="001000000000" w:firstRow="0" w:lastRow="0" w:firstColumn="1" w:lastColumn="0" w:oddVBand="0" w:evenVBand="0" w:oddHBand="0" w:evenHBand="0" w:firstRowFirstColumn="0" w:firstRowLastColumn="0" w:lastRowFirstColumn="0" w:lastRowLastColumn="0"/>
            <w:tcW w:w="3234" w:type="dxa"/>
            <w:tcBorders>
              <w:top w:val="single" w:sz="12" w:space="0" w:color="auto"/>
            </w:tcBorders>
          </w:tcPr>
          <w:p w:rsidR="00F936A8" w:rsidRPr="006E7ADF" w:rsidRDefault="00F936A8" w:rsidP="00122DDF">
            <w:pPr>
              <w:tabs>
                <w:tab w:val="left" w:pos="1980"/>
              </w:tabs>
            </w:pPr>
            <w:r w:rsidRPr="006E7ADF">
              <w:t>Физическое нас</w:t>
            </w:r>
            <w:r w:rsidRPr="006E7ADF">
              <w:t>и</w:t>
            </w:r>
            <w:r w:rsidRPr="006E7ADF">
              <w:t>лие</w:t>
            </w:r>
          </w:p>
        </w:tc>
        <w:tc>
          <w:tcPr>
            <w:tcW w:w="1034" w:type="dxa"/>
            <w:tcBorders>
              <w:top w:val="single" w:sz="12" w:space="0" w:color="auto"/>
            </w:tcBorders>
          </w:tcPr>
          <w:p w:rsidR="00F936A8" w:rsidRPr="006E7ADF"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6E7ADF">
              <w:t>413</w:t>
            </w:r>
          </w:p>
        </w:tc>
        <w:tc>
          <w:tcPr>
            <w:tcW w:w="1034" w:type="dxa"/>
            <w:tcBorders>
              <w:top w:val="single" w:sz="12" w:space="0" w:color="auto"/>
            </w:tcBorders>
          </w:tcPr>
          <w:p w:rsidR="00F936A8" w:rsidRPr="006E7ADF"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6E7ADF">
              <w:t>438</w:t>
            </w:r>
          </w:p>
        </w:tc>
        <w:tc>
          <w:tcPr>
            <w:tcW w:w="1034" w:type="dxa"/>
            <w:tcBorders>
              <w:top w:val="single" w:sz="12" w:space="0" w:color="auto"/>
            </w:tcBorders>
          </w:tcPr>
          <w:p w:rsidR="00F936A8" w:rsidRPr="006E7ADF"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6E7ADF">
              <w:t>499</w:t>
            </w:r>
          </w:p>
        </w:tc>
        <w:tc>
          <w:tcPr>
            <w:tcW w:w="1034" w:type="dxa"/>
            <w:tcBorders>
              <w:top w:val="single" w:sz="12" w:space="0" w:color="auto"/>
            </w:tcBorders>
          </w:tcPr>
          <w:p w:rsidR="00F936A8" w:rsidRPr="006E7ADF"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6E7ADF">
              <w:t>483</w:t>
            </w:r>
          </w:p>
        </w:tc>
      </w:tr>
      <w:tr w:rsidR="00F936A8" w:rsidRPr="006E7ADF" w:rsidTr="00F936A8">
        <w:tc>
          <w:tcPr>
            <w:cnfStyle w:val="001000000000" w:firstRow="0" w:lastRow="0" w:firstColumn="1" w:lastColumn="0" w:oddVBand="0" w:evenVBand="0" w:oddHBand="0" w:evenHBand="0" w:firstRowFirstColumn="0" w:firstRowLastColumn="0" w:lastRowFirstColumn="0" w:lastRowLastColumn="0"/>
            <w:tcW w:w="3234" w:type="dxa"/>
          </w:tcPr>
          <w:p w:rsidR="00F936A8" w:rsidRPr="006E7ADF" w:rsidRDefault="00F936A8" w:rsidP="00122DDF">
            <w:pPr>
              <w:tabs>
                <w:tab w:val="left" w:pos="1980"/>
              </w:tabs>
            </w:pPr>
            <w:r w:rsidRPr="006E7ADF">
              <w:t>Безнадзорность</w:t>
            </w:r>
          </w:p>
        </w:tc>
        <w:tc>
          <w:tcPr>
            <w:tcW w:w="1034" w:type="dxa"/>
          </w:tcPr>
          <w:p w:rsidR="00F936A8" w:rsidRPr="006E7ADF"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6E7ADF">
              <w:t>41</w:t>
            </w:r>
          </w:p>
        </w:tc>
        <w:tc>
          <w:tcPr>
            <w:tcW w:w="1034" w:type="dxa"/>
          </w:tcPr>
          <w:p w:rsidR="00F936A8" w:rsidRPr="006E7ADF"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6E7ADF">
              <w:t>77</w:t>
            </w:r>
          </w:p>
        </w:tc>
        <w:tc>
          <w:tcPr>
            <w:tcW w:w="1034" w:type="dxa"/>
          </w:tcPr>
          <w:p w:rsidR="00F936A8" w:rsidRPr="006E7ADF"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6E7ADF">
              <w:t>114</w:t>
            </w:r>
          </w:p>
        </w:tc>
        <w:tc>
          <w:tcPr>
            <w:tcW w:w="1034" w:type="dxa"/>
          </w:tcPr>
          <w:p w:rsidR="00F936A8" w:rsidRPr="006E7ADF"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6E7ADF">
              <w:t>78</w:t>
            </w:r>
          </w:p>
        </w:tc>
      </w:tr>
      <w:tr w:rsidR="00F936A8" w:rsidRPr="006E7ADF" w:rsidTr="00F936A8">
        <w:tc>
          <w:tcPr>
            <w:cnfStyle w:val="001000000000" w:firstRow="0" w:lastRow="0" w:firstColumn="1" w:lastColumn="0" w:oddVBand="0" w:evenVBand="0" w:oddHBand="0" w:evenHBand="0" w:firstRowFirstColumn="0" w:firstRowLastColumn="0" w:lastRowFirstColumn="0" w:lastRowLastColumn="0"/>
            <w:tcW w:w="3234" w:type="dxa"/>
          </w:tcPr>
          <w:p w:rsidR="00F936A8" w:rsidRPr="006E7ADF" w:rsidRDefault="00F936A8" w:rsidP="00122DDF">
            <w:pPr>
              <w:tabs>
                <w:tab w:val="left" w:pos="1980"/>
              </w:tabs>
            </w:pPr>
            <w:r w:rsidRPr="006E7ADF">
              <w:t>Сексуальное нас</w:t>
            </w:r>
            <w:r w:rsidRPr="006E7ADF">
              <w:t>и</w:t>
            </w:r>
            <w:r w:rsidRPr="006E7ADF">
              <w:t>лие</w:t>
            </w:r>
          </w:p>
        </w:tc>
        <w:tc>
          <w:tcPr>
            <w:tcW w:w="1034" w:type="dxa"/>
          </w:tcPr>
          <w:p w:rsidR="00F936A8" w:rsidRPr="006E7ADF"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6E7ADF">
              <w:t>234</w:t>
            </w:r>
          </w:p>
        </w:tc>
        <w:tc>
          <w:tcPr>
            <w:tcW w:w="1034" w:type="dxa"/>
          </w:tcPr>
          <w:p w:rsidR="00F936A8" w:rsidRPr="006E7ADF"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6E7ADF">
              <w:t>233</w:t>
            </w:r>
          </w:p>
        </w:tc>
        <w:tc>
          <w:tcPr>
            <w:tcW w:w="1034" w:type="dxa"/>
          </w:tcPr>
          <w:p w:rsidR="00F936A8" w:rsidRPr="006E7ADF"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6E7ADF">
              <w:t>270</w:t>
            </w:r>
          </w:p>
        </w:tc>
        <w:tc>
          <w:tcPr>
            <w:tcW w:w="1034" w:type="dxa"/>
          </w:tcPr>
          <w:p w:rsidR="00F936A8" w:rsidRPr="006E7ADF"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6E7ADF">
              <w:t>277</w:t>
            </w:r>
          </w:p>
        </w:tc>
      </w:tr>
      <w:tr w:rsidR="00F936A8" w:rsidRPr="006E7ADF" w:rsidTr="00F936A8">
        <w:tc>
          <w:tcPr>
            <w:cnfStyle w:val="001000000000" w:firstRow="0" w:lastRow="0" w:firstColumn="1" w:lastColumn="0" w:oddVBand="0" w:evenVBand="0" w:oddHBand="0" w:evenHBand="0" w:firstRowFirstColumn="0" w:firstRowLastColumn="0" w:lastRowFirstColumn="0" w:lastRowLastColumn="0"/>
            <w:tcW w:w="3234" w:type="dxa"/>
          </w:tcPr>
          <w:p w:rsidR="00F936A8" w:rsidRPr="006E7ADF" w:rsidRDefault="00F936A8" w:rsidP="00122DDF">
            <w:pPr>
              <w:tabs>
                <w:tab w:val="left" w:pos="1980"/>
              </w:tabs>
            </w:pPr>
            <w:r w:rsidRPr="006E7ADF">
              <w:t>Психологическое н</w:t>
            </w:r>
            <w:r w:rsidRPr="006E7ADF">
              <w:t>а</w:t>
            </w:r>
            <w:r w:rsidRPr="006E7ADF">
              <w:t xml:space="preserve">силие </w:t>
            </w:r>
          </w:p>
        </w:tc>
        <w:tc>
          <w:tcPr>
            <w:tcW w:w="1034" w:type="dxa"/>
          </w:tcPr>
          <w:p w:rsidR="00F936A8" w:rsidRPr="006E7ADF"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6E7ADF">
              <w:t>23</w:t>
            </w:r>
          </w:p>
        </w:tc>
        <w:tc>
          <w:tcPr>
            <w:tcW w:w="1034" w:type="dxa"/>
          </w:tcPr>
          <w:p w:rsidR="00F936A8" w:rsidRPr="006E7ADF"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6E7ADF">
              <w:t>12</w:t>
            </w:r>
          </w:p>
        </w:tc>
        <w:tc>
          <w:tcPr>
            <w:tcW w:w="1034" w:type="dxa"/>
          </w:tcPr>
          <w:p w:rsidR="00F936A8" w:rsidRPr="006E7ADF"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6E7ADF">
              <w:t>20</w:t>
            </w:r>
          </w:p>
        </w:tc>
        <w:tc>
          <w:tcPr>
            <w:tcW w:w="1034" w:type="dxa"/>
          </w:tcPr>
          <w:p w:rsidR="00F936A8" w:rsidRPr="006E7ADF"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6E7ADF">
              <w:t>15</w:t>
            </w:r>
          </w:p>
        </w:tc>
      </w:tr>
      <w:tr w:rsidR="00F936A8" w:rsidRPr="006E7ADF" w:rsidTr="00F936A8">
        <w:tc>
          <w:tcPr>
            <w:cnfStyle w:val="001000000000" w:firstRow="0" w:lastRow="0" w:firstColumn="1" w:lastColumn="0" w:oddVBand="0" w:evenVBand="0" w:oddHBand="0" w:evenHBand="0" w:firstRowFirstColumn="0" w:firstRowLastColumn="0" w:lastRowFirstColumn="0" w:lastRowLastColumn="0"/>
            <w:tcW w:w="3234" w:type="dxa"/>
            <w:tcBorders>
              <w:bottom w:val="single" w:sz="4" w:space="0" w:color="auto"/>
            </w:tcBorders>
          </w:tcPr>
          <w:p w:rsidR="00F936A8" w:rsidRPr="006E7ADF" w:rsidRDefault="00F936A8" w:rsidP="00122DDF">
            <w:pPr>
              <w:tabs>
                <w:tab w:val="left" w:pos="1980"/>
              </w:tabs>
            </w:pPr>
            <w:r w:rsidRPr="006E7ADF">
              <w:t>Насилие в нескольких фо</w:t>
            </w:r>
            <w:r w:rsidRPr="006E7ADF">
              <w:t>р</w:t>
            </w:r>
            <w:r w:rsidRPr="006E7ADF">
              <w:t>мах</w:t>
            </w:r>
          </w:p>
        </w:tc>
        <w:tc>
          <w:tcPr>
            <w:tcW w:w="1034" w:type="dxa"/>
            <w:tcBorders>
              <w:bottom w:val="single" w:sz="4" w:space="0" w:color="auto"/>
            </w:tcBorders>
          </w:tcPr>
          <w:p w:rsidR="00F936A8" w:rsidRPr="006E7ADF"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6E7ADF">
              <w:t>52</w:t>
            </w:r>
          </w:p>
        </w:tc>
        <w:tc>
          <w:tcPr>
            <w:tcW w:w="1034" w:type="dxa"/>
            <w:tcBorders>
              <w:bottom w:val="single" w:sz="4" w:space="0" w:color="auto"/>
            </w:tcBorders>
          </w:tcPr>
          <w:p w:rsidR="00F936A8" w:rsidRPr="006E7ADF"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6E7ADF">
              <w:t>46</w:t>
            </w:r>
          </w:p>
        </w:tc>
        <w:tc>
          <w:tcPr>
            <w:tcW w:w="1034" w:type="dxa"/>
            <w:tcBorders>
              <w:bottom w:val="single" w:sz="4" w:space="0" w:color="auto"/>
            </w:tcBorders>
          </w:tcPr>
          <w:p w:rsidR="00F936A8" w:rsidRPr="006E7ADF"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6E7ADF">
              <w:t>41</w:t>
            </w:r>
          </w:p>
        </w:tc>
        <w:tc>
          <w:tcPr>
            <w:tcW w:w="1034" w:type="dxa"/>
            <w:tcBorders>
              <w:bottom w:val="single" w:sz="4" w:space="0" w:color="auto"/>
            </w:tcBorders>
          </w:tcPr>
          <w:p w:rsidR="00F936A8" w:rsidRPr="006E7ADF"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6E7ADF">
              <w:t>29</w:t>
            </w:r>
          </w:p>
        </w:tc>
      </w:tr>
      <w:tr w:rsidR="00F936A8" w:rsidRPr="00201675" w:rsidTr="00F936A8">
        <w:tc>
          <w:tcPr>
            <w:cnfStyle w:val="001000000000" w:firstRow="0" w:lastRow="0" w:firstColumn="1" w:lastColumn="0" w:oddVBand="0" w:evenVBand="0" w:oddHBand="0" w:evenHBand="0" w:firstRowFirstColumn="0" w:firstRowLastColumn="0" w:lastRowFirstColumn="0" w:lastRowLastColumn="0"/>
            <w:tcW w:w="3234" w:type="dxa"/>
            <w:tcBorders>
              <w:top w:val="single" w:sz="4" w:space="0" w:color="auto"/>
            </w:tcBorders>
          </w:tcPr>
          <w:p w:rsidR="00F936A8" w:rsidRPr="00201675" w:rsidRDefault="00F936A8" w:rsidP="00122DDF">
            <w:pPr>
              <w:tabs>
                <w:tab w:val="left" w:pos="1980"/>
              </w:tabs>
              <w:ind w:left="306"/>
              <w:rPr>
                <w:b/>
              </w:rPr>
            </w:pPr>
            <w:r w:rsidRPr="00201675">
              <w:rPr>
                <w:b/>
              </w:rPr>
              <w:t>Итого</w:t>
            </w:r>
          </w:p>
        </w:tc>
        <w:tc>
          <w:tcPr>
            <w:tcW w:w="1034" w:type="dxa"/>
            <w:tcBorders>
              <w:top w:val="single" w:sz="4" w:space="0" w:color="auto"/>
              <w:bottom w:val="single" w:sz="12" w:space="0" w:color="auto"/>
            </w:tcBorders>
          </w:tcPr>
          <w:p w:rsidR="00F936A8" w:rsidRPr="00201675"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201675">
              <w:rPr>
                <w:b/>
              </w:rPr>
              <w:t>763</w:t>
            </w:r>
          </w:p>
        </w:tc>
        <w:tc>
          <w:tcPr>
            <w:tcW w:w="1034" w:type="dxa"/>
            <w:tcBorders>
              <w:top w:val="single" w:sz="4" w:space="0" w:color="auto"/>
              <w:bottom w:val="single" w:sz="12" w:space="0" w:color="auto"/>
            </w:tcBorders>
          </w:tcPr>
          <w:p w:rsidR="00F936A8" w:rsidRPr="00201675"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201675">
              <w:rPr>
                <w:b/>
              </w:rPr>
              <w:t>806</w:t>
            </w:r>
          </w:p>
        </w:tc>
        <w:tc>
          <w:tcPr>
            <w:tcW w:w="1034" w:type="dxa"/>
            <w:tcBorders>
              <w:top w:val="single" w:sz="4" w:space="0" w:color="auto"/>
              <w:bottom w:val="single" w:sz="12" w:space="0" w:color="auto"/>
            </w:tcBorders>
          </w:tcPr>
          <w:p w:rsidR="00F936A8" w:rsidRPr="00201675"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201675">
              <w:rPr>
                <w:b/>
              </w:rPr>
              <w:t>944</w:t>
            </w:r>
          </w:p>
        </w:tc>
        <w:tc>
          <w:tcPr>
            <w:tcW w:w="1034" w:type="dxa"/>
            <w:tcBorders>
              <w:top w:val="single" w:sz="4" w:space="0" w:color="auto"/>
              <w:bottom w:val="single" w:sz="12" w:space="0" w:color="auto"/>
            </w:tcBorders>
          </w:tcPr>
          <w:p w:rsidR="00F936A8" w:rsidRPr="00201675"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201675">
              <w:rPr>
                <w:b/>
              </w:rPr>
              <w:t>882</w:t>
            </w:r>
          </w:p>
        </w:tc>
      </w:tr>
    </w:tbl>
    <w:p w:rsidR="00F936A8" w:rsidRPr="00CB2C86" w:rsidRDefault="00F936A8" w:rsidP="00122DDF">
      <w:pPr>
        <w:pStyle w:val="H23GR"/>
        <w:tabs>
          <w:tab w:val="left" w:pos="1980"/>
        </w:tabs>
      </w:pPr>
      <w:r w:rsidRPr="00CB2C86">
        <w:tab/>
      </w:r>
      <w:r w:rsidRPr="00CB2C86">
        <w:tab/>
        <w:t>Вид отношений субъекта насилия с жертвой в случаях насилия в отношении детей в 2005</w:t>
      </w:r>
      <w:r>
        <w:t>−</w:t>
      </w:r>
      <w:r w:rsidRPr="00CB2C86">
        <w:t>2008</w:t>
      </w:r>
      <w:r w:rsidR="00B92291">
        <w:t> год</w:t>
      </w:r>
      <w:r>
        <w:t>ах</w:t>
      </w:r>
    </w:p>
    <w:tbl>
      <w:tblPr>
        <w:tblStyle w:val="TabNum"/>
        <w:tblW w:w="7370" w:type="dxa"/>
        <w:tblInd w:w="1134" w:type="dxa"/>
        <w:tblLayout w:type="fixed"/>
        <w:tblLook w:val="01E0" w:firstRow="1" w:lastRow="1" w:firstColumn="1" w:lastColumn="1" w:noHBand="0" w:noVBand="0"/>
      </w:tblPr>
      <w:tblGrid>
        <w:gridCol w:w="3234"/>
        <w:gridCol w:w="1034"/>
        <w:gridCol w:w="1034"/>
        <w:gridCol w:w="1034"/>
        <w:gridCol w:w="1034"/>
      </w:tblGrid>
      <w:tr w:rsidR="00F936A8" w:rsidRPr="00261D56" w:rsidTr="00F936A8">
        <w:trPr>
          <w:tblHeader/>
        </w:trPr>
        <w:tc>
          <w:tcPr>
            <w:cnfStyle w:val="001000000000" w:firstRow="0" w:lastRow="0" w:firstColumn="1" w:lastColumn="0" w:oddVBand="0" w:evenVBand="0" w:oddHBand="0" w:evenHBand="0" w:firstRowFirstColumn="0" w:firstRowLastColumn="0" w:lastRowFirstColumn="0" w:lastRowLastColumn="0"/>
            <w:tcW w:w="3234" w:type="dxa"/>
            <w:tcBorders>
              <w:bottom w:val="single" w:sz="12" w:space="0" w:color="auto"/>
            </w:tcBorders>
            <w:shd w:val="clear" w:color="auto" w:fill="auto"/>
            <w:vAlign w:val="top"/>
          </w:tcPr>
          <w:p w:rsidR="00F936A8" w:rsidRPr="00261D56" w:rsidRDefault="00F936A8" w:rsidP="00122DDF">
            <w:pPr>
              <w:tabs>
                <w:tab w:val="left" w:pos="1980"/>
              </w:tabs>
              <w:spacing w:before="80" w:after="80" w:line="200" w:lineRule="exact"/>
              <w:rPr>
                <w:i/>
                <w:sz w:val="16"/>
              </w:rPr>
            </w:pPr>
            <w:r w:rsidRPr="00261D56">
              <w:rPr>
                <w:i/>
                <w:sz w:val="16"/>
              </w:rPr>
              <w:t>Отношения с жертвой</w:t>
            </w:r>
          </w:p>
        </w:tc>
        <w:tc>
          <w:tcPr>
            <w:tcW w:w="1034" w:type="dxa"/>
            <w:tcBorders>
              <w:top w:val="single" w:sz="4" w:space="0" w:color="auto"/>
              <w:bottom w:val="single" w:sz="12" w:space="0" w:color="auto"/>
            </w:tcBorders>
            <w:shd w:val="clear" w:color="auto" w:fill="auto"/>
          </w:tcPr>
          <w:p w:rsidR="00F936A8" w:rsidRPr="00261D56"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61D56">
              <w:rPr>
                <w:i/>
                <w:sz w:val="16"/>
              </w:rPr>
              <w:t>2005</w:t>
            </w:r>
          </w:p>
        </w:tc>
        <w:tc>
          <w:tcPr>
            <w:tcW w:w="1034" w:type="dxa"/>
            <w:tcBorders>
              <w:top w:val="single" w:sz="4" w:space="0" w:color="auto"/>
              <w:bottom w:val="single" w:sz="12" w:space="0" w:color="auto"/>
            </w:tcBorders>
            <w:shd w:val="clear" w:color="auto" w:fill="auto"/>
          </w:tcPr>
          <w:p w:rsidR="00F936A8" w:rsidRPr="00261D56"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61D56">
              <w:rPr>
                <w:i/>
                <w:sz w:val="16"/>
              </w:rPr>
              <w:t>2006</w:t>
            </w:r>
          </w:p>
        </w:tc>
        <w:tc>
          <w:tcPr>
            <w:tcW w:w="1034" w:type="dxa"/>
            <w:tcBorders>
              <w:top w:val="single" w:sz="4" w:space="0" w:color="auto"/>
              <w:bottom w:val="single" w:sz="12" w:space="0" w:color="auto"/>
            </w:tcBorders>
            <w:shd w:val="clear" w:color="auto" w:fill="auto"/>
          </w:tcPr>
          <w:p w:rsidR="00F936A8" w:rsidRPr="00261D56"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61D56">
              <w:rPr>
                <w:i/>
                <w:sz w:val="16"/>
              </w:rPr>
              <w:t>2007</w:t>
            </w:r>
          </w:p>
        </w:tc>
        <w:tc>
          <w:tcPr>
            <w:tcW w:w="1034" w:type="dxa"/>
            <w:tcBorders>
              <w:top w:val="single" w:sz="4" w:space="0" w:color="auto"/>
              <w:bottom w:val="single" w:sz="12" w:space="0" w:color="auto"/>
            </w:tcBorders>
            <w:shd w:val="clear" w:color="auto" w:fill="auto"/>
          </w:tcPr>
          <w:p w:rsidR="00F936A8" w:rsidRPr="00261D56"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61D56">
              <w:rPr>
                <w:i/>
                <w:sz w:val="16"/>
              </w:rPr>
              <w:t>2008</w:t>
            </w:r>
          </w:p>
        </w:tc>
      </w:tr>
      <w:tr w:rsidR="00F936A8" w:rsidRPr="00261D56" w:rsidTr="00F936A8">
        <w:tc>
          <w:tcPr>
            <w:cnfStyle w:val="001000000000" w:firstRow="0" w:lastRow="0" w:firstColumn="1" w:lastColumn="0" w:oddVBand="0" w:evenVBand="0" w:oddHBand="0" w:evenHBand="0" w:firstRowFirstColumn="0" w:firstRowLastColumn="0" w:lastRowFirstColumn="0" w:lastRowLastColumn="0"/>
            <w:tcW w:w="3234" w:type="dxa"/>
            <w:tcBorders>
              <w:top w:val="single" w:sz="12" w:space="0" w:color="auto"/>
            </w:tcBorders>
            <w:vAlign w:val="top"/>
          </w:tcPr>
          <w:p w:rsidR="00F936A8" w:rsidRPr="00261D56" w:rsidRDefault="00F936A8" w:rsidP="00122DDF">
            <w:pPr>
              <w:tabs>
                <w:tab w:val="left" w:pos="1980"/>
              </w:tabs>
            </w:pPr>
            <w:r w:rsidRPr="00261D56">
              <w:t>Родитель</w:t>
            </w:r>
          </w:p>
        </w:tc>
        <w:tc>
          <w:tcPr>
            <w:tcW w:w="1034" w:type="dxa"/>
            <w:tcBorders>
              <w:top w:val="single" w:sz="12" w:space="0" w:color="auto"/>
            </w:tcBorders>
          </w:tcPr>
          <w:p w:rsidR="00F936A8" w:rsidRPr="00261D56"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61D56">
              <w:t>454</w:t>
            </w:r>
            <w:r w:rsidRPr="00261D56">
              <w:br/>
              <w:t>(63</w:t>
            </w:r>
            <w:r>
              <w:t>,</w:t>
            </w:r>
            <w:r w:rsidRPr="00261D56">
              <w:t>6%)</w:t>
            </w:r>
          </w:p>
        </w:tc>
        <w:tc>
          <w:tcPr>
            <w:tcW w:w="1034" w:type="dxa"/>
            <w:tcBorders>
              <w:top w:val="single" w:sz="12" w:space="0" w:color="auto"/>
            </w:tcBorders>
          </w:tcPr>
          <w:p w:rsidR="00F936A8" w:rsidRPr="00261D56"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61D56">
              <w:t>521</w:t>
            </w:r>
            <w:r w:rsidRPr="00261D56">
              <w:br/>
              <w:t>(67</w:t>
            </w:r>
            <w:r>
              <w:t>,</w:t>
            </w:r>
            <w:r w:rsidRPr="00261D56">
              <w:t>3%)</w:t>
            </w:r>
          </w:p>
        </w:tc>
        <w:tc>
          <w:tcPr>
            <w:tcW w:w="1034" w:type="dxa"/>
            <w:tcBorders>
              <w:top w:val="single" w:sz="12" w:space="0" w:color="auto"/>
            </w:tcBorders>
          </w:tcPr>
          <w:p w:rsidR="00F936A8" w:rsidRPr="00261D56"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61D56">
              <w:t>581</w:t>
            </w:r>
            <w:r w:rsidRPr="00261D56">
              <w:br/>
              <w:t>(67</w:t>
            </w:r>
            <w:r>
              <w:t>,</w:t>
            </w:r>
            <w:r w:rsidRPr="00261D56">
              <w:t>1%)</w:t>
            </w:r>
          </w:p>
        </w:tc>
        <w:tc>
          <w:tcPr>
            <w:tcW w:w="1034" w:type="dxa"/>
            <w:tcBorders>
              <w:top w:val="single" w:sz="12" w:space="0" w:color="auto"/>
            </w:tcBorders>
          </w:tcPr>
          <w:p w:rsidR="00F936A8" w:rsidRPr="00261D56"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61D56">
              <w:t>535</w:t>
            </w:r>
            <w:r w:rsidRPr="00261D56">
              <w:br/>
              <w:t>(64</w:t>
            </w:r>
            <w:r>
              <w:t>,</w:t>
            </w:r>
            <w:r w:rsidRPr="00261D56">
              <w:t>6%)</w:t>
            </w:r>
          </w:p>
        </w:tc>
      </w:tr>
      <w:tr w:rsidR="00F936A8" w:rsidRPr="00261D56" w:rsidTr="00F936A8">
        <w:tc>
          <w:tcPr>
            <w:cnfStyle w:val="001000000000" w:firstRow="0" w:lastRow="0" w:firstColumn="1" w:lastColumn="0" w:oddVBand="0" w:evenVBand="0" w:oddHBand="0" w:evenHBand="0" w:firstRowFirstColumn="0" w:firstRowLastColumn="0" w:lastRowFirstColumn="0" w:lastRowLastColumn="0"/>
            <w:tcW w:w="3234" w:type="dxa"/>
            <w:vAlign w:val="top"/>
          </w:tcPr>
          <w:p w:rsidR="00F936A8" w:rsidRPr="00261D56" w:rsidRDefault="00F936A8" w:rsidP="00122DDF">
            <w:pPr>
              <w:tabs>
                <w:tab w:val="left" w:pos="1980"/>
              </w:tabs>
            </w:pPr>
            <w:r w:rsidRPr="00261D56">
              <w:t>Брат или сестра</w:t>
            </w:r>
          </w:p>
        </w:tc>
        <w:tc>
          <w:tcPr>
            <w:tcW w:w="1034" w:type="dxa"/>
          </w:tcPr>
          <w:p w:rsidR="00F936A8" w:rsidRPr="00261D56"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61D56">
              <w:t>24</w:t>
            </w:r>
            <w:r w:rsidRPr="00261D56">
              <w:br/>
              <w:t>(3</w:t>
            </w:r>
            <w:r>
              <w:t>,</w:t>
            </w:r>
            <w:r w:rsidRPr="00261D56">
              <w:t>4%)</w:t>
            </w:r>
          </w:p>
        </w:tc>
        <w:tc>
          <w:tcPr>
            <w:tcW w:w="1034" w:type="dxa"/>
          </w:tcPr>
          <w:p w:rsidR="00F936A8" w:rsidRPr="00261D56"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61D56">
              <w:t>30</w:t>
            </w:r>
            <w:r w:rsidRPr="00261D56">
              <w:br/>
              <w:t>(3</w:t>
            </w:r>
            <w:r>
              <w:t>,</w:t>
            </w:r>
            <w:r w:rsidRPr="00261D56">
              <w:t>9%)</w:t>
            </w:r>
          </w:p>
        </w:tc>
        <w:tc>
          <w:tcPr>
            <w:tcW w:w="1034" w:type="dxa"/>
          </w:tcPr>
          <w:p w:rsidR="00F936A8" w:rsidRPr="00261D56"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61D56">
              <w:t>16</w:t>
            </w:r>
            <w:r w:rsidRPr="00261D56">
              <w:br/>
              <w:t>(1</w:t>
            </w:r>
            <w:r>
              <w:t>,</w:t>
            </w:r>
            <w:r w:rsidRPr="00261D56">
              <w:t>8%)</w:t>
            </w:r>
          </w:p>
        </w:tc>
        <w:tc>
          <w:tcPr>
            <w:tcW w:w="1034" w:type="dxa"/>
          </w:tcPr>
          <w:p w:rsidR="00F936A8" w:rsidRPr="00261D56"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61D56">
              <w:t>26</w:t>
            </w:r>
            <w:r w:rsidRPr="00261D56">
              <w:br/>
              <w:t>(3</w:t>
            </w:r>
            <w:r>
              <w:t>,</w:t>
            </w:r>
            <w:r w:rsidRPr="00261D56">
              <w:t>1%)</w:t>
            </w:r>
          </w:p>
        </w:tc>
      </w:tr>
      <w:tr w:rsidR="00F936A8" w:rsidRPr="00261D56" w:rsidTr="00F936A8">
        <w:tc>
          <w:tcPr>
            <w:cnfStyle w:val="001000000000" w:firstRow="0" w:lastRow="0" w:firstColumn="1" w:lastColumn="0" w:oddVBand="0" w:evenVBand="0" w:oddHBand="0" w:evenHBand="0" w:firstRowFirstColumn="0" w:firstRowLastColumn="0" w:lastRowFirstColumn="0" w:lastRowLastColumn="0"/>
            <w:tcW w:w="3234" w:type="dxa"/>
            <w:vAlign w:val="top"/>
          </w:tcPr>
          <w:p w:rsidR="00F936A8" w:rsidRPr="00261D56" w:rsidRDefault="00F936A8" w:rsidP="00122DDF">
            <w:pPr>
              <w:tabs>
                <w:tab w:val="left" w:pos="1980"/>
              </w:tabs>
            </w:pPr>
            <w:r w:rsidRPr="00261D56">
              <w:t>Отчим или мачеха</w:t>
            </w:r>
          </w:p>
        </w:tc>
        <w:tc>
          <w:tcPr>
            <w:tcW w:w="1034" w:type="dxa"/>
          </w:tcPr>
          <w:p w:rsidR="00F936A8" w:rsidRPr="00261D56"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61D56">
              <w:t>36</w:t>
            </w:r>
            <w:r>
              <w:br/>
            </w:r>
            <w:r w:rsidRPr="00261D56">
              <w:t>(5</w:t>
            </w:r>
            <w:r>
              <w:t>,</w:t>
            </w:r>
            <w:r w:rsidRPr="00261D56">
              <w:t>0%)</w:t>
            </w:r>
          </w:p>
        </w:tc>
        <w:tc>
          <w:tcPr>
            <w:tcW w:w="1034" w:type="dxa"/>
          </w:tcPr>
          <w:p w:rsidR="00F936A8" w:rsidRPr="00261D56"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61D56">
              <w:t>27</w:t>
            </w:r>
            <w:r w:rsidRPr="00261D56">
              <w:br/>
              <w:t>(3</w:t>
            </w:r>
            <w:r>
              <w:t>,</w:t>
            </w:r>
            <w:r w:rsidRPr="00261D56">
              <w:t>5%)</w:t>
            </w:r>
          </w:p>
        </w:tc>
        <w:tc>
          <w:tcPr>
            <w:tcW w:w="1034" w:type="dxa"/>
          </w:tcPr>
          <w:p w:rsidR="00F936A8" w:rsidRPr="00261D56"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61D56">
              <w:t>29</w:t>
            </w:r>
            <w:r w:rsidRPr="00261D56">
              <w:br/>
              <w:t>(3</w:t>
            </w:r>
            <w:r>
              <w:t>,</w:t>
            </w:r>
            <w:r w:rsidRPr="00261D56">
              <w:t>3%)</w:t>
            </w:r>
          </w:p>
        </w:tc>
        <w:tc>
          <w:tcPr>
            <w:tcW w:w="1034" w:type="dxa"/>
          </w:tcPr>
          <w:p w:rsidR="00F936A8" w:rsidRPr="00261D56"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61D56">
              <w:t>33</w:t>
            </w:r>
            <w:r w:rsidRPr="00261D56">
              <w:br/>
              <w:t>(4</w:t>
            </w:r>
            <w:r>
              <w:t>,</w:t>
            </w:r>
            <w:r w:rsidRPr="00261D56">
              <w:t>0%)</w:t>
            </w:r>
          </w:p>
        </w:tc>
      </w:tr>
      <w:tr w:rsidR="00F936A8" w:rsidRPr="00261D56" w:rsidTr="00F936A8">
        <w:tc>
          <w:tcPr>
            <w:cnfStyle w:val="001000000000" w:firstRow="0" w:lastRow="0" w:firstColumn="1" w:lastColumn="0" w:oddVBand="0" w:evenVBand="0" w:oddHBand="0" w:evenHBand="0" w:firstRowFirstColumn="0" w:firstRowLastColumn="0" w:lastRowFirstColumn="0" w:lastRowLastColumn="0"/>
            <w:tcW w:w="3234" w:type="dxa"/>
            <w:vAlign w:val="top"/>
          </w:tcPr>
          <w:p w:rsidR="00F936A8" w:rsidRPr="00261D56" w:rsidRDefault="00F936A8" w:rsidP="00122DDF">
            <w:pPr>
              <w:tabs>
                <w:tab w:val="left" w:pos="1980"/>
              </w:tabs>
            </w:pPr>
            <w:r w:rsidRPr="00261D56">
              <w:t>Дед или бабушка</w:t>
            </w:r>
          </w:p>
        </w:tc>
        <w:tc>
          <w:tcPr>
            <w:tcW w:w="1034" w:type="dxa"/>
          </w:tcPr>
          <w:p w:rsidR="00F936A8" w:rsidRPr="00261D56"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61D56">
              <w:t>12</w:t>
            </w:r>
            <w:r w:rsidRPr="00261D56">
              <w:br/>
              <w:t>(1</w:t>
            </w:r>
            <w:r>
              <w:t>,</w:t>
            </w:r>
            <w:r w:rsidRPr="00261D56">
              <w:t>7%)</w:t>
            </w:r>
          </w:p>
        </w:tc>
        <w:tc>
          <w:tcPr>
            <w:tcW w:w="1034" w:type="dxa"/>
          </w:tcPr>
          <w:p w:rsidR="00F936A8" w:rsidRPr="00261D56"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61D56">
              <w:t>9</w:t>
            </w:r>
            <w:r w:rsidRPr="00261D56">
              <w:br/>
              <w:t>(1</w:t>
            </w:r>
            <w:r>
              <w:t>,</w:t>
            </w:r>
            <w:r w:rsidRPr="00261D56">
              <w:t>2%)</w:t>
            </w:r>
          </w:p>
        </w:tc>
        <w:tc>
          <w:tcPr>
            <w:tcW w:w="1034" w:type="dxa"/>
          </w:tcPr>
          <w:p w:rsidR="00F936A8" w:rsidRPr="00261D56"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61D56">
              <w:t>9</w:t>
            </w:r>
            <w:r w:rsidRPr="00261D56">
              <w:br/>
              <w:t>(1</w:t>
            </w:r>
            <w:r>
              <w:t>,</w:t>
            </w:r>
            <w:r w:rsidRPr="00261D56">
              <w:t>0%)</w:t>
            </w:r>
          </w:p>
        </w:tc>
        <w:tc>
          <w:tcPr>
            <w:tcW w:w="1034" w:type="dxa"/>
          </w:tcPr>
          <w:p w:rsidR="00F936A8" w:rsidRPr="00261D56"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61D56">
              <w:t>12</w:t>
            </w:r>
            <w:r w:rsidRPr="00261D56">
              <w:br/>
              <w:t>(1</w:t>
            </w:r>
            <w:r>
              <w:t>,</w:t>
            </w:r>
            <w:r w:rsidRPr="00261D56">
              <w:t>4%)</w:t>
            </w:r>
          </w:p>
        </w:tc>
      </w:tr>
      <w:tr w:rsidR="00F936A8" w:rsidRPr="00261D56" w:rsidTr="00F936A8">
        <w:tc>
          <w:tcPr>
            <w:cnfStyle w:val="001000000000" w:firstRow="0" w:lastRow="0" w:firstColumn="1" w:lastColumn="0" w:oddVBand="0" w:evenVBand="0" w:oddHBand="0" w:evenHBand="0" w:firstRowFirstColumn="0" w:firstRowLastColumn="0" w:lastRowFirstColumn="0" w:lastRowLastColumn="0"/>
            <w:tcW w:w="3234" w:type="dxa"/>
            <w:vAlign w:val="top"/>
          </w:tcPr>
          <w:p w:rsidR="00F936A8" w:rsidRPr="00261D56" w:rsidRDefault="00F936A8" w:rsidP="00122DDF">
            <w:pPr>
              <w:tabs>
                <w:tab w:val="left" w:pos="1980"/>
              </w:tabs>
            </w:pPr>
            <w:r w:rsidRPr="00261D56">
              <w:t>Родственник</w:t>
            </w:r>
          </w:p>
        </w:tc>
        <w:tc>
          <w:tcPr>
            <w:tcW w:w="1034" w:type="dxa"/>
          </w:tcPr>
          <w:p w:rsidR="00F936A8" w:rsidRPr="00261D56"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61D56">
              <w:t>21</w:t>
            </w:r>
            <w:r w:rsidRPr="00261D56">
              <w:br/>
              <w:t>(2</w:t>
            </w:r>
            <w:r>
              <w:t>,</w:t>
            </w:r>
            <w:r w:rsidRPr="00261D56">
              <w:t>9%)</w:t>
            </w:r>
          </w:p>
        </w:tc>
        <w:tc>
          <w:tcPr>
            <w:tcW w:w="1034" w:type="dxa"/>
          </w:tcPr>
          <w:p w:rsidR="00F936A8" w:rsidRPr="00261D56"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61D56">
              <w:t>25</w:t>
            </w:r>
            <w:r w:rsidRPr="00261D56">
              <w:br/>
              <w:t>(3</w:t>
            </w:r>
            <w:r>
              <w:t>,</w:t>
            </w:r>
            <w:r w:rsidRPr="00261D56">
              <w:t>2%)</w:t>
            </w:r>
          </w:p>
        </w:tc>
        <w:tc>
          <w:tcPr>
            <w:tcW w:w="1034" w:type="dxa"/>
          </w:tcPr>
          <w:p w:rsidR="00F936A8" w:rsidRPr="00261D56"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61D56">
              <w:t>17</w:t>
            </w:r>
            <w:r w:rsidRPr="00261D56">
              <w:br/>
              <w:t>(2</w:t>
            </w:r>
            <w:r>
              <w:t>,</w:t>
            </w:r>
            <w:r w:rsidRPr="00261D56">
              <w:t>0%)</w:t>
            </w:r>
          </w:p>
        </w:tc>
        <w:tc>
          <w:tcPr>
            <w:tcW w:w="1034" w:type="dxa"/>
          </w:tcPr>
          <w:p w:rsidR="00F936A8" w:rsidRPr="00261D56"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61D56">
              <w:t>16</w:t>
            </w:r>
            <w:r w:rsidRPr="00261D56">
              <w:br/>
              <w:t>(1</w:t>
            </w:r>
            <w:r>
              <w:t>,</w:t>
            </w:r>
            <w:r w:rsidRPr="00261D56">
              <w:t>9%)</w:t>
            </w:r>
          </w:p>
        </w:tc>
      </w:tr>
      <w:tr w:rsidR="00F936A8" w:rsidRPr="00261D56" w:rsidTr="00F936A8">
        <w:tc>
          <w:tcPr>
            <w:cnfStyle w:val="001000000000" w:firstRow="0" w:lastRow="0" w:firstColumn="1" w:lastColumn="0" w:oddVBand="0" w:evenVBand="0" w:oddHBand="0" w:evenHBand="0" w:firstRowFirstColumn="0" w:firstRowLastColumn="0" w:lastRowFirstColumn="0" w:lastRowLastColumn="0"/>
            <w:tcW w:w="3234" w:type="dxa"/>
            <w:vAlign w:val="top"/>
          </w:tcPr>
          <w:p w:rsidR="00F936A8" w:rsidRPr="00261D56" w:rsidRDefault="00F936A8" w:rsidP="00122DDF">
            <w:pPr>
              <w:tabs>
                <w:tab w:val="left" w:pos="1980"/>
              </w:tabs>
            </w:pPr>
            <w:r w:rsidRPr="00261D56">
              <w:t>Друг семьи/друг</w:t>
            </w:r>
          </w:p>
        </w:tc>
        <w:tc>
          <w:tcPr>
            <w:tcW w:w="1034" w:type="dxa"/>
            <w:tcBorders>
              <w:bottom w:val="nil"/>
            </w:tcBorders>
          </w:tcPr>
          <w:p w:rsidR="00F936A8" w:rsidRPr="00261D56"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61D56">
              <w:t>35</w:t>
            </w:r>
            <w:r w:rsidRPr="00261D56">
              <w:br/>
              <w:t>(4</w:t>
            </w:r>
            <w:r>
              <w:t>,</w:t>
            </w:r>
            <w:r w:rsidRPr="00261D56">
              <w:t>9%)</w:t>
            </w:r>
          </w:p>
        </w:tc>
        <w:tc>
          <w:tcPr>
            <w:tcW w:w="1034" w:type="dxa"/>
            <w:tcBorders>
              <w:bottom w:val="nil"/>
            </w:tcBorders>
          </w:tcPr>
          <w:p w:rsidR="00F936A8" w:rsidRPr="00261D56"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61D56">
              <w:t>43</w:t>
            </w:r>
            <w:r w:rsidRPr="00261D56">
              <w:br/>
              <w:t>(5</w:t>
            </w:r>
            <w:r>
              <w:t>,</w:t>
            </w:r>
            <w:r w:rsidRPr="00261D56">
              <w:t>6%)</w:t>
            </w:r>
          </w:p>
        </w:tc>
        <w:tc>
          <w:tcPr>
            <w:tcW w:w="1034" w:type="dxa"/>
            <w:tcBorders>
              <w:bottom w:val="nil"/>
            </w:tcBorders>
          </w:tcPr>
          <w:p w:rsidR="00F936A8" w:rsidRPr="00261D56"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61D56">
              <w:t>52</w:t>
            </w:r>
            <w:r w:rsidRPr="00261D56">
              <w:br/>
              <w:t>(6</w:t>
            </w:r>
            <w:r>
              <w:t>,</w:t>
            </w:r>
            <w:r w:rsidRPr="00261D56">
              <w:t>0%)</w:t>
            </w:r>
          </w:p>
        </w:tc>
        <w:tc>
          <w:tcPr>
            <w:tcW w:w="1034" w:type="dxa"/>
            <w:tcBorders>
              <w:bottom w:val="nil"/>
            </w:tcBorders>
          </w:tcPr>
          <w:p w:rsidR="00F936A8" w:rsidRPr="00261D56"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61D56">
              <w:t>62</w:t>
            </w:r>
            <w:r w:rsidRPr="00261D56">
              <w:br/>
              <w:t>(7</w:t>
            </w:r>
            <w:r>
              <w:t>,</w:t>
            </w:r>
            <w:r w:rsidRPr="00261D56">
              <w:t>5%)</w:t>
            </w:r>
          </w:p>
        </w:tc>
      </w:tr>
      <w:tr w:rsidR="00F936A8" w:rsidRPr="00261D56" w:rsidTr="00C56DC0">
        <w:tc>
          <w:tcPr>
            <w:cnfStyle w:val="001000000000" w:firstRow="0" w:lastRow="0" w:firstColumn="1" w:lastColumn="0" w:oddVBand="0" w:evenVBand="0" w:oddHBand="0" w:evenHBand="0" w:firstRowFirstColumn="0" w:firstRowLastColumn="0" w:lastRowFirstColumn="0" w:lastRowLastColumn="0"/>
            <w:tcW w:w="3234" w:type="dxa"/>
            <w:tcBorders>
              <w:top w:val="nil"/>
            </w:tcBorders>
            <w:vAlign w:val="top"/>
          </w:tcPr>
          <w:p w:rsidR="00F936A8" w:rsidRPr="00261D56" w:rsidRDefault="00F936A8" w:rsidP="00122DDF">
            <w:pPr>
              <w:tabs>
                <w:tab w:val="left" w:pos="1980"/>
              </w:tabs>
            </w:pPr>
            <w:r w:rsidRPr="00261D56">
              <w:t>Приемные родит</w:t>
            </w:r>
            <w:r w:rsidRPr="00261D56">
              <w:t>е</w:t>
            </w:r>
            <w:r w:rsidRPr="00261D56">
              <w:t>ли/воспитатель/няня</w:t>
            </w:r>
          </w:p>
        </w:tc>
        <w:tc>
          <w:tcPr>
            <w:tcW w:w="1034" w:type="dxa"/>
            <w:tcBorders>
              <w:top w:val="nil"/>
              <w:bottom w:val="nil"/>
            </w:tcBorders>
          </w:tcPr>
          <w:p w:rsidR="00F936A8" w:rsidRPr="00261D56"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61D56">
              <w:t>20</w:t>
            </w:r>
            <w:r w:rsidRPr="00261D56">
              <w:br/>
              <w:t>(2</w:t>
            </w:r>
            <w:r>
              <w:t>,</w:t>
            </w:r>
            <w:r w:rsidRPr="00261D56">
              <w:t>8%)</w:t>
            </w:r>
          </w:p>
        </w:tc>
        <w:tc>
          <w:tcPr>
            <w:tcW w:w="1034" w:type="dxa"/>
            <w:tcBorders>
              <w:top w:val="nil"/>
              <w:bottom w:val="nil"/>
            </w:tcBorders>
          </w:tcPr>
          <w:p w:rsidR="00F936A8" w:rsidRPr="00261D56"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61D56">
              <w:t>14</w:t>
            </w:r>
            <w:r w:rsidRPr="00261D56">
              <w:br/>
              <w:t>(1</w:t>
            </w:r>
            <w:r>
              <w:t>,</w:t>
            </w:r>
            <w:r w:rsidRPr="00261D56">
              <w:t>8%)</w:t>
            </w:r>
          </w:p>
        </w:tc>
        <w:tc>
          <w:tcPr>
            <w:tcW w:w="1034" w:type="dxa"/>
            <w:tcBorders>
              <w:top w:val="nil"/>
              <w:bottom w:val="nil"/>
            </w:tcBorders>
          </w:tcPr>
          <w:p w:rsidR="00F936A8" w:rsidRPr="00261D56"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61D56">
              <w:t>23</w:t>
            </w:r>
            <w:r w:rsidRPr="00261D56">
              <w:br/>
              <w:t>(2</w:t>
            </w:r>
            <w:r>
              <w:t>,</w:t>
            </w:r>
            <w:r w:rsidRPr="00261D56">
              <w:t>7%)</w:t>
            </w:r>
          </w:p>
        </w:tc>
        <w:tc>
          <w:tcPr>
            <w:tcW w:w="1034" w:type="dxa"/>
            <w:tcBorders>
              <w:top w:val="nil"/>
              <w:bottom w:val="nil"/>
            </w:tcBorders>
          </w:tcPr>
          <w:p w:rsidR="00F936A8" w:rsidRPr="00261D56"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61D56">
              <w:t>20</w:t>
            </w:r>
            <w:r w:rsidRPr="00261D56">
              <w:br/>
              <w:t>(2</w:t>
            </w:r>
            <w:r>
              <w:t>,</w:t>
            </w:r>
            <w:r w:rsidRPr="00261D56">
              <w:t>4%)</w:t>
            </w:r>
          </w:p>
        </w:tc>
      </w:tr>
      <w:tr w:rsidR="00F936A8" w:rsidRPr="00261D56" w:rsidTr="00C56DC0">
        <w:tc>
          <w:tcPr>
            <w:cnfStyle w:val="001000000000" w:firstRow="0" w:lastRow="0" w:firstColumn="1" w:lastColumn="0" w:oddVBand="0" w:evenVBand="0" w:oddHBand="0" w:evenHBand="0" w:firstRowFirstColumn="0" w:firstRowLastColumn="0" w:lastRowFirstColumn="0" w:lastRowLastColumn="0"/>
            <w:tcW w:w="3234" w:type="dxa"/>
            <w:tcBorders>
              <w:top w:val="nil"/>
            </w:tcBorders>
            <w:vAlign w:val="top"/>
          </w:tcPr>
          <w:p w:rsidR="00F936A8" w:rsidRPr="00261D56" w:rsidRDefault="00F936A8" w:rsidP="00122DDF">
            <w:pPr>
              <w:pageBreakBefore/>
              <w:tabs>
                <w:tab w:val="left" w:pos="1980"/>
              </w:tabs>
            </w:pPr>
            <w:r w:rsidRPr="00261D56">
              <w:t>Уч</w:t>
            </w:r>
            <w:r w:rsidRPr="00261D56">
              <w:t>и</w:t>
            </w:r>
            <w:r w:rsidRPr="00261D56">
              <w:t>тель/наставник/тренер</w:t>
            </w:r>
          </w:p>
        </w:tc>
        <w:tc>
          <w:tcPr>
            <w:tcW w:w="1034" w:type="dxa"/>
            <w:tcBorders>
              <w:top w:val="nil"/>
              <w:bottom w:val="nil"/>
            </w:tcBorders>
          </w:tcPr>
          <w:p w:rsidR="00F936A8" w:rsidRPr="00261D56"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61D56">
              <w:t>15</w:t>
            </w:r>
            <w:r w:rsidRPr="00261D56">
              <w:br/>
              <w:t>(2</w:t>
            </w:r>
            <w:r>
              <w:t>,</w:t>
            </w:r>
            <w:r w:rsidRPr="00261D56">
              <w:t>1%)</w:t>
            </w:r>
          </w:p>
        </w:tc>
        <w:tc>
          <w:tcPr>
            <w:tcW w:w="1034" w:type="dxa"/>
            <w:tcBorders>
              <w:top w:val="nil"/>
              <w:bottom w:val="nil"/>
            </w:tcBorders>
          </w:tcPr>
          <w:p w:rsidR="00F936A8" w:rsidRPr="00261D56"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61D56">
              <w:t>13</w:t>
            </w:r>
            <w:r w:rsidRPr="00261D56">
              <w:br/>
              <w:t>(1</w:t>
            </w:r>
            <w:r>
              <w:t>,</w:t>
            </w:r>
            <w:r w:rsidRPr="00261D56">
              <w:t>6%)</w:t>
            </w:r>
          </w:p>
        </w:tc>
        <w:tc>
          <w:tcPr>
            <w:tcW w:w="1034" w:type="dxa"/>
            <w:tcBorders>
              <w:top w:val="nil"/>
              <w:bottom w:val="nil"/>
            </w:tcBorders>
          </w:tcPr>
          <w:p w:rsidR="00F936A8" w:rsidRPr="00261D56"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61D56">
              <w:t>11</w:t>
            </w:r>
            <w:r w:rsidRPr="00261D56">
              <w:br/>
              <w:t>(1</w:t>
            </w:r>
            <w:r>
              <w:t>,</w:t>
            </w:r>
            <w:r w:rsidRPr="00261D56">
              <w:t>3%)</w:t>
            </w:r>
          </w:p>
        </w:tc>
        <w:tc>
          <w:tcPr>
            <w:tcW w:w="1034" w:type="dxa"/>
            <w:tcBorders>
              <w:top w:val="nil"/>
              <w:bottom w:val="nil"/>
            </w:tcBorders>
          </w:tcPr>
          <w:p w:rsidR="00F936A8" w:rsidRPr="00261D56"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61D56">
              <w:t>18</w:t>
            </w:r>
            <w:r w:rsidRPr="00261D56">
              <w:br/>
              <w:t>(2</w:t>
            </w:r>
            <w:r>
              <w:t>,</w:t>
            </w:r>
            <w:r w:rsidRPr="00261D56">
              <w:t>2%)</w:t>
            </w:r>
          </w:p>
        </w:tc>
      </w:tr>
      <w:tr w:rsidR="00F936A8" w:rsidRPr="00261D56" w:rsidTr="00C56DC0">
        <w:tc>
          <w:tcPr>
            <w:cnfStyle w:val="001000000000" w:firstRow="0" w:lastRow="0" w:firstColumn="1" w:lastColumn="0" w:oddVBand="0" w:evenVBand="0" w:oddHBand="0" w:evenHBand="0" w:firstRowFirstColumn="0" w:firstRowLastColumn="0" w:lastRowFirstColumn="0" w:lastRowLastColumn="0"/>
            <w:tcW w:w="3234" w:type="dxa"/>
            <w:tcBorders>
              <w:top w:val="nil"/>
            </w:tcBorders>
            <w:vAlign w:val="top"/>
          </w:tcPr>
          <w:p w:rsidR="00F936A8" w:rsidRPr="00261D56" w:rsidRDefault="00F936A8" w:rsidP="00122DDF">
            <w:pPr>
              <w:tabs>
                <w:tab w:val="left" w:pos="1980"/>
              </w:tabs>
            </w:pPr>
            <w:r w:rsidRPr="00261D56">
              <w:t>Сонаниматель/сосед</w:t>
            </w:r>
          </w:p>
        </w:tc>
        <w:tc>
          <w:tcPr>
            <w:tcW w:w="1034" w:type="dxa"/>
            <w:tcBorders>
              <w:top w:val="nil"/>
            </w:tcBorders>
          </w:tcPr>
          <w:p w:rsidR="00F936A8" w:rsidRPr="00261D56"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61D56">
              <w:t>16</w:t>
            </w:r>
            <w:r w:rsidRPr="00261D56">
              <w:br/>
              <w:t>(2</w:t>
            </w:r>
            <w:r>
              <w:t>,</w:t>
            </w:r>
            <w:r w:rsidRPr="00261D56">
              <w:t>2%)</w:t>
            </w:r>
          </w:p>
        </w:tc>
        <w:tc>
          <w:tcPr>
            <w:tcW w:w="1034" w:type="dxa"/>
            <w:tcBorders>
              <w:top w:val="nil"/>
            </w:tcBorders>
          </w:tcPr>
          <w:p w:rsidR="00F936A8" w:rsidRPr="00261D56"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61D56">
              <w:t>10</w:t>
            </w:r>
            <w:r w:rsidRPr="00261D56">
              <w:br/>
              <w:t>(1</w:t>
            </w:r>
            <w:r>
              <w:t>,</w:t>
            </w:r>
            <w:r w:rsidRPr="00261D56">
              <w:t>3%)</w:t>
            </w:r>
          </w:p>
        </w:tc>
        <w:tc>
          <w:tcPr>
            <w:tcW w:w="1034" w:type="dxa"/>
            <w:tcBorders>
              <w:top w:val="nil"/>
            </w:tcBorders>
          </w:tcPr>
          <w:p w:rsidR="00F936A8" w:rsidRPr="00261D56"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61D56">
              <w:t>11</w:t>
            </w:r>
            <w:r w:rsidRPr="00261D56">
              <w:br/>
              <w:t>(1</w:t>
            </w:r>
            <w:r>
              <w:t>,</w:t>
            </w:r>
            <w:r w:rsidRPr="00261D56">
              <w:t>3%)</w:t>
            </w:r>
          </w:p>
        </w:tc>
        <w:tc>
          <w:tcPr>
            <w:tcW w:w="1034" w:type="dxa"/>
            <w:tcBorders>
              <w:top w:val="nil"/>
            </w:tcBorders>
          </w:tcPr>
          <w:p w:rsidR="00F936A8" w:rsidRPr="00261D56"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61D56">
              <w:t>7</w:t>
            </w:r>
            <w:r w:rsidRPr="00261D56">
              <w:br/>
              <w:t>(0</w:t>
            </w:r>
            <w:r>
              <w:t>,</w:t>
            </w:r>
            <w:r w:rsidRPr="00261D56">
              <w:t>8%)</w:t>
            </w:r>
          </w:p>
        </w:tc>
      </w:tr>
      <w:tr w:rsidR="00F936A8" w:rsidRPr="00261D56" w:rsidTr="00F936A8">
        <w:tc>
          <w:tcPr>
            <w:cnfStyle w:val="001000000000" w:firstRow="0" w:lastRow="0" w:firstColumn="1" w:lastColumn="0" w:oddVBand="0" w:evenVBand="0" w:oddHBand="0" w:evenHBand="0" w:firstRowFirstColumn="0" w:firstRowLastColumn="0" w:lastRowFirstColumn="0" w:lastRowLastColumn="0"/>
            <w:tcW w:w="3234" w:type="dxa"/>
            <w:vAlign w:val="top"/>
          </w:tcPr>
          <w:p w:rsidR="00F936A8" w:rsidRPr="00261D56" w:rsidRDefault="00F936A8" w:rsidP="00122DDF">
            <w:pPr>
              <w:tabs>
                <w:tab w:val="left" w:pos="1980"/>
              </w:tabs>
            </w:pPr>
            <w:r w:rsidRPr="00261D56">
              <w:t>Незнакомое лицо</w:t>
            </w:r>
          </w:p>
        </w:tc>
        <w:tc>
          <w:tcPr>
            <w:tcW w:w="1034" w:type="dxa"/>
          </w:tcPr>
          <w:p w:rsidR="00F936A8" w:rsidRPr="00261D56"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61D56">
              <w:t>81</w:t>
            </w:r>
            <w:r w:rsidRPr="00261D56">
              <w:br/>
              <w:t>(11</w:t>
            </w:r>
            <w:r>
              <w:t>,</w:t>
            </w:r>
            <w:r w:rsidRPr="00261D56">
              <w:t>3%)</w:t>
            </w:r>
          </w:p>
        </w:tc>
        <w:tc>
          <w:tcPr>
            <w:tcW w:w="1034" w:type="dxa"/>
          </w:tcPr>
          <w:p w:rsidR="00F936A8" w:rsidRPr="00261D56"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61D56">
              <w:t>79</w:t>
            </w:r>
            <w:r w:rsidRPr="00261D56">
              <w:br/>
              <w:t>(10</w:t>
            </w:r>
            <w:r>
              <w:t>,</w:t>
            </w:r>
            <w:r w:rsidRPr="00261D56">
              <w:t>2%)</w:t>
            </w:r>
          </w:p>
        </w:tc>
        <w:tc>
          <w:tcPr>
            <w:tcW w:w="1034" w:type="dxa"/>
          </w:tcPr>
          <w:p w:rsidR="00F936A8" w:rsidRPr="00261D56"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61D56">
              <w:t>114</w:t>
            </w:r>
            <w:r w:rsidRPr="00261D56">
              <w:br/>
              <w:t>(13</w:t>
            </w:r>
            <w:r>
              <w:t>,</w:t>
            </w:r>
            <w:r w:rsidRPr="00261D56">
              <w:t>2%)</w:t>
            </w:r>
          </w:p>
        </w:tc>
        <w:tc>
          <w:tcPr>
            <w:tcW w:w="1034" w:type="dxa"/>
          </w:tcPr>
          <w:p w:rsidR="00F936A8" w:rsidRPr="00261D56"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61D56">
              <w:t>84</w:t>
            </w:r>
            <w:r w:rsidRPr="00261D56">
              <w:br/>
              <w:t>(10</w:t>
            </w:r>
            <w:r>
              <w:t>,</w:t>
            </w:r>
            <w:r w:rsidRPr="00261D56">
              <w:t>1%)</w:t>
            </w:r>
          </w:p>
        </w:tc>
      </w:tr>
      <w:tr w:rsidR="00F936A8" w:rsidRPr="00261D56" w:rsidTr="00F936A8">
        <w:tc>
          <w:tcPr>
            <w:cnfStyle w:val="001000000000" w:firstRow="0" w:lastRow="0" w:firstColumn="1" w:lastColumn="0" w:oddVBand="0" w:evenVBand="0" w:oddHBand="0" w:evenHBand="0" w:firstRowFirstColumn="0" w:firstRowLastColumn="0" w:lastRowFirstColumn="0" w:lastRowLastColumn="0"/>
            <w:tcW w:w="3234" w:type="dxa"/>
            <w:tcBorders>
              <w:bottom w:val="single" w:sz="4" w:space="0" w:color="auto"/>
            </w:tcBorders>
            <w:vAlign w:val="top"/>
          </w:tcPr>
          <w:p w:rsidR="00F936A8" w:rsidRPr="00261D56" w:rsidRDefault="00F936A8" w:rsidP="00122DDF">
            <w:pPr>
              <w:tabs>
                <w:tab w:val="left" w:pos="1980"/>
              </w:tabs>
            </w:pPr>
            <w:r w:rsidRPr="00261D56">
              <w:t>Неустановленное л</w:t>
            </w:r>
            <w:r w:rsidRPr="00261D56">
              <w:t>и</w:t>
            </w:r>
            <w:r w:rsidRPr="00261D56">
              <w:t>цо</w:t>
            </w:r>
          </w:p>
        </w:tc>
        <w:tc>
          <w:tcPr>
            <w:tcW w:w="1034" w:type="dxa"/>
            <w:tcBorders>
              <w:bottom w:val="single" w:sz="4" w:space="0" w:color="auto"/>
            </w:tcBorders>
          </w:tcPr>
          <w:p w:rsidR="00F936A8" w:rsidRPr="00261D56"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61D56">
              <w:t>0</w:t>
            </w:r>
            <w:r w:rsidRPr="00261D56">
              <w:br/>
              <w:t>(0</w:t>
            </w:r>
            <w:r>
              <w:t>,</w:t>
            </w:r>
            <w:r w:rsidRPr="00261D56">
              <w:t>0%)</w:t>
            </w:r>
          </w:p>
        </w:tc>
        <w:tc>
          <w:tcPr>
            <w:tcW w:w="1034" w:type="dxa"/>
            <w:tcBorders>
              <w:bottom w:val="single" w:sz="4" w:space="0" w:color="auto"/>
            </w:tcBorders>
          </w:tcPr>
          <w:p w:rsidR="00F936A8" w:rsidRPr="00261D56"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61D56">
              <w:t>3</w:t>
            </w:r>
            <w:r w:rsidRPr="00261D56">
              <w:br/>
              <w:t>(0</w:t>
            </w:r>
            <w:r>
              <w:t>,</w:t>
            </w:r>
            <w:r w:rsidRPr="00261D56">
              <w:t>4%)</w:t>
            </w:r>
          </w:p>
        </w:tc>
        <w:tc>
          <w:tcPr>
            <w:tcW w:w="1034" w:type="dxa"/>
            <w:tcBorders>
              <w:bottom w:val="single" w:sz="4" w:space="0" w:color="auto"/>
            </w:tcBorders>
          </w:tcPr>
          <w:p w:rsidR="00F936A8" w:rsidRPr="00261D56"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61D56">
              <w:t>3</w:t>
            </w:r>
            <w:r w:rsidRPr="00261D56">
              <w:br/>
              <w:t>(0</w:t>
            </w:r>
            <w:r>
              <w:t>,</w:t>
            </w:r>
            <w:r w:rsidRPr="00261D56">
              <w:t>3%)</w:t>
            </w:r>
          </w:p>
        </w:tc>
        <w:tc>
          <w:tcPr>
            <w:tcW w:w="1034" w:type="dxa"/>
            <w:tcBorders>
              <w:bottom w:val="single" w:sz="4" w:space="0" w:color="auto"/>
            </w:tcBorders>
          </w:tcPr>
          <w:p w:rsidR="00F936A8" w:rsidRPr="00261D56"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61D56">
              <w:t>15</w:t>
            </w:r>
            <w:r w:rsidRPr="00261D56">
              <w:br/>
              <w:t>(1</w:t>
            </w:r>
            <w:r>
              <w:t>,</w:t>
            </w:r>
            <w:r w:rsidRPr="00261D56">
              <w:t>8%)</w:t>
            </w:r>
          </w:p>
        </w:tc>
      </w:tr>
      <w:tr w:rsidR="00F936A8" w:rsidRPr="00201675" w:rsidTr="00F936A8">
        <w:tc>
          <w:tcPr>
            <w:cnfStyle w:val="001000000000" w:firstRow="0" w:lastRow="0" w:firstColumn="1" w:lastColumn="0" w:oddVBand="0" w:evenVBand="0" w:oddHBand="0" w:evenHBand="0" w:firstRowFirstColumn="0" w:firstRowLastColumn="0" w:lastRowFirstColumn="0" w:lastRowLastColumn="0"/>
            <w:tcW w:w="3234" w:type="dxa"/>
            <w:tcBorders>
              <w:top w:val="single" w:sz="4" w:space="0" w:color="auto"/>
            </w:tcBorders>
            <w:vAlign w:val="top"/>
          </w:tcPr>
          <w:p w:rsidR="00F936A8" w:rsidRPr="00201675" w:rsidRDefault="00F936A8" w:rsidP="00122DDF">
            <w:pPr>
              <w:tabs>
                <w:tab w:val="left" w:pos="1980"/>
              </w:tabs>
              <w:ind w:left="306"/>
              <w:rPr>
                <w:b/>
              </w:rPr>
            </w:pPr>
            <w:r w:rsidRPr="00201675">
              <w:rPr>
                <w:b/>
              </w:rPr>
              <w:t>Итого</w:t>
            </w:r>
          </w:p>
        </w:tc>
        <w:tc>
          <w:tcPr>
            <w:tcW w:w="1034" w:type="dxa"/>
            <w:tcBorders>
              <w:top w:val="single" w:sz="4" w:space="0" w:color="auto"/>
              <w:bottom w:val="single" w:sz="12" w:space="0" w:color="auto"/>
            </w:tcBorders>
          </w:tcPr>
          <w:p w:rsidR="00F936A8" w:rsidRPr="00201675"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201675">
              <w:rPr>
                <w:b/>
              </w:rPr>
              <w:t>714</w:t>
            </w:r>
          </w:p>
        </w:tc>
        <w:tc>
          <w:tcPr>
            <w:tcW w:w="1034" w:type="dxa"/>
            <w:tcBorders>
              <w:top w:val="single" w:sz="4" w:space="0" w:color="auto"/>
              <w:bottom w:val="single" w:sz="12" w:space="0" w:color="auto"/>
            </w:tcBorders>
          </w:tcPr>
          <w:p w:rsidR="00F936A8" w:rsidRPr="00201675"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201675">
              <w:rPr>
                <w:b/>
              </w:rPr>
              <w:t>774</w:t>
            </w:r>
          </w:p>
        </w:tc>
        <w:tc>
          <w:tcPr>
            <w:tcW w:w="1034" w:type="dxa"/>
            <w:tcBorders>
              <w:top w:val="single" w:sz="4" w:space="0" w:color="auto"/>
              <w:bottom w:val="single" w:sz="12" w:space="0" w:color="auto"/>
            </w:tcBorders>
          </w:tcPr>
          <w:p w:rsidR="00F936A8" w:rsidRPr="00201675"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201675">
              <w:rPr>
                <w:b/>
              </w:rPr>
              <w:t>866</w:t>
            </w:r>
          </w:p>
        </w:tc>
        <w:tc>
          <w:tcPr>
            <w:tcW w:w="1034" w:type="dxa"/>
            <w:tcBorders>
              <w:top w:val="single" w:sz="4" w:space="0" w:color="auto"/>
              <w:bottom w:val="single" w:sz="12" w:space="0" w:color="auto"/>
            </w:tcBorders>
          </w:tcPr>
          <w:p w:rsidR="00F936A8" w:rsidRPr="00201675"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201675">
              <w:rPr>
                <w:b/>
              </w:rPr>
              <w:t>828</w:t>
            </w:r>
          </w:p>
        </w:tc>
      </w:tr>
    </w:tbl>
    <w:p w:rsidR="00F936A8" w:rsidRPr="00201675" w:rsidRDefault="00F936A8" w:rsidP="00122DDF">
      <w:pPr>
        <w:pStyle w:val="SingleTxtGR"/>
        <w:tabs>
          <w:tab w:val="left" w:pos="1980"/>
        </w:tabs>
        <w:suppressAutoHyphens/>
        <w:spacing w:before="120" w:after="240"/>
        <w:ind w:left="1260"/>
        <w:jc w:val="left"/>
        <w:rPr>
          <w:sz w:val="18"/>
          <w:szCs w:val="18"/>
        </w:rPr>
      </w:pPr>
      <w:r w:rsidRPr="00201675">
        <w:rPr>
          <w:i/>
          <w:sz w:val="18"/>
          <w:szCs w:val="18"/>
        </w:rPr>
        <w:t>Примечание:</w:t>
      </w:r>
      <w:r w:rsidRPr="00201675">
        <w:rPr>
          <w:sz w:val="18"/>
          <w:szCs w:val="18"/>
        </w:rPr>
        <w:t xml:space="preserve"> Количество субъектов насилия может отличаться от количества жертв, поскольку субъект насилия может совершать насилие в отношении нескольких детей или ребенок может подвергаться насилию со стороны нескольких субъектов насилия.</w:t>
      </w:r>
    </w:p>
    <w:p w:rsidR="00F936A8" w:rsidRPr="00CB2C86" w:rsidRDefault="00F936A8" w:rsidP="00F91733">
      <w:pPr>
        <w:pStyle w:val="SingleTxtGR"/>
        <w:tabs>
          <w:tab w:val="clear" w:pos="1701"/>
          <w:tab w:val="left" w:pos="1980"/>
        </w:tabs>
      </w:pPr>
      <w:bookmarkStart w:id="5" w:name="0.13_table06"/>
      <w:bookmarkEnd w:id="5"/>
      <w:r w:rsidRPr="00CB2C86">
        <w:t>10.57</w:t>
      </w:r>
      <w:r w:rsidRPr="00CB2C86">
        <w:tab/>
        <w:t>Кроме того, после вступления в силу Указа о предупреждении насилия в семье (с поправкой) в 2008</w:t>
      </w:r>
      <w:r w:rsidR="00B92291">
        <w:t> год</w:t>
      </w:r>
      <w:r w:rsidRPr="00CB2C86">
        <w:t xml:space="preserve">а несовершеннолетние в возрасте младше 18 лет могут самостоятельно ходатайствовать через своих </w:t>
      </w:r>
      <w:r>
        <w:t>"</w:t>
      </w:r>
      <w:r w:rsidRPr="00CB2C86">
        <w:t>заступников</w:t>
      </w:r>
      <w:r>
        <w:t>"</w:t>
      </w:r>
      <w:r w:rsidRPr="00CB2C86">
        <w:t xml:space="preserve"> об изд</w:t>
      </w:r>
      <w:r w:rsidRPr="00CB2C86">
        <w:t>а</w:t>
      </w:r>
      <w:r w:rsidRPr="00CB2C86">
        <w:t>нии судебного приказа, запрещающего их родителям или родственникам пр</w:t>
      </w:r>
      <w:r w:rsidRPr="00CB2C86">
        <w:t>и</w:t>
      </w:r>
      <w:r w:rsidRPr="00CB2C86">
        <w:t>менять насилие, независимо от того проживают ли они совместно или раздел</w:t>
      </w:r>
      <w:r w:rsidRPr="00CB2C86">
        <w:t>ь</w:t>
      </w:r>
      <w:r w:rsidRPr="00CB2C86">
        <w:t>но со своими преступающими закон родителями или родственниками. Суд та</w:t>
      </w:r>
      <w:r w:rsidRPr="00CB2C86">
        <w:t>к</w:t>
      </w:r>
      <w:r w:rsidRPr="00CB2C86">
        <w:t>же пр</w:t>
      </w:r>
      <w:r w:rsidRPr="00CB2C86">
        <w:t>а</w:t>
      </w:r>
      <w:r w:rsidRPr="00CB2C86">
        <w:t>вомочен изменить или приостановить действие судебного приказа об опеке или доступе к несовершеннолетнему, когда суд издает приказ, запр</w:t>
      </w:r>
      <w:r w:rsidRPr="00CB2C86">
        <w:t>е</w:t>
      </w:r>
      <w:r w:rsidRPr="00CB2C86">
        <w:t>щающий суб</w:t>
      </w:r>
      <w:r w:rsidRPr="00CB2C86">
        <w:t>ъ</w:t>
      </w:r>
      <w:r w:rsidRPr="00CB2C86">
        <w:t>екту насилия находиться в определенных местах.</w:t>
      </w:r>
    </w:p>
    <w:p w:rsidR="00F936A8" w:rsidRPr="00CB2C86" w:rsidRDefault="00F936A8" w:rsidP="00122DDF">
      <w:pPr>
        <w:pStyle w:val="H23GR"/>
        <w:tabs>
          <w:tab w:val="left" w:pos="1980"/>
        </w:tabs>
      </w:pPr>
      <w:r w:rsidRPr="00CB2C86">
        <w:tab/>
      </w:r>
      <w:r w:rsidRPr="00CB2C86">
        <w:tab/>
        <w:t>Детская безнадзорность</w:t>
      </w:r>
    </w:p>
    <w:p w:rsidR="00F936A8" w:rsidRPr="00CB2C86" w:rsidRDefault="00F936A8" w:rsidP="00F91733">
      <w:pPr>
        <w:pStyle w:val="SingleTxtGR"/>
        <w:tabs>
          <w:tab w:val="clear" w:pos="1701"/>
          <w:tab w:val="left" w:pos="1980"/>
        </w:tabs>
      </w:pPr>
      <w:r w:rsidRPr="00CB2C86">
        <w:t>10.58</w:t>
      </w:r>
      <w:r w:rsidRPr="00CB2C86">
        <w:tab/>
        <w:t>Некоторые комментаторы призывали к принятию законодательства, запрещающего оставлять детей без присмотра, чтобы обеспечить общую защ</w:t>
      </w:r>
      <w:r w:rsidRPr="00CB2C86">
        <w:t>и</w:t>
      </w:r>
      <w:r w:rsidRPr="00CB2C86">
        <w:t xml:space="preserve">ту детей от безнадзорности и </w:t>
      </w:r>
      <w:proofErr w:type="spellStart"/>
      <w:r w:rsidRPr="00CB2C86">
        <w:t>неухоженности</w:t>
      </w:r>
      <w:proofErr w:type="spellEnd"/>
      <w:r w:rsidRPr="00CB2C86">
        <w:t>. Указ о защите детей и подростков предоставляет суду полномочия издавать судебный приказ об опеке или надз</w:t>
      </w:r>
      <w:r w:rsidRPr="00CB2C86">
        <w:t>о</w:t>
      </w:r>
      <w:r w:rsidRPr="00CB2C86">
        <w:t>ре, касающийся, в частности, безнадзорного ребенка или подростка. Более того, в соответствии с Указом о предупреждении преступлений против личности л</w:t>
      </w:r>
      <w:r w:rsidRPr="00CB2C86">
        <w:t>ю</w:t>
      </w:r>
      <w:r w:rsidRPr="00CB2C86">
        <w:t>бое лицо, которое незаконно бросает или оставляет в беспомощном состоянии любого ребенка в возрасте младше двух лет, в результате чего он может подве</w:t>
      </w:r>
      <w:r w:rsidRPr="00CB2C86">
        <w:t>р</w:t>
      </w:r>
      <w:r w:rsidRPr="00CB2C86">
        <w:t>гаться опасности, а его жизни или здоровью наносится вред или</w:t>
      </w:r>
      <w:r w:rsidR="00AF4467">
        <w:t>,</w:t>
      </w:r>
      <w:r w:rsidRPr="00CB2C86">
        <w:t xml:space="preserve"> вероятнее вс</w:t>
      </w:r>
      <w:r w:rsidRPr="00CB2C86">
        <w:t>е</w:t>
      </w:r>
      <w:r w:rsidRPr="00CB2C86">
        <w:t>го</w:t>
      </w:r>
      <w:r w:rsidR="00AF4467">
        <w:t>,</w:t>
      </w:r>
      <w:r w:rsidRPr="00CB2C86">
        <w:t xml:space="preserve"> будет нанесен непоправимый вред; или любое лицо старше 16 лет, которое предумышленно нападает на ребенка или подростка или жестоко обращается с ним, оставляет без надзора, бросает или оставляет в беспомощном положении находящегося под его опекой, надзором или попечительством любого ребенка или подростка младше 16 лет, что может с большой вероятностью вызвать у т</w:t>
      </w:r>
      <w:r w:rsidRPr="00CB2C86">
        <w:t>а</w:t>
      </w:r>
      <w:r w:rsidRPr="00CB2C86">
        <w:t>кого ребенка или подростка излишние страдания или нанести вред его здор</w:t>
      </w:r>
      <w:r w:rsidRPr="00CB2C86">
        <w:t>о</w:t>
      </w:r>
      <w:r w:rsidRPr="00CB2C86">
        <w:t>вью, виновно в совершении уголовно наказуемого деяния. Если такое лицо б</w:t>
      </w:r>
      <w:r w:rsidRPr="00CB2C86">
        <w:t>у</w:t>
      </w:r>
      <w:r w:rsidRPr="00CB2C86">
        <w:t>дет признано виновным, ему грозит максимальное наказание в виде лишения свободы сроком на 10 лет.</w:t>
      </w:r>
    </w:p>
    <w:p w:rsidR="00F936A8" w:rsidRPr="00CB2C86" w:rsidRDefault="00F936A8" w:rsidP="00F91733">
      <w:pPr>
        <w:pStyle w:val="SingleTxtGR"/>
        <w:tabs>
          <w:tab w:val="clear" w:pos="1701"/>
          <w:tab w:val="left" w:pos="1980"/>
        </w:tabs>
      </w:pPr>
      <w:r w:rsidRPr="00CB2C86">
        <w:t>10.59</w:t>
      </w:r>
      <w:r w:rsidRPr="00CB2C86">
        <w:tab/>
        <w:t>Предложение запретить в законодательном порядке оставлять дома д</w:t>
      </w:r>
      <w:r w:rsidRPr="00CB2C86">
        <w:t>е</w:t>
      </w:r>
      <w:r w:rsidRPr="00CB2C86">
        <w:t>тей без присмотра, при всех благих намерениях защитить детей от вреда, не может достичь желаемых целей. Некоторые родители, возможно, постараются найти лазейки, чтобы избежать правовой ответственности, например попросив детей не оставаться дома или погулять по торговым центрам или по улицам. Такие ситуации едва ли можно предотвратить с помощью предлагаемого зак</w:t>
      </w:r>
      <w:r w:rsidRPr="00CB2C86">
        <w:t>о</w:t>
      </w:r>
      <w:r w:rsidRPr="00CB2C86">
        <w:t>нодательства, к тому же есть практические трудности, которые сопряжены с осуществлением такого законодательства. Напротив, упомянутое выше закон</w:t>
      </w:r>
      <w:r w:rsidRPr="00CB2C86">
        <w:t>о</w:t>
      </w:r>
      <w:r w:rsidRPr="00CB2C86">
        <w:t>дательство, запрещающее безнадзорность ребенка, ставит во главу угла такие вопр</w:t>
      </w:r>
      <w:r w:rsidRPr="00CB2C86">
        <w:t>о</w:t>
      </w:r>
      <w:r w:rsidRPr="00CB2C86">
        <w:t>сы, как причинило ли определенное поведение вред ребенку, назначена ли соответствующему лицу опека над ребенком, имел(а) ли он/она умысел ост</w:t>
      </w:r>
      <w:r w:rsidRPr="00CB2C86">
        <w:t>а</w:t>
      </w:r>
      <w:r w:rsidRPr="00CB2C86">
        <w:t>вить ребенка без надзора и понимает ли такое лицо возможный вред, который причинен ребенку в результате такого поведения и т.д., независимо от того, где находится ребенок. Мы считаем, что действующее законодательство эффекти</w:t>
      </w:r>
      <w:r w:rsidRPr="00CB2C86">
        <w:t>в</w:t>
      </w:r>
      <w:r w:rsidRPr="00CB2C86">
        <w:t>нее защищает безопасность детей.</w:t>
      </w:r>
    </w:p>
    <w:p w:rsidR="00F936A8" w:rsidRPr="00CB2C86" w:rsidRDefault="00F936A8" w:rsidP="00F91733">
      <w:pPr>
        <w:pStyle w:val="H23GR"/>
        <w:tabs>
          <w:tab w:val="left" w:pos="1980"/>
        </w:tabs>
      </w:pPr>
      <w:r w:rsidRPr="00CB2C86">
        <w:tab/>
      </w:r>
      <w:r w:rsidRPr="00CB2C86">
        <w:tab/>
        <w:t>Телесные наказания</w:t>
      </w:r>
    </w:p>
    <w:p w:rsidR="00F936A8" w:rsidRPr="00CB2C86" w:rsidRDefault="00F936A8" w:rsidP="00F91733">
      <w:pPr>
        <w:pStyle w:val="SingleTxtGR"/>
        <w:tabs>
          <w:tab w:val="clear" w:pos="1701"/>
          <w:tab w:val="left" w:pos="1980"/>
        </w:tabs>
      </w:pPr>
      <w:r w:rsidRPr="00CB2C86">
        <w:t>10.60</w:t>
      </w:r>
      <w:r w:rsidRPr="00CB2C86">
        <w:tab/>
        <w:t>Звучат призывы ввести в Гонконге законодательство, запрещающее т</w:t>
      </w:r>
      <w:r w:rsidRPr="00CB2C86">
        <w:t>е</w:t>
      </w:r>
      <w:r w:rsidRPr="00CB2C86">
        <w:t xml:space="preserve">лесные наказания детей. В настоящее время действуют положения Регламента услуг по уходу за детьми </w:t>
      </w:r>
      <w:r>
        <w:t>(глава </w:t>
      </w:r>
      <w:r w:rsidRPr="00CB2C86">
        <w:t>243</w:t>
      </w:r>
      <w:r w:rsidRPr="00CB2C86">
        <w:rPr>
          <w:lang w:val="en-GB"/>
        </w:rPr>
        <w:t>A</w:t>
      </w:r>
      <w:r w:rsidRPr="00CB2C86">
        <w:t xml:space="preserve">) и Регламента по образованию </w:t>
      </w:r>
      <w:r>
        <w:t>(глава </w:t>
      </w:r>
      <w:r w:rsidRPr="00CB2C86">
        <w:t>279</w:t>
      </w:r>
      <w:r w:rsidRPr="00CB2C86">
        <w:rPr>
          <w:lang w:val="en-GB"/>
        </w:rPr>
        <w:t>A</w:t>
      </w:r>
      <w:r w:rsidRPr="00CB2C86">
        <w:t>), которые прямо запрещают использование телесных наказаний д</w:t>
      </w:r>
      <w:r w:rsidRPr="00CB2C86">
        <w:t>е</w:t>
      </w:r>
      <w:r w:rsidRPr="00CB2C86">
        <w:t xml:space="preserve">тей в центрах присмотра и центрах взаимопомощи по присмотру за детьми, а также телесных наказаний учеников учителем. </w:t>
      </w:r>
    </w:p>
    <w:p w:rsidR="00F936A8" w:rsidRPr="00CB2C86" w:rsidRDefault="00F936A8" w:rsidP="00F91733">
      <w:pPr>
        <w:pStyle w:val="SingleTxtGR"/>
        <w:tabs>
          <w:tab w:val="clear" w:pos="1701"/>
          <w:tab w:val="left" w:pos="1980"/>
        </w:tabs>
      </w:pPr>
      <w:r w:rsidRPr="00CB2C86">
        <w:t>10.61</w:t>
      </w:r>
      <w:r w:rsidRPr="00CB2C86">
        <w:tab/>
        <w:t>В обстоятельствах, когда речь идет о насилии над ребенком, примен</w:t>
      </w:r>
      <w:r w:rsidRPr="00CB2C86">
        <w:t>я</w:t>
      </w:r>
      <w:r w:rsidRPr="00CB2C86">
        <w:t>ются положения Указа о предупреждении преступлений против личности, уп</w:t>
      </w:r>
      <w:r w:rsidRPr="00CB2C86">
        <w:t>о</w:t>
      </w:r>
      <w:r w:rsidRPr="00CB2C86">
        <w:t>мянутого выше в пункте 10.55. Лицо, осужденное за нападение с причинением неоспоримых телесных повреждений или простое нападение как таковые, по</w:t>
      </w:r>
      <w:r w:rsidRPr="00CB2C86">
        <w:t>д</w:t>
      </w:r>
      <w:r w:rsidRPr="00CB2C86">
        <w:t>лежит в соответствии с разделами 39 и 40 этого указа максимальному наказ</w:t>
      </w:r>
      <w:r w:rsidRPr="00CB2C86">
        <w:t>а</w:t>
      </w:r>
      <w:r w:rsidRPr="00CB2C86">
        <w:t>нию в виде лишения свободы сроком от одного</w:t>
      </w:r>
      <w:r w:rsidR="00B92291">
        <w:t> год</w:t>
      </w:r>
      <w:r w:rsidRPr="00CB2C86">
        <w:t>а до трех лет. Кроме того, в соотве</w:t>
      </w:r>
      <w:r w:rsidRPr="00CB2C86">
        <w:t>т</w:t>
      </w:r>
      <w:r w:rsidRPr="00CB2C86">
        <w:t>ствии с разделом 27(1) этого указа лицо старше 16 лет, включая одного из родителей, которое предумышленно нападает, жестоко обращается с ребе</w:t>
      </w:r>
      <w:r w:rsidRPr="00CB2C86">
        <w:t>н</w:t>
      </w:r>
      <w:r w:rsidRPr="00CB2C86">
        <w:t>ком или подростком младше 16 лет, над которым он осуществляет опеку, надзор или попечительство, или в результате таких нападений или жестокого обращ</w:t>
      </w:r>
      <w:r w:rsidRPr="00CB2C86">
        <w:t>е</w:t>
      </w:r>
      <w:r w:rsidRPr="00CB2C86">
        <w:t xml:space="preserve">ния причиняет такому ребенку или подростку излишние страдания или вред здоровью, совершает уголовно наказуемое деяние. В случае осуждения такое лицо подлежит максимальному наказанию в виде лишения свободы сроком 10 лет. </w:t>
      </w:r>
    </w:p>
    <w:p w:rsidR="00F936A8" w:rsidRPr="00CB2C86" w:rsidRDefault="00F936A8" w:rsidP="00F91733">
      <w:pPr>
        <w:pStyle w:val="SingleTxtGR"/>
        <w:tabs>
          <w:tab w:val="clear" w:pos="1701"/>
          <w:tab w:val="left" w:pos="1980"/>
        </w:tabs>
      </w:pPr>
      <w:r w:rsidRPr="00CB2C86">
        <w:t>10.62</w:t>
      </w:r>
      <w:r w:rsidRPr="00CB2C86">
        <w:tab/>
        <w:t>Что касается требования об отмене в законодательном порядке пол</w:t>
      </w:r>
      <w:r w:rsidRPr="00CB2C86">
        <w:t>о</w:t>
      </w:r>
      <w:r w:rsidRPr="00CB2C86">
        <w:t>жения, согласно которому телесные наказания в семье в рамках действующего законодательства не могут составлять уголовного преступления, то мы отмеч</w:t>
      </w:r>
      <w:r w:rsidRPr="00CB2C86">
        <w:t>а</w:t>
      </w:r>
      <w:r w:rsidRPr="00CB2C86">
        <w:t>ем, что в других юрисдикциях такие законы действительно разрабатываются, а с</w:t>
      </w:r>
      <w:r w:rsidRPr="00CB2C86">
        <w:t>а</w:t>
      </w:r>
      <w:r w:rsidRPr="00CB2C86">
        <w:t>ма проблема вызывает немало споров даже в западных странах. Мы считаем, что на данном этапе такое законодательство едва ли будет самым эффективным средством решения этой проблемы в Гонконге.</w:t>
      </w:r>
    </w:p>
    <w:p w:rsidR="00F936A8" w:rsidRPr="00CB2C86" w:rsidRDefault="00F936A8" w:rsidP="00F91733">
      <w:pPr>
        <w:pStyle w:val="H23GR"/>
        <w:tabs>
          <w:tab w:val="left" w:pos="1980"/>
        </w:tabs>
      </w:pPr>
      <w:r w:rsidRPr="00CB2C86">
        <w:tab/>
      </w:r>
      <w:r w:rsidRPr="00CB2C86">
        <w:tab/>
        <w:t>Похищения</w:t>
      </w:r>
    </w:p>
    <w:p w:rsidR="00F936A8" w:rsidRPr="00CB2C86" w:rsidRDefault="00F936A8" w:rsidP="00F91733">
      <w:pPr>
        <w:pStyle w:val="SingleTxtGR"/>
        <w:tabs>
          <w:tab w:val="clear" w:pos="1701"/>
          <w:tab w:val="left" w:pos="1980"/>
        </w:tabs>
      </w:pPr>
      <w:r w:rsidRPr="00CB2C86">
        <w:t>10.63</w:t>
      </w:r>
      <w:r w:rsidRPr="00CB2C86">
        <w:tab/>
        <w:t>В статье 26 Указа о защите детей и подростков похищение или прин</w:t>
      </w:r>
      <w:r w:rsidRPr="00CB2C86">
        <w:t>у</w:t>
      </w:r>
      <w:r w:rsidRPr="00CB2C86">
        <w:t>ждение к похищению у родителей любого ребенка или подростка вопреки вол</w:t>
      </w:r>
      <w:r w:rsidR="00AF4467">
        <w:t>е</w:t>
      </w:r>
      <w:r w:rsidRPr="00CB2C86">
        <w:t xml:space="preserve"> родителей или других лиц, осуществляющих законную опеку или попечител</w:t>
      </w:r>
      <w:r w:rsidRPr="00CB2C86">
        <w:t>ь</w:t>
      </w:r>
      <w:r w:rsidRPr="00CB2C86">
        <w:t>ство над ним, квалифицируется как уголовно наказуемое деяние.</w:t>
      </w:r>
    </w:p>
    <w:p w:rsidR="00F936A8" w:rsidRPr="00CB2C86" w:rsidRDefault="00F936A8" w:rsidP="00F91733">
      <w:pPr>
        <w:pStyle w:val="H4GR"/>
        <w:tabs>
          <w:tab w:val="left" w:pos="1980"/>
        </w:tabs>
        <w:spacing w:before="240"/>
        <w:ind w:left="1134" w:right="1179" w:hanging="1134"/>
      </w:pPr>
      <w:r w:rsidRPr="00CB2C86">
        <w:tab/>
      </w:r>
      <w:r w:rsidRPr="00CB2C86">
        <w:tab/>
        <w:t>Гаагская конвенция о гражданско-правовых аспектах международного похищения детей</w:t>
      </w:r>
    </w:p>
    <w:p w:rsidR="00F936A8" w:rsidRPr="00CB2C86" w:rsidRDefault="00F936A8" w:rsidP="00F91733">
      <w:pPr>
        <w:pStyle w:val="SingleTxtGR"/>
        <w:tabs>
          <w:tab w:val="clear" w:pos="1701"/>
          <w:tab w:val="left" w:pos="1980"/>
        </w:tabs>
      </w:pPr>
      <w:r w:rsidRPr="00CB2C86">
        <w:t>10.64</w:t>
      </w:r>
      <w:r w:rsidRPr="00CB2C86">
        <w:tab/>
        <w:t>Гаагская конвенция о гражданско-правовых аспектах международного похищения детей применяется в Гонконге с 1 сентября 1997</w:t>
      </w:r>
      <w:r w:rsidR="00B92291">
        <w:t> год</w:t>
      </w:r>
      <w:r w:rsidRPr="00CB2C86">
        <w:t>а. Мы продо</w:t>
      </w:r>
      <w:r w:rsidRPr="00CB2C86">
        <w:t>л</w:t>
      </w:r>
      <w:r w:rsidRPr="00CB2C86">
        <w:t>жаем выполнять Конвенцию в Гонконге на основе Указа о предупреждении п</w:t>
      </w:r>
      <w:r w:rsidRPr="00CB2C86">
        <w:t>о</w:t>
      </w:r>
      <w:r w:rsidRPr="00CB2C86">
        <w:t xml:space="preserve">хищения детей и опеки над ними </w:t>
      </w:r>
      <w:r>
        <w:t>(глава </w:t>
      </w:r>
      <w:r w:rsidRPr="00CB2C86">
        <w:t>512), о чем сообщалось в первоначал</w:t>
      </w:r>
      <w:r w:rsidRPr="00CB2C86">
        <w:t>ь</w:t>
      </w:r>
      <w:r w:rsidRPr="00CB2C86">
        <w:t>ном докладе.</w:t>
      </w:r>
    </w:p>
    <w:p w:rsidR="00F936A8" w:rsidRPr="00CB2C86" w:rsidRDefault="00F936A8" w:rsidP="00122DDF">
      <w:pPr>
        <w:pStyle w:val="H23GR"/>
        <w:tabs>
          <w:tab w:val="left" w:pos="1980"/>
        </w:tabs>
      </w:pPr>
      <w:r w:rsidRPr="00CB2C86">
        <w:tab/>
      </w:r>
      <w:r w:rsidRPr="00CB2C86">
        <w:tab/>
        <w:t>Детская порнография и детский секс-туризм</w:t>
      </w:r>
    </w:p>
    <w:p w:rsidR="00F936A8" w:rsidRPr="00CB2C86" w:rsidRDefault="00F936A8" w:rsidP="00F91733">
      <w:pPr>
        <w:pStyle w:val="SingleTxtGR"/>
        <w:tabs>
          <w:tab w:val="clear" w:pos="1701"/>
          <w:tab w:val="clear" w:pos="2268"/>
          <w:tab w:val="left" w:pos="1980"/>
          <w:tab w:val="left" w:pos="2520"/>
        </w:tabs>
      </w:pPr>
      <w:r w:rsidRPr="00CB2C86">
        <w:t>10.65</w:t>
      </w:r>
      <w:r w:rsidRPr="00CB2C86">
        <w:tab/>
        <w:t>Как уже отмечалось в пункте 10.50 предыдущего доклада, в 2003</w:t>
      </w:r>
      <w:r w:rsidR="00B92291">
        <w:t> год</w:t>
      </w:r>
      <w:r w:rsidRPr="00CB2C86">
        <w:t>у был принят Указ о запрещении детской порнографии (ст</w:t>
      </w:r>
      <w:r>
        <w:t>атья</w:t>
      </w:r>
      <w:r w:rsidRPr="00CB2C86">
        <w:t xml:space="preserve"> 579). Он усилив</w:t>
      </w:r>
      <w:r w:rsidRPr="00CB2C86">
        <w:t>а</w:t>
      </w:r>
      <w:r w:rsidRPr="00CB2C86">
        <w:t>ет защиту детей от сексуальной эксплуатации в таких формах, как детская порн</w:t>
      </w:r>
      <w:r w:rsidRPr="00CB2C86">
        <w:t>о</w:t>
      </w:r>
      <w:r w:rsidRPr="00CB2C86">
        <w:t>графия, порнографические изображения сексуальных действий с участием д</w:t>
      </w:r>
      <w:r w:rsidRPr="00CB2C86">
        <w:t>е</w:t>
      </w:r>
      <w:r w:rsidRPr="00CB2C86">
        <w:t>тей и детский секс-туризм. Для эффективной борьбы с детской порнографией Указ нацелен на ликвидацию спроса в источнике. Хранение детской порногр</w:t>
      </w:r>
      <w:r w:rsidRPr="00CB2C86">
        <w:t>а</w:t>
      </w:r>
      <w:r w:rsidRPr="00CB2C86">
        <w:t>фии является тяжким преступлением, которое максимально наказывается л</w:t>
      </w:r>
      <w:r w:rsidRPr="00CB2C86">
        <w:t>и</w:t>
      </w:r>
      <w:r w:rsidRPr="00CB2C86">
        <w:t>шением свободы сроком на 5 лет и штрафом в размере 1</w:t>
      </w:r>
      <w:r w:rsidR="004F720A">
        <w:t> </w:t>
      </w:r>
      <w:r w:rsidR="00B63D5C">
        <w:t>млн. долларов.</w:t>
      </w:r>
      <w:r w:rsidRPr="00CB2C86">
        <w:t xml:space="preserve"> Пр</w:t>
      </w:r>
      <w:r w:rsidRPr="00CB2C86">
        <w:t>е</w:t>
      </w:r>
      <w:r w:rsidRPr="00CB2C86">
        <w:t>ступники, осужденные за изготовление, публикацию и рекламу детской порн</w:t>
      </w:r>
      <w:r w:rsidRPr="00CB2C86">
        <w:t>о</w:t>
      </w:r>
      <w:r w:rsidRPr="00CB2C86">
        <w:t>графии, подлежат максимальному наказанию  в виде лишения свободы сроком на 8 лет и штрафом в размере 2</w:t>
      </w:r>
      <w:r w:rsidR="004F720A">
        <w:t> </w:t>
      </w:r>
      <w:r w:rsidR="00B63D5C">
        <w:t>млн. долларов.</w:t>
      </w:r>
      <w:r w:rsidRPr="00CB2C86">
        <w:t xml:space="preserve"> </w:t>
      </w:r>
    </w:p>
    <w:p w:rsidR="00F936A8" w:rsidRPr="00CB2C86" w:rsidRDefault="00F936A8" w:rsidP="00F91733">
      <w:pPr>
        <w:pStyle w:val="SingleTxtGR"/>
        <w:tabs>
          <w:tab w:val="clear" w:pos="1701"/>
          <w:tab w:val="clear" w:pos="2268"/>
          <w:tab w:val="left" w:pos="1980"/>
          <w:tab w:val="left" w:pos="2520"/>
        </w:tabs>
      </w:pPr>
      <w:r w:rsidRPr="00CB2C86">
        <w:t>10.66</w:t>
      </w:r>
      <w:r w:rsidRPr="00CB2C86">
        <w:tab/>
        <w:t xml:space="preserve">Для борьбы с детским </w:t>
      </w:r>
      <w:proofErr w:type="spellStart"/>
      <w:r w:rsidRPr="00CB2C86">
        <w:t>секс-туризмом</w:t>
      </w:r>
      <w:proofErr w:type="spellEnd"/>
      <w:r w:rsidRPr="00CB2C86">
        <w:t xml:space="preserve"> Указ также распространяет де</w:t>
      </w:r>
      <w:r w:rsidRPr="00CB2C86">
        <w:t>й</w:t>
      </w:r>
      <w:r w:rsidRPr="00CB2C86">
        <w:t>ствие 24 статей о половых преступлениях, содержащихся в Указе о преступл</w:t>
      </w:r>
      <w:r w:rsidRPr="00CB2C86">
        <w:t>е</w:t>
      </w:r>
      <w:r w:rsidRPr="00CB2C86">
        <w:t>ниях, на действия, совершенные против детей за пределами Гонконга. 24 пр</w:t>
      </w:r>
      <w:r w:rsidRPr="00CB2C86">
        <w:t>е</w:t>
      </w:r>
      <w:r w:rsidRPr="00CB2C86">
        <w:t>ступления, перечисленные в Списке 2 к Указу о преступлениях, воспроизводя</w:t>
      </w:r>
      <w:r w:rsidRPr="00CB2C86">
        <w:t>т</w:t>
      </w:r>
      <w:r w:rsidRPr="00CB2C86">
        <w:t>ся в Приложении 10</w:t>
      </w:r>
      <w:r w:rsidRPr="00CB2C86">
        <w:rPr>
          <w:lang w:val="en-GB"/>
        </w:rPr>
        <w:t>A</w:t>
      </w:r>
      <w:r w:rsidRPr="00CB2C86">
        <w:t xml:space="preserve">. </w:t>
      </w:r>
    </w:p>
    <w:p w:rsidR="00F936A8" w:rsidRPr="00CB2C86" w:rsidRDefault="00F936A8" w:rsidP="00F91733">
      <w:pPr>
        <w:pStyle w:val="SingleTxtGR"/>
        <w:tabs>
          <w:tab w:val="clear" w:pos="1701"/>
          <w:tab w:val="clear" w:pos="2268"/>
          <w:tab w:val="left" w:pos="1980"/>
          <w:tab w:val="left" w:pos="2520"/>
        </w:tabs>
      </w:pPr>
      <w:r w:rsidRPr="00CB2C86">
        <w:t>10.67</w:t>
      </w:r>
      <w:r w:rsidRPr="00CB2C86">
        <w:tab/>
        <w:t>Более того, любое лицо, организующее или рекламирующее туры, св</w:t>
      </w:r>
      <w:r w:rsidRPr="00CB2C86">
        <w:t>я</w:t>
      </w:r>
      <w:r w:rsidRPr="00CB2C86">
        <w:t xml:space="preserve">занные с </w:t>
      </w:r>
      <w:proofErr w:type="spellStart"/>
      <w:r w:rsidRPr="00CB2C86">
        <w:t>секс-туризмом</w:t>
      </w:r>
      <w:proofErr w:type="spellEnd"/>
      <w:r w:rsidRPr="00CB2C86">
        <w:t>, или приобретающее ребенка с целью изготовления детской порнографии или порнографических изображений сексуальных дейс</w:t>
      </w:r>
      <w:r w:rsidRPr="00CB2C86">
        <w:t>т</w:t>
      </w:r>
      <w:r w:rsidRPr="00CB2C86">
        <w:t>вий с участием детей, несет максимальную уголовную ответственность в виде лишения свободы сроком на 10 лет и штрафа в размере 3</w:t>
      </w:r>
      <w:r w:rsidR="004F720A">
        <w:t> </w:t>
      </w:r>
      <w:r w:rsidR="00B63D5C">
        <w:t>млн. долларов.</w:t>
      </w:r>
      <w:r w:rsidRPr="00CB2C86">
        <w:t xml:space="preserve"> В р</w:t>
      </w:r>
      <w:r w:rsidRPr="00CB2C86">
        <w:t>е</w:t>
      </w:r>
      <w:r w:rsidRPr="00CB2C86">
        <w:t>шении Апелляционного суда 2008</w:t>
      </w:r>
      <w:r w:rsidR="00B92291">
        <w:t> год</w:t>
      </w:r>
      <w:r w:rsidRPr="00CB2C86">
        <w:t>а даются общие начала назначения нак</w:t>
      </w:r>
      <w:r w:rsidRPr="00CB2C86">
        <w:t>а</w:t>
      </w:r>
      <w:r w:rsidRPr="00CB2C86">
        <w:t>зания четырех уровней</w:t>
      </w:r>
      <w:r w:rsidRPr="004F0ED8">
        <w:rPr>
          <w:sz w:val="18"/>
          <w:szCs w:val="18"/>
          <w:vertAlign w:val="superscript"/>
          <w:lang w:val="en-GB"/>
        </w:rPr>
        <w:footnoteReference w:id="10"/>
      </w:r>
      <w:r w:rsidRPr="00CB2C86">
        <w:t xml:space="preserve"> лицу, впервые осужденному за хранение детской по</w:t>
      </w:r>
      <w:r w:rsidRPr="00CB2C86">
        <w:t>р</w:t>
      </w:r>
      <w:r w:rsidRPr="00CB2C86">
        <w:t>нографии. В соответствии с этими началами обвинительные приговоры знач</w:t>
      </w:r>
      <w:r w:rsidRPr="00CB2C86">
        <w:t>и</w:t>
      </w:r>
      <w:r w:rsidRPr="00CB2C86">
        <w:t>тельно ужесточаются, а их сдерживающий правовой эффект будет усилен в б</w:t>
      </w:r>
      <w:r w:rsidRPr="00CB2C86">
        <w:t>у</w:t>
      </w:r>
      <w:r w:rsidRPr="00CB2C86">
        <w:t xml:space="preserve">дущем еще больше. </w:t>
      </w:r>
    </w:p>
    <w:p w:rsidR="00F936A8" w:rsidRPr="00CB2C86" w:rsidRDefault="00F936A8" w:rsidP="00F91733">
      <w:pPr>
        <w:pStyle w:val="SingleTxtGR"/>
        <w:tabs>
          <w:tab w:val="clear" w:pos="1701"/>
          <w:tab w:val="clear" w:pos="2268"/>
          <w:tab w:val="left" w:pos="1980"/>
          <w:tab w:val="left" w:pos="2520"/>
        </w:tabs>
      </w:pPr>
      <w:r w:rsidRPr="00CB2C86">
        <w:t>10.68</w:t>
      </w:r>
      <w:r w:rsidRPr="00CB2C86">
        <w:tab/>
        <w:t>Чтобы усилить свою борьбу с детской порнографией, Полиция н</w:t>
      </w:r>
      <w:r w:rsidRPr="00CB2C86">
        <w:t>е</w:t>
      </w:r>
      <w:r w:rsidRPr="00CB2C86">
        <w:t>укоснительно обеспечивает исполнение этого Указа и продолжает поддерж</w:t>
      </w:r>
      <w:r w:rsidRPr="00CB2C86">
        <w:t>и</w:t>
      </w:r>
      <w:r w:rsidRPr="00CB2C86">
        <w:t>вать те</w:t>
      </w:r>
      <w:r w:rsidRPr="00CB2C86">
        <w:t>с</w:t>
      </w:r>
      <w:r w:rsidRPr="00CB2C86">
        <w:t>ные связи с зарубежными правоохранительными органами и местными организациями для обмена информацией и агентурными данными, отслежив</w:t>
      </w:r>
      <w:r w:rsidRPr="00CB2C86">
        <w:t>а</w:t>
      </w:r>
      <w:r w:rsidRPr="00CB2C86">
        <w:t>ния общей ситуации и применения последних достижений в области способов рассл</w:t>
      </w:r>
      <w:r w:rsidRPr="00CB2C86">
        <w:t>е</w:t>
      </w:r>
      <w:r w:rsidRPr="00CB2C86">
        <w:t xml:space="preserve">дования, преследуя цель борьбы с детской порнографией и детским </w:t>
      </w:r>
      <w:proofErr w:type="spellStart"/>
      <w:r w:rsidRPr="00CB2C86">
        <w:t>секс-туризмом</w:t>
      </w:r>
      <w:proofErr w:type="spellEnd"/>
      <w:r w:rsidRPr="00CB2C86">
        <w:t xml:space="preserve">. </w:t>
      </w:r>
    </w:p>
    <w:p w:rsidR="00F936A8" w:rsidRPr="00CB2C86" w:rsidRDefault="00F936A8" w:rsidP="00F91733">
      <w:pPr>
        <w:pStyle w:val="H23GR"/>
        <w:tabs>
          <w:tab w:val="left" w:pos="1980"/>
          <w:tab w:val="left" w:pos="2520"/>
        </w:tabs>
      </w:pPr>
      <w:r w:rsidRPr="00CB2C86">
        <w:tab/>
      </w:r>
      <w:r w:rsidRPr="00CB2C86">
        <w:tab/>
        <w:t>Законное представительство детей в делах об опеке и защите</w:t>
      </w:r>
    </w:p>
    <w:p w:rsidR="00F936A8" w:rsidRPr="00CB2C86" w:rsidRDefault="00F936A8" w:rsidP="00F91733">
      <w:pPr>
        <w:pStyle w:val="SingleTxtGR"/>
        <w:tabs>
          <w:tab w:val="clear" w:pos="1701"/>
          <w:tab w:val="clear" w:pos="2268"/>
          <w:tab w:val="left" w:pos="1980"/>
          <w:tab w:val="left" w:pos="2520"/>
        </w:tabs>
      </w:pPr>
      <w:r w:rsidRPr="00CB2C86">
        <w:t>10.69</w:t>
      </w:r>
      <w:r w:rsidRPr="00CB2C86">
        <w:tab/>
        <w:t>В дополнение к сказанному в пункте 10.53 предыдущего доклада мы поручили Службе штатных юристов реализовывать с октября 2003</w:t>
      </w:r>
      <w:r w:rsidR="00B92291">
        <w:t> год</w:t>
      </w:r>
      <w:r w:rsidRPr="00CB2C86">
        <w:t>а Пр</w:t>
      </w:r>
      <w:r w:rsidRPr="00CB2C86">
        <w:t>о</w:t>
      </w:r>
      <w:r w:rsidRPr="00CB2C86">
        <w:t>грамму законного представительства детей и подростков, вовлеченных в прои</w:t>
      </w:r>
      <w:r w:rsidRPr="00CB2C86">
        <w:t>з</w:t>
      </w:r>
      <w:r w:rsidRPr="00CB2C86">
        <w:t>водство по делам об опеке и защите. Программа обеспечивает бесплатное з</w:t>
      </w:r>
      <w:r w:rsidRPr="00CB2C86">
        <w:t>а</w:t>
      </w:r>
      <w:r w:rsidRPr="00CB2C86">
        <w:t xml:space="preserve">конное представительство детей и подростков, вовлеченных в производство по делам об опеке и защите, и более эффективное соблюдение требования статьи 37 </w:t>
      </w:r>
      <w:r w:rsidRPr="00CB2C86">
        <w:rPr>
          <w:lang w:val="en-US"/>
        </w:rPr>
        <w:t>d</w:t>
      </w:r>
      <w:r w:rsidRPr="00CB2C86">
        <w:t>) КПР, согласно которому каждый лишенный свободы ребенок имеет право на н</w:t>
      </w:r>
      <w:r w:rsidRPr="00CB2C86">
        <w:t>е</w:t>
      </w:r>
      <w:r w:rsidRPr="00CB2C86">
        <w:t>замедлительный доступ к правовой и другой соответствующей помощи.</w:t>
      </w:r>
    </w:p>
    <w:p w:rsidR="00F936A8" w:rsidRPr="006B0C50" w:rsidRDefault="00F936A8" w:rsidP="00F91733">
      <w:pPr>
        <w:pStyle w:val="H23GR"/>
        <w:tabs>
          <w:tab w:val="left" w:pos="1980"/>
          <w:tab w:val="left" w:pos="2520"/>
        </w:tabs>
      </w:pPr>
      <w:r w:rsidRPr="006B0C50">
        <w:tab/>
      </w:r>
      <w:r w:rsidRPr="006B0C50">
        <w:tab/>
        <w:t>Комиссия по делам молодежи</w:t>
      </w:r>
    </w:p>
    <w:p w:rsidR="00F936A8" w:rsidRPr="00CB2C86" w:rsidRDefault="00F936A8" w:rsidP="00F91733">
      <w:pPr>
        <w:pStyle w:val="SingleTxtGR"/>
        <w:tabs>
          <w:tab w:val="clear" w:pos="1701"/>
          <w:tab w:val="clear" w:pos="2268"/>
          <w:tab w:val="left" w:pos="1980"/>
          <w:tab w:val="left" w:pos="2520"/>
        </w:tabs>
      </w:pPr>
      <w:r w:rsidRPr="00CB2C86">
        <w:t>10.70</w:t>
      </w:r>
      <w:r w:rsidRPr="00CB2C86">
        <w:tab/>
        <w:t>Комиссия по делам молодежи (КДМ), созданная в 1990</w:t>
      </w:r>
      <w:r w:rsidR="00B92291">
        <w:t> год</w:t>
      </w:r>
      <w:r w:rsidRPr="00CB2C86">
        <w:t>у, является консультативным органом при Бюро внутренних дел (БВД), которое консульт</w:t>
      </w:r>
      <w:r w:rsidRPr="00CB2C86">
        <w:t>и</w:t>
      </w:r>
      <w:r w:rsidRPr="00CB2C86">
        <w:t>рует правительство по вопросам, связанным с развитием молодежи. Она обм</w:t>
      </w:r>
      <w:r w:rsidRPr="00CB2C86">
        <w:t>е</w:t>
      </w:r>
      <w:r w:rsidRPr="00CB2C86">
        <w:t>нивается идеями и информацией по молодежным вопросам с другими госуда</w:t>
      </w:r>
      <w:r w:rsidRPr="00CB2C86">
        <w:t>р</w:t>
      </w:r>
      <w:r w:rsidRPr="00CB2C86">
        <w:t>ственными консультативными органами.</w:t>
      </w:r>
    </w:p>
    <w:p w:rsidR="00F936A8" w:rsidRPr="00CB2C86" w:rsidRDefault="00F936A8" w:rsidP="00F91733">
      <w:pPr>
        <w:pStyle w:val="SingleTxtGR"/>
        <w:tabs>
          <w:tab w:val="clear" w:pos="1701"/>
          <w:tab w:val="clear" w:pos="2268"/>
          <w:tab w:val="left" w:pos="1980"/>
          <w:tab w:val="left" w:pos="2520"/>
        </w:tabs>
      </w:pPr>
      <w:r w:rsidRPr="00CB2C86">
        <w:t>10.71</w:t>
      </w:r>
      <w:r w:rsidRPr="00CB2C86">
        <w:tab/>
        <w:t>Некоторые комментаторы высказали мнение, что в КДМ следует н</w:t>
      </w:r>
      <w:r w:rsidRPr="00CB2C86">
        <w:t>а</w:t>
      </w:r>
      <w:r w:rsidRPr="00CB2C86">
        <w:t>значать больше молодых людей. При назначении членов КДМ правительство придерживается принципа, согласно которому назначение кандидатов осущес</w:t>
      </w:r>
      <w:r w:rsidRPr="00CB2C86">
        <w:t>т</w:t>
      </w:r>
      <w:r w:rsidRPr="00CB2C86">
        <w:t>вляется по их личным качествам. Должное внимание уделяется способностям, квалификации, опыту, добросовестности и преданности гражданской службе. В настоящее время КДМ состоит из членов, имеющих различное образование и квалификацию, включая практических молодежных работников, просветителей, ученых, предпринимателей, учащихся и т.д., что тем самым обеспечивает во</w:t>
      </w:r>
      <w:r w:rsidRPr="00CB2C86">
        <w:t>з</w:t>
      </w:r>
      <w:r w:rsidRPr="00CB2C86">
        <w:t>можность учитывать различные интересы.</w:t>
      </w:r>
    </w:p>
    <w:p w:rsidR="00F936A8" w:rsidRPr="00CB2C86" w:rsidRDefault="00F936A8" w:rsidP="00F91733">
      <w:pPr>
        <w:pStyle w:val="SingleTxtGR"/>
        <w:tabs>
          <w:tab w:val="clear" w:pos="1701"/>
          <w:tab w:val="clear" w:pos="2268"/>
          <w:tab w:val="left" w:pos="1980"/>
          <w:tab w:val="left" w:pos="2520"/>
        </w:tabs>
      </w:pPr>
      <w:r w:rsidRPr="00CB2C86">
        <w:t>10.72</w:t>
      </w:r>
      <w:r w:rsidRPr="00CB2C86">
        <w:tab/>
        <w:t>Правительство с большим интересом прислушивается к мнениям м</w:t>
      </w:r>
      <w:r w:rsidRPr="00CB2C86">
        <w:t>о</w:t>
      </w:r>
      <w:r w:rsidRPr="00CB2C86">
        <w:t>лодежи. В консультации с другими представителями общественности по ва</w:t>
      </w:r>
      <w:r w:rsidRPr="00CB2C86">
        <w:t>ж</w:t>
      </w:r>
      <w:r w:rsidRPr="00CB2C86">
        <w:t>ным политическим вопросам, включая, в частности, проблемы молодежи, ра</w:t>
      </w:r>
      <w:r w:rsidRPr="00CB2C86">
        <w:t>с</w:t>
      </w:r>
      <w:r w:rsidRPr="00CB2C86">
        <w:t>сматриваются специальные меры для сбора мнений молодежи. Учитывая а</w:t>
      </w:r>
      <w:r w:rsidRPr="00CB2C86">
        <w:t>к</w:t>
      </w:r>
      <w:r w:rsidRPr="00CB2C86">
        <w:t xml:space="preserve">тивное пользование молодежью услуг Интернет и </w:t>
      </w:r>
      <w:proofErr w:type="spellStart"/>
      <w:r>
        <w:t>вебсайт</w:t>
      </w:r>
      <w:r w:rsidRPr="00CB2C86">
        <w:t>ов</w:t>
      </w:r>
      <w:proofErr w:type="spellEnd"/>
      <w:r w:rsidRPr="00CB2C86">
        <w:t xml:space="preserve"> социальных сетей, мы н</w:t>
      </w:r>
      <w:r w:rsidRPr="00CB2C86">
        <w:t>а</w:t>
      </w:r>
      <w:r w:rsidRPr="00CB2C86">
        <w:t>мерены использовать эти каналы для общения с нею.</w:t>
      </w:r>
    </w:p>
    <w:p w:rsidR="00F936A8" w:rsidRPr="006B0C50" w:rsidRDefault="00F936A8" w:rsidP="00F91733">
      <w:pPr>
        <w:pStyle w:val="H23GR"/>
        <w:tabs>
          <w:tab w:val="left" w:pos="1980"/>
          <w:tab w:val="left" w:pos="2520"/>
        </w:tabs>
      </w:pPr>
      <w:r w:rsidRPr="006B0C50">
        <w:tab/>
      </w:r>
      <w:r w:rsidRPr="006B0C50">
        <w:tab/>
        <w:t>Социальное обеспечение молодежи</w:t>
      </w:r>
    </w:p>
    <w:p w:rsidR="00F936A8" w:rsidRPr="00CB2C86" w:rsidRDefault="00F936A8" w:rsidP="00F91733">
      <w:pPr>
        <w:pStyle w:val="SingleTxtGR"/>
        <w:tabs>
          <w:tab w:val="clear" w:pos="1701"/>
          <w:tab w:val="clear" w:pos="2268"/>
          <w:tab w:val="left" w:pos="1980"/>
          <w:tab w:val="left" w:pos="2520"/>
        </w:tabs>
      </w:pPr>
      <w:r w:rsidRPr="00CB2C86">
        <w:t>10.73</w:t>
      </w:r>
      <w:r w:rsidRPr="00CB2C86">
        <w:tab/>
        <w:t>ДСО продолжает оказывать молодежи основные социальные услуги, перечисленные в пункте 10.19 предыдущего доклада, которые нацелены на удовлетворение потребностей молодых людей и создание благоприятных усл</w:t>
      </w:r>
      <w:r w:rsidRPr="00CB2C86">
        <w:t>о</w:t>
      </w:r>
      <w:r w:rsidRPr="00CB2C86">
        <w:t>вий для их здорового развития. Для выявления учащихся, испытывающих уче</w:t>
      </w:r>
      <w:r w:rsidRPr="00CB2C86">
        <w:t>б</w:t>
      </w:r>
      <w:r w:rsidRPr="00CB2C86">
        <w:t>ные, социальные и эмоциональные трудности, развития их потенциала и их подг</w:t>
      </w:r>
      <w:r w:rsidRPr="00CB2C86">
        <w:t>о</w:t>
      </w:r>
      <w:r w:rsidRPr="00CB2C86">
        <w:t>товки к ответственной взрослой жизни и оказания им помощи с сентября 2000</w:t>
      </w:r>
      <w:r w:rsidR="00B92291">
        <w:t> год</w:t>
      </w:r>
      <w:r w:rsidRPr="00CB2C86">
        <w:t>а ДСО проводит политику по принципу один школьный социальный работник на каждую среднюю школу. Школьные социальные работники тесно сотрудничают с преподавательским персоналом, другими местными социал</w:t>
      </w:r>
      <w:r w:rsidRPr="00CB2C86">
        <w:t>ь</w:t>
      </w:r>
      <w:r w:rsidRPr="00CB2C86">
        <w:t>ными подразделениями и заинтересованными сторонами, чтобы оказывать своевр</w:t>
      </w:r>
      <w:r w:rsidRPr="00CB2C86">
        <w:t>е</w:t>
      </w:r>
      <w:r w:rsidRPr="00CB2C86">
        <w:t>менную консультативную помощь нуждающимся учащимся, и реализует широкий ряд профилактических программ и программ развития для формир</w:t>
      </w:r>
      <w:r w:rsidRPr="00CB2C86">
        <w:t>о</w:t>
      </w:r>
      <w:r w:rsidRPr="00CB2C86">
        <w:t>вания положительных ценностей. По состоянию на декабрь 2009</w:t>
      </w:r>
      <w:r w:rsidR="00B92291">
        <w:t> год</w:t>
      </w:r>
      <w:r w:rsidRPr="00CB2C86">
        <w:t>а в школах н</w:t>
      </w:r>
      <w:r w:rsidRPr="00CB2C86">
        <w:t>а</w:t>
      </w:r>
      <w:r w:rsidRPr="00CB2C86">
        <w:t xml:space="preserve">считывалось 484 школьных социальных работников. </w:t>
      </w:r>
    </w:p>
    <w:p w:rsidR="00F936A8" w:rsidRPr="00CB2C86" w:rsidRDefault="00F936A8" w:rsidP="00F91733">
      <w:pPr>
        <w:pStyle w:val="SingleTxtGR"/>
        <w:tabs>
          <w:tab w:val="clear" w:pos="1701"/>
          <w:tab w:val="clear" w:pos="2268"/>
          <w:tab w:val="left" w:pos="1980"/>
          <w:tab w:val="left" w:pos="2520"/>
        </w:tabs>
      </w:pPr>
      <w:r w:rsidRPr="00CB2C86">
        <w:t>10.74</w:t>
      </w:r>
      <w:r w:rsidRPr="00CB2C86">
        <w:tab/>
        <w:t>Благотворительный фонд Жокейского клуба Гонконга выделил 750</w:t>
      </w:r>
      <w:r w:rsidR="004F720A">
        <w:t> </w:t>
      </w:r>
      <w:r w:rsidR="00B63D5C">
        <w:t>млн. долл.</w:t>
      </w:r>
      <w:r w:rsidRPr="00CB2C86">
        <w:t xml:space="preserve"> на формирование у подростков позитивных жизненных устан</w:t>
      </w:r>
      <w:r w:rsidRPr="00CB2C86">
        <w:t>о</w:t>
      </w:r>
      <w:r w:rsidRPr="00CB2C86">
        <w:t xml:space="preserve">вок в рамках программы для подростков </w:t>
      </w:r>
      <w:r>
        <w:t>"</w:t>
      </w:r>
      <w:r w:rsidRPr="00CB2C86">
        <w:t>Позитивное воспитание молодежи через целостную социальную программу: Программа Жокейского клуба Го</w:t>
      </w:r>
      <w:r w:rsidRPr="00CB2C86">
        <w:t>н</w:t>
      </w:r>
      <w:r w:rsidRPr="00CB2C86">
        <w:t>конга по оказанию расширенной помощи молодежи (ПАТС)</w:t>
      </w:r>
      <w:r>
        <w:t>"</w:t>
      </w:r>
      <w:r w:rsidRPr="00CB2C86">
        <w:t xml:space="preserve"> в средних школах начиная с 2005</w:t>
      </w:r>
      <w:r w:rsidR="002A0193">
        <w:t>/</w:t>
      </w:r>
      <w:r w:rsidRPr="00CB2C86">
        <w:t>06 учебного</w:t>
      </w:r>
      <w:r w:rsidR="002A0193">
        <w:t xml:space="preserve"> </w:t>
      </w:r>
      <w:r w:rsidR="00B92291">
        <w:t>год</w:t>
      </w:r>
      <w:r w:rsidRPr="00CB2C86">
        <w:t>а. Программа, совместно организованная БО, ДСО и пятью университетами, предлагает комплексные учебные програ</w:t>
      </w:r>
      <w:r w:rsidRPr="00CB2C86">
        <w:t>м</w:t>
      </w:r>
      <w:r w:rsidRPr="00CB2C86">
        <w:t>мы/мероприятия по формированию позитивных ценностей и стойких навыков преодоления невзгод, содействуя тем самым здоровому развитию учащихся.</w:t>
      </w:r>
    </w:p>
    <w:p w:rsidR="00F936A8" w:rsidRPr="006B0C50" w:rsidRDefault="00F936A8" w:rsidP="00F91733">
      <w:pPr>
        <w:pStyle w:val="H23GR"/>
        <w:tabs>
          <w:tab w:val="left" w:pos="1980"/>
          <w:tab w:val="left" w:pos="2520"/>
        </w:tabs>
      </w:pPr>
      <w:r w:rsidRPr="006B0C50">
        <w:tab/>
      </w:r>
      <w:r w:rsidRPr="006B0C50">
        <w:tab/>
        <w:t>Самоубийства молодежи</w:t>
      </w:r>
    </w:p>
    <w:p w:rsidR="00F936A8" w:rsidRPr="00CB2C86" w:rsidRDefault="00F936A8" w:rsidP="00F91733">
      <w:pPr>
        <w:pStyle w:val="SingleTxtGR"/>
        <w:tabs>
          <w:tab w:val="clear" w:pos="1701"/>
          <w:tab w:val="clear" w:pos="2268"/>
          <w:tab w:val="left" w:pos="1980"/>
          <w:tab w:val="left" w:pos="2520"/>
        </w:tabs>
      </w:pPr>
      <w:r w:rsidRPr="00CB2C86">
        <w:t>10.75</w:t>
      </w:r>
      <w:r w:rsidRPr="00CB2C86">
        <w:tab/>
        <w:t>Самоубийства среди молодежи обусловлены самыми разнообразными причинами. Их можно отнести на счет взаимодействия социальных и психол</w:t>
      </w:r>
      <w:r w:rsidRPr="00CB2C86">
        <w:t>о</w:t>
      </w:r>
      <w:r w:rsidRPr="00CB2C86">
        <w:t>гических факторов, включая личностно-семейные конфликты и плохую усп</w:t>
      </w:r>
      <w:r w:rsidRPr="00CB2C86">
        <w:t>е</w:t>
      </w:r>
      <w:r w:rsidRPr="00CB2C86">
        <w:t>ваемость в школе. Как уже упоминалось в пунктах 10.22 и 10.23 предыдущего доклада, мы твердо намерены тесно сотрудничать с различными секторами в борьбе с самоубийствами, включая НПО, экспертов и ученых. Благодаря целому ряду профилактических, поддерживающих и корректирующих программ и у</w:t>
      </w:r>
      <w:r w:rsidRPr="00CB2C86">
        <w:t>с</w:t>
      </w:r>
      <w:r w:rsidRPr="00CB2C86">
        <w:t>луг мы помогаем молодым людям, семьям и другим уязвимым группам спра</w:t>
      </w:r>
      <w:r w:rsidRPr="00CB2C86">
        <w:t>в</w:t>
      </w:r>
      <w:r w:rsidRPr="00CB2C86">
        <w:t>ляться с</w:t>
      </w:r>
      <w:r w:rsidR="00B33852">
        <w:t xml:space="preserve">о </w:t>
      </w:r>
      <w:r w:rsidRPr="00CB2C86">
        <w:t>своими невзгодами и укрепляем для них сети помощи.</w:t>
      </w:r>
    </w:p>
    <w:p w:rsidR="00F936A8" w:rsidRPr="00CB2C86" w:rsidRDefault="00F936A8" w:rsidP="00F91733">
      <w:pPr>
        <w:pStyle w:val="SingleTxtGR"/>
        <w:tabs>
          <w:tab w:val="clear" w:pos="1701"/>
          <w:tab w:val="clear" w:pos="2268"/>
          <w:tab w:val="left" w:pos="1980"/>
          <w:tab w:val="left" w:pos="2520"/>
        </w:tabs>
      </w:pPr>
      <w:r w:rsidRPr="00CB2C86">
        <w:t>10.76</w:t>
      </w:r>
      <w:r w:rsidRPr="00CB2C86">
        <w:tab/>
        <w:t>Помимо общих социальных услуг, упомянутых выше, Центр пред</w:t>
      </w:r>
      <w:r w:rsidRPr="00CB2C86">
        <w:t>у</w:t>
      </w:r>
      <w:r w:rsidRPr="00CB2C86">
        <w:t>преждения самоубийств в кризисных ситуациях и Центр школы жизни, прина</w:t>
      </w:r>
      <w:r w:rsidRPr="00CB2C86">
        <w:t>д</w:t>
      </w:r>
      <w:r w:rsidRPr="00CB2C86">
        <w:t xml:space="preserve">лежащий гонконгской благотворительной организации </w:t>
      </w:r>
      <w:r>
        <w:t>"</w:t>
      </w:r>
      <w:r w:rsidRPr="00CB2C86">
        <w:t>Добрые самаритяне</w:t>
      </w:r>
      <w:r>
        <w:t>"</w:t>
      </w:r>
      <w:r w:rsidRPr="00CB2C86">
        <w:t>, о чем упоминалось в пункте 10.28 предыдущего доклада, с 2002</w:t>
      </w:r>
      <w:r w:rsidR="00B92291">
        <w:t> год</w:t>
      </w:r>
      <w:r w:rsidRPr="00CB2C86">
        <w:t>а оказывают услуги нуждающимся. Вплоть до 30 сентября 2009</w:t>
      </w:r>
      <w:r w:rsidR="00B92291">
        <w:t> год</w:t>
      </w:r>
      <w:r w:rsidRPr="00CB2C86">
        <w:t>а финансируемый гос</w:t>
      </w:r>
      <w:r w:rsidRPr="00CB2C86">
        <w:t>у</w:t>
      </w:r>
      <w:r w:rsidRPr="00CB2C86">
        <w:t>дарством Центр профилактики самоубийств в кризисных ситуациях оказал п</w:t>
      </w:r>
      <w:r w:rsidRPr="00CB2C86">
        <w:t>о</w:t>
      </w:r>
      <w:r w:rsidRPr="00CB2C86">
        <w:t>мощь 8</w:t>
      </w:r>
      <w:r>
        <w:t> </w:t>
      </w:r>
      <w:r w:rsidRPr="00CB2C86">
        <w:t>281 лиц</w:t>
      </w:r>
      <w:r w:rsidR="00B33852">
        <w:t>у</w:t>
      </w:r>
      <w:r w:rsidRPr="00CB2C86">
        <w:t xml:space="preserve"> в группах высокого/среднего суицидального риска и организ</w:t>
      </w:r>
      <w:r w:rsidRPr="00CB2C86">
        <w:t>о</w:t>
      </w:r>
      <w:r w:rsidRPr="00CB2C86">
        <w:t>вал 687 разъяснительны</w:t>
      </w:r>
      <w:r w:rsidR="00B33852">
        <w:t>х</w:t>
      </w:r>
      <w:r w:rsidRPr="00CB2C86">
        <w:t xml:space="preserve"> поездок или выездов специалистов на места. </w:t>
      </w:r>
    </w:p>
    <w:p w:rsidR="00F936A8" w:rsidRPr="00CB2C86" w:rsidRDefault="00F936A8" w:rsidP="00F91733">
      <w:pPr>
        <w:pStyle w:val="SingleTxtGR"/>
        <w:tabs>
          <w:tab w:val="clear" w:pos="1701"/>
          <w:tab w:val="clear" w:pos="2268"/>
          <w:tab w:val="left" w:pos="1980"/>
          <w:tab w:val="left" w:pos="2520"/>
        </w:tabs>
      </w:pPr>
      <w:r w:rsidRPr="00CB2C86">
        <w:t>10.77</w:t>
      </w:r>
      <w:r w:rsidRPr="00CB2C86">
        <w:tab/>
        <w:t>Начиная с ноября 2009</w:t>
      </w:r>
      <w:r w:rsidR="00B92291">
        <w:t> год</w:t>
      </w:r>
      <w:r w:rsidRPr="00CB2C86">
        <w:t>а Центру предупреждения самоубийств в кризисный ситуациях выделяются периодические ресурсы в размере 0,84</w:t>
      </w:r>
      <w:r w:rsidR="004F720A">
        <w:t> </w:t>
      </w:r>
      <w:r w:rsidR="00B63D5C">
        <w:t>млн. долл.</w:t>
      </w:r>
      <w:r w:rsidRPr="00CB2C86">
        <w:t xml:space="preserve"> с целью охватить социальным обслуживанием и краткосрочн</w:t>
      </w:r>
      <w:r w:rsidRPr="00CB2C86">
        <w:t>ы</w:t>
      </w:r>
      <w:r w:rsidRPr="00CB2C86">
        <w:t xml:space="preserve">ми консультационными услугами членов семей тех лиц, которые покончили жизнь самоубийством, и отслеживания в </w:t>
      </w:r>
      <w:proofErr w:type="spellStart"/>
      <w:r w:rsidRPr="00CB2C86">
        <w:t>блогах</w:t>
      </w:r>
      <w:proofErr w:type="spellEnd"/>
      <w:r w:rsidRPr="00CB2C86">
        <w:t xml:space="preserve"> Интернет тех лиц, у которых появляются мысли о самоубийстве. Еще одна дополнительная субсидия в ра</w:t>
      </w:r>
      <w:r w:rsidRPr="00CB2C86">
        <w:t>з</w:t>
      </w:r>
      <w:r w:rsidRPr="00CB2C86">
        <w:t>мере 1</w:t>
      </w:r>
      <w:r w:rsidR="004F720A">
        <w:t> </w:t>
      </w:r>
      <w:r w:rsidR="00B63D5C">
        <w:t>млн. долл.</w:t>
      </w:r>
      <w:r w:rsidRPr="00CB2C86">
        <w:t xml:space="preserve"> будет выделяться Центру в течение трех лет начиная с 2010</w:t>
      </w:r>
      <w:r>
        <w:t>/</w:t>
      </w:r>
      <w:r w:rsidRPr="00CB2C86">
        <w:t>11</w:t>
      </w:r>
      <w:r w:rsidR="00B92291">
        <w:t> год</w:t>
      </w:r>
      <w:r w:rsidRPr="00CB2C86">
        <w:t>а на развитие электронной психиатрической помощи с целью созд</w:t>
      </w:r>
      <w:r w:rsidRPr="00CB2C86">
        <w:t>а</w:t>
      </w:r>
      <w:r w:rsidRPr="00CB2C86">
        <w:t xml:space="preserve">ния </w:t>
      </w:r>
      <w:proofErr w:type="spellStart"/>
      <w:r>
        <w:t>вебсайт</w:t>
      </w:r>
      <w:r w:rsidRPr="00CB2C86">
        <w:t>а</w:t>
      </w:r>
      <w:proofErr w:type="spellEnd"/>
      <w:r w:rsidRPr="00CB2C86">
        <w:t>, который будет служить местом привлечения лиц с депрессивн</w:t>
      </w:r>
      <w:r w:rsidRPr="00CB2C86">
        <w:t>ы</w:t>
      </w:r>
      <w:r w:rsidRPr="00CB2C86">
        <w:t>ми настроениями для общения и солидарности, а также платформой для уст</w:t>
      </w:r>
      <w:r w:rsidRPr="00CB2C86">
        <w:t>а</w:t>
      </w:r>
      <w:r w:rsidRPr="00CB2C86">
        <w:t>новления дальнейших контактов с его работниками. К тому же НПО и ДСО о</w:t>
      </w:r>
      <w:r w:rsidRPr="00CB2C86">
        <w:t>т</w:t>
      </w:r>
      <w:r w:rsidRPr="00CB2C86">
        <w:t>крыли ряд специальных горячих линий для тех, кто может помышлять о сам</w:t>
      </w:r>
      <w:r w:rsidRPr="00CB2C86">
        <w:t>о</w:t>
      </w:r>
      <w:r w:rsidRPr="00CB2C86">
        <w:t xml:space="preserve">убийстве, или тех, кто испытывает другие формы стресса. </w:t>
      </w:r>
    </w:p>
    <w:p w:rsidR="00F936A8" w:rsidRPr="00CB2C86" w:rsidRDefault="00F936A8" w:rsidP="00F91733">
      <w:pPr>
        <w:pStyle w:val="SingleTxtGR"/>
        <w:tabs>
          <w:tab w:val="clear" w:pos="1701"/>
          <w:tab w:val="clear" w:pos="2268"/>
          <w:tab w:val="left" w:pos="1980"/>
          <w:tab w:val="left" w:pos="2520"/>
        </w:tabs>
      </w:pPr>
      <w:r w:rsidRPr="00CB2C86">
        <w:t>10.78</w:t>
      </w:r>
      <w:r w:rsidRPr="00CB2C86">
        <w:tab/>
        <w:t>В 2006</w:t>
      </w:r>
      <w:r w:rsidR="00B92291">
        <w:t> год</w:t>
      </w:r>
      <w:r w:rsidRPr="00CB2C86">
        <w:t>у мы поручили Университету Гонконга провести двухлетнее эпидемиологическое и этиологическое исследовани</w:t>
      </w:r>
      <w:r w:rsidR="00B33852">
        <w:t>е</w:t>
      </w:r>
      <w:r w:rsidRPr="00CB2C86">
        <w:t xml:space="preserve"> суицида и наилучших сп</w:t>
      </w:r>
      <w:r w:rsidRPr="00CB2C86">
        <w:t>о</w:t>
      </w:r>
      <w:r w:rsidRPr="00CB2C86">
        <w:t>собов его профилактики в Гонконге. Результаты исследования помогают нам глубже понять суицид, чтобы усовершенствовать нашу работу по его профила</w:t>
      </w:r>
      <w:r w:rsidRPr="00CB2C86">
        <w:t>к</w:t>
      </w:r>
      <w:r w:rsidRPr="00CB2C86">
        <w:t>тике.</w:t>
      </w:r>
    </w:p>
    <w:p w:rsidR="00F936A8" w:rsidRPr="006B0C50" w:rsidRDefault="00F936A8" w:rsidP="00F91733">
      <w:pPr>
        <w:pStyle w:val="H23GR"/>
        <w:tabs>
          <w:tab w:val="left" w:pos="1980"/>
          <w:tab w:val="left" w:pos="2520"/>
        </w:tabs>
      </w:pPr>
      <w:r w:rsidRPr="006B0C50">
        <w:tab/>
      </w:r>
      <w:r w:rsidRPr="006B0C50">
        <w:tab/>
        <w:t>Наемный труд детей и подростков</w:t>
      </w:r>
    </w:p>
    <w:p w:rsidR="00F936A8" w:rsidRPr="00CB2C86" w:rsidRDefault="00F936A8" w:rsidP="00F91733">
      <w:pPr>
        <w:pStyle w:val="SingleTxtGR"/>
        <w:tabs>
          <w:tab w:val="clear" w:pos="1701"/>
          <w:tab w:val="clear" w:pos="2268"/>
          <w:tab w:val="left" w:pos="1980"/>
          <w:tab w:val="left" w:pos="2520"/>
        </w:tabs>
      </w:pPr>
      <w:r w:rsidRPr="00CB2C86">
        <w:t>10.79</w:t>
      </w:r>
      <w:r w:rsidRPr="00CB2C86">
        <w:tab/>
        <w:t>Наша позиция, изложенная в пункте 10.55 предыдущего доклада, о</w:t>
      </w:r>
      <w:r w:rsidRPr="00CB2C86">
        <w:t>с</w:t>
      </w:r>
      <w:r w:rsidRPr="00CB2C86">
        <w:t xml:space="preserve">тается неизменной. </w:t>
      </w:r>
    </w:p>
    <w:p w:rsidR="00F936A8" w:rsidRPr="00561CB6" w:rsidRDefault="00F936A8" w:rsidP="00F91733">
      <w:pPr>
        <w:pStyle w:val="H23GR"/>
        <w:tabs>
          <w:tab w:val="left" w:pos="1980"/>
          <w:tab w:val="left" w:pos="2520"/>
        </w:tabs>
      </w:pPr>
      <w:r w:rsidRPr="00561CB6">
        <w:tab/>
      </w:r>
      <w:r w:rsidRPr="00561CB6">
        <w:tab/>
        <w:t>Возраст уголовной ответственности</w:t>
      </w:r>
    </w:p>
    <w:p w:rsidR="00F936A8" w:rsidRPr="00CB2C86" w:rsidRDefault="00F936A8" w:rsidP="00F91733">
      <w:pPr>
        <w:pStyle w:val="SingleTxtGR"/>
        <w:tabs>
          <w:tab w:val="clear" w:pos="1701"/>
          <w:tab w:val="clear" w:pos="2268"/>
          <w:tab w:val="left" w:pos="1980"/>
          <w:tab w:val="left" w:pos="2520"/>
        </w:tabs>
      </w:pPr>
      <w:r w:rsidRPr="00CB2C86">
        <w:t>10.80</w:t>
      </w:r>
      <w:r w:rsidRPr="00CB2C86">
        <w:tab/>
        <w:t>В дополнение к сказанному в пунктах 10.38 и 10.39 предыдущего до</w:t>
      </w:r>
      <w:r w:rsidRPr="00CB2C86">
        <w:t>к</w:t>
      </w:r>
      <w:r w:rsidRPr="00CB2C86">
        <w:t>лада 1 июля 2003</w:t>
      </w:r>
      <w:r w:rsidR="00B92291">
        <w:t> год</w:t>
      </w:r>
      <w:r w:rsidRPr="00CB2C86">
        <w:t>а минимальная возрастная граница привлечения к уголо</w:t>
      </w:r>
      <w:r w:rsidRPr="00CB2C86">
        <w:t>в</w:t>
      </w:r>
      <w:r w:rsidRPr="00CB2C86">
        <w:t>ной ответственности была повышена с 7 до 10 лет путем внесения поправки в Указ о несовершеннолетних правонарушителях, который был принят ЗС 12 марта 2003</w:t>
      </w:r>
      <w:r w:rsidR="00B92291">
        <w:t> год</w:t>
      </w:r>
      <w:r w:rsidRPr="00CB2C86">
        <w:t xml:space="preserve">а. </w:t>
      </w:r>
    </w:p>
    <w:p w:rsidR="00F936A8" w:rsidRPr="00561CB6" w:rsidRDefault="00F936A8" w:rsidP="00F91733">
      <w:pPr>
        <w:pStyle w:val="H23GR"/>
        <w:tabs>
          <w:tab w:val="left" w:pos="1980"/>
          <w:tab w:val="left" w:pos="2520"/>
        </w:tabs>
      </w:pPr>
      <w:r w:rsidRPr="00561CB6">
        <w:tab/>
      </w:r>
      <w:r w:rsidRPr="00561CB6">
        <w:tab/>
        <w:t xml:space="preserve">Дома для несовершеннолетних </w:t>
      </w:r>
    </w:p>
    <w:p w:rsidR="00F936A8" w:rsidRPr="00CB2C86" w:rsidRDefault="00F936A8" w:rsidP="00F91733">
      <w:pPr>
        <w:pStyle w:val="SingleTxtGR"/>
        <w:tabs>
          <w:tab w:val="clear" w:pos="1701"/>
          <w:tab w:val="clear" w:pos="2268"/>
          <w:tab w:val="left" w:pos="1980"/>
          <w:tab w:val="left" w:pos="2520"/>
        </w:tabs>
      </w:pPr>
      <w:r w:rsidRPr="00CB2C86">
        <w:t>10.81</w:t>
      </w:r>
      <w:r w:rsidRPr="00CB2C86">
        <w:tab/>
        <w:t>В ведении государства находятся интернаты, которые дают образов</w:t>
      </w:r>
      <w:r w:rsidRPr="00CB2C86">
        <w:t>а</w:t>
      </w:r>
      <w:r w:rsidRPr="00CB2C86">
        <w:t>ние и обеспечивают предварительную профессиональную подготовку для детей и подростков с поведенческими и семейными проблемами, а также исправ</w:t>
      </w:r>
      <w:r w:rsidRPr="00CB2C86">
        <w:t>и</w:t>
      </w:r>
      <w:r w:rsidRPr="00CB2C86">
        <w:t>тельные дома для несовершеннолетних правонарушителей. Чтобы улучшить качество содержания контингента и режима в них, а также упростить кадровую структуру для более оптимального использования людских ресурсов, в</w:t>
      </w:r>
      <w:r>
        <w:t> </w:t>
      </w:r>
      <w:r w:rsidRPr="00CB2C86">
        <w:t>2007</w:t>
      </w:r>
      <w:r w:rsidR="00B92291">
        <w:t> год</w:t>
      </w:r>
      <w:r w:rsidRPr="00CB2C86">
        <w:t>у правительство перевело шесть исправительных домов/интернатов в</w:t>
      </w:r>
      <w:r>
        <w:t xml:space="preserve"> </w:t>
      </w:r>
      <w:r w:rsidRPr="00CB2C86">
        <w:t>современный многофункциональный жилой комплекс. Недавно построенный интернат и исправительный дом для детей и несовершеннолетних правонар</w:t>
      </w:r>
      <w:r w:rsidRPr="00CB2C86">
        <w:t>у</w:t>
      </w:r>
      <w:r w:rsidRPr="00CB2C86">
        <w:t xml:space="preserve">шителей </w:t>
      </w:r>
      <w:proofErr w:type="spellStart"/>
      <w:r w:rsidRPr="00CB2C86">
        <w:t>Тхюньмунь</w:t>
      </w:r>
      <w:proofErr w:type="spellEnd"/>
      <w:r w:rsidRPr="00CB2C86">
        <w:t xml:space="preserve"> выполняет функцию приюта, места содержания под стр</w:t>
      </w:r>
      <w:r w:rsidRPr="00CB2C86">
        <w:t>а</w:t>
      </w:r>
      <w:r w:rsidRPr="00CB2C86">
        <w:t>жей, колонии для несовершеннолетних, местом пробации и исправительной школы для детей и подростков, находящихся под юридической опекой. Рассч</w:t>
      </w:r>
      <w:r w:rsidRPr="00CB2C86">
        <w:t>и</w:t>
      </w:r>
      <w:r w:rsidRPr="00CB2C86">
        <w:t>танный на 388 мест и оборудованный самыми последними средствами набл</w:t>
      </w:r>
      <w:r w:rsidRPr="00CB2C86">
        <w:t>ю</w:t>
      </w:r>
      <w:r w:rsidRPr="00CB2C86">
        <w:t>дения и об</w:t>
      </w:r>
      <w:r w:rsidRPr="00CB2C86">
        <w:t>у</w:t>
      </w:r>
      <w:r w:rsidRPr="00CB2C86">
        <w:t>стройства он предназначен для того, чтобы обеспечить безопасные условия для детского и подросткового контингента. Предлагаемые услуги и программы включают образование и профессиональную подготовку, специал</w:t>
      </w:r>
      <w:r w:rsidRPr="00CB2C86">
        <w:t>ь</w:t>
      </w:r>
      <w:r w:rsidRPr="00CB2C86">
        <w:t>но разраб</w:t>
      </w:r>
      <w:r w:rsidRPr="00CB2C86">
        <w:t>о</w:t>
      </w:r>
      <w:r w:rsidRPr="00CB2C86">
        <w:t>танные СПО, индивидуальное консультирование, программы работы в группе, общественную работу, оздоровительную деятельность, медицинское обслуживание и помощь клинического психолога. Организуются также пос</w:t>
      </w:r>
      <w:r w:rsidRPr="00CB2C86">
        <w:t>е</w:t>
      </w:r>
      <w:r w:rsidRPr="00CB2C86">
        <w:t>щения оп</w:t>
      </w:r>
      <w:r w:rsidRPr="00CB2C86">
        <w:t>е</w:t>
      </w:r>
      <w:r w:rsidRPr="00CB2C86">
        <w:t>кунов.</w:t>
      </w:r>
    </w:p>
    <w:p w:rsidR="00F936A8" w:rsidRPr="00561CB6" w:rsidRDefault="00F936A8" w:rsidP="00F91733">
      <w:pPr>
        <w:pStyle w:val="H23GR"/>
        <w:tabs>
          <w:tab w:val="left" w:pos="1980"/>
          <w:tab w:val="left" w:pos="2520"/>
        </w:tabs>
      </w:pPr>
      <w:r w:rsidRPr="00561CB6">
        <w:tab/>
      </w:r>
      <w:r w:rsidRPr="00561CB6">
        <w:tab/>
        <w:t>Наркомания</w:t>
      </w:r>
    </w:p>
    <w:p w:rsidR="00F936A8" w:rsidRPr="00CB2C86" w:rsidRDefault="00F936A8" w:rsidP="00F91733">
      <w:pPr>
        <w:pStyle w:val="SingleTxtGR"/>
        <w:tabs>
          <w:tab w:val="clear" w:pos="1701"/>
          <w:tab w:val="clear" w:pos="2268"/>
          <w:tab w:val="left" w:pos="1980"/>
          <w:tab w:val="left" w:pos="2520"/>
        </w:tabs>
      </w:pPr>
      <w:r w:rsidRPr="00CB2C86">
        <w:t>10.82</w:t>
      </w:r>
      <w:r w:rsidRPr="00CB2C86">
        <w:tab/>
        <w:t>Проблема наркомании, особенно среди молодежи, подробно рассма</w:t>
      </w:r>
      <w:r w:rsidRPr="00CB2C86">
        <w:t>т</w:t>
      </w:r>
      <w:r w:rsidRPr="00CB2C86">
        <w:t>ривается в разделе, посвященном статье 12.</w:t>
      </w:r>
    </w:p>
    <w:p w:rsidR="00F936A8" w:rsidRPr="00CB2C86" w:rsidRDefault="00F936A8" w:rsidP="00F91733">
      <w:pPr>
        <w:pStyle w:val="H1GR"/>
        <w:tabs>
          <w:tab w:val="left" w:pos="1980"/>
          <w:tab w:val="left" w:pos="2520"/>
        </w:tabs>
      </w:pPr>
      <w:r w:rsidRPr="00CB2C86">
        <w:tab/>
      </w:r>
      <w:r w:rsidRPr="00CB2C86">
        <w:tab/>
        <w:t>Торговля людьми и сексуальная эксплуатация</w:t>
      </w:r>
    </w:p>
    <w:p w:rsidR="00F936A8" w:rsidRPr="00CB2C86" w:rsidRDefault="00F936A8" w:rsidP="00F91733">
      <w:pPr>
        <w:pStyle w:val="SingleTxtGR"/>
        <w:tabs>
          <w:tab w:val="clear" w:pos="1701"/>
          <w:tab w:val="clear" w:pos="2268"/>
          <w:tab w:val="left" w:pos="1980"/>
          <w:tab w:val="left" w:pos="2520"/>
        </w:tabs>
      </w:pPr>
      <w:r w:rsidRPr="00CB2C86">
        <w:t>10.83</w:t>
      </w:r>
      <w:r w:rsidRPr="00CB2C86">
        <w:tab/>
        <w:t>В своих предыдущих Заключительных замечаниях Комитет выразил озабоченность в связи с положением, сложившимся с торговлей людьми, ос</w:t>
      </w:r>
      <w:r w:rsidRPr="00CB2C86">
        <w:t>о</w:t>
      </w:r>
      <w:r w:rsidRPr="00CB2C86">
        <w:t>бенно женщинами и детьми, ввозимыми в САРГ главным образом для секс</w:t>
      </w:r>
      <w:r w:rsidRPr="00CB2C86">
        <w:t>у</w:t>
      </w:r>
      <w:r w:rsidRPr="00CB2C86">
        <w:t>альной эксплуатации. За многие</w:t>
      </w:r>
      <w:r w:rsidR="00254ACE">
        <w:t xml:space="preserve"> </w:t>
      </w:r>
      <w:r w:rsidR="00B92291">
        <w:t>год</w:t>
      </w:r>
      <w:r w:rsidRPr="00CB2C86">
        <w:t>ы были зарегистрированы редкие случаи торговли людьми для сексуальной эксплуатации. Наш опыт свидетельствует о том, что люди приезжают в Гонконг добровольно в связи с относительным эк</w:t>
      </w:r>
      <w:r w:rsidRPr="00CB2C86">
        <w:t>о</w:t>
      </w:r>
      <w:r w:rsidRPr="00CB2C86">
        <w:t>номическим процветанием Гонконга в регионе, а не становятся жертвами то</w:t>
      </w:r>
      <w:r w:rsidRPr="00CB2C86">
        <w:t>р</w:t>
      </w:r>
      <w:r w:rsidRPr="00CB2C86">
        <w:t>говли, обмана или принуждения. Количество случаев торговли людьми, зарег</w:t>
      </w:r>
      <w:r w:rsidRPr="00CB2C86">
        <w:t>и</w:t>
      </w:r>
      <w:r w:rsidRPr="00CB2C86">
        <w:t>стрированных в 2005</w:t>
      </w:r>
      <w:r>
        <w:t>−</w:t>
      </w:r>
      <w:r w:rsidRPr="00CB2C86">
        <w:t>2008</w:t>
      </w:r>
      <w:r w:rsidR="00B92291">
        <w:t> год</w:t>
      </w:r>
      <w:r w:rsidRPr="00CB2C86">
        <w:t xml:space="preserve">ах, составило соответственно </w:t>
      </w:r>
      <w:r w:rsidR="00B33852">
        <w:t>3</w:t>
      </w:r>
      <w:r w:rsidRPr="00CB2C86">
        <w:t xml:space="preserve">, </w:t>
      </w:r>
      <w:r w:rsidR="00B33852">
        <w:t>3,</w:t>
      </w:r>
      <w:r w:rsidRPr="00CB2C86">
        <w:t xml:space="preserve"> </w:t>
      </w:r>
      <w:r w:rsidR="00B33852">
        <w:t>4</w:t>
      </w:r>
      <w:r w:rsidRPr="00CB2C86">
        <w:t xml:space="preserve"> и </w:t>
      </w:r>
      <w:r w:rsidR="00B33852">
        <w:t>1</w:t>
      </w:r>
      <w:r w:rsidRPr="00CB2C86">
        <w:t xml:space="preserve"> сл</w:t>
      </w:r>
      <w:r w:rsidRPr="00CB2C86">
        <w:t>у</w:t>
      </w:r>
      <w:r w:rsidRPr="00CB2C86">
        <w:t>чаи, причем ни в одном речь не шла о детях.</w:t>
      </w:r>
    </w:p>
    <w:p w:rsidR="00F936A8" w:rsidRPr="00561CB6" w:rsidRDefault="00F936A8" w:rsidP="00F91733">
      <w:pPr>
        <w:pStyle w:val="H23GR"/>
        <w:tabs>
          <w:tab w:val="left" w:pos="1980"/>
          <w:tab w:val="left" w:pos="2520"/>
        </w:tabs>
      </w:pPr>
      <w:r w:rsidRPr="00561CB6">
        <w:tab/>
      </w:r>
      <w:r w:rsidRPr="00561CB6">
        <w:tab/>
        <w:t>Соответствующее законодательство</w:t>
      </w:r>
    </w:p>
    <w:p w:rsidR="00F936A8" w:rsidRPr="00CB2C86" w:rsidRDefault="00F936A8" w:rsidP="00F91733">
      <w:pPr>
        <w:pStyle w:val="H4GR"/>
        <w:tabs>
          <w:tab w:val="left" w:pos="1980"/>
          <w:tab w:val="left" w:pos="2520"/>
        </w:tabs>
        <w:spacing w:before="240"/>
        <w:ind w:left="1134" w:right="1179" w:hanging="1134"/>
      </w:pPr>
      <w:r w:rsidRPr="00CB2C86">
        <w:tab/>
      </w:r>
      <w:r w:rsidRPr="00CB2C86">
        <w:tab/>
        <w:t>Торговля людьми</w:t>
      </w:r>
    </w:p>
    <w:p w:rsidR="00F936A8" w:rsidRPr="00CB2C86" w:rsidRDefault="00F936A8" w:rsidP="00F91733">
      <w:pPr>
        <w:pStyle w:val="SingleTxtGR"/>
        <w:keepLines/>
        <w:tabs>
          <w:tab w:val="clear" w:pos="1701"/>
          <w:tab w:val="clear" w:pos="2268"/>
          <w:tab w:val="left" w:pos="1980"/>
          <w:tab w:val="left" w:pos="2520"/>
        </w:tabs>
      </w:pPr>
      <w:r w:rsidRPr="00CB2C86">
        <w:t>10.84</w:t>
      </w:r>
      <w:r w:rsidRPr="00CB2C86">
        <w:tab/>
        <w:t>Законы Гонконга уже квалифицировали такую деятельность, как то</w:t>
      </w:r>
      <w:r w:rsidRPr="00CB2C86">
        <w:t>р</w:t>
      </w:r>
      <w:r w:rsidRPr="00CB2C86">
        <w:t>говля людьми</w:t>
      </w:r>
      <w:r w:rsidR="00254ACE">
        <w:t>,</w:t>
      </w:r>
      <w:r w:rsidRPr="00CB2C86">
        <w:t xml:space="preserve"> в качестве уголовно наказуемого деяния. В разделе 126 Указа о преступлениях предусматривается, что преступлением является захват нез</w:t>
      </w:r>
      <w:r w:rsidRPr="00CB2C86">
        <w:t>а</w:t>
      </w:r>
      <w:r w:rsidRPr="00CB2C86">
        <w:t>мужней девушки</w:t>
      </w:r>
      <w:r w:rsidR="00254ACE">
        <w:t>,</w:t>
      </w:r>
      <w:r w:rsidRPr="00CB2C86">
        <w:t xml:space="preserve"> не достигшей 16 лет</w:t>
      </w:r>
      <w:r w:rsidR="00254ACE">
        <w:t>,</w:t>
      </w:r>
      <w:r w:rsidRPr="00CB2C86">
        <w:t xml:space="preserve"> у ее родителей или опекуна без законн</w:t>
      </w:r>
      <w:r w:rsidRPr="00CB2C86">
        <w:t>о</w:t>
      </w:r>
      <w:r w:rsidRPr="00CB2C86">
        <w:t>го ра</w:t>
      </w:r>
      <w:r w:rsidRPr="00CB2C86">
        <w:t>з</w:t>
      </w:r>
      <w:r w:rsidRPr="00CB2C86">
        <w:t>решения или основания.</w:t>
      </w:r>
    </w:p>
    <w:p w:rsidR="00F936A8" w:rsidRPr="00CB2C86" w:rsidRDefault="00F936A8" w:rsidP="00F91733">
      <w:pPr>
        <w:pStyle w:val="SingleTxtGR"/>
        <w:tabs>
          <w:tab w:val="clear" w:pos="1701"/>
          <w:tab w:val="clear" w:pos="2268"/>
          <w:tab w:val="left" w:pos="1980"/>
          <w:tab w:val="left" w:pos="2520"/>
        </w:tabs>
      </w:pPr>
      <w:r w:rsidRPr="00CB2C86">
        <w:t>10.85</w:t>
      </w:r>
      <w:r w:rsidRPr="00CB2C86">
        <w:tab/>
        <w:t>В разделах 42</w:t>
      </w:r>
      <w:r>
        <w:t>−</w:t>
      </w:r>
      <w:r w:rsidRPr="00CB2C86">
        <w:t>44 Указа о преступлениях против личности запрещае</w:t>
      </w:r>
      <w:r w:rsidRPr="00CB2C86">
        <w:t>т</w:t>
      </w:r>
      <w:r w:rsidRPr="00CB2C86">
        <w:t xml:space="preserve">ся похищение или удержание лиц против их воли с намерением их продажи; </w:t>
      </w:r>
      <w:proofErr w:type="spellStart"/>
      <w:r w:rsidRPr="00CB2C86">
        <w:t>помыкание</w:t>
      </w:r>
      <w:proofErr w:type="spellEnd"/>
      <w:r w:rsidRPr="00CB2C86">
        <w:t xml:space="preserve"> любым ребенком младше 14 лет или его захват у родителей, опек</w:t>
      </w:r>
      <w:r w:rsidRPr="00CB2C86">
        <w:t>у</w:t>
      </w:r>
      <w:r w:rsidRPr="00CB2C86">
        <w:t>нов или других лиц, на которых возложена законная опека, с намерением л</w:t>
      </w:r>
      <w:r w:rsidRPr="00CB2C86">
        <w:t>и</w:t>
      </w:r>
      <w:r w:rsidRPr="00CB2C86">
        <w:t>шить их этого ребенка; и оформление подложных документов на другое лицо из корыс</w:t>
      </w:r>
      <w:r w:rsidRPr="00CB2C86">
        <w:t>т</w:t>
      </w:r>
      <w:r w:rsidRPr="00CB2C86">
        <w:t>ных соображений.</w:t>
      </w:r>
    </w:p>
    <w:p w:rsidR="00F936A8" w:rsidRPr="00CB2C86" w:rsidRDefault="00F936A8" w:rsidP="00F91733">
      <w:pPr>
        <w:pStyle w:val="SingleTxtGR"/>
        <w:tabs>
          <w:tab w:val="clear" w:pos="1701"/>
          <w:tab w:val="clear" w:pos="2268"/>
          <w:tab w:val="left" w:pos="1980"/>
          <w:tab w:val="left" w:pos="2520"/>
        </w:tabs>
      </w:pPr>
      <w:r w:rsidRPr="00CB2C86">
        <w:t>10.86</w:t>
      </w:r>
      <w:r w:rsidRPr="00CB2C86">
        <w:tab/>
        <w:t>Законоположения, касающиеся похищения, разъясняются выше в пун</w:t>
      </w:r>
      <w:r w:rsidRPr="00CB2C86">
        <w:t>к</w:t>
      </w:r>
      <w:r w:rsidRPr="00CB2C86">
        <w:t>тах</w:t>
      </w:r>
      <w:r w:rsidR="00254ACE">
        <w:t> </w:t>
      </w:r>
      <w:r w:rsidRPr="00CB2C86">
        <w:t>10.63 и 10.64.</w:t>
      </w:r>
    </w:p>
    <w:p w:rsidR="00F936A8" w:rsidRPr="00CB2C86" w:rsidRDefault="00F936A8" w:rsidP="00F91733">
      <w:pPr>
        <w:pStyle w:val="H4GR"/>
        <w:tabs>
          <w:tab w:val="left" w:pos="1980"/>
          <w:tab w:val="left" w:pos="2520"/>
        </w:tabs>
        <w:spacing w:before="240"/>
        <w:ind w:left="1134" w:right="1179" w:hanging="1134"/>
      </w:pPr>
      <w:r w:rsidRPr="00CB2C86">
        <w:tab/>
      </w:r>
      <w:r w:rsidRPr="00CB2C86">
        <w:tab/>
        <w:t>Сексуальная эксплуатация</w:t>
      </w:r>
    </w:p>
    <w:p w:rsidR="00F936A8" w:rsidRPr="00CB2C86" w:rsidRDefault="00F936A8" w:rsidP="00F91733">
      <w:pPr>
        <w:pStyle w:val="SingleTxtGR"/>
        <w:tabs>
          <w:tab w:val="clear" w:pos="1701"/>
          <w:tab w:val="clear" w:pos="2268"/>
          <w:tab w:val="left" w:pos="1980"/>
          <w:tab w:val="left" w:pos="2520"/>
        </w:tabs>
      </w:pPr>
      <w:r w:rsidRPr="00CB2C86">
        <w:t>10.87</w:t>
      </w:r>
      <w:r w:rsidRPr="00CB2C86">
        <w:tab/>
        <w:t xml:space="preserve">Проституция как таковая не является преступлением в Гонконге. </w:t>
      </w:r>
      <w:r>
        <w:t>О</w:t>
      </w:r>
      <w:r>
        <w:t>д</w:t>
      </w:r>
      <w:r>
        <w:t xml:space="preserve">нако </w:t>
      </w:r>
      <w:r w:rsidRPr="00CB2C86">
        <w:t>Указ о преступлениях защищает детей от приобретения для занятия пр</w:t>
      </w:r>
      <w:r w:rsidRPr="00CB2C86">
        <w:t>о</w:t>
      </w:r>
      <w:r w:rsidRPr="00CB2C86">
        <w:t>ституцией или принуждения к занятию проституцией. В разделе 122 непр</w:t>
      </w:r>
      <w:r w:rsidRPr="00CB2C86">
        <w:t>и</w:t>
      </w:r>
      <w:r w:rsidRPr="00CB2C86">
        <w:t>стойные приставания одного лица, будь то мужчина или женщина, к другому лицу квалифицируется как уголовное преступление. Лицо моложе 16 лет по з</w:t>
      </w:r>
      <w:r w:rsidRPr="00CB2C86">
        <w:t>а</w:t>
      </w:r>
      <w:r w:rsidRPr="00CB2C86">
        <w:t>кону не может давать согласие на такой акт. Раздел 124 квалифицирует половые сношения с девушкой</w:t>
      </w:r>
      <w:r w:rsidR="00254ACE">
        <w:t>,</w:t>
      </w:r>
      <w:r w:rsidRPr="00CB2C86">
        <w:t xml:space="preserve"> не достигшей 16 лет</w:t>
      </w:r>
      <w:r w:rsidR="00254ACE">
        <w:t>,</w:t>
      </w:r>
      <w:r w:rsidRPr="00CB2C86">
        <w:t xml:space="preserve"> в качестве уголовно наказуемого деяния. В</w:t>
      </w:r>
      <w:r>
        <w:t> </w:t>
      </w:r>
      <w:r w:rsidRPr="00CB2C86">
        <w:t>разделе 146 прописаны акты грубой непристойности с ребенком м</w:t>
      </w:r>
      <w:r w:rsidRPr="00CB2C86">
        <w:t>о</w:t>
      </w:r>
      <w:r w:rsidRPr="00CB2C86">
        <w:t>ложе 16 лет или в его отношении. Раздел 118</w:t>
      </w:r>
      <w:r w:rsidRPr="00CB2C86">
        <w:rPr>
          <w:lang w:val="en-GB"/>
        </w:rPr>
        <w:t>D</w:t>
      </w:r>
      <w:r w:rsidRPr="00CB2C86">
        <w:t xml:space="preserve"> квалифицирует противоестес</w:t>
      </w:r>
      <w:r w:rsidRPr="00CB2C86">
        <w:t>т</w:t>
      </w:r>
      <w:r w:rsidRPr="00CB2C86">
        <w:t>венные половые сношения с девушкой моложе 21</w:t>
      </w:r>
      <w:r w:rsidR="00B92291">
        <w:t> год</w:t>
      </w:r>
      <w:r w:rsidRPr="00CB2C86">
        <w:t>а в качестве уголовного преступления. Как уже отмечалось выше, Указ о запрещении детской порн</w:t>
      </w:r>
      <w:r w:rsidRPr="00CB2C86">
        <w:t>о</w:t>
      </w:r>
      <w:r w:rsidRPr="00CB2C86">
        <w:t>графии усиливает защиту детей от сексуальной эксплуатации в форме детской порн</w:t>
      </w:r>
      <w:r w:rsidRPr="00CB2C86">
        <w:t>о</w:t>
      </w:r>
      <w:r w:rsidRPr="00CB2C86">
        <w:t>графии и детского сексуального туризма.</w:t>
      </w:r>
    </w:p>
    <w:p w:rsidR="00F936A8" w:rsidRPr="00CB2C86" w:rsidRDefault="00F936A8" w:rsidP="00F91733">
      <w:pPr>
        <w:pStyle w:val="H23GR"/>
        <w:tabs>
          <w:tab w:val="left" w:pos="1980"/>
          <w:tab w:val="left" w:pos="2520"/>
        </w:tabs>
      </w:pPr>
      <w:r w:rsidRPr="00CB2C86">
        <w:tab/>
      </w:r>
      <w:r w:rsidRPr="00CB2C86">
        <w:tab/>
        <w:t>Усилия правоохранительных органов</w:t>
      </w:r>
    </w:p>
    <w:p w:rsidR="00F936A8" w:rsidRPr="00CB2C86" w:rsidRDefault="00F936A8" w:rsidP="00F91733">
      <w:pPr>
        <w:pStyle w:val="SingleTxtGR"/>
        <w:tabs>
          <w:tab w:val="clear" w:pos="1701"/>
          <w:tab w:val="clear" w:pos="2268"/>
          <w:tab w:val="left" w:pos="1980"/>
          <w:tab w:val="left" w:pos="2520"/>
        </w:tabs>
      </w:pPr>
      <w:r w:rsidRPr="00CB2C86">
        <w:t>10.88</w:t>
      </w:r>
      <w:r w:rsidRPr="00CB2C86">
        <w:tab/>
        <w:t>Несмотря на то, что случаи преступной торговли людьми в Гонконге происходят редко, правительство уделяет большое внимание борьбе с торговлей людьми. У нас разработаны комплексная политика, программы и меры, напра</w:t>
      </w:r>
      <w:r w:rsidRPr="00CB2C86">
        <w:t>в</w:t>
      </w:r>
      <w:r w:rsidRPr="00CB2C86">
        <w:t>ленные на предупреждение и борьбу с торговлей людьми, в том числе и детьми. Наши правоохранительные департаменты прилагают совместные и скоордин</w:t>
      </w:r>
      <w:r w:rsidRPr="00CB2C86">
        <w:t>и</w:t>
      </w:r>
      <w:r w:rsidRPr="00CB2C86">
        <w:t>рованные усилия для прекращения контрабанды/торговли людьми. Полиция намерена продолжать активную борьбу с нелегальной проституцией и пер</w:t>
      </w:r>
      <w:r w:rsidRPr="00CB2C86">
        <w:t>е</w:t>
      </w:r>
      <w:r w:rsidRPr="00CB2C86">
        <w:t>страивать в зависимости от обстоятельств свои стратегии, чтобы обеспечить неукоснительное соблюдение закона. Принимаемые нами меры подробно обс</w:t>
      </w:r>
      <w:r w:rsidRPr="00CB2C86">
        <w:t>у</w:t>
      </w:r>
      <w:r w:rsidRPr="00CB2C86">
        <w:t xml:space="preserve">ждаются в главе </w:t>
      </w:r>
      <w:r w:rsidRPr="00CB2C86">
        <w:rPr>
          <w:lang w:val="en-GB"/>
        </w:rPr>
        <w:t>VIII</w:t>
      </w:r>
      <w:r w:rsidRPr="00CB2C86">
        <w:t xml:space="preserve"> части </w:t>
      </w:r>
      <w:r w:rsidRPr="00CB2C86">
        <w:rPr>
          <w:lang w:val="en-GB"/>
        </w:rPr>
        <w:t>II</w:t>
      </w:r>
      <w:r w:rsidRPr="00CB2C86">
        <w:t xml:space="preserve"> второго доклада САРГ, представленного в соо</w:t>
      </w:r>
      <w:r w:rsidRPr="00CB2C86">
        <w:t>т</w:t>
      </w:r>
      <w:r w:rsidRPr="00CB2C86">
        <w:t>ветствии с КПР в части, касающейся статей 34</w:t>
      </w:r>
      <w:r>
        <w:t>−</w:t>
      </w:r>
      <w:r w:rsidRPr="00CB2C86">
        <w:t>36 КПР.</w:t>
      </w:r>
    </w:p>
    <w:p w:rsidR="00F936A8" w:rsidRPr="00CB2C86" w:rsidRDefault="00F936A8" w:rsidP="00F91733">
      <w:pPr>
        <w:pStyle w:val="SingleTxtGR"/>
        <w:tabs>
          <w:tab w:val="clear" w:pos="1701"/>
          <w:tab w:val="clear" w:pos="2268"/>
          <w:tab w:val="left" w:pos="1980"/>
          <w:tab w:val="left" w:pos="2520"/>
        </w:tabs>
      </w:pPr>
      <w:r w:rsidRPr="00CB2C86">
        <w:t>10.89</w:t>
      </w:r>
      <w:r w:rsidRPr="00CB2C86">
        <w:tab/>
        <w:t>Правительство САРГ поддерживает тесные партнерские связи с зар</w:t>
      </w:r>
      <w:r w:rsidRPr="00CB2C86">
        <w:t>у</w:t>
      </w:r>
      <w:r w:rsidRPr="00CB2C86">
        <w:t>бежными правительствами с целью обеспечить, чтобы были приняты меры для безопасности жертв торговли. Жертвы торговли независимо от возраста пол</w:t>
      </w:r>
      <w:r w:rsidRPr="00CB2C86">
        <w:t>у</w:t>
      </w:r>
      <w:r w:rsidRPr="00CB2C86">
        <w:t xml:space="preserve">чают различную поддержку и помощь, </w:t>
      </w:r>
      <w:r w:rsidR="00254ACE">
        <w:t>в частности такие, как</w:t>
      </w:r>
      <w:r w:rsidRPr="00CB2C86">
        <w:t xml:space="preserve"> срочное вмеш</w:t>
      </w:r>
      <w:r w:rsidRPr="00CB2C86">
        <w:t>а</w:t>
      </w:r>
      <w:r w:rsidRPr="00CB2C86">
        <w:t>тельство, юридическая помощь, консультирование, предоставление убежища и медицинскую и психологическую помощь.</w:t>
      </w:r>
    </w:p>
    <w:p w:rsidR="00F936A8" w:rsidRPr="00CB2C86" w:rsidRDefault="00F936A8" w:rsidP="00F91733">
      <w:pPr>
        <w:pStyle w:val="H1GR"/>
        <w:tabs>
          <w:tab w:val="left" w:pos="1980"/>
          <w:tab w:val="left" w:pos="2520"/>
        </w:tabs>
      </w:pPr>
      <w:r w:rsidRPr="00CB2C86">
        <w:tab/>
      </w:r>
      <w:r w:rsidRPr="00CB2C86">
        <w:tab/>
        <w:t>Забота и помощь престарелым</w:t>
      </w:r>
    </w:p>
    <w:p w:rsidR="00F936A8" w:rsidRPr="00CB2C86" w:rsidRDefault="00F936A8" w:rsidP="00F91733">
      <w:pPr>
        <w:pStyle w:val="H23GR"/>
        <w:tabs>
          <w:tab w:val="left" w:pos="1980"/>
          <w:tab w:val="left" w:pos="2520"/>
        </w:tabs>
      </w:pPr>
      <w:r w:rsidRPr="00CB2C86">
        <w:tab/>
      </w:r>
      <w:r w:rsidRPr="00CB2C86">
        <w:tab/>
        <w:t>Комиссия по делам престарелых</w:t>
      </w:r>
    </w:p>
    <w:p w:rsidR="00F936A8" w:rsidRPr="00CB2C86" w:rsidRDefault="00F936A8" w:rsidP="00F91733">
      <w:pPr>
        <w:pStyle w:val="SingleTxtGR"/>
        <w:tabs>
          <w:tab w:val="clear" w:pos="1701"/>
          <w:tab w:val="clear" w:pos="2268"/>
          <w:tab w:val="left" w:pos="1980"/>
          <w:tab w:val="left" w:pos="2520"/>
        </w:tabs>
      </w:pPr>
      <w:r w:rsidRPr="00CB2C86">
        <w:t>10.90</w:t>
      </w:r>
      <w:r w:rsidRPr="00CB2C86">
        <w:tab/>
        <w:t>Роль Комиссии по делам престарелых, описанная в пунктах 299</w:t>
      </w:r>
      <w:r>
        <w:t>−</w:t>
      </w:r>
      <w:r w:rsidRPr="00CB2C86">
        <w:t>301 первоначального доклада, остается неизменной. Теперь у нее есть 19 неофиц</w:t>
      </w:r>
      <w:r w:rsidRPr="00CB2C86">
        <w:t>и</w:t>
      </w:r>
      <w:r w:rsidRPr="00CB2C86">
        <w:t>альных членов. В последнее время Комиссия делает акцент на продвижение принципа активного старения и рекомендациях о средствах дальнейшего разв</w:t>
      </w:r>
      <w:r w:rsidRPr="00CB2C86">
        <w:t>и</w:t>
      </w:r>
      <w:r w:rsidRPr="00CB2C86">
        <w:t xml:space="preserve">тия долгосрочного социально-бытового обслуживания престарелых. </w:t>
      </w:r>
    </w:p>
    <w:p w:rsidR="00F936A8" w:rsidRPr="00561CB6" w:rsidRDefault="00F936A8" w:rsidP="00F91733">
      <w:pPr>
        <w:pStyle w:val="H23GR"/>
        <w:tabs>
          <w:tab w:val="left" w:pos="1980"/>
          <w:tab w:val="left" w:pos="2520"/>
        </w:tabs>
      </w:pPr>
      <w:r w:rsidRPr="00561CB6">
        <w:tab/>
      </w:r>
      <w:r w:rsidRPr="00561CB6">
        <w:tab/>
        <w:t>Законодательство</w:t>
      </w:r>
    </w:p>
    <w:p w:rsidR="00F936A8" w:rsidRPr="00CB2C86" w:rsidRDefault="00F936A8" w:rsidP="00F91733">
      <w:pPr>
        <w:pStyle w:val="SingleTxtGR"/>
        <w:tabs>
          <w:tab w:val="clear" w:pos="1701"/>
          <w:tab w:val="clear" w:pos="2268"/>
          <w:tab w:val="left" w:pos="1980"/>
          <w:tab w:val="left" w:pos="2520"/>
        </w:tabs>
      </w:pPr>
      <w:r w:rsidRPr="00CB2C86">
        <w:t>10.91</w:t>
      </w:r>
      <w:r w:rsidRPr="00CB2C86">
        <w:tab/>
        <w:t>Гонконг обладает прочной законодательной базой для защиты всех граждан, в том числе престарелых, от дурного обращения. Указ о преступлен</w:t>
      </w:r>
      <w:r w:rsidRPr="00CB2C86">
        <w:t>и</w:t>
      </w:r>
      <w:r w:rsidRPr="00CB2C86">
        <w:t>ях и Указ о предупреждении преступлений против личности применяется для защиты престарелых людей от насилия. Независимо от возраста престарелые люди имеют право обращаться в государственную Программу юридической п</w:t>
      </w:r>
      <w:r w:rsidRPr="00CB2C86">
        <w:t>о</w:t>
      </w:r>
      <w:r w:rsidRPr="00CB2C86">
        <w:t>мощи. В соответствии с Указом о предупреждении насилия в семье и сожител</w:t>
      </w:r>
      <w:r w:rsidRPr="00CB2C86">
        <w:t>ь</w:t>
      </w:r>
      <w:r w:rsidRPr="00CB2C86">
        <w:t>стве они также могут обращаться в суд за судебным приказом, запрещающим насилие со стороны супругов, детей или других родственников, как это опред</w:t>
      </w:r>
      <w:r w:rsidRPr="00CB2C86">
        <w:t>е</w:t>
      </w:r>
      <w:r w:rsidRPr="00CB2C86">
        <w:t>лено в Указе.</w:t>
      </w:r>
    </w:p>
    <w:p w:rsidR="00F936A8" w:rsidRPr="00CB2C86" w:rsidRDefault="00F936A8" w:rsidP="00F91733">
      <w:pPr>
        <w:pStyle w:val="SingleTxtGR"/>
        <w:tabs>
          <w:tab w:val="clear" w:pos="1701"/>
          <w:tab w:val="clear" w:pos="2268"/>
          <w:tab w:val="left" w:pos="1980"/>
          <w:tab w:val="left" w:pos="2520"/>
        </w:tabs>
      </w:pPr>
      <w:r w:rsidRPr="00CB2C86">
        <w:t>10.92</w:t>
      </w:r>
      <w:r w:rsidRPr="00CB2C86">
        <w:tab/>
        <w:t>Кроме того, в соответствии с Указом об охране психического здоровья Совет по опеке имеет полномочия издавать приказ о назначении опекуна, кот</w:t>
      </w:r>
      <w:r w:rsidRPr="00CB2C86">
        <w:t>о</w:t>
      </w:r>
      <w:r w:rsidRPr="00CB2C86">
        <w:t>рый в праве принимать решения от имени лица с расстройствами интеллекта (включая престарелого человека), касающиеся его личных или медицинских вопросов, или хранить, получать или выплачивать оговоренную месячную су</w:t>
      </w:r>
      <w:r w:rsidRPr="00CB2C86">
        <w:t>м</w:t>
      </w:r>
      <w:r w:rsidRPr="00CB2C86">
        <w:t>му от имени такого лица.</w:t>
      </w:r>
    </w:p>
    <w:p w:rsidR="00F936A8" w:rsidRPr="00CB2C86" w:rsidRDefault="00F936A8" w:rsidP="00F91733">
      <w:pPr>
        <w:pStyle w:val="SingleTxtGR"/>
        <w:tabs>
          <w:tab w:val="clear" w:pos="1701"/>
          <w:tab w:val="clear" w:pos="2268"/>
          <w:tab w:val="left" w:pos="1980"/>
          <w:tab w:val="left" w:pos="2520"/>
        </w:tabs>
      </w:pPr>
      <w:r w:rsidRPr="00CB2C86">
        <w:t>10.93</w:t>
      </w:r>
      <w:r w:rsidRPr="00CB2C86">
        <w:tab/>
        <w:t>УДСП обеспечивает защиту для тех лиц, на которых возложена об</w:t>
      </w:r>
      <w:r w:rsidRPr="00CB2C86">
        <w:t>я</w:t>
      </w:r>
      <w:r w:rsidRPr="00CB2C86">
        <w:t>занность ухаживать за ближайшим родственником. В соответствии с УДСП бл</w:t>
      </w:r>
      <w:r w:rsidRPr="00CB2C86">
        <w:t>и</w:t>
      </w:r>
      <w:r w:rsidRPr="00CB2C86">
        <w:t>жайший родственник какого-либо лица определяется как лицо, связанное кро</w:t>
      </w:r>
      <w:r w:rsidRPr="00CB2C86">
        <w:t>в</w:t>
      </w:r>
      <w:r w:rsidRPr="00CB2C86">
        <w:t>ными, брачными, опекунскими или родственным узами с этим лицом. УДСП обеспечивает защиту лицу, на которое возложена забота о престарелом лиц</w:t>
      </w:r>
      <w:r w:rsidR="00593DA0">
        <w:t>е</w:t>
      </w:r>
      <w:r w:rsidRPr="00CB2C86">
        <w:t xml:space="preserve">, подпадающим под определение </w:t>
      </w:r>
      <w:r>
        <w:t>"</w:t>
      </w:r>
      <w:r w:rsidRPr="00CB2C86">
        <w:t>ближайший родственник</w:t>
      </w:r>
      <w:r>
        <w:t>"</w:t>
      </w:r>
      <w:r w:rsidRPr="00CB2C86">
        <w:t>, сводя к минимуму его конфликт между работой и уходом за этим престарелым лицом. Это закон</w:t>
      </w:r>
      <w:r w:rsidRPr="00CB2C86">
        <w:t>о</w:t>
      </w:r>
      <w:r w:rsidRPr="00CB2C86">
        <w:t>дательство позволяет улучшить уход за престарелым со стороны его родстве</w:t>
      </w:r>
      <w:r w:rsidRPr="00CB2C86">
        <w:t>н</w:t>
      </w:r>
      <w:r w:rsidRPr="00CB2C86">
        <w:t>ника.</w:t>
      </w:r>
    </w:p>
    <w:p w:rsidR="00F936A8" w:rsidRPr="00561CB6" w:rsidRDefault="00F936A8" w:rsidP="00F91733">
      <w:pPr>
        <w:pStyle w:val="H23GR"/>
        <w:tabs>
          <w:tab w:val="left" w:pos="1980"/>
          <w:tab w:val="left" w:pos="2520"/>
        </w:tabs>
      </w:pPr>
      <w:r w:rsidRPr="00561CB6">
        <w:tab/>
      </w:r>
      <w:r w:rsidRPr="00561CB6">
        <w:tab/>
        <w:t>Оказание помощи членам семьи, берущим на себя заботу о пр</w:t>
      </w:r>
      <w:r w:rsidRPr="00561CB6">
        <w:t>е</w:t>
      </w:r>
      <w:r w:rsidRPr="00561CB6">
        <w:t>старелых</w:t>
      </w:r>
    </w:p>
    <w:p w:rsidR="00F936A8" w:rsidRPr="00CB2C86" w:rsidRDefault="00F936A8" w:rsidP="00F91733">
      <w:pPr>
        <w:pStyle w:val="SingleTxtGR"/>
        <w:tabs>
          <w:tab w:val="clear" w:pos="1701"/>
          <w:tab w:val="clear" w:pos="2268"/>
          <w:tab w:val="left" w:pos="1980"/>
          <w:tab w:val="left" w:pos="2520"/>
        </w:tabs>
      </w:pPr>
      <w:r w:rsidRPr="00CB2C86">
        <w:t>10.94</w:t>
      </w:r>
      <w:r w:rsidRPr="00CB2C86">
        <w:tab/>
        <w:t>Государственная политика заключается в том, чтобы максимально пр</w:t>
      </w:r>
      <w:r w:rsidRPr="00CB2C86">
        <w:t>о</w:t>
      </w:r>
      <w:r w:rsidRPr="00CB2C86">
        <w:t>длить жизнь престарелых в семье и позволить членам семей ухаживать за пр</w:t>
      </w:r>
      <w:r w:rsidRPr="00CB2C86">
        <w:t>е</w:t>
      </w:r>
      <w:r w:rsidRPr="00CB2C86">
        <w:t>старелыми родственниками на дому. Мы оказываем престарелым и их семьям услуги и помощь в соответствии с их потребностями и обстоятельствами.</w:t>
      </w:r>
    </w:p>
    <w:p w:rsidR="00F936A8" w:rsidRPr="00CB2C86" w:rsidRDefault="00F936A8" w:rsidP="00F91733">
      <w:pPr>
        <w:pStyle w:val="SingleTxtGR"/>
        <w:tabs>
          <w:tab w:val="clear" w:pos="1701"/>
          <w:tab w:val="clear" w:pos="2268"/>
          <w:tab w:val="left" w:pos="1980"/>
          <w:tab w:val="left" w:pos="2520"/>
        </w:tabs>
      </w:pPr>
      <w:r w:rsidRPr="00CB2C86">
        <w:t>10.95</w:t>
      </w:r>
      <w:r w:rsidRPr="00CB2C86">
        <w:tab/>
        <w:t>В Гонконге действуют более 200 центров для престарелых. Они ок</w:t>
      </w:r>
      <w:r w:rsidRPr="00CB2C86">
        <w:t>а</w:t>
      </w:r>
      <w:r w:rsidRPr="00CB2C86">
        <w:t>зывают вспомогательные услуги лицам, берущим на себя заботу о престарелых, включая предоставление информации, обучение и консультационные услуги и помощь в организации групп взаимопомощи лиц, берущих на себя заботу о престарелых, создание центров по выделению ресурсов и предоставление и аренду реабилитационного оборудования. Кроме того, все субсидируемые дома для престарелых и  центры по уходу за престарелыми в дневное время дают п</w:t>
      </w:r>
      <w:r w:rsidRPr="00CB2C86">
        <w:t>е</w:t>
      </w:r>
      <w:r w:rsidRPr="00CB2C86">
        <w:t xml:space="preserve">редышку людям, ухаживающим за другими, через свои службы отдыха. </w:t>
      </w:r>
    </w:p>
    <w:p w:rsidR="00F936A8" w:rsidRPr="00CB2C86" w:rsidRDefault="00F936A8" w:rsidP="00F91733">
      <w:pPr>
        <w:pStyle w:val="SingleTxtGR"/>
        <w:keepLines/>
        <w:tabs>
          <w:tab w:val="clear" w:pos="1701"/>
          <w:tab w:val="clear" w:pos="2268"/>
          <w:tab w:val="left" w:pos="1980"/>
          <w:tab w:val="left" w:pos="2520"/>
        </w:tabs>
      </w:pPr>
      <w:r w:rsidRPr="00CB2C86">
        <w:t>10.96</w:t>
      </w:r>
      <w:r w:rsidRPr="00CB2C86">
        <w:tab/>
        <w:t>В последние</w:t>
      </w:r>
      <w:r w:rsidR="00B92291">
        <w:t> год</w:t>
      </w:r>
      <w:r w:rsidRPr="00CB2C86">
        <w:t>ы правительство реализует ряд новых программ, цель которых помочь членам семей, берущим на себя заботу о престарелых родс</w:t>
      </w:r>
      <w:r w:rsidRPr="00CB2C86">
        <w:t>т</w:t>
      </w:r>
      <w:r w:rsidRPr="00CB2C86">
        <w:t>венниках, в исполнении их семейных обязанностей и облегчить их нагрузку. Например, в рамках окружной Программы обучения лиц, ухаживающих за пр</w:t>
      </w:r>
      <w:r w:rsidRPr="00CB2C86">
        <w:t>е</w:t>
      </w:r>
      <w:r w:rsidRPr="00CB2C86">
        <w:t>старелыми, ее участникам передаются основные знания об уходе за престар</w:t>
      </w:r>
      <w:r w:rsidRPr="00CB2C86">
        <w:t>е</w:t>
      </w:r>
      <w:r w:rsidRPr="00CB2C86">
        <w:t>лыми, включая навыки ухода за немощными и страдающими слабоумием пр</w:t>
      </w:r>
      <w:r w:rsidRPr="00CB2C86">
        <w:t>е</w:t>
      </w:r>
      <w:r w:rsidRPr="00CB2C86">
        <w:t>старелыми людьми. Цель состоит в том, чтобы путем обучения лиц, ухажива</w:t>
      </w:r>
      <w:r w:rsidRPr="00CB2C86">
        <w:t>ю</w:t>
      </w:r>
      <w:r w:rsidRPr="00CB2C86">
        <w:t>щих за престарелыми, углубить их навыки ухода и облегчить бремя ухода за престарелыми. После начала ее реализации в 2007</w:t>
      </w:r>
      <w:r w:rsidR="00B92291">
        <w:t> год</w:t>
      </w:r>
      <w:r w:rsidRPr="00CB2C86">
        <w:t>у Программа получила благоприятные отзывы. Чтобы увеличить количество обученных лиц, ухаж</w:t>
      </w:r>
      <w:r w:rsidRPr="00CB2C86">
        <w:t>и</w:t>
      </w:r>
      <w:r w:rsidRPr="00CB2C86">
        <w:t>вающих за престарелыми, правительство решило распространить охват пр</w:t>
      </w:r>
      <w:r w:rsidRPr="00CB2C86">
        <w:t>о</w:t>
      </w:r>
      <w:r w:rsidRPr="00CB2C86">
        <w:t>граммы на ур</w:t>
      </w:r>
      <w:r w:rsidRPr="00CB2C86">
        <w:t>о</w:t>
      </w:r>
      <w:r w:rsidRPr="00CB2C86">
        <w:t>вень микрорайонов.</w:t>
      </w:r>
    </w:p>
    <w:p w:rsidR="00F936A8" w:rsidRPr="00561CB6" w:rsidRDefault="00F936A8" w:rsidP="00F91733">
      <w:pPr>
        <w:pStyle w:val="H23GR"/>
        <w:tabs>
          <w:tab w:val="left" w:pos="1980"/>
          <w:tab w:val="left" w:pos="2520"/>
        </w:tabs>
      </w:pPr>
      <w:r w:rsidRPr="00561CB6">
        <w:tab/>
      </w:r>
      <w:r w:rsidRPr="00561CB6">
        <w:tab/>
        <w:t>Службы оказания помощи престарелым, проживающим в о</w:t>
      </w:r>
      <w:r w:rsidRPr="00561CB6">
        <w:t>б</w:t>
      </w:r>
      <w:r w:rsidRPr="00561CB6">
        <w:t>щине</w:t>
      </w:r>
    </w:p>
    <w:p w:rsidR="00F936A8" w:rsidRPr="00CB2C86" w:rsidRDefault="00F936A8" w:rsidP="00F91733">
      <w:pPr>
        <w:pStyle w:val="H4GR"/>
        <w:tabs>
          <w:tab w:val="left" w:pos="1980"/>
          <w:tab w:val="left" w:pos="2520"/>
        </w:tabs>
        <w:spacing w:before="240"/>
        <w:ind w:left="1134" w:right="1179" w:hanging="1134"/>
      </w:pPr>
      <w:r w:rsidRPr="00CB2C86">
        <w:tab/>
      </w:r>
      <w:r w:rsidRPr="00CB2C86">
        <w:tab/>
        <w:t>Общинная социальная помощь престарелым</w:t>
      </w:r>
    </w:p>
    <w:p w:rsidR="00F936A8" w:rsidRPr="00CB2C86" w:rsidRDefault="00F936A8" w:rsidP="00F91733">
      <w:pPr>
        <w:pStyle w:val="SingleTxtGR"/>
        <w:tabs>
          <w:tab w:val="clear" w:pos="1701"/>
          <w:tab w:val="clear" w:pos="2268"/>
          <w:tab w:val="left" w:pos="1980"/>
          <w:tab w:val="left" w:pos="2520"/>
        </w:tabs>
      </w:pPr>
      <w:r w:rsidRPr="00CB2C86">
        <w:t xml:space="preserve">10.97 </w:t>
      </w:r>
      <w:r w:rsidRPr="00CB2C86">
        <w:tab/>
        <w:t>Кроме оказания помощи лицам, ухаживающим за престарелыми ро</w:t>
      </w:r>
      <w:r w:rsidRPr="00CB2C86">
        <w:t>д</w:t>
      </w:r>
      <w:r w:rsidRPr="00CB2C86">
        <w:t>ственниками, центры для престарелых оказывают им самые разнообразные с</w:t>
      </w:r>
      <w:r w:rsidRPr="00CB2C86">
        <w:t>о</w:t>
      </w:r>
      <w:r w:rsidRPr="00CB2C86">
        <w:t>циальные услуги. К ним относятся консультационные услуги, помощь в долг</w:t>
      </w:r>
      <w:r w:rsidRPr="00CB2C86">
        <w:t>о</w:t>
      </w:r>
      <w:r w:rsidRPr="00CB2C86">
        <w:t>срочном социально-бытовом обслуживании, психологическ</w:t>
      </w:r>
      <w:r w:rsidR="00593DA0">
        <w:t>ая</w:t>
      </w:r>
      <w:r w:rsidRPr="00CB2C86">
        <w:t xml:space="preserve"> помощь, соц</w:t>
      </w:r>
      <w:r w:rsidRPr="00CB2C86">
        <w:t>и</w:t>
      </w:r>
      <w:r w:rsidRPr="00CB2C86">
        <w:t>ально-медицинское просвещение, организаци</w:t>
      </w:r>
      <w:r w:rsidR="00593DA0">
        <w:t>я</w:t>
      </w:r>
      <w:r w:rsidRPr="00CB2C86">
        <w:t xml:space="preserve"> питания, социальн</w:t>
      </w:r>
      <w:r w:rsidR="00593DA0">
        <w:t>ая</w:t>
      </w:r>
      <w:r w:rsidRPr="00CB2C86">
        <w:t xml:space="preserve"> работ</w:t>
      </w:r>
      <w:r w:rsidR="00593DA0">
        <w:t>а</w:t>
      </w:r>
      <w:r w:rsidRPr="00CB2C86">
        <w:t>, с</w:t>
      </w:r>
      <w:r w:rsidRPr="00CB2C86">
        <w:t>о</w:t>
      </w:r>
      <w:r w:rsidRPr="00CB2C86">
        <w:t>действие движению добровольцев и организаци</w:t>
      </w:r>
      <w:r w:rsidR="00593DA0">
        <w:t>я</w:t>
      </w:r>
      <w:r w:rsidRPr="00CB2C86">
        <w:t xml:space="preserve"> общественной деятельн</w:t>
      </w:r>
      <w:r w:rsidRPr="00CB2C86">
        <w:t>о</w:t>
      </w:r>
      <w:r w:rsidRPr="00CB2C86">
        <w:t>сти.</w:t>
      </w:r>
    </w:p>
    <w:p w:rsidR="00F936A8" w:rsidRPr="00CB2C86" w:rsidRDefault="00F936A8" w:rsidP="00F91733">
      <w:pPr>
        <w:pStyle w:val="SingleTxtGR"/>
        <w:tabs>
          <w:tab w:val="clear" w:pos="1701"/>
          <w:tab w:val="clear" w:pos="2268"/>
          <w:tab w:val="left" w:pos="1980"/>
          <w:tab w:val="left" w:pos="2520"/>
        </w:tabs>
      </w:pPr>
      <w:r w:rsidRPr="00CB2C86">
        <w:t>10.98</w:t>
      </w:r>
      <w:r w:rsidRPr="00CB2C86">
        <w:tab/>
        <w:t>Правительство также оказывает целый ряд субсидируемых общинных социальных услуг на дому и в центрах нуждающимся престарелым людям, чт</w:t>
      </w:r>
      <w:r w:rsidRPr="00CB2C86">
        <w:t>о</w:t>
      </w:r>
      <w:r w:rsidRPr="00CB2C86">
        <w:t>бы помочь им максимально долго прожить в своих семьях. Эти услуги включ</w:t>
      </w:r>
      <w:r w:rsidRPr="00CB2C86">
        <w:t>а</w:t>
      </w:r>
      <w:r w:rsidRPr="00CB2C86">
        <w:t>ют бытовое обслуживание (например, кормление и купание)</w:t>
      </w:r>
      <w:r w:rsidR="00593DA0">
        <w:t>,</w:t>
      </w:r>
      <w:r w:rsidRPr="00CB2C86">
        <w:t xml:space="preserve"> сестринское о</w:t>
      </w:r>
      <w:r w:rsidRPr="00CB2C86">
        <w:t>б</w:t>
      </w:r>
      <w:r w:rsidRPr="00CB2C86">
        <w:t>служивание (например, измерение кровяного давления и температуры тела), доставку продуктов питания и сопровождение.</w:t>
      </w:r>
    </w:p>
    <w:p w:rsidR="00F936A8" w:rsidRPr="00CB2C86" w:rsidRDefault="00F936A8" w:rsidP="00F91733">
      <w:pPr>
        <w:pStyle w:val="SingleTxtGR"/>
        <w:tabs>
          <w:tab w:val="clear" w:pos="1701"/>
          <w:tab w:val="clear" w:pos="2268"/>
          <w:tab w:val="left" w:pos="1980"/>
          <w:tab w:val="left" w:pos="2520"/>
        </w:tabs>
      </w:pPr>
      <w:r w:rsidRPr="00CB2C86">
        <w:t>10.99</w:t>
      </w:r>
      <w:r w:rsidRPr="00CB2C86">
        <w:tab/>
        <w:t>К тому же в 2008</w:t>
      </w:r>
      <w:r w:rsidR="00B92291">
        <w:t> год</w:t>
      </w:r>
      <w:r w:rsidRPr="00CB2C86">
        <w:t>у мы приступили к осуществлению двух новых программ, предназначенных для престарелых с особыми потребностями:</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a</w:t>
      </w:r>
      <w:proofErr w:type="spellEnd"/>
      <w:r>
        <w:t>)</w:t>
      </w:r>
      <w:r w:rsidRPr="00CB2C86">
        <w:tab/>
      </w:r>
      <w:r w:rsidRPr="00CB2C86">
        <w:rPr>
          <w:b/>
        </w:rPr>
        <w:t>Экспериментальная программа комплексной помощи пр</w:t>
      </w:r>
      <w:r w:rsidRPr="00CB2C86">
        <w:rPr>
          <w:b/>
        </w:rPr>
        <w:t>е</w:t>
      </w:r>
      <w:r w:rsidRPr="00CB2C86">
        <w:rPr>
          <w:b/>
        </w:rPr>
        <w:t>старелым больным, выписанным из больницы</w:t>
      </w:r>
      <w:r w:rsidRPr="00CB2C86">
        <w:t>: Учитывая тот факт, что нек</w:t>
      </w:r>
      <w:r w:rsidRPr="00CB2C86">
        <w:t>о</w:t>
      </w:r>
      <w:r w:rsidRPr="00CB2C86">
        <w:t>торые престарелые люди могут испытывать трудности по самообслуживанию после выписки из больницы, мы осуществили трехлетнюю экспериментальную программу комплексной социальной помощи престарелым, выписанным из больницы, включая промежуточную реабилитацию, обслуживание на дому, а также обучение лиц, ухаживающих за ними, и вспомогательное обслуживание, преследуя цель свести к минимуму риск незапланированной повторной госп</w:t>
      </w:r>
      <w:r w:rsidRPr="00CB2C86">
        <w:t>и</w:t>
      </w:r>
      <w:r w:rsidRPr="00CB2C86">
        <w:t>тализации и помочь этим престарелым людям оставаться в общине; и</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b</w:t>
      </w:r>
      <w:proofErr w:type="spellEnd"/>
      <w:r>
        <w:t>)</w:t>
      </w:r>
      <w:r w:rsidRPr="00CB2C86">
        <w:tab/>
      </w:r>
      <w:r w:rsidRPr="00CB2C86">
        <w:rPr>
          <w:b/>
        </w:rPr>
        <w:t>Программа улучшения жилищных условий престарелых</w:t>
      </w:r>
      <w:r w:rsidRPr="00CB2C86">
        <w:t>: Эта программа призвана помочь престарелым, которые проживают в ветхих жил</w:t>
      </w:r>
      <w:r w:rsidRPr="00CB2C86">
        <w:t>и</w:t>
      </w:r>
      <w:r w:rsidRPr="00CB2C86">
        <w:t>щах с минимальными удобствами и у которых нет финансовых средств улу</w:t>
      </w:r>
      <w:r w:rsidRPr="00CB2C86">
        <w:t>ч</w:t>
      </w:r>
      <w:r w:rsidRPr="00CB2C86">
        <w:t xml:space="preserve">шить свои жилищные условия. Ее цели </w:t>
      </w:r>
      <w:r>
        <w:t>−</w:t>
      </w:r>
      <w:r w:rsidRPr="00CB2C86">
        <w:t xml:space="preserve"> повысить безопасность жилищ пр</w:t>
      </w:r>
      <w:r w:rsidRPr="00CB2C86">
        <w:t>е</w:t>
      </w:r>
      <w:r w:rsidRPr="00CB2C86">
        <w:t>старелых и улучшить среду проживания путем проведения ремонтных работ и обеспечения насущных удобств и облегчить их жизнь в семье. Эта программа рассчитана на пять лет.</w:t>
      </w:r>
    </w:p>
    <w:p w:rsidR="00F936A8" w:rsidRPr="00CB2C86" w:rsidRDefault="00F936A8" w:rsidP="00F91733">
      <w:pPr>
        <w:pStyle w:val="H4GR"/>
        <w:tabs>
          <w:tab w:val="left" w:pos="1980"/>
          <w:tab w:val="left" w:pos="2520"/>
        </w:tabs>
        <w:spacing w:before="240"/>
        <w:ind w:left="1134" w:right="1179" w:hanging="1134"/>
      </w:pPr>
      <w:r w:rsidRPr="00CB2C86">
        <w:tab/>
      </w:r>
      <w:r w:rsidRPr="00CB2C86">
        <w:tab/>
        <w:t>Медико-санитарное обслуживание престарелых, проживающих в общине</w:t>
      </w:r>
    </w:p>
    <w:p w:rsidR="00F936A8" w:rsidRPr="00CB2C86" w:rsidRDefault="00F936A8" w:rsidP="00F91733">
      <w:pPr>
        <w:pStyle w:val="SingleTxtGR"/>
        <w:keepNext/>
        <w:keepLines/>
        <w:tabs>
          <w:tab w:val="clear" w:pos="1701"/>
          <w:tab w:val="clear" w:pos="2268"/>
          <w:tab w:val="left" w:pos="1980"/>
          <w:tab w:val="left" w:pos="2520"/>
        </w:tabs>
      </w:pPr>
      <w:r w:rsidRPr="00CB2C86">
        <w:t>10.100</w:t>
      </w:r>
      <w:r w:rsidRPr="00CB2C86">
        <w:tab/>
        <w:t>В дополнение к положению, изложенному в пункте 10.82 предыдущ</w:t>
      </w:r>
      <w:r w:rsidRPr="00CB2C86">
        <w:t>е</w:t>
      </w:r>
      <w:r w:rsidRPr="00CB2C86">
        <w:t>го доклада, функционируют следующие службы:</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a</w:t>
      </w:r>
      <w:proofErr w:type="spellEnd"/>
      <w:r>
        <w:t>)</w:t>
      </w:r>
      <w:r w:rsidRPr="00CB2C86">
        <w:tab/>
      </w:r>
      <w:r w:rsidRPr="00CB2C86">
        <w:rPr>
          <w:b/>
        </w:rPr>
        <w:t xml:space="preserve">Общинные группы </w:t>
      </w:r>
      <w:proofErr w:type="spellStart"/>
      <w:r w:rsidRPr="00CB2C86">
        <w:rPr>
          <w:b/>
        </w:rPr>
        <w:t>гериатрической</w:t>
      </w:r>
      <w:proofErr w:type="spellEnd"/>
      <w:r w:rsidRPr="00CB2C86">
        <w:rPr>
          <w:b/>
        </w:rPr>
        <w:t xml:space="preserve"> диагностики</w:t>
      </w:r>
      <w:r w:rsidRPr="00CB2C86">
        <w:t xml:space="preserve">: Общинные группы </w:t>
      </w:r>
      <w:proofErr w:type="spellStart"/>
      <w:r w:rsidRPr="00CB2C86">
        <w:t>гериатрической</w:t>
      </w:r>
      <w:proofErr w:type="spellEnd"/>
      <w:r w:rsidRPr="00CB2C86">
        <w:t xml:space="preserve"> диагностики АБ посещают дома престарелых, чтобы провести диагностику и оказать терапевтическую помощь проживающим в них престарелым. Они также обучают персонал этих домов оказанию более квал</w:t>
      </w:r>
      <w:r w:rsidRPr="00CB2C86">
        <w:t>и</w:t>
      </w:r>
      <w:r w:rsidRPr="00CB2C86">
        <w:t>фицированного ухода за престарелыми; и</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b</w:t>
      </w:r>
      <w:proofErr w:type="spellEnd"/>
      <w:r>
        <w:t>)</w:t>
      </w:r>
      <w:r w:rsidRPr="00CB2C86">
        <w:tab/>
      </w:r>
      <w:r w:rsidRPr="00CB2C86">
        <w:rPr>
          <w:b/>
        </w:rPr>
        <w:t xml:space="preserve">Общинные </w:t>
      </w:r>
      <w:proofErr w:type="spellStart"/>
      <w:r w:rsidRPr="00CB2C86">
        <w:rPr>
          <w:b/>
        </w:rPr>
        <w:t>психогериатрические</w:t>
      </w:r>
      <w:proofErr w:type="spellEnd"/>
      <w:r w:rsidRPr="00CB2C86">
        <w:rPr>
          <w:b/>
        </w:rPr>
        <w:t xml:space="preserve"> бригады</w:t>
      </w:r>
      <w:r w:rsidRPr="00CB2C86">
        <w:t xml:space="preserve">: Общинные </w:t>
      </w:r>
      <w:proofErr w:type="spellStart"/>
      <w:r w:rsidRPr="00CB2C86">
        <w:t>псих</w:t>
      </w:r>
      <w:r w:rsidRPr="00CB2C86">
        <w:t>о</w:t>
      </w:r>
      <w:r w:rsidRPr="00CB2C86">
        <w:t>гериатрические</w:t>
      </w:r>
      <w:proofErr w:type="spellEnd"/>
      <w:r w:rsidRPr="00CB2C86">
        <w:t xml:space="preserve"> бригады АБ осуществляют присмотр и оказывают помощь пр</w:t>
      </w:r>
      <w:r w:rsidRPr="00CB2C86">
        <w:t>е</w:t>
      </w:r>
      <w:r w:rsidRPr="00CB2C86">
        <w:t>старелым, а также посещают престарелых с психическими расстройствами для ок</w:t>
      </w:r>
      <w:r w:rsidRPr="00CB2C86">
        <w:t>а</w:t>
      </w:r>
      <w:r w:rsidRPr="00CB2C86">
        <w:t>зания социальной помощи.</w:t>
      </w:r>
    </w:p>
    <w:p w:rsidR="00F936A8" w:rsidRPr="00CB2C86" w:rsidRDefault="00F936A8" w:rsidP="00F91733">
      <w:pPr>
        <w:pStyle w:val="H4GR"/>
        <w:tabs>
          <w:tab w:val="left" w:pos="1980"/>
          <w:tab w:val="left" w:pos="2520"/>
        </w:tabs>
        <w:spacing w:before="240"/>
        <w:ind w:left="1134" w:right="1179" w:hanging="1134"/>
      </w:pPr>
      <w:r w:rsidRPr="00CB2C86">
        <w:tab/>
      </w:r>
      <w:r w:rsidRPr="00CB2C86">
        <w:tab/>
        <w:t>Предоставление престарелым возможности вести активную и продуктивную жизнь</w:t>
      </w:r>
    </w:p>
    <w:p w:rsidR="00F936A8" w:rsidRPr="00CB2C86" w:rsidRDefault="00F936A8" w:rsidP="00F91733">
      <w:pPr>
        <w:pStyle w:val="SingleTxtGR"/>
        <w:tabs>
          <w:tab w:val="clear" w:pos="1701"/>
          <w:tab w:val="clear" w:pos="2268"/>
          <w:tab w:val="left" w:pos="1980"/>
          <w:tab w:val="left" w:pos="2520"/>
        </w:tabs>
      </w:pPr>
      <w:r w:rsidRPr="00CB2C86">
        <w:t>10.101</w:t>
      </w:r>
      <w:r w:rsidRPr="00CB2C86">
        <w:tab/>
        <w:t>Как уже отмечалось в пункте 10.83 предыдущего доклада, правител</w:t>
      </w:r>
      <w:r w:rsidRPr="00CB2C86">
        <w:t>ь</w:t>
      </w:r>
      <w:r w:rsidRPr="00CB2C86">
        <w:t>ство благоприятствует активной старости. Мы стимулируемым престарелых к непрерывному обучению, участию в общественных мероприятиях и зд</w:t>
      </w:r>
      <w:r w:rsidRPr="00CB2C86">
        <w:t>о</w:t>
      </w:r>
      <w:r w:rsidRPr="00CB2C86">
        <w:t>ровому образу жизни, чтобы они могли жить полной содержательной жизнью. Мы та</w:t>
      </w:r>
      <w:r w:rsidRPr="00CB2C86">
        <w:t>к</w:t>
      </w:r>
      <w:r w:rsidRPr="00CB2C86">
        <w:t>же содействуем престарелым в активном участии в делах общины, в ч</w:t>
      </w:r>
      <w:r w:rsidRPr="00CB2C86">
        <w:t>а</w:t>
      </w:r>
      <w:r w:rsidRPr="00CB2C86">
        <w:t>стности таких</w:t>
      </w:r>
      <w:r>
        <w:t xml:space="preserve"> как</w:t>
      </w:r>
      <w:r w:rsidRPr="00CB2C86">
        <w:t xml:space="preserve"> служба добровольцев и выполнение своих гражданских обязанн</w:t>
      </w:r>
      <w:r w:rsidRPr="00CB2C86">
        <w:t>о</w:t>
      </w:r>
      <w:r w:rsidRPr="00CB2C86">
        <w:t>стей. К основным инициативам относятся:</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a</w:t>
      </w:r>
      <w:proofErr w:type="spellEnd"/>
      <w:r>
        <w:t>)</w:t>
      </w:r>
      <w:r w:rsidRPr="00CB2C86">
        <w:tab/>
      </w:r>
      <w:r w:rsidRPr="00CB2C86">
        <w:rPr>
          <w:b/>
        </w:rPr>
        <w:t>Общинные службы социальной помощи</w:t>
      </w:r>
      <w:r w:rsidRPr="00CB2C86">
        <w:t>: Как уже упомин</w:t>
      </w:r>
      <w:r w:rsidRPr="00CB2C86">
        <w:t>а</w:t>
      </w:r>
      <w:r w:rsidRPr="00CB2C86">
        <w:t xml:space="preserve">лось в предыдущем докладе, это </w:t>
      </w:r>
      <w:r>
        <w:t>−</w:t>
      </w:r>
      <w:r w:rsidRPr="00CB2C86">
        <w:t xml:space="preserve"> крупная инициатива правительства, пр</w:t>
      </w:r>
      <w:r w:rsidRPr="00CB2C86">
        <w:t>и</w:t>
      </w:r>
      <w:r w:rsidRPr="00CB2C86">
        <w:t>званная обеспечить уход за престарелыми, проживающими в общине, и помощь им;</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b</w:t>
      </w:r>
      <w:proofErr w:type="spellEnd"/>
      <w:r>
        <w:t>)</w:t>
      </w:r>
      <w:r w:rsidRPr="00CB2C86">
        <w:tab/>
      </w:r>
      <w:r w:rsidRPr="00CB2C86">
        <w:rPr>
          <w:b/>
        </w:rPr>
        <w:t>Программа школ для престарелых:</w:t>
      </w:r>
      <w:r w:rsidRPr="00CB2C86">
        <w:t xml:space="preserve"> Эта программа была с</w:t>
      </w:r>
      <w:r w:rsidRPr="00CB2C86">
        <w:t>о</w:t>
      </w:r>
      <w:r w:rsidRPr="00CB2C86">
        <w:t>вместно запущена правительством и Комиссией по делам престарелых в начале 2007</w:t>
      </w:r>
      <w:r w:rsidR="00B92291">
        <w:t> год</w:t>
      </w:r>
      <w:r w:rsidRPr="00CB2C86">
        <w:t>а. Школы для престарелых совместно управляются органами школьн</w:t>
      </w:r>
      <w:r w:rsidRPr="00CB2C86">
        <w:t>о</w:t>
      </w:r>
      <w:r w:rsidRPr="00CB2C86">
        <w:t>го образования и организациями социальног</w:t>
      </w:r>
      <w:r w:rsidR="00593DA0">
        <w:t>о обеспечения</w:t>
      </w:r>
      <w:r w:rsidRPr="00CB2C86">
        <w:t xml:space="preserve"> и функционируют на принципах гармонии между поколениями и межведомственного сотрудничес</w:t>
      </w:r>
      <w:r w:rsidRPr="00CB2C86">
        <w:t>т</w:t>
      </w:r>
      <w:r w:rsidRPr="00CB2C86">
        <w:t>ва. В настоящее время на основе начальных и средних школ действуют 98 школ для престарелых. Вместе со школами для престарелых, действующими при высших учебных заведениях, количество школ для престарелых превышает 100</w:t>
      </w:r>
      <w:r w:rsidR="00593DA0">
        <w:t> </w:t>
      </w:r>
      <w:r w:rsidRPr="00CB2C86">
        <w:t>школ. Правительство также выделило 10</w:t>
      </w:r>
      <w:r w:rsidR="004F720A">
        <w:t> </w:t>
      </w:r>
      <w:r w:rsidR="00B63D5C">
        <w:t>млн. долл.</w:t>
      </w:r>
      <w:r w:rsidRPr="00CB2C86">
        <w:t xml:space="preserve"> на создание Фонда ра</w:t>
      </w:r>
      <w:r w:rsidRPr="00CB2C86">
        <w:t>з</w:t>
      </w:r>
      <w:r w:rsidRPr="00CB2C86">
        <w:t>вития образования для престарелых, чтобы обеспечить устойчивое развитие этой программы;</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c</w:t>
      </w:r>
      <w:proofErr w:type="spellEnd"/>
      <w:r>
        <w:t>)</w:t>
      </w:r>
      <w:r w:rsidRPr="00CB2C86">
        <w:tab/>
      </w:r>
      <w:r w:rsidRPr="00CB2C86">
        <w:rPr>
          <w:b/>
        </w:rPr>
        <w:t>Районный</w:t>
      </w:r>
      <w:r w:rsidRPr="00CB2C86">
        <w:t xml:space="preserve"> п</w:t>
      </w:r>
      <w:r w:rsidRPr="00CB2C86">
        <w:rPr>
          <w:b/>
        </w:rPr>
        <w:t>роект активной старости (РПАС)</w:t>
      </w:r>
      <w:r w:rsidRPr="00CB2C86">
        <w:t>: В начале 2008</w:t>
      </w:r>
      <w:r w:rsidR="00B92291">
        <w:t> год</w:t>
      </w:r>
      <w:r w:rsidRPr="00CB2C86">
        <w:t>а УТСО и Комиссия по делам престарелых совместно запустили РПАС. Уделяя основное внимание престарелым, РПАС стремится создать районные сети п</w:t>
      </w:r>
      <w:r w:rsidRPr="00CB2C86">
        <w:t>о</w:t>
      </w:r>
      <w:r w:rsidRPr="00CB2C86">
        <w:t>мощи и создать престарелым людям возможность стать новой движущей силой общества. Путем межведомственного сотрудничества РПАС мобилизует различные организации и физических лиц на содействие активной старости, а также расширению поддержки и воспитанию уважения к старости. В рамках РПАС было организовано в общей сложности 75 окружных проектов;</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d</w:t>
      </w:r>
      <w:proofErr w:type="spellEnd"/>
      <w:r>
        <w:t>)</w:t>
      </w:r>
      <w:r w:rsidRPr="00CB2C86">
        <w:tab/>
      </w:r>
      <w:r w:rsidRPr="00CB2C86">
        <w:rPr>
          <w:b/>
        </w:rPr>
        <w:t>Проект создания возможностей для престарелых</w:t>
      </w:r>
      <w:r w:rsidRPr="00CB2C86">
        <w:t>: В рамках этого проекта ДСО поддерживает общинные проекты, нацеленны</w:t>
      </w:r>
      <w:r w:rsidR="00593DA0">
        <w:t>е</w:t>
      </w:r>
      <w:r w:rsidRPr="00CB2C86">
        <w:t xml:space="preserve"> на формир</w:t>
      </w:r>
      <w:r w:rsidRPr="00CB2C86">
        <w:t>о</w:t>
      </w:r>
      <w:r w:rsidRPr="00CB2C86">
        <w:t>вание у престарелых ощущения нужности и привлечение их к активному уч</w:t>
      </w:r>
      <w:r w:rsidRPr="00CB2C86">
        <w:t>а</w:t>
      </w:r>
      <w:r w:rsidRPr="00CB2C86">
        <w:t>стию в общественных делах и использование во благо их квалификаци</w:t>
      </w:r>
      <w:r w:rsidR="00593DA0">
        <w:t>и</w:t>
      </w:r>
      <w:r w:rsidRPr="00CB2C86">
        <w:t xml:space="preserve"> и бог</w:t>
      </w:r>
      <w:r w:rsidRPr="00CB2C86">
        <w:t>а</w:t>
      </w:r>
      <w:r w:rsidRPr="00CB2C86">
        <w:t>т</w:t>
      </w:r>
      <w:r w:rsidR="00593DA0">
        <w:t xml:space="preserve">ого </w:t>
      </w:r>
      <w:r w:rsidRPr="00CB2C86">
        <w:t>жизненн</w:t>
      </w:r>
      <w:r w:rsidR="00593DA0">
        <w:t>ого</w:t>
      </w:r>
      <w:r w:rsidRPr="00CB2C86">
        <w:t xml:space="preserve"> опыт</w:t>
      </w:r>
      <w:r w:rsidR="00593DA0">
        <w:t>а</w:t>
      </w:r>
      <w:r w:rsidRPr="00CB2C86">
        <w:t>, чтобы они могли внести свой дальнейший вклад в жизнь общества; и</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e</w:t>
      </w:r>
      <w:proofErr w:type="spellEnd"/>
      <w:r>
        <w:t>)</w:t>
      </w:r>
      <w:r w:rsidRPr="00CB2C86">
        <w:tab/>
      </w:r>
      <w:r w:rsidRPr="00CB2C86">
        <w:rPr>
          <w:b/>
        </w:rPr>
        <w:t>Движение престарелых добровольцев</w:t>
      </w:r>
      <w:r w:rsidRPr="00CB2C86">
        <w:t>: ДСО продолжает су</w:t>
      </w:r>
      <w:r w:rsidRPr="00CB2C86">
        <w:t>б</w:t>
      </w:r>
      <w:r w:rsidRPr="00CB2C86">
        <w:t>сидировать Группы помощи престарелым, чтобы вовлечь престарелых людей в добровольческую работу. По состоянию на конец декабря 2009</w:t>
      </w:r>
      <w:r w:rsidR="00B92291">
        <w:t> год</w:t>
      </w:r>
      <w:r w:rsidRPr="00CB2C86">
        <w:t>а этот тру</w:t>
      </w:r>
      <w:r w:rsidRPr="00CB2C86">
        <w:t>д</w:t>
      </w:r>
      <w:r w:rsidRPr="00CB2C86">
        <w:t>ный вызов приняли свыше 8 400 людей престарелого возраста. Неравнодушные престарелые люди могут также зарегистрироваться в качестве добровольцев в ДСО и других организациях для оказания других услуг нуждающимся в них людям. По состоянию на конец декабря 2009</w:t>
      </w:r>
      <w:r w:rsidR="00B92291">
        <w:t> год</w:t>
      </w:r>
      <w:r w:rsidRPr="00CB2C86">
        <w:t>а в качестве таких добровол</w:t>
      </w:r>
      <w:r w:rsidRPr="00CB2C86">
        <w:t>ь</w:t>
      </w:r>
      <w:r w:rsidRPr="00CB2C86">
        <w:t>цев зар</w:t>
      </w:r>
      <w:r w:rsidRPr="00CB2C86">
        <w:t>е</w:t>
      </w:r>
      <w:r w:rsidRPr="00CB2C86">
        <w:t>гистрировались 117 000 престарелых людей в возрасте 60 лет и старше.</w:t>
      </w:r>
    </w:p>
    <w:p w:rsidR="00F936A8" w:rsidRPr="00CB2C86" w:rsidRDefault="00F936A8" w:rsidP="00F91733">
      <w:pPr>
        <w:pStyle w:val="H4GR"/>
        <w:tabs>
          <w:tab w:val="left" w:pos="1980"/>
          <w:tab w:val="left" w:pos="2520"/>
        </w:tabs>
        <w:spacing w:before="240"/>
        <w:ind w:left="1134" w:right="1179" w:hanging="1134"/>
      </w:pPr>
      <w:r w:rsidRPr="00CB2C86">
        <w:tab/>
      </w:r>
      <w:r w:rsidRPr="00CB2C86">
        <w:tab/>
        <w:t>Финансовая помощь престарелым</w:t>
      </w:r>
    </w:p>
    <w:p w:rsidR="00F936A8" w:rsidRPr="00CB2C86" w:rsidRDefault="00F936A8" w:rsidP="00F91733">
      <w:pPr>
        <w:pStyle w:val="SingleTxtGR"/>
        <w:tabs>
          <w:tab w:val="clear" w:pos="1701"/>
          <w:tab w:val="clear" w:pos="2268"/>
          <w:tab w:val="left" w:pos="1980"/>
          <w:tab w:val="left" w:pos="2520"/>
        </w:tabs>
      </w:pPr>
      <w:r w:rsidRPr="00CB2C86">
        <w:t>10.102</w:t>
      </w:r>
      <w:r w:rsidRPr="00CB2C86">
        <w:tab/>
        <w:t>Вопрос о программах социального обеспечения престарелых подро</w:t>
      </w:r>
      <w:r w:rsidRPr="00CB2C86">
        <w:t>б</w:t>
      </w:r>
      <w:r w:rsidRPr="00CB2C86">
        <w:t>но обсуждался выше в связи со статьей 9. Кроме того, в 1995</w:t>
      </w:r>
      <w:r w:rsidR="00B92291">
        <w:t> год</w:t>
      </w:r>
      <w:r w:rsidRPr="00CB2C86">
        <w:t>у законод</w:t>
      </w:r>
      <w:r w:rsidRPr="00CB2C86">
        <w:t>а</w:t>
      </w:r>
      <w:r w:rsidRPr="00CB2C86">
        <w:t>тельная власть приняла Указ об Обязательном резервном фонде, который вст</w:t>
      </w:r>
      <w:r w:rsidRPr="00CB2C86">
        <w:t>у</w:t>
      </w:r>
      <w:r w:rsidRPr="00CB2C86">
        <w:t>пил в силу в конце 2000</w:t>
      </w:r>
      <w:r w:rsidR="00B92291">
        <w:t> год</w:t>
      </w:r>
      <w:r w:rsidRPr="00CB2C86">
        <w:t>а. Вместе с системой социального обеспечения, не требующей накопительных взносов (которая включает Программу ПВСП и Программу ПСП)</w:t>
      </w:r>
      <w:r w:rsidR="00D7165C">
        <w:t>,</w:t>
      </w:r>
      <w:r w:rsidRPr="00CB2C86">
        <w:t xml:space="preserve"> и добровольными частными накоплениями Гонконг примен</w:t>
      </w:r>
      <w:r w:rsidRPr="00CB2C86">
        <w:t>я</w:t>
      </w:r>
      <w:r w:rsidRPr="00CB2C86">
        <w:t>ет с тех пор трехкомпонентную модель защиты пенсионеров.</w:t>
      </w:r>
    </w:p>
    <w:p w:rsidR="00F936A8" w:rsidRPr="00CB2C86" w:rsidRDefault="00F936A8" w:rsidP="00F91733">
      <w:pPr>
        <w:pStyle w:val="SingleTxtGR"/>
        <w:tabs>
          <w:tab w:val="clear" w:pos="1701"/>
          <w:tab w:val="clear" w:pos="2268"/>
          <w:tab w:val="left" w:pos="1980"/>
          <w:tab w:val="left" w:pos="2520"/>
        </w:tabs>
      </w:pPr>
      <w:r w:rsidRPr="00CB2C86">
        <w:t>10.103</w:t>
      </w:r>
      <w:r w:rsidRPr="00CB2C86">
        <w:tab/>
        <w:t>Будучи одним из этих трех компонентов, эта система социального обеспечения призвана обеспечить социальными ресурсами тех, кто нуждается в них в наибольшей степени, включая престарелых, чтобы содействовать им в удовлетворении  насущных и особых потребностей. Почти 80% престарелых в возрасте 65 лет или старше в соответствии с системой социального обеспеч</w:t>
      </w:r>
      <w:r w:rsidRPr="00CB2C86">
        <w:t>е</w:t>
      </w:r>
      <w:r w:rsidRPr="00CB2C86">
        <w:t>ния получают различную помощь или пособия.</w:t>
      </w:r>
    </w:p>
    <w:p w:rsidR="00F936A8" w:rsidRPr="00CB2C86" w:rsidRDefault="00F936A8" w:rsidP="00F91733">
      <w:pPr>
        <w:pStyle w:val="SingleTxtGR"/>
        <w:tabs>
          <w:tab w:val="clear" w:pos="1701"/>
          <w:tab w:val="clear" w:pos="2268"/>
          <w:tab w:val="left" w:pos="1980"/>
          <w:tab w:val="left" w:pos="2520"/>
        </w:tabs>
      </w:pPr>
      <w:r w:rsidRPr="00CB2C86">
        <w:t>10.104</w:t>
      </w:r>
      <w:r w:rsidRPr="00CB2C86">
        <w:tab/>
        <w:t>Как уже отмечалось выше в связи со статьей 9, правительство из</w:t>
      </w:r>
      <w:r w:rsidRPr="00CB2C86">
        <w:t>у</w:t>
      </w:r>
      <w:r w:rsidRPr="00CB2C86">
        <w:t>чает устойчивость этих трех компонентов и намерено учесть результаты этого и</w:t>
      </w:r>
      <w:r w:rsidRPr="00CB2C86">
        <w:t>с</w:t>
      </w:r>
      <w:r w:rsidRPr="00CB2C86">
        <w:t>следования и другие факторы</w:t>
      </w:r>
      <w:r w:rsidR="00D7165C">
        <w:t>,</w:t>
      </w:r>
      <w:r w:rsidRPr="00CB2C86">
        <w:t xml:space="preserve"> перед тем как принять решение о дальнейшем плане действий.</w:t>
      </w:r>
    </w:p>
    <w:p w:rsidR="00F936A8" w:rsidRPr="00CB2C86" w:rsidRDefault="00F936A8" w:rsidP="00F91733">
      <w:pPr>
        <w:pStyle w:val="H23GR"/>
        <w:tabs>
          <w:tab w:val="left" w:pos="1980"/>
          <w:tab w:val="left" w:pos="2520"/>
        </w:tabs>
      </w:pPr>
      <w:r w:rsidRPr="00CB2C86">
        <w:tab/>
      </w:r>
      <w:r w:rsidRPr="00CB2C86">
        <w:tab/>
        <w:t>Уход за престарелыми в стационарных социальных учрежд</w:t>
      </w:r>
      <w:r w:rsidRPr="00CB2C86">
        <w:t>е</w:t>
      </w:r>
      <w:r w:rsidRPr="00CB2C86">
        <w:t>ниях</w:t>
      </w:r>
    </w:p>
    <w:p w:rsidR="00F936A8" w:rsidRPr="00CB2C86" w:rsidRDefault="00F936A8" w:rsidP="00F91733">
      <w:pPr>
        <w:pStyle w:val="SingleTxtGR"/>
        <w:tabs>
          <w:tab w:val="clear" w:pos="1701"/>
          <w:tab w:val="clear" w:pos="2268"/>
          <w:tab w:val="left" w:pos="1980"/>
          <w:tab w:val="left" w:pos="2520"/>
        </w:tabs>
      </w:pPr>
      <w:r w:rsidRPr="00CB2C86">
        <w:t>10.105</w:t>
      </w:r>
      <w:r w:rsidRPr="00CB2C86">
        <w:tab/>
        <w:t>По состоянию на конец 2009</w:t>
      </w:r>
      <w:r w:rsidR="00B92291">
        <w:t> год</w:t>
      </w:r>
      <w:r w:rsidRPr="00CB2C86">
        <w:t>а мы субсидировали св</w:t>
      </w:r>
      <w:r w:rsidRPr="00CB2C86">
        <w:t>ы</w:t>
      </w:r>
      <w:r w:rsidRPr="00CB2C86">
        <w:t>ше 25</w:t>
      </w:r>
      <w:r>
        <w:t> </w:t>
      </w:r>
      <w:r w:rsidRPr="00CB2C86">
        <w:t>000</w:t>
      </w:r>
      <w:r w:rsidR="00D7165C">
        <w:t> </w:t>
      </w:r>
      <w:r w:rsidRPr="00CB2C86">
        <w:t>мест в стационарных социальных учреждениях для престарелых</w:t>
      </w:r>
      <w:r w:rsidRPr="004F0ED8">
        <w:rPr>
          <w:sz w:val="18"/>
          <w:szCs w:val="18"/>
          <w:vertAlign w:val="superscript"/>
          <w:lang w:val="en-GB"/>
        </w:rPr>
        <w:footnoteReference w:id="11"/>
      </w:r>
      <w:r w:rsidRPr="00CB2C86">
        <w:t>. Сюда следует добавить примерно 45</w:t>
      </w:r>
      <w:r w:rsidR="00D7165C">
        <w:t> </w:t>
      </w:r>
      <w:r w:rsidRPr="00CB2C86">
        <w:t>000 мест в частных социальных учреждениях для престарелых (исключая более 6</w:t>
      </w:r>
      <w:r w:rsidR="00D7165C">
        <w:t> </w:t>
      </w:r>
      <w:r w:rsidRPr="00CB2C86">
        <w:t>600 субсидируемых мест, приобретаемых правительством) и более 4</w:t>
      </w:r>
      <w:r w:rsidR="00D7165C">
        <w:t> </w:t>
      </w:r>
      <w:r w:rsidRPr="00CB2C86">
        <w:t>700 платных мест в хозрасчетных пансионатах, д</w:t>
      </w:r>
      <w:r w:rsidRPr="00CB2C86">
        <w:t>о</w:t>
      </w:r>
      <w:r w:rsidRPr="00CB2C86">
        <w:t>мах престарелых, патронажных домах-интернатах и частных домах, функци</w:t>
      </w:r>
      <w:r w:rsidRPr="00CB2C86">
        <w:t>о</w:t>
      </w:r>
      <w:r w:rsidRPr="00CB2C86">
        <w:t>нирующих по контракту. Мы продолжаем предоставлять койко-места в лече</w:t>
      </w:r>
      <w:r w:rsidRPr="00CB2C86">
        <w:t>б</w:t>
      </w:r>
      <w:r w:rsidRPr="00CB2C86">
        <w:t>ных учреждениях лицам, которые нуждаются в медицинской помощи и сес</w:t>
      </w:r>
      <w:r w:rsidRPr="00CB2C86">
        <w:t>т</w:t>
      </w:r>
      <w:r w:rsidRPr="00CB2C86">
        <w:t>ринском уходе.</w:t>
      </w:r>
    </w:p>
    <w:p w:rsidR="00F936A8" w:rsidRPr="00CB2C86" w:rsidRDefault="00F936A8" w:rsidP="00F91733">
      <w:pPr>
        <w:pStyle w:val="SingleTxtGR"/>
        <w:tabs>
          <w:tab w:val="clear" w:pos="1701"/>
          <w:tab w:val="clear" w:pos="2268"/>
          <w:tab w:val="left" w:pos="1980"/>
          <w:tab w:val="left" w:pos="2520"/>
        </w:tabs>
      </w:pPr>
      <w:r w:rsidRPr="00CB2C86">
        <w:t>10.106</w:t>
      </w:r>
      <w:r w:rsidRPr="00CB2C86">
        <w:tab/>
        <w:t>Чтобы удовлетворить меняющиеся потребности престарелых людей, которым трудно обеспечить необходимый уход на дому, мы намерены продо</w:t>
      </w:r>
      <w:r w:rsidRPr="00CB2C86">
        <w:t>л</w:t>
      </w:r>
      <w:r w:rsidRPr="00CB2C86">
        <w:t>жить интеграцию всех видов долгосрочного обслуживания на всех уровнях, к</w:t>
      </w:r>
      <w:r w:rsidRPr="00CB2C86">
        <w:t>о</w:t>
      </w:r>
      <w:r w:rsidRPr="00CB2C86">
        <w:t>торое традиционно предлагают различные учреждения. Смысл этой идеи с</w:t>
      </w:r>
      <w:r w:rsidRPr="00CB2C86">
        <w:t>о</w:t>
      </w:r>
      <w:r w:rsidRPr="00CB2C86">
        <w:t>стоит в том, чтобы создать единый вид дома для престарелых, в котором оказ</w:t>
      </w:r>
      <w:r w:rsidRPr="00CB2C86">
        <w:t>ы</w:t>
      </w:r>
      <w:r w:rsidRPr="00CB2C86">
        <w:t>вался бы весь комплекс услуг, что тем самым позволило бы свести к минимуму необходимость менять режим ухода за престарелыми в случае ухудшения их здоровья.</w:t>
      </w:r>
    </w:p>
    <w:p w:rsidR="00F936A8" w:rsidRPr="00CB2C86" w:rsidRDefault="00F936A8" w:rsidP="00F91733">
      <w:pPr>
        <w:pStyle w:val="SingleTxtGR"/>
        <w:tabs>
          <w:tab w:val="clear" w:pos="1701"/>
          <w:tab w:val="clear" w:pos="2268"/>
          <w:tab w:val="left" w:pos="1980"/>
          <w:tab w:val="left" w:pos="2520"/>
        </w:tabs>
      </w:pPr>
      <w:r w:rsidRPr="00CB2C86">
        <w:t>10.107</w:t>
      </w:r>
      <w:r w:rsidRPr="00CB2C86">
        <w:tab/>
        <w:t>Чтобы рационально использовать государственные средства и соср</w:t>
      </w:r>
      <w:r w:rsidRPr="00CB2C86">
        <w:t>е</w:t>
      </w:r>
      <w:r w:rsidRPr="00CB2C86">
        <w:t>доточиться на уходе за престарелыми, мы продолжим постепенное сверт</w:t>
      </w:r>
      <w:r w:rsidRPr="00CB2C86">
        <w:t>ы</w:t>
      </w:r>
      <w:r w:rsidRPr="00CB2C86">
        <w:t>вание фонда субсидируемых мест в хозрасчетных общежитиях и домах самообслуж</w:t>
      </w:r>
      <w:r w:rsidRPr="00CB2C86">
        <w:t>и</w:t>
      </w:r>
      <w:r w:rsidRPr="00CB2C86">
        <w:t xml:space="preserve">вания для престарелых </w:t>
      </w:r>
      <w:r w:rsidR="00D7165C">
        <w:t xml:space="preserve">с целью </w:t>
      </w:r>
      <w:r w:rsidRPr="00CB2C86">
        <w:t>превращ</w:t>
      </w:r>
      <w:r w:rsidR="00D7165C">
        <w:t xml:space="preserve">ения </w:t>
      </w:r>
      <w:r w:rsidRPr="00CB2C86">
        <w:t>их в учреждения, где обеспечив</w:t>
      </w:r>
      <w:r w:rsidRPr="00CB2C86">
        <w:t>а</w:t>
      </w:r>
      <w:r w:rsidRPr="00CB2C86">
        <w:t>ется непрерывный уход.</w:t>
      </w:r>
    </w:p>
    <w:p w:rsidR="00F936A8" w:rsidRPr="00CB2C86" w:rsidRDefault="00F936A8" w:rsidP="00F91733">
      <w:pPr>
        <w:pStyle w:val="SingleTxtGR"/>
        <w:tabs>
          <w:tab w:val="clear" w:pos="1701"/>
          <w:tab w:val="clear" w:pos="2268"/>
          <w:tab w:val="left" w:pos="1980"/>
          <w:tab w:val="left" w:pos="2520"/>
        </w:tabs>
      </w:pPr>
      <w:r w:rsidRPr="00CB2C86">
        <w:t>10.108</w:t>
      </w:r>
      <w:r w:rsidRPr="00CB2C86">
        <w:tab/>
        <w:t>Чтобы улучшить качество услуг, мы намерены поощрять НПО и час</w:t>
      </w:r>
      <w:r w:rsidRPr="00CB2C86">
        <w:t>т</w:t>
      </w:r>
      <w:r w:rsidRPr="00CB2C86">
        <w:t>ный сектор оказывать смеш</w:t>
      </w:r>
      <w:r w:rsidR="00E367DD">
        <w:t>а</w:t>
      </w:r>
      <w:r w:rsidRPr="00CB2C86">
        <w:t>нный ассортимент услуг. С 2001</w:t>
      </w:r>
      <w:r w:rsidR="00B92291">
        <w:t> год</w:t>
      </w:r>
      <w:r w:rsidRPr="00CB2C86">
        <w:t>а мы отбир</w:t>
      </w:r>
      <w:r w:rsidRPr="00CB2C86">
        <w:t>а</w:t>
      </w:r>
      <w:r w:rsidRPr="00CB2C86">
        <w:t>ем поставщиков услуг для субсидируемых домов престарелых через открытые торги, привлекая к ним НПО и частный сектор. Контракты заключаются прежде всего с учетом качества, а не стоимости. Управляющие строго контр</w:t>
      </w:r>
      <w:r w:rsidRPr="00CB2C86">
        <w:t>о</w:t>
      </w:r>
      <w:r w:rsidRPr="00CB2C86">
        <w:t>лируются, чтобы обеспечить соблюдение ими условий контрактов и согласованных норм</w:t>
      </w:r>
      <w:r w:rsidRPr="00CB2C86">
        <w:t>а</w:t>
      </w:r>
      <w:r w:rsidRPr="00CB2C86">
        <w:t xml:space="preserve">тивных показателей. </w:t>
      </w:r>
    </w:p>
    <w:p w:rsidR="00F936A8" w:rsidRPr="00CB2C86" w:rsidRDefault="00F936A8" w:rsidP="00F91733">
      <w:pPr>
        <w:pStyle w:val="SingleTxtGR"/>
        <w:tabs>
          <w:tab w:val="clear" w:pos="1701"/>
          <w:tab w:val="clear" w:pos="2268"/>
          <w:tab w:val="left" w:pos="1980"/>
          <w:tab w:val="left" w:pos="2520"/>
        </w:tabs>
      </w:pPr>
      <w:r w:rsidRPr="00CB2C86">
        <w:t>10.109</w:t>
      </w:r>
      <w:r w:rsidRPr="00CB2C86">
        <w:tab/>
        <w:t>Как уже отмечалось в пункте 10.90 предыдущего доклада, в</w:t>
      </w:r>
      <w:r>
        <w:t> </w:t>
      </w:r>
      <w:r w:rsidRPr="00CB2C86">
        <w:t>2002</w:t>
      </w:r>
      <w:r w:rsidR="00B92291">
        <w:t> год</w:t>
      </w:r>
      <w:r w:rsidRPr="00CB2C86">
        <w:t>у мы начали двухлетнее консультационное исследование по вопросу об учрежд</w:t>
      </w:r>
      <w:r w:rsidRPr="00CB2C86">
        <w:t>е</w:t>
      </w:r>
      <w:r w:rsidRPr="00CB2C86">
        <w:t>нии системы аккредитации домов престарелых. Исследование было завершено в 2004</w:t>
      </w:r>
      <w:r w:rsidR="00B92291">
        <w:t> год</w:t>
      </w:r>
      <w:r w:rsidRPr="00CB2C86">
        <w:t>у, и на его основании был сделан вывод, что систему аккредитации следует реализовывать на основе добровольного участия домов престарелых, а в качестве аккредитующего органа было предложено использовать независ</w:t>
      </w:r>
      <w:r w:rsidRPr="00CB2C86">
        <w:t>и</w:t>
      </w:r>
      <w:r w:rsidRPr="00CB2C86">
        <w:t xml:space="preserve">мый </w:t>
      </w:r>
      <w:proofErr w:type="spellStart"/>
      <w:r w:rsidRPr="00CB2C86">
        <w:t>нестатутный</w:t>
      </w:r>
      <w:proofErr w:type="spellEnd"/>
      <w:r w:rsidRPr="00CB2C86">
        <w:t xml:space="preserve"> орган. В настоящее время в Гонконге действуют две незав</w:t>
      </w:r>
      <w:r w:rsidRPr="00CB2C86">
        <w:t>и</w:t>
      </w:r>
      <w:r w:rsidRPr="00CB2C86">
        <w:t>симые системы аккредитации учреждений социального обслуживания прест</w:t>
      </w:r>
      <w:r w:rsidRPr="00CB2C86">
        <w:t>а</w:t>
      </w:r>
      <w:r w:rsidRPr="00CB2C86">
        <w:t>релых. Поставщики услуг участвуют в этих системах на добровол</w:t>
      </w:r>
      <w:r w:rsidRPr="00CB2C86">
        <w:t>ь</w:t>
      </w:r>
      <w:r w:rsidRPr="00CB2C86">
        <w:t xml:space="preserve">ной основе. </w:t>
      </w:r>
    </w:p>
    <w:p w:rsidR="00F936A8" w:rsidRPr="00CB2C86" w:rsidRDefault="00F936A8" w:rsidP="00F91733">
      <w:pPr>
        <w:pStyle w:val="H23GR"/>
        <w:tabs>
          <w:tab w:val="left" w:pos="1980"/>
          <w:tab w:val="left" w:pos="2520"/>
        </w:tabs>
      </w:pPr>
      <w:r w:rsidRPr="00CB2C86">
        <w:tab/>
      </w:r>
      <w:r w:rsidRPr="00CB2C86">
        <w:tab/>
        <w:t>Поддержка уязвимым престарелым людям</w:t>
      </w:r>
    </w:p>
    <w:p w:rsidR="00F936A8" w:rsidRPr="00CB2C86" w:rsidRDefault="00F936A8" w:rsidP="00F91733">
      <w:pPr>
        <w:pStyle w:val="H4GR"/>
        <w:tabs>
          <w:tab w:val="left" w:pos="1980"/>
          <w:tab w:val="left" w:pos="2520"/>
        </w:tabs>
        <w:spacing w:before="240"/>
        <w:ind w:left="1134" w:right="1179" w:hanging="1134"/>
      </w:pPr>
      <w:r w:rsidRPr="00CB2C86">
        <w:tab/>
      </w:r>
      <w:r w:rsidRPr="00CB2C86">
        <w:tab/>
        <w:t>Меры защиты от дурного обращения с престарелыми</w:t>
      </w:r>
    </w:p>
    <w:p w:rsidR="00F936A8" w:rsidRPr="00CB2C86" w:rsidRDefault="00F936A8" w:rsidP="00F91733">
      <w:pPr>
        <w:pStyle w:val="SingleTxtGR"/>
        <w:tabs>
          <w:tab w:val="clear" w:pos="1701"/>
          <w:tab w:val="clear" w:pos="2268"/>
          <w:tab w:val="left" w:pos="1980"/>
          <w:tab w:val="left" w:pos="2520"/>
        </w:tabs>
      </w:pPr>
      <w:r w:rsidRPr="00CB2C86">
        <w:t>10.110</w:t>
      </w:r>
      <w:r w:rsidRPr="00CB2C86">
        <w:tab/>
        <w:t>Мы повышаем уровень информированности общественности о пр</w:t>
      </w:r>
      <w:r w:rsidRPr="00CB2C86">
        <w:t>о</w:t>
      </w:r>
      <w:r w:rsidRPr="00CB2C86">
        <w:t>блеме дурного обращения с престарелыми путем информационно-пропагандистских и просветительских кампаний. Мы также принимаем ра</w:t>
      </w:r>
      <w:r w:rsidRPr="00CB2C86">
        <w:t>з</w:t>
      </w:r>
      <w:r w:rsidRPr="00CB2C86">
        <w:t>личные меры профилактики и вмешательства и организуем подготовку для практического персонала, чтобы обеспечить надлежащую помощь престарелым людям, которые подверглись дурному обращени</w:t>
      </w:r>
      <w:r w:rsidR="00E367DD">
        <w:t>ю</w:t>
      </w:r>
      <w:r w:rsidRPr="00CB2C86">
        <w:t>.</w:t>
      </w:r>
    </w:p>
    <w:p w:rsidR="00F936A8" w:rsidRPr="00CB2C86" w:rsidRDefault="00F936A8" w:rsidP="00F91733">
      <w:pPr>
        <w:pStyle w:val="SingleTxtGR"/>
        <w:tabs>
          <w:tab w:val="clear" w:pos="1701"/>
          <w:tab w:val="clear" w:pos="2268"/>
          <w:tab w:val="left" w:pos="1980"/>
          <w:tab w:val="left" w:pos="2520"/>
        </w:tabs>
      </w:pPr>
      <w:r w:rsidRPr="00CB2C86">
        <w:t>10.111</w:t>
      </w:r>
      <w:r w:rsidRPr="00CB2C86">
        <w:tab/>
        <w:t xml:space="preserve">Различные социальные учреждения </w:t>
      </w:r>
      <w:r w:rsidR="00E367DD">
        <w:t xml:space="preserve">− </w:t>
      </w:r>
      <w:r w:rsidRPr="00CB2C86">
        <w:t>как государственные, так и НПО (включая ЦКСОС, окружные общинные центры для престарелых, райо</w:t>
      </w:r>
      <w:r w:rsidRPr="00CB2C86">
        <w:t>н</w:t>
      </w:r>
      <w:r w:rsidRPr="00CB2C86">
        <w:t>ные центры для престарелых, центры вмешательства в кризисных ситуациях, учр</w:t>
      </w:r>
      <w:r w:rsidRPr="00CB2C86">
        <w:t>е</w:t>
      </w:r>
      <w:r w:rsidRPr="00CB2C86">
        <w:t>ждения социально-медицинского обслуживания и службы охраны семьи и де</w:t>
      </w:r>
      <w:r w:rsidRPr="00CB2C86">
        <w:t>т</w:t>
      </w:r>
      <w:r w:rsidRPr="00CB2C86">
        <w:t xml:space="preserve">ства ДСО) </w:t>
      </w:r>
      <w:r w:rsidR="00E367DD">
        <w:t xml:space="preserve">− </w:t>
      </w:r>
      <w:r w:rsidRPr="00CB2C86">
        <w:t>оказывают целый комплекс услуг как жертвам, так и виновникам произвола в отношении престарелых. Такие услуги включают вмешател</w:t>
      </w:r>
      <w:r w:rsidRPr="00CB2C86">
        <w:t>ь</w:t>
      </w:r>
      <w:r w:rsidRPr="00CB2C86">
        <w:t>ство в кризисных ситуациях, консультации по горячей линии, финансовую и жили</w:t>
      </w:r>
      <w:r w:rsidRPr="00CB2C86">
        <w:t>щ</w:t>
      </w:r>
      <w:r w:rsidRPr="00CB2C86">
        <w:t>ную помощь и направление в центры отдыха, социальные центры экстренного ухода и убежища.</w:t>
      </w:r>
    </w:p>
    <w:p w:rsidR="00F936A8" w:rsidRPr="00CB2C86" w:rsidRDefault="00F936A8" w:rsidP="00F91733">
      <w:pPr>
        <w:pStyle w:val="SingleTxtGR"/>
        <w:tabs>
          <w:tab w:val="clear" w:pos="1701"/>
          <w:tab w:val="clear" w:pos="2268"/>
          <w:tab w:val="left" w:pos="1980"/>
          <w:tab w:val="left" w:pos="2520"/>
        </w:tabs>
      </w:pPr>
      <w:r w:rsidRPr="00CB2C86">
        <w:t>10.112</w:t>
      </w:r>
      <w:r w:rsidRPr="00CB2C86">
        <w:tab/>
        <w:t>Чтобы углубить их знания и упрочить навыки в борьбе со случаями дурного обращения с престарелыми, ДСО также регулярно организует учебные курсы для своего персонала (социальных работников, медицинского персонала и других нештатных сотрудников). С 2007</w:t>
      </w:r>
      <w:r w:rsidR="00B92291">
        <w:t> год</w:t>
      </w:r>
      <w:r w:rsidRPr="00CB2C86">
        <w:t>а по 2009</w:t>
      </w:r>
      <w:r w:rsidR="00B92291">
        <w:t> год</w:t>
      </w:r>
      <w:r w:rsidRPr="00CB2C86">
        <w:t xml:space="preserve"> ДСО организовал в общей сложности 16 учебных мероприятий примерно для 900 участников. В т</w:t>
      </w:r>
      <w:r w:rsidRPr="00CB2C86">
        <w:t>е</w:t>
      </w:r>
      <w:r w:rsidRPr="00CB2C86">
        <w:t>чение этого периода НПО, занимающиеся социальным обслуживанием прест</w:t>
      </w:r>
      <w:r w:rsidRPr="00CB2C86">
        <w:t>а</w:t>
      </w:r>
      <w:r w:rsidRPr="00CB2C86">
        <w:t>релых, в целом провели для своего персонала более 190 учебных занятий. Эти занятия посетили почти 2 400 участников.</w:t>
      </w:r>
    </w:p>
    <w:p w:rsidR="00F936A8" w:rsidRPr="00CB2C86" w:rsidRDefault="00F936A8" w:rsidP="00F91733">
      <w:pPr>
        <w:pStyle w:val="SingleTxtGR"/>
        <w:tabs>
          <w:tab w:val="clear" w:pos="1701"/>
          <w:tab w:val="clear" w:pos="2268"/>
          <w:tab w:val="left" w:pos="1980"/>
          <w:tab w:val="left" w:pos="2520"/>
        </w:tabs>
      </w:pPr>
      <w:r w:rsidRPr="00CB2C86">
        <w:t>10.113</w:t>
      </w:r>
      <w:r w:rsidRPr="00CB2C86">
        <w:tab/>
        <w:t>Кроме того, для изучения этого явления и консультирования по страт</w:t>
      </w:r>
      <w:r w:rsidRPr="00CB2C86">
        <w:t>е</w:t>
      </w:r>
      <w:r w:rsidRPr="00CB2C86">
        <w:t>гиям и средствам борьбы с дурным обращением с престарелыми в 2001</w:t>
      </w:r>
      <w:r w:rsidR="00B92291">
        <w:t> год</w:t>
      </w:r>
      <w:r w:rsidRPr="00CB2C86">
        <w:t>у ДСО создал междисциплинарную Рабочую группу по предупрежд</w:t>
      </w:r>
      <w:r w:rsidRPr="00CB2C86">
        <w:t>е</w:t>
      </w:r>
      <w:r w:rsidRPr="00CB2C86">
        <w:t xml:space="preserve">нию </w:t>
      </w:r>
      <w:r w:rsidR="00E367DD">
        <w:t xml:space="preserve">дурного </w:t>
      </w:r>
      <w:r w:rsidRPr="00CB2C86">
        <w:t>обращения с престарелыми, в состав которой вошли сотрудники УТСО, ДСО, ДЗ, Полиции, АБ, а также члены Комиссии по делам престарелых и гонконгск</w:t>
      </w:r>
      <w:r w:rsidRPr="00CB2C86">
        <w:t>о</w:t>
      </w:r>
      <w:r w:rsidRPr="00CB2C86">
        <w:t>го Совета по социальному обслуживанию. С марта 2004</w:t>
      </w:r>
      <w:r w:rsidR="00B92291">
        <w:t> год</w:t>
      </w:r>
      <w:r w:rsidRPr="00CB2C86">
        <w:t>а действует Це</w:t>
      </w:r>
      <w:r w:rsidRPr="00CB2C86">
        <w:t>н</w:t>
      </w:r>
      <w:r w:rsidRPr="00CB2C86">
        <w:t>тральная система информации о случаях дурного обращения с престарел</w:t>
      </w:r>
      <w:r w:rsidRPr="00CB2C86">
        <w:t>ы</w:t>
      </w:r>
      <w:r w:rsidRPr="00CB2C86">
        <w:t>ми. В ней собираются статистические данные об общем положении дел и особенн</w:t>
      </w:r>
      <w:r w:rsidRPr="00CB2C86">
        <w:t>о</w:t>
      </w:r>
      <w:r w:rsidRPr="00CB2C86">
        <w:t>стях зарегистрированных случаев дурного обращения с престарелыми; кроме того</w:t>
      </w:r>
      <w:r w:rsidR="00E367DD">
        <w:t>,</w:t>
      </w:r>
      <w:r w:rsidRPr="00CB2C86">
        <w:t xml:space="preserve"> она предоставляет статистические данные для информации сп</w:t>
      </w:r>
      <w:r w:rsidRPr="00CB2C86">
        <w:t>е</w:t>
      </w:r>
      <w:r w:rsidRPr="00CB2C86">
        <w:t>циалистов, которые занимаются предупреждением и борьбой с произволом в отношении престарелых.</w:t>
      </w:r>
    </w:p>
    <w:p w:rsidR="00F936A8" w:rsidRPr="00CB2C86" w:rsidRDefault="00F936A8" w:rsidP="00F91733">
      <w:pPr>
        <w:pStyle w:val="SingleTxtGR"/>
        <w:tabs>
          <w:tab w:val="clear" w:pos="1701"/>
          <w:tab w:val="clear" w:pos="2268"/>
          <w:tab w:val="left" w:pos="1980"/>
          <w:tab w:val="left" w:pos="2520"/>
        </w:tabs>
      </w:pPr>
      <w:r w:rsidRPr="00CB2C86">
        <w:t>10.114</w:t>
      </w:r>
      <w:r w:rsidRPr="00CB2C86">
        <w:tab/>
        <w:t>В сентябре 2008</w:t>
      </w:r>
      <w:r w:rsidR="00B92291">
        <w:t> год</w:t>
      </w:r>
      <w:r w:rsidRPr="00CB2C86">
        <w:t>а УТСО совместно с Комиссией по делам прест</w:t>
      </w:r>
      <w:r w:rsidRPr="00CB2C86">
        <w:t>а</w:t>
      </w:r>
      <w:r w:rsidRPr="00CB2C86">
        <w:t xml:space="preserve">релых запустило экспериментальный районный проект </w:t>
      </w:r>
      <w:r>
        <w:t>"</w:t>
      </w:r>
      <w:r w:rsidRPr="00CB2C86">
        <w:t>Активная старость</w:t>
      </w:r>
      <w:r>
        <w:t> −</w:t>
      </w:r>
      <w:r w:rsidRPr="00CB2C86">
        <w:t xml:space="preserve"> забота о престарелых</w:t>
      </w:r>
      <w:r>
        <w:t>"</w:t>
      </w:r>
      <w:r w:rsidRPr="00CB2C86">
        <w:t>, чтобы содействовать предупреждению дурного обращ</w:t>
      </w:r>
      <w:r w:rsidRPr="00CB2C86">
        <w:t>е</w:t>
      </w:r>
      <w:r w:rsidRPr="00CB2C86">
        <w:t>ния с престарелыми в обществе через просвещение, профилактику и поддер</w:t>
      </w:r>
      <w:r w:rsidRPr="00CB2C86">
        <w:t>ж</w:t>
      </w:r>
      <w:r w:rsidRPr="00CB2C86">
        <w:t>ку.</w:t>
      </w:r>
    </w:p>
    <w:p w:rsidR="00F936A8" w:rsidRPr="00CB2C86" w:rsidRDefault="00F936A8" w:rsidP="00F91733">
      <w:pPr>
        <w:pStyle w:val="H4GR"/>
        <w:tabs>
          <w:tab w:val="left" w:pos="1980"/>
          <w:tab w:val="left" w:pos="2520"/>
        </w:tabs>
        <w:spacing w:before="240"/>
        <w:ind w:left="1134" w:right="1179" w:hanging="1134"/>
      </w:pPr>
      <w:r w:rsidRPr="00CB2C86">
        <w:tab/>
      </w:r>
      <w:r w:rsidRPr="00CB2C86">
        <w:tab/>
        <w:t>Другие меры защиты уязвимых престарелых людей</w:t>
      </w:r>
    </w:p>
    <w:p w:rsidR="00F936A8" w:rsidRPr="00CB2C86" w:rsidRDefault="00F936A8" w:rsidP="00F91733">
      <w:pPr>
        <w:pStyle w:val="SingleTxtGR"/>
        <w:tabs>
          <w:tab w:val="clear" w:pos="1701"/>
          <w:tab w:val="clear" w:pos="2268"/>
          <w:tab w:val="left" w:pos="1980"/>
          <w:tab w:val="left" w:pos="2520"/>
        </w:tabs>
      </w:pPr>
      <w:r w:rsidRPr="00CB2C86">
        <w:t>10.115</w:t>
      </w:r>
      <w:r w:rsidRPr="00CB2C86">
        <w:tab/>
        <w:t>Помимо мер, перечисленных в пункте 10.81 предыдущего доклада, инициативы в этой области включают:</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a</w:t>
      </w:r>
      <w:proofErr w:type="spellEnd"/>
      <w:r>
        <w:t>)</w:t>
      </w:r>
      <w:r w:rsidRPr="00CB2C86">
        <w:tab/>
      </w:r>
      <w:r w:rsidRPr="00CB2C86">
        <w:rPr>
          <w:b/>
        </w:rPr>
        <w:t>Экспериментальный проект по предупреждению сам</w:t>
      </w:r>
      <w:r w:rsidRPr="00CB2C86">
        <w:rPr>
          <w:b/>
        </w:rPr>
        <w:t>о</w:t>
      </w:r>
      <w:r w:rsidRPr="00CB2C86">
        <w:rPr>
          <w:b/>
        </w:rPr>
        <w:t>убийств среди престарелых</w:t>
      </w:r>
      <w:r w:rsidRPr="00CB2C86">
        <w:t>: В апреле 2009</w:t>
      </w:r>
      <w:r w:rsidR="00B92291">
        <w:t> год</w:t>
      </w:r>
      <w:r w:rsidRPr="00CB2C86">
        <w:t>а УТСО совместно с Комиссией по делам престарелых запустил</w:t>
      </w:r>
      <w:r w:rsidR="00E367DD">
        <w:t>о</w:t>
      </w:r>
      <w:r w:rsidRPr="00CB2C86">
        <w:t xml:space="preserve"> двухлетний Районный проект активного ст</w:t>
      </w:r>
      <w:r w:rsidRPr="00CB2C86">
        <w:t>а</w:t>
      </w:r>
      <w:r w:rsidRPr="00CB2C86">
        <w:t xml:space="preserve">рения </w:t>
      </w:r>
      <w:r>
        <w:t>−</w:t>
      </w:r>
      <w:r w:rsidRPr="00CB2C86">
        <w:t xml:space="preserve"> предупреждение самоубийств среди престарелых, чтобы донести до них мысль о необходимости дорожить жизнью, выявить и поддержать прест</w:t>
      </w:r>
      <w:r w:rsidRPr="00CB2C86">
        <w:t>а</w:t>
      </w:r>
      <w:r w:rsidRPr="00CB2C86">
        <w:t>релых людей с суицидальными тенденциями, а также чтобы активизировать р</w:t>
      </w:r>
      <w:r w:rsidRPr="00CB2C86">
        <w:t>а</w:t>
      </w:r>
      <w:r w:rsidRPr="00CB2C86">
        <w:t>боту по пр</w:t>
      </w:r>
      <w:r w:rsidRPr="00CB2C86">
        <w:t>е</w:t>
      </w:r>
      <w:r w:rsidRPr="00CB2C86">
        <w:t>дупреждению самоубийств через районную сеть помощи. В рамках этой ин</w:t>
      </w:r>
      <w:r w:rsidRPr="00CB2C86">
        <w:t>и</w:t>
      </w:r>
      <w:r w:rsidRPr="00CB2C86">
        <w:t>циативы на территории реализуется 33 окружных проекта;</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b</w:t>
      </w:r>
      <w:proofErr w:type="spellEnd"/>
      <w:r>
        <w:t>)</w:t>
      </w:r>
      <w:r w:rsidRPr="00CB2C86">
        <w:tab/>
      </w:r>
      <w:r w:rsidRPr="00CB2C86">
        <w:rPr>
          <w:b/>
        </w:rPr>
        <w:t>Укрепление служб адресного социального обслуживания</w:t>
      </w:r>
      <w:r w:rsidRPr="00CB2C86">
        <w:t>: Для</w:t>
      </w:r>
      <w:r>
        <w:t> </w:t>
      </w:r>
      <w:r w:rsidRPr="00CB2C86">
        <w:t>укрепления служб адресного социального обслуживания центрам прест</w:t>
      </w:r>
      <w:r w:rsidRPr="00CB2C86">
        <w:t>а</w:t>
      </w:r>
      <w:r w:rsidRPr="00CB2C86">
        <w:t>релых были выделены дополнительные ресурсы, чтобы они могли оказывать социальные услуги неявным и уязвимым престарелым людям с целью помочь им вновь интегрироваться в жизнь общества; и</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c</w:t>
      </w:r>
      <w:proofErr w:type="spellEnd"/>
      <w:r>
        <w:t>)</w:t>
      </w:r>
      <w:r w:rsidRPr="00CB2C86">
        <w:tab/>
      </w:r>
      <w:r w:rsidRPr="00CB2C86">
        <w:rPr>
          <w:b/>
        </w:rPr>
        <w:t>Программа предупреждения самоубийств среди престарелых АБ</w:t>
      </w:r>
      <w:r w:rsidRPr="00CB2C86">
        <w:t>: Это</w:t>
      </w:r>
      <w:r>
        <w:t xml:space="preserve"> − </w:t>
      </w:r>
      <w:proofErr w:type="spellStart"/>
      <w:r w:rsidRPr="00CB2C86">
        <w:t>общетерриториальная</w:t>
      </w:r>
      <w:proofErr w:type="spellEnd"/>
      <w:r w:rsidRPr="00CB2C86">
        <w:t xml:space="preserve"> инициатива по раннему выявлению пробле</w:t>
      </w:r>
      <w:r w:rsidRPr="00CB2C86">
        <w:t>м</w:t>
      </w:r>
      <w:r w:rsidRPr="00CB2C86">
        <w:t>ных престарелых на местном уровне, оперативной диагностики и лечения в клин</w:t>
      </w:r>
      <w:r w:rsidRPr="00CB2C86">
        <w:t>и</w:t>
      </w:r>
      <w:r w:rsidRPr="00CB2C86">
        <w:t xml:space="preserve">ках интенсивной терапии. </w:t>
      </w:r>
    </w:p>
    <w:p w:rsidR="00F936A8" w:rsidRPr="00CB2C86" w:rsidRDefault="00F936A8" w:rsidP="00F91733">
      <w:pPr>
        <w:pStyle w:val="HChGR"/>
        <w:tabs>
          <w:tab w:val="left" w:pos="1980"/>
          <w:tab w:val="left" w:pos="2520"/>
        </w:tabs>
      </w:pPr>
      <w:r w:rsidRPr="00CB2C86">
        <w:tab/>
      </w:r>
      <w:r w:rsidRPr="00CB2C86">
        <w:tab/>
        <w:t>Статья 11</w:t>
      </w:r>
      <w:r>
        <w:br/>
      </w:r>
      <w:r w:rsidRPr="00CB2C86">
        <w:t>Право на достаточный жизненный уровень</w:t>
      </w:r>
    </w:p>
    <w:p w:rsidR="00F936A8" w:rsidRPr="00CB2C86" w:rsidRDefault="00F936A8" w:rsidP="00F91733">
      <w:pPr>
        <w:pStyle w:val="H1GR"/>
        <w:tabs>
          <w:tab w:val="left" w:pos="1980"/>
          <w:tab w:val="left" w:pos="2520"/>
        </w:tabs>
      </w:pPr>
      <w:r w:rsidRPr="00CB2C86">
        <w:tab/>
      </w:r>
      <w:r w:rsidRPr="00CB2C86">
        <w:tab/>
        <w:t>Общие положения</w:t>
      </w:r>
    </w:p>
    <w:p w:rsidR="00F936A8" w:rsidRPr="00CB2C86" w:rsidRDefault="00F936A8" w:rsidP="00F91733">
      <w:pPr>
        <w:pStyle w:val="H23GR"/>
        <w:tabs>
          <w:tab w:val="left" w:pos="1980"/>
          <w:tab w:val="left" w:pos="2520"/>
        </w:tabs>
      </w:pPr>
      <w:r w:rsidRPr="00CB2C86">
        <w:tab/>
      </w:r>
      <w:r w:rsidRPr="00CB2C86">
        <w:tab/>
        <w:t>Экономические показатели</w:t>
      </w:r>
    </w:p>
    <w:p w:rsidR="00F936A8" w:rsidRPr="00CB2C86" w:rsidRDefault="00F936A8" w:rsidP="00F91733">
      <w:pPr>
        <w:pStyle w:val="SingleTxtGR"/>
        <w:tabs>
          <w:tab w:val="clear" w:pos="1701"/>
          <w:tab w:val="clear" w:pos="2268"/>
          <w:tab w:val="left" w:pos="1980"/>
          <w:tab w:val="left" w:pos="2520"/>
        </w:tabs>
      </w:pPr>
      <w:r w:rsidRPr="00CB2C86">
        <w:t>11.1</w:t>
      </w:r>
      <w:r w:rsidRPr="00CB2C86">
        <w:tab/>
        <w:t>В течение четырех лет вплоть до 2007</w:t>
      </w:r>
      <w:r w:rsidR="00B92291">
        <w:t> год</w:t>
      </w:r>
      <w:r w:rsidRPr="00CB2C86">
        <w:t>а экономика Гонконга дин</w:t>
      </w:r>
      <w:r w:rsidRPr="00CB2C86">
        <w:t>а</w:t>
      </w:r>
      <w:r w:rsidRPr="00CB2C86">
        <w:t>мично росла среднегодовыми темпами на уровне 7,2% в реальном выражении. О</w:t>
      </w:r>
      <w:r w:rsidRPr="00CB2C86">
        <w:t>д</w:t>
      </w:r>
      <w:r w:rsidRPr="00CB2C86">
        <w:t>нако обострение глобального финансового кризиса во втором полугодии 2008</w:t>
      </w:r>
      <w:r w:rsidR="00B92291">
        <w:t> год</w:t>
      </w:r>
      <w:r w:rsidRPr="00CB2C86">
        <w:t>а свело на нет этот динамичный экономический подъем. В 2008</w:t>
      </w:r>
      <w:r w:rsidR="00B92291">
        <w:t> год</w:t>
      </w:r>
      <w:r w:rsidRPr="00CB2C86">
        <w:t>у экономический рост замедлился до 2,1%. Будучи небольшой и открытой экон</w:t>
      </w:r>
      <w:r w:rsidRPr="00CB2C86">
        <w:t>о</w:t>
      </w:r>
      <w:r w:rsidRPr="00CB2C86">
        <w:t>микой, Гонконг, разумеется, не избежал последствий резкого сокращения мир</w:t>
      </w:r>
      <w:r w:rsidRPr="00CB2C86">
        <w:t>о</w:t>
      </w:r>
      <w:r w:rsidRPr="00CB2C86">
        <w:t>вой торговли в разгар глобального экономического спада в конце 2008</w:t>
      </w:r>
      <w:r w:rsidR="00B92291">
        <w:t> год</w:t>
      </w:r>
      <w:r w:rsidRPr="00CB2C86">
        <w:t>а</w:t>
      </w:r>
      <w:r>
        <w:t xml:space="preserve"> − </w:t>
      </w:r>
      <w:r w:rsidRPr="00CB2C86">
        <w:t>начале 2009</w:t>
      </w:r>
      <w:r w:rsidR="00B92291">
        <w:t> год</w:t>
      </w:r>
      <w:r w:rsidRPr="00CB2C86">
        <w:t>а. Резкое уменьшение экспорта, отражающее главным образом серьезный спад на основных зарубежных рынках, значительно затормозил</w:t>
      </w:r>
      <w:r w:rsidR="006F437F">
        <w:t>о</w:t>
      </w:r>
      <w:r w:rsidRPr="00CB2C86">
        <w:t xml:space="preserve"> о</w:t>
      </w:r>
      <w:r w:rsidRPr="00CB2C86">
        <w:t>б</w:t>
      </w:r>
      <w:r w:rsidRPr="00CB2C86">
        <w:t xml:space="preserve">щий экономический рост Гонконга. </w:t>
      </w:r>
      <w:r w:rsidR="00FE46E6">
        <w:t xml:space="preserve">Тем не менее </w:t>
      </w:r>
      <w:r w:rsidRPr="00CB2C86">
        <w:t>целый ряд стимулирующих мер, принятых правительством для противодействия кризису, в некоторой ст</w:t>
      </w:r>
      <w:r w:rsidRPr="00CB2C86">
        <w:t>е</w:t>
      </w:r>
      <w:r w:rsidRPr="00CB2C86">
        <w:t xml:space="preserve">пени поддержал внутренний спрос. </w:t>
      </w:r>
    </w:p>
    <w:p w:rsidR="00F936A8" w:rsidRPr="00CB2C86" w:rsidRDefault="00F936A8" w:rsidP="00F91733">
      <w:pPr>
        <w:pStyle w:val="SingleTxtGR"/>
        <w:tabs>
          <w:tab w:val="clear" w:pos="1701"/>
          <w:tab w:val="clear" w:pos="2268"/>
          <w:tab w:val="left" w:pos="1980"/>
          <w:tab w:val="left" w:pos="2520"/>
        </w:tabs>
      </w:pPr>
      <w:r w:rsidRPr="00CB2C86">
        <w:t>11.2</w:t>
      </w:r>
      <w:r w:rsidRPr="00CB2C86">
        <w:tab/>
        <w:t>После резкого сжатия экономики в первом квартале 2009</w:t>
      </w:r>
      <w:r w:rsidR="00B92291">
        <w:t> год</w:t>
      </w:r>
      <w:r w:rsidRPr="00CB2C86">
        <w:t>а во вт</w:t>
      </w:r>
      <w:r w:rsidRPr="00CB2C86">
        <w:t>о</w:t>
      </w:r>
      <w:r w:rsidRPr="00CB2C86">
        <w:t>ром квартале она продемонстрировала тенденцию к заметному оживлению и продолжала р</w:t>
      </w:r>
      <w:r>
        <w:t>а</w:t>
      </w:r>
      <w:r w:rsidRPr="00CB2C86">
        <w:t>сти в течение остального</w:t>
      </w:r>
      <w:r w:rsidR="00B92291">
        <w:t> год</w:t>
      </w:r>
      <w:r w:rsidRPr="00CB2C86">
        <w:t>а, пользуясь фазой восстановления глобальной экономики и возобновлением экономического роста в материковом К</w:t>
      </w:r>
      <w:r w:rsidRPr="00CB2C86">
        <w:t>и</w:t>
      </w:r>
      <w:r w:rsidRPr="00CB2C86">
        <w:t>тае. В четвертом квартале ежегодный экономический рост составил 2,6%. За</w:t>
      </w:r>
      <w:r>
        <w:t> </w:t>
      </w:r>
      <w:r w:rsidRPr="00CB2C86">
        <w:t>2009</w:t>
      </w:r>
      <w:r w:rsidR="00B92291">
        <w:t> год</w:t>
      </w:r>
      <w:r w:rsidRPr="00CB2C86">
        <w:t xml:space="preserve"> экономика в целом </w:t>
      </w:r>
      <w:r>
        <w:t>"</w:t>
      </w:r>
      <w:r w:rsidRPr="00CB2C86">
        <w:t>сжалась</w:t>
      </w:r>
      <w:r>
        <w:t>"</w:t>
      </w:r>
      <w:r w:rsidRPr="00CB2C86">
        <w:t xml:space="preserve"> на 2,7%. В 2009</w:t>
      </w:r>
      <w:r w:rsidR="00B92291">
        <w:t> год</w:t>
      </w:r>
      <w:r w:rsidRPr="00CB2C86">
        <w:t>у ВВП Гонконга на душу населения составлял примерно 233 200 долларов.</w:t>
      </w:r>
    </w:p>
    <w:p w:rsidR="00F936A8" w:rsidRPr="00CB2C86" w:rsidRDefault="00F936A8" w:rsidP="00F91733">
      <w:pPr>
        <w:pStyle w:val="SingleTxtGR"/>
        <w:tabs>
          <w:tab w:val="clear" w:pos="1701"/>
          <w:tab w:val="clear" w:pos="2268"/>
          <w:tab w:val="left" w:pos="1980"/>
          <w:tab w:val="left" w:pos="2520"/>
        </w:tabs>
      </w:pPr>
      <w:r w:rsidRPr="00CB2C86">
        <w:t>11.3</w:t>
      </w:r>
      <w:r w:rsidRPr="00CB2C86">
        <w:tab/>
        <w:t>Инфляционные давления в последние несколько лет были умеренн</w:t>
      </w:r>
      <w:r w:rsidRPr="00CB2C86">
        <w:t>ы</w:t>
      </w:r>
      <w:r w:rsidRPr="00CB2C86">
        <w:t>ми, за исключением последних месяцев 2007</w:t>
      </w:r>
      <w:r w:rsidR="00B92291">
        <w:t> год</w:t>
      </w:r>
      <w:r w:rsidRPr="00CB2C86">
        <w:t>а и первых трех кварталов 2008</w:t>
      </w:r>
      <w:r w:rsidR="00B92291">
        <w:t> год</w:t>
      </w:r>
      <w:r w:rsidRPr="00CB2C86">
        <w:t>а, когда резкое увеличение цен на продовольствие и нефть на междун</w:t>
      </w:r>
      <w:r w:rsidRPr="00CB2C86">
        <w:t>а</w:t>
      </w:r>
      <w:r w:rsidRPr="00CB2C86">
        <w:t>родных рынках привело к более высокой импортируемой инфляции. Инфляция за счет роста цен на потребительские товары в 2004</w:t>
      </w:r>
      <w:r>
        <w:t>−</w:t>
      </w:r>
      <w:r w:rsidRPr="00CB2C86">
        <w:t>2007</w:t>
      </w:r>
      <w:r w:rsidR="00B92291">
        <w:t> год</w:t>
      </w:r>
      <w:r w:rsidRPr="00CB2C86">
        <w:t>ах в среднем с</w:t>
      </w:r>
      <w:r w:rsidRPr="00CB2C86">
        <w:t>о</w:t>
      </w:r>
      <w:r w:rsidRPr="00CB2C86">
        <w:t>ставляла 1,1% перед тем, как вырасти до 4,3% в 2008</w:t>
      </w:r>
      <w:r w:rsidR="00B92291">
        <w:t> год</w:t>
      </w:r>
      <w:r w:rsidRPr="00CB2C86">
        <w:t>у. В связи с глобал</w:t>
      </w:r>
      <w:r w:rsidRPr="00CB2C86">
        <w:t>ь</w:t>
      </w:r>
      <w:r w:rsidRPr="00CB2C86">
        <w:t>ным экономическим спадом в 2009</w:t>
      </w:r>
      <w:r w:rsidR="00B92291">
        <w:t> год</w:t>
      </w:r>
      <w:r w:rsidRPr="00CB2C86">
        <w:t>у как внутренние, так и внешние инфл</w:t>
      </w:r>
      <w:r w:rsidRPr="00CB2C86">
        <w:t>я</w:t>
      </w:r>
      <w:r w:rsidRPr="00CB2C86">
        <w:t>ционные давления уменьшились. Меры по оказанию помощи, принятые прав</w:t>
      </w:r>
      <w:r w:rsidRPr="00CB2C86">
        <w:t>и</w:t>
      </w:r>
      <w:r w:rsidRPr="00CB2C86">
        <w:t>тельством, также способствовали снижению цен. В 2009</w:t>
      </w:r>
      <w:r w:rsidR="00B92291">
        <w:t> год</w:t>
      </w:r>
      <w:r w:rsidRPr="00CB2C86">
        <w:t>у составной индекс потреб</w:t>
      </w:r>
      <w:r w:rsidRPr="00CB2C86">
        <w:t>и</w:t>
      </w:r>
      <w:r w:rsidRPr="00CB2C86">
        <w:t>тельских цен на товары вырос на 0</w:t>
      </w:r>
      <w:r w:rsidR="006F437F">
        <w:t>,</w:t>
      </w:r>
      <w:r w:rsidRPr="00CB2C86">
        <w:t>5%.</w:t>
      </w:r>
    </w:p>
    <w:p w:rsidR="00F936A8" w:rsidRPr="00CB2C86" w:rsidRDefault="00F936A8" w:rsidP="00F91733">
      <w:pPr>
        <w:pStyle w:val="SingleTxtGR"/>
        <w:tabs>
          <w:tab w:val="clear" w:pos="1701"/>
          <w:tab w:val="clear" w:pos="2268"/>
          <w:tab w:val="left" w:pos="1980"/>
          <w:tab w:val="left" w:pos="2520"/>
        </w:tabs>
      </w:pPr>
      <w:r w:rsidRPr="00CB2C86">
        <w:t>11.4</w:t>
      </w:r>
      <w:r w:rsidRPr="00CB2C86">
        <w:tab/>
        <w:t>В период мощного экономического подъема, который начался в конце 2003</w:t>
      </w:r>
      <w:r w:rsidR="00B92291">
        <w:t> год</w:t>
      </w:r>
      <w:r w:rsidRPr="00CB2C86">
        <w:t>а, положение на рынке труда постепенно и существенно улучшалось, при этом сезонно скорректированный уровень безработицы в середине 2008</w:t>
      </w:r>
      <w:r w:rsidR="00B92291">
        <w:t> год</w:t>
      </w:r>
      <w:r w:rsidRPr="00CB2C86">
        <w:t xml:space="preserve">а упал до самого низкого показателя за 10 лет, составив 3,3%. </w:t>
      </w:r>
      <w:r>
        <w:t>Однако</w:t>
      </w:r>
      <w:r w:rsidR="006F437F">
        <w:t>,</w:t>
      </w:r>
      <w:r>
        <w:t xml:space="preserve"> </w:t>
      </w:r>
      <w:r w:rsidRPr="00CB2C86">
        <w:t>поскольку экономика серьезно пострадала от глобального экономического сп</w:t>
      </w:r>
      <w:r w:rsidRPr="00CB2C86">
        <w:t>а</w:t>
      </w:r>
      <w:r w:rsidRPr="00CB2C86">
        <w:t>да, во втором квартале 2009</w:t>
      </w:r>
      <w:r w:rsidR="00B92291">
        <w:t> год</w:t>
      </w:r>
      <w:r w:rsidRPr="00CB2C86">
        <w:t>а сезонно скорректированный уровень безраб</w:t>
      </w:r>
      <w:r w:rsidRPr="00CB2C86">
        <w:t>о</w:t>
      </w:r>
      <w:r w:rsidRPr="00CB2C86">
        <w:t>тицы вырос до высокого уровня, составив 5,4%. Вместе с тем по мере восст</w:t>
      </w:r>
      <w:r w:rsidRPr="00CB2C86">
        <w:t>а</w:t>
      </w:r>
      <w:r w:rsidRPr="00CB2C86">
        <w:t>новления экономики уровень безработицы постепенно снижался, составив в четве</w:t>
      </w:r>
      <w:r w:rsidRPr="00CB2C86">
        <w:t>р</w:t>
      </w:r>
      <w:r w:rsidRPr="00CB2C86">
        <w:t>том квартале 2009</w:t>
      </w:r>
      <w:r w:rsidR="00B92291">
        <w:t> год</w:t>
      </w:r>
      <w:r w:rsidRPr="00CB2C86">
        <w:t>а 4</w:t>
      </w:r>
      <w:r w:rsidR="006F437F">
        <w:t>,</w:t>
      </w:r>
      <w:r w:rsidRPr="00CB2C86">
        <w:t>9%.</w:t>
      </w:r>
    </w:p>
    <w:p w:rsidR="00F936A8" w:rsidRPr="00CB2C86" w:rsidRDefault="00F936A8" w:rsidP="00F91733">
      <w:pPr>
        <w:pStyle w:val="SingleTxtGR"/>
        <w:tabs>
          <w:tab w:val="clear" w:pos="1701"/>
          <w:tab w:val="clear" w:pos="2268"/>
          <w:tab w:val="left" w:pos="1980"/>
          <w:tab w:val="left" w:pos="2520"/>
        </w:tabs>
      </w:pPr>
      <w:r w:rsidRPr="00CB2C86">
        <w:t>11.5</w:t>
      </w:r>
      <w:r w:rsidRPr="00CB2C86">
        <w:tab/>
        <w:t>В течение периода 2004</w:t>
      </w:r>
      <w:r>
        <w:t>−</w:t>
      </w:r>
      <w:r w:rsidRPr="00CB2C86">
        <w:t>2008</w:t>
      </w:r>
      <w:r w:rsidR="00B92291">
        <w:t> год</w:t>
      </w:r>
      <w:r w:rsidRPr="00CB2C86">
        <w:t>ов, когда экономика вступила в фазу экономического роста, доход трудящихся</w:t>
      </w:r>
      <w:r>
        <w:t xml:space="preserve"> стабильно увеличивался. Однако</w:t>
      </w:r>
      <w:r w:rsidRPr="00CB2C86">
        <w:t xml:space="preserve"> ухудшение положения на рынке труда, вызванное углублением финансового кризиса в последние месяцы 2008</w:t>
      </w:r>
      <w:r w:rsidR="00B92291">
        <w:t> год</w:t>
      </w:r>
      <w:r w:rsidRPr="00CB2C86">
        <w:t>а, обусловил</w:t>
      </w:r>
      <w:r>
        <w:t>о</w:t>
      </w:r>
      <w:r w:rsidRPr="00CB2C86">
        <w:t xml:space="preserve"> тенденцию к уменьшению заработной платы и доходов. Тем не менее к концу 2009</w:t>
      </w:r>
      <w:r w:rsidR="00B92291">
        <w:t> год</w:t>
      </w:r>
      <w:r w:rsidRPr="00CB2C86">
        <w:t>а это давление ст</w:t>
      </w:r>
      <w:r w:rsidRPr="00CB2C86">
        <w:t>а</w:t>
      </w:r>
      <w:r w:rsidRPr="00CB2C86">
        <w:t>ло постепенно ослабевать по мере восстановления экономики. В декабре 2009</w:t>
      </w:r>
      <w:r w:rsidR="00B92291">
        <w:t> год</w:t>
      </w:r>
      <w:r w:rsidRPr="00CB2C86">
        <w:t>а заработная плата трудящихся была на 0,8% выше по сравнению с предыд</w:t>
      </w:r>
      <w:r w:rsidRPr="00CB2C86">
        <w:t>у</w:t>
      </w:r>
      <w:r w:rsidRPr="00CB2C86">
        <w:t>щим</w:t>
      </w:r>
      <w:r w:rsidR="00B92291">
        <w:t> год</w:t>
      </w:r>
      <w:r w:rsidRPr="00CB2C86">
        <w:t>ом.</w:t>
      </w:r>
    </w:p>
    <w:p w:rsidR="00F936A8" w:rsidRPr="00CB2C86" w:rsidRDefault="00F936A8" w:rsidP="00F91733">
      <w:pPr>
        <w:pStyle w:val="SingleTxtGR"/>
        <w:tabs>
          <w:tab w:val="clear" w:pos="1701"/>
          <w:tab w:val="clear" w:pos="2268"/>
          <w:tab w:val="left" w:pos="1980"/>
          <w:tab w:val="left" w:pos="2520"/>
        </w:tabs>
      </w:pPr>
      <w:r w:rsidRPr="00CB2C86">
        <w:t>11.6</w:t>
      </w:r>
      <w:r w:rsidRPr="00CB2C86">
        <w:tab/>
        <w:t>В ближайшей перспективе глобальная экономика, вероятно, уже в 2009</w:t>
      </w:r>
      <w:r w:rsidR="00B92291">
        <w:t> год</w:t>
      </w:r>
      <w:r w:rsidRPr="00CB2C86">
        <w:t>у продолжит восстанавливаться от глубокого спада, причем в авангарде процесса восстановления будут находит</w:t>
      </w:r>
      <w:r w:rsidR="006F437F">
        <w:t>ь</w:t>
      </w:r>
      <w:r w:rsidRPr="00CB2C86">
        <w:t>ся экономики азиатских стран. Что к</w:t>
      </w:r>
      <w:r w:rsidRPr="00CB2C86">
        <w:t>а</w:t>
      </w:r>
      <w:r w:rsidRPr="00CB2C86">
        <w:t>сается Гонконга, то это должно обеспечить поддержку его внешнего сектора. Со</w:t>
      </w:r>
      <w:r>
        <w:t> </w:t>
      </w:r>
      <w:r w:rsidRPr="00CB2C86">
        <w:t>второго полугодия 2009</w:t>
      </w:r>
      <w:r w:rsidR="00B92291">
        <w:t> год</w:t>
      </w:r>
      <w:r w:rsidRPr="00CB2C86">
        <w:t>а ожидания потребителей и предпринимателей улучшились. Предполагается, что оживление сектора общественных работ, по</w:t>
      </w:r>
      <w:r w:rsidRPr="00CB2C86">
        <w:t>д</w:t>
      </w:r>
      <w:r w:rsidRPr="00CB2C86">
        <w:t>держанное строительством инфраструктуры, также ускорится. По прогнозам, в 2010</w:t>
      </w:r>
      <w:r w:rsidR="00B92291">
        <w:t> год</w:t>
      </w:r>
      <w:r w:rsidRPr="00CB2C86">
        <w:t>у темпы роста экономики Гонконга составят в реальном выражении 4</w:t>
      </w:r>
      <w:r>
        <w:t>−</w:t>
      </w:r>
      <w:r w:rsidRPr="00CB2C86">
        <w:t xml:space="preserve">5%. </w:t>
      </w:r>
    </w:p>
    <w:p w:rsidR="00F936A8" w:rsidRPr="00CB2C86" w:rsidRDefault="00F936A8" w:rsidP="00F91733">
      <w:pPr>
        <w:pStyle w:val="H23GR"/>
        <w:tabs>
          <w:tab w:val="left" w:pos="1980"/>
          <w:tab w:val="left" w:pos="2520"/>
        </w:tabs>
      </w:pPr>
      <w:r w:rsidRPr="00CB2C86">
        <w:tab/>
      </w:r>
      <w:r w:rsidRPr="00CB2C86">
        <w:tab/>
        <w:t>Перестройка экономики</w:t>
      </w:r>
    </w:p>
    <w:p w:rsidR="00F936A8" w:rsidRPr="00CB2C86" w:rsidRDefault="00F936A8" w:rsidP="00F91733">
      <w:pPr>
        <w:pStyle w:val="SingleTxtGR"/>
        <w:tabs>
          <w:tab w:val="clear" w:pos="1701"/>
          <w:tab w:val="clear" w:pos="2268"/>
          <w:tab w:val="left" w:pos="1980"/>
          <w:tab w:val="left" w:pos="2520"/>
        </w:tabs>
      </w:pPr>
      <w:r w:rsidRPr="00CB2C86">
        <w:t>11.7</w:t>
      </w:r>
      <w:r w:rsidRPr="00CB2C86">
        <w:tab/>
        <w:t>Как уже отмечалось в пункте 11.7 предыдущего доклада, за последние два десятилетия экономика Гонконга все больше ориентируется на сектор услуг, о чем свидетельствует растущая доля сферы услуг в формировании ВВП, кот</w:t>
      </w:r>
      <w:r w:rsidRPr="00CB2C86">
        <w:t>о</w:t>
      </w:r>
      <w:r w:rsidRPr="00CB2C86">
        <w:t>рая увеличилась с 73% в 1988</w:t>
      </w:r>
      <w:r w:rsidR="00B92291">
        <w:t> год</w:t>
      </w:r>
      <w:r w:rsidRPr="00CB2C86">
        <w:t>у до 86% в 1998</w:t>
      </w:r>
      <w:r w:rsidR="00B92291">
        <w:t> год</w:t>
      </w:r>
      <w:r w:rsidRPr="00CB2C86">
        <w:t>у и затем до 92% в 2008</w:t>
      </w:r>
      <w:r w:rsidR="00B92291">
        <w:t> год</w:t>
      </w:r>
      <w:r w:rsidRPr="00CB2C86">
        <w:t xml:space="preserve">у. Политика </w:t>
      </w:r>
      <w:r>
        <w:t>"</w:t>
      </w:r>
      <w:r w:rsidRPr="00CB2C86">
        <w:t>открытых дверей</w:t>
      </w:r>
      <w:r>
        <w:t>"</w:t>
      </w:r>
      <w:r w:rsidRPr="00CB2C86">
        <w:t xml:space="preserve"> и экономическая реформа в материк</w:t>
      </w:r>
      <w:r w:rsidRPr="00CB2C86">
        <w:t>о</w:t>
      </w:r>
      <w:r w:rsidRPr="00CB2C86">
        <w:t xml:space="preserve">вом Китае не только открыли огромные производственные области и рынок сбыта для производителей Гонконга, но </w:t>
      </w:r>
      <w:r w:rsidR="006F437F">
        <w:t xml:space="preserve">и </w:t>
      </w:r>
      <w:r w:rsidRPr="00CB2C86">
        <w:t>создали богатые возможности вед</w:t>
      </w:r>
      <w:r w:rsidRPr="00CB2C86">
        <w:t>е</w:t>
      </w:r>
      <w:r w:rsidRPr="00CB2C86">
        <w:t>ния бизн</w:t>
      </w:r>
      <w:r w:rsidRPr="00CB2C86">
        <w:t>е</w:t>
      </w:r>
      <w:r w:rsidRPr="00CB2C86">
        <w:t>са для широкого ряда поставщиков услуг. Соглашение о более тесном эконом</w:t>
      </w:r>
      <w:r w:rsidRPr="00CB2C86">
        <w:t>и</w:t>
      </w:r>
      <w:r w:rsidRPr="00CB2C86">
        <w:t>ческом партнерстве между Гонконгом и материковом Китаем еще больше укрепило экономические связи между двумя этими общностями и с</w:t>
      </w:r>
      <w:r w:rsidRPr="00CB2C86">
        <w:t>о</w:t>
      </w:r>
      <w:r w:rsidRPr="00CB2C86">
        <w:t>действовало превращению Гонконга в экономику с высокой добавленной сто</w:t>
      </w:r>
      <w:r w:rsidRPr="00CB2C86">
        <w:t>и</w:t>
      </w:r>
      <w:r w:rsidRPr="00CB2C86">
        <w:t>мостью и эк</w:t>
      </w:r>
      <w:r w:rsidRPr="00CB2C86">
        <w:t>о</w:t>
      </w:r>
      <w:r w:rsidRPr="00CB2C86">
        <w:t xml:space="preserve">номику знаний. </w:t>
      </w:r>
    </w:p>
    <w:p w:rsidR="00F936A8" w:rsidRPr="00CB2C86" w:rsidRDefault="00F936A8" w:rsidP="00F91733">
      <w:pPr>
        <w:pStyle w:val="SingleTxtGR"/>
        <w:tabs>
          <w:tab w:val="clear" w:pos="1701"/>
          <w:tab w:val="clear" w:pos="2268"/>
          <w:tab w:val="left" w:pos="1980"/>
          <w:tab w:val="left" w:pos="2520"/>
        </w:tabs>
      </w:pPr>
      <w:r w:rsidRPr="00CB2C86">
        <w:t>11.8</w:t>
      </w:r>
      <w:r w:rsidRPr="00CB2C86">
        <w:tab/>
        <w:t>Диверсификация и перестройка экономики будут продолжаться. Пр</w:t>
      </w:r>
      <w:r w:rsidRPr="00CB2C86">
        <w:t>а</w:t>
      </w:r>
      <w:r w:rsidRPr="00CB2C86">
        <w:t>вительство намерено укреплять четыре традиционны</w:t>
      </w:r>
      <w:r w:rsidR="006F437F">
        <w:t>е</w:t>
      </w:r>
      <w:r w:rsidRPr="00CB2C86">
        <w:t xml:space="preserve"> стержневы</w:t>
      </w:r>
      <w:r w:rsidR="006F437F">
        <w:t>е</w:t>
      </w:r>
      <w:r w:rsidRPr="00CB2C86">
        <w:t xml:space="preserve"> отрасли (а</w:t>
      </w:r>
      <w:r>
        <w:t> </w:t>
      </w:r>
      <w:r w:rsidRPr="00CB2C86">
        <w:t>именно: финансовые услуги, туризм, торговлю и логистику и професси</w:t>
      </w:r>
      <w:r w:rsidRPr="00CB2C86">
        <w:t>о</w:t>
      </w:r>
      <w:r w:rsidRPr="00CB2C86">
        <w:t>нальные услуги), одновременно активизируя усилия по содействию развитию областей, в которых Гонконг имеет бесспорное преимущество (включая образ</w:t>
      </w:r>
      <w:r w:rsidRPr="00CB2C86">
        <w:t>о</w:t>
      </w:r>
      <w:r w:rsidRPr="00CB2C86">
        <w:t>вание, медицину, испытания и сертификационные услуги, экологические пр</w:t>
      </w:r>
      <w:r w:rsidRPr="00CB2C86">
        <w:t>о</w:t>
      </w:r>
      <w:r w:rsidRPr="00CB2C86">
        <w:t>изводс</w:t>
      </w:r>
      <w:r w:rsidRPr="00CB2C86">
        <w:t>т</w:t>
      </w:r>
      <w:r w:rsidRPr="00CB2C86">
        <w:t xml:space="preserve">ва, инновации и технологию, культуру и </w:t>
      </w:r>
      <w:proofErr w:type="spellStart"/>
      <w:r w:rsidRPr="00CB2C86">
        <w:t>креативную</w:t>
      </w:r>
      <w:proofErr w:type="spellEnd"/>
      <w:r w:rsidRPr="00CB2C86">
        <w:t xml:space="preserve"> индустрию). </w:t>
      </w:r>
    </w:p>
    <w:p w:rsidR="00F936A8" w:rsidRPr="00CB2C86" w:rsidRDefault="00F936A8" w:rsidP="00F91733">
      <w:pPr>
        <w:pStyle w:val="H23GR"/>
        <w:tabs>
          <w:tab w:val="left" w:pos="1980"/>
          <w:tab w:val="left" w:pos="2520"/>
        </w:tabs>
      </w:pPr>
      <w:r w:rsidRPr="00CB2C86">
        <w:tab/>
      </w:r>
      <w:r w:rsidRPr="00CB2C86">
        <w:tab/>
        <w:t>Распределение дохода</w:t>
      </w:r>
    </w:p>
    <w:p w:rsidR="00F936A8" w:rsidRPr="00CB2C86" w:rsidRDefault="00F936A8" w:rsidP="00F91733">
      <w:pPr>
        <w:pStyle w:val="SingleTxtGR"/>
        <w:tabs>
          <w:tab w:val="clear" w:pos="1701"/>
          <w:tab w:val="clear" w:pos="2268"/>
          <w:tab w:val="left" w:pos="1980"/>
          <w:tab w:val="left" w:pos="2520"/>
        </w:tabs>
      </w:pPr>
      <w:r w:rsidRPr="00CB2C86">
        <w:t>11.9</w:t>
      </w:r>
      <w:r w:rsidRPr="00CB2C86">
        <w:tab/>
        <w:t xml:space="preserve">Коэффициент </w:t>
      </w:r>
      <w:proofErr w:type="spellStart"/>
      <w:r w:rsidRPr="00CB2C86">
        <w:t>Джини</w:t>
      </w:r>
      <w:proofErr w:type="spellEnd"/>
      <w:r w:rsidRPr="00CB2C86">
        <w:t xml:space="preserve"> для Гонконга, подсчитанный по результатам пром</w:t>
      </w:r>
      <w:r w:rsidRPr="00CB2C86">
        <w:t>е</w:t>
      </w:r>
      <w:r w:rsidRPr="00CB2C86">
        <w:t>жуточной переписи населения 2006</w:t>
      </w:r>
      <w:r w:rsidR="00B92291">
        <w:t> год</w:t>
      </w:r>
      <w:r w:rsidRPr="00CB2C86">
        <w:t>а, составил в 2006</w:t>
      </w:r>
      <w:r w:rsidR="00B92291">
        <w:t> год</w:t>
      </w:r>
      <w:r w:rsidRPr="00CB2C86">
        <w:t>у 0,533, т.е. был выше, чем в 2001</w:t>
      </w:r>
      <w:r w:rsidR="00B92291">
        <w:t> год</w:t>
      </w:r>
      <w:r w:rsidRPr="00CB2C86">
        <w:t>у, когда он был равен 0</w:t>
      </w:r>
      <w:r>
        <w:t>,</w:t>
      </w:r>
      <w:r w:rsidRPr="00CB2C86">
        <w:t>525 и 0,518 в 1996</w:t>
      </w:r>
      <w:r w:rsidR="006F437F">
        <w:t xml:space="preserve"> году</w:t>
      </w:r>
      <w:r w:rsidRPr="00CB2C86">
        <w:t>. Увел</w:t>
      </w:r>
      <w:r w:rsidRPr="00CB2C86">
        <w:t>и</w:t>
      </w:r>
      <w:r w:rsidRPr="00CB2C86">
        <w:t>чившееся неравенство доходов, вызвавшее озабоченность некоторых коммент</w:t>
      </w:r>
      <w:r w:rsidRPr="00CB2C86">
        <w:t>а</w:t>
      </w:r>
      <w:r w:rsidRPr="00CB2C86">
        <w:t>торов, отчасти было обусловлено глубокой перестройкой экономики Гонконга, превращающ</w:t>
      </w:r>
      <w:r w:rsidR="006F437F">
        <w:t>ей</w:t>
      </w:r>
      <w:r w:rsidRPr="00CB2C86">
        <w:t>ся в экономику знаний с более высокой добавленной стоим</w:t>
      </w:r>
      <w:r w:rsidRPr="00CB2C86">
        <w:t>о</w:t>
      </w:r>
      <w:r w:rsidRPr="00CB2C86">
        <w:t>стью, а</w:t>
      </w:r>
      <w:r>
        <w:t> </w:t>
      </w:r>
      <w:r w:rsidRPr="00CB2C86">
        <w:t>также изменением демографической структуры Гонконга.</w:t>
      </w:r>
    </w:p>
    <w:p w:rsidR="00F936A8" w:rsidRPr="00CB2C86" w:rsidRDefault="00F936A8" w:rsidP="00F91733">
      <w:pPr>
        <w:pStyle w:val="SingleTxtGR"/>
        <w:tabs>
          <w:tab w:val="clear" w:pos="1701"/>
          <w:tab w:val="clear" w:pos="2268"/>
          <w:tab w:val="left" w:pos="1980"/>
          <w:tab w:val="left" w:pos="2520"/>
        </w:tabs>
      </w:pPr>
      <w:r w:rsidRPr="00CB2C86">
        <w:t>11.10</w:t>
      </w:r>
      <w:r w:rsidRPr="00CB2C86">
        <w:tab/>
        <w:t>Превращение в экономику знаний привело к сдвигу спроса на рабочую силу в пользу сегмента более квалифицированных и образованных работников, а отсюда к повышению заработной платы в сегменте высококвалифицирова</w:t>
      </w:r>
      <w:r w:rsidRPr="00CB2C86">
        <w:t>н</w:t>
      </w:r>
      <w:r w:rsidRPr="00CB2C86">
        <w:t>ных работников по сравнению с малоквалифицированным сегментом. Это в свою очередь увеличило разрыв в доходах между двумя этими сегментами. Ра</w:t>
      </w:r>
      <w:r w:rsidRPr="00CB2C86">
        <w:t>с</w:t>
      </w:r>
      <w:r w:rsidRPr="00CB2C86">
        <w:t>тущая дифференциация доходов в процессе перехода к экономике знаний н</w:t>
      </w:r>
      <w:r w:rsidRPr="00CB2C86">
        <w:t>а</w:t>
      </w:r>
      <w:r w:rsidRPr="00CB2C86">
        <w:t>блюдается и во многих других крупных экономиках. В этом отношении Гонконг не одинок.</w:t>
      </w:r>
    </w:p>
    <w:p w:rsidR="00F936A8" w:rsidRPr="00CB2C86" w:rsidRDefault="00F936A8" w:rsidP="00F91733">
      <w:pPr>
        <w:pStyle w:val="SingleTxtGR"/>
        <w:tabs>
          <w:tab w:val="clear" w:pos="1701"/>
          <w:tab w:val="clear" w:pos="2268"/>
          <w:tab w:val="left" w:pos="1980"/>
          <w:tab w:val="left" w:pos="2520"/>
        </w:tabs>
      </w:pPr>
      <w:r w:rsidRPr="00CB2C86">
        <w:t>11.11</w:t>
      </w:r>
      <w:r w:rsidRPr="00CB2C86">
        <w:tab/>
        <w:t>Растущая дифференциация доходов домашних хозяйств обусловлена также старением населения, уменьшением размера домашних хозяйств и знач</w:t>
      </w:r>
      <w:r w:rsidRPr="00CB2C86">
        <w:t>и</w:t>
      </w:r>
      <w:r w:rsidRPr="00CB2C86">
        <w:t>тельным увеличением количества домашних хозяйств, состоящих из одного престарелого члена. Поэтому за последние 10 лет количество домашних х</w:t>
      </w:r>
      <w:r w:rsidRPr="00CB2C86">
        <w:t>о</w:t>
      </w:r>
      <w:r w:rsidRPr="00CB2C86">
        <w:t>зяйств с низким доходом увеличилось. Поскольку тенденция к старению нас</w:t>
      </w:r>
      <w:r w:rsidRPr="00CB2C86">
        <w:t>е</w:t>
      </w:r>
      <w:r w:rsidRPr="00CB2C86">
        <w:t>ления необратима, правительство, чтобы улучшить жизнь малоимущих и сокр</w:t>
      </w:r>
      <w:r w:rsidRPr="00CB2C86">
        <w:t>а</w:t>
      </w:r>
      <w:r w:rsidRPr="00CB2C86">
        <w:t>тить разрыв в доходах,  рассматривает различные социальные меры и политику перераспределения доходов. Например, путем обеспечения доступа к субсид</w:t>
      </w:r>
      <w:r w:rsidRPr="00CB2C86">
        <w:t>и</w:t>
      </w:r>
      <w:r w:rsidRPr="00CB2C86">
        <w:t>руемому образованию, медицинскому обслуживанию и государственному ж</w:t>
      </w:r>
      <w:r w:rsidRPr="00CB2C86">
        <w:t>и</w:t>
      </w:r>
      <w:r w:rsidRPr="00CB2C86">
        <w:t>лью, а также к сети социального обеспечения через программу ПВСП (см. пункты 9.7</w:t>
      </w:r>
      <w:r>
        <w:t>−</w:t>
      </w:r>
      <w:r w:rsidRPr="00CB2C86">
        <w:t xml:space="preserve">9.20 </w:t>
      </w:r>
      <w:r w:rsidR="006F437F" w:rsidRPr="00CB2C86">
        <w:t>в</w:t>
      </w:r>
      <w:r w:rsidR="006F437F" w:rsidRPr="00CB2C86">
        <w:t>ы</w:t>
      </w:r>
      <w:r w:rsidR="006F437F" w:rsidRPr="00CB2C86">
        <w:t xml:space="preserve">ше </w:t>
      </w:r>
      <w:r w:rsidRPr="00CB2C86">
        <w:t>и 11.17 ниже).</w:t>
      </w:r>
    </w:p>
    <w:p w:rsidR="00F936A8" w:rsidRPr="00CB2C86" w:rsidRDefault="00F936A8" w:rsidP="00F91733">
      <w:pPr>
        <w:pStyle w:val="SingleTxtGR"/>
        <w:tabs>
          <w:tab w:val="clear" w:pos="1701"/>
          <w:tab w:val="clear" w:pos="2268"/>
          <w:tab w:val="left" w:pos="1980"/>
          <w:tab w:val="left" w:pos="2520"/>
        </w:tabs>
      </w:pPr>
      <w:r w:rsidRPr="00CB2C86">
        <w:t>11.12</w:t>
      </w:r>
      <w:r w:rsidRPr="00CB2C86">
        <w:tab/>
        <w:t>Устойчивый экономический рост является ключевым фактором для повышения общего уровня жизни. Свободный рынок Гонконга предоставляет каждому возможность для постепенного продвижения вверх по социальной л</w:t>
      </w:r>
      <w:r w:rsidRPr="00CB2C86">
        <w:t>е</w:t>
      </w:r>
      <w:r w:rsidRPr="00CB2C86">
        <w:t>стнице в зависимости от своей одаренности и упорного труда. По этой причине мы считаем, что наиболее эффективным способом ускорения экономического роста и тем самым сокращения масштабов нищеты и уменьшения диффере</w:t>
      </w:r>
      <w:r w:rsidRPr="00CB2C86">
        <w:t>н</w:t>
      </w:r>
      <w:r w:rsidRPr="00CB2C86">
        <w:t>циации доходов являются инвестиции в человеческий капитал путем повыш</w:t>
      </w:r>
      <w:r w:rsidRPr="00CB2C86">
        <w:t>е</w:t>
      </w:r>
      <w:r w:rsidRPr="00CB2C86">
        <w:t>ния профессиональной квалификации и производительности труда работников. Эти меры дополняются крупными инвестициями в образование, професси</w:t>
      </w:r>
      <w:r w:rsidRPr="00CB2C86">
        <w:t>о</w:t>
      </w:r>
      <w:r w:rsidRPr="00CB2C86">
        <w:t>нальную подготовку и переподготовку работников, чтобы они могли приспос</w:t>
      </w:r>
      <w:r w:rsidRPr="00CB2C86">
        <w:t>о</w:t>
      </w:r>
      <w:r w:rsidRPr="00CB2C86">
        <w:t>биться к текущим перестроечным изменениям. К тому же мы намерены пр</w:t>
      </w:r>
      <w:r w:rsidRPr="00CB2C86">
        <w:t>о</w:t>
      </w:r>
      <w:r w:rsidRPr="00CB2C86">
        <w:t>должать наши усилия по привлечению инвестиций и созданию возможностей трудоустройства за счет улучшения делового климата. Тем временем прав</w:t>
      </w:r>
      <w:r w:rsidRPr="00CB2C86">
        <w:t>и</w:t>
      </w:r>
      <w:r w:rsidRPr="00CB2C86">
        <w:t>тельство продолжает отслеживать изменения в распределении доходов и стим</w:t>
      </w:r>
      <w:r w:rsidRPr="00CB2C86">
        <w:t>у</w:t>
      </w:r>
      <w:r w:rsidRPr="00CB2C86">
        <w:t>лировать трехстороннее сотрудничество между правительством, деловыми кр</w:t>
      </w:r>
      <w:r w:rsidRPr="00CB2C86">
        <w:t>у</w:t>
      </w:r>
      <w:r w:rsidRPr="00CB2C86">
        <w:t>гами и обществом, чтобы помочь тем, кому сложно найти работу и интегрир</w:t>
      </w:r>
      <w:r w:rsidRPr="00CB2C86">
        <w:t>о</w:t>
      </w:r>
      <w:r w:rsidRPr="00CB2C86">
        <w:t>ваться в рынок труда. Мы также облегчаем перевод социальных выплат, чтобы сократить дифференциацию доходов  путем дифференцированного налогоо</w:t>
      </w:r>
      <w:r w:rsidRPr="00CB2C86">
        <w:t>б</w:t>
      </w:r>
      <w:r w:rsidRPr="00CB2C86">
        <w:t>ложения и предоставления социальных выплат.</w:t>
      </w:r>
    </w:p>
    <w:p w:rsidR="00F936A8" w:rsidRPr="00CB2C86" w:rsidRDefault="00F936A8" w:rsidP="00F91733">
      <w:pPr>
        <w:pStyle w:val="SingleTxtGR"/>
        <w:tabs>
          <w:tab w:val="clear" w:pos="1701"/>
          <w:tab w:val="clear" w:pos="2268"/>
          <w:tab w:val="left" w:pos="1980"/>
          <w:tab w:val="left" w:pos="2520"/>
        </w:tabs>
      </w:pPr>
      <w:r w:rsidRPr="00CB2C86">
        <w:t>11.13</w:t>
      </w:r>
      <w:r w:rsidRPr="00CB2C86">
        <w:tab/>
        <w:t>Хотя рост дифференциации доходов является обычным явлением в процессе экономической перестройки, группы с различным уровнем дохода м</w:t>
      </w:r>
      <w:r w:rsidRPr="00CB2C86">
        <w:t>о</w:t>
      </w:r>
      <w:r w:rsidRPr="00CB2C86">
        <w:t>гут по-прежнему пользоваться плодами растущего экономического процвет</w:t>
      </w:r>
      <w:r w:rsidRPr="00CB2C86">
        <w:t>а</w:t>
      </w:r>
      <w:r w:rsidRPr="00CB2C86">
        <w:t>ния. В</w:t>
      </w:r>
      <w:r>
        <w:t> </w:t>
      </w:r>
      <w:r w:rsidRPr="00CB2C86">
        <w:t>период устойчивого экономического роста в 2004</w:t>
      </w:r>
      <w:r>
        <w:t>−</w:t>
      </w:r>
      <w:r w:rsidRPr="00CB2C86">
        <w:t>2008</w:t>
      </w:r>
      <w:r w:rsidR="00B92291">
        <w:t> год</w:t>
      </w:r>
      <w:r w:rsidRPr="00CB2C86">
        <w:t>ы медианный месячный доход домашних хозяйств во всех децилях увеличился в реальном выражении. Согласно анализу медианного месячного трудового заработка за этот же период заработная плата работников во всех децилях также увелич</w:t>
      </w:r>
      <w:r w:rsidRPr="00CB2C86">
        <w:t>и</w:t>
      </w:r>
      <w:r w:rsidRPr="00CB2C86">
        <w:t>лась. Это подтверждает, что подход правительства к сокращению масштабов нищеты путем стимулирования экономического роста (см.</w:t>
      </w:r>
      <w:r>
        <w:t xml:space="preserve"> </w:t>
      </w:r>
      <w:r w:rsidRPr="00CB2C86">
        <w:t>пункт 11.17</w:t>
      </w:r>
      <w:r w:rsidR="006F437F" w:rsidRPr="006F437F">
        <w:t xml:space="preserve"> </w:t>
      </w:r>
      <w:r w:rsidR="006F437F" w:rsidRPr="00CB2C86">
        <w:t>ниже</w:t>
      </w:r>
      <w:r w:rsidRPr="00CB2C86">
        <w:t>) доказывает свою эффективность.</w:t>
      </w:r>
    </w:p>
    <w:p w:rsidR="00F936A8" w:rsidRPr="00CB2C86" w:rsidRDefault="00F936A8" w:rsidP="00F91733">
      <w:pPr>
        <w:pStyle w:val="SingleTxtGR"/>
        <w:tabs>
          <w:tab w:val="clear" w:pos="1701"/>
          <w:tab w:val="clear" w:pos="2268"/>
          <w:tab w:val="left" w:pos="1980"/>
          <w:tab w:val="left" w:pos="2520"/>
        </w:tabs>
      </w:pPr>
      <w:r w:rsidRPr="00CB2C86">
        <w:t>11.14</w:t>
      </w:r>
      <w:r w:rsidRPr="00CB2C86">
        <w:tab/>
        <w:t xml:space="preserve">После учета </w:t>
      </w:r>
      <w:proofErr w:type="spellStart"/>
      <w:r w:rsidRPr="00CB2C86">
        <w:t>перераспределительн</w:t>
      </w:r>
      <w:r>
        <w:t>ых</w:t>
      </w:r>
      <w:proofErr w:type="spellEnd"/>
      <w:r w:rsidRPr="00CB2C86">
        <w:t xml:space="preserve"> последствий налогообложения и социальных трансфертов (включая пособия на образование, жилье и медици</w:t>
      </w:r>
      <w:r w:rsidRPr="00CB2C86">
        <w:t>н</w:t>
      </w:r>
      <w:r w:rsidRPr="00CB2C86">
        <w:t>ское обслуживание)</w:t>
      </w:r>
      <w:r w:rsidR="00250299">
        <w:t>,</w:t>
      </w:r>
      <w:r w:rsidRPr="00CB2C86">
        <w:t xml:space="preserve"> </w:t>
      </w:r>
      <w:r w:rsidR="00250299" w:rsidRPr="00CB2C86">
        <w:t xml:space="preserve">за </w:t>
      </w:r>
      <w:r w:rsidRPr="00CB2C86">
        <w:t xml:space="preserve">вычетом налогов и с учетом социальных трансфертных выплат коэффициент </w:t>
      </w:r>
      <w:proofErr w:type="spellStart"/>
      <w:r w:rsidRPr="00CB2C86">
        <w:t>Джини</w:t>
      </w:r>
      <w:proofErr w:type="spellEnd"/>
      <w:r w:rsidRPr="00CB2C86">
        <w:t xml:space="preserve"> и его увеличение в последние 10 лет будет н</w:t>
      </w:r>
      <w:r w:rsidRPr="00CB2C86">
        <w:t>е</w:t>
      </w:r>
      <w:r w:rsidRPr="00CB2C86">
        <w:t xml:space="preserve">сколько меньше. После вычета налогов и с учетом социальных трансфертных платежей коэффициент </w:t>
      </w:r>
      <w:proofErr w:type="spellStart"/>
      <w:r w:rsidRPr="00CB2C86">
        <w:t>Джини</w:t>
      </w:r>
      <w:proofErr w:type="spellEnd"/>
      <w:r w:rsidRPr="00CB2C86">
        <w:t xml:space="preserve"> был равен 0,466, 0,470 и 0,475 соответственно в 1996, 2001 и 2006</w:t>
      </w:r>
      <w:r w:rsidR="00B92291">
        <w:t> год</w:t>
      </w:r>
      <w:r w:rsidRPr="00CB2C86">
        <w:t>ах. Это отражает тот факт, что перераспределение доходов через систему налогообложения для выплат социальных пособий помогает с</w:t>
      </w:r>
      <w:r w:rsidRPr="00CB2C86">
        <w:t>о</w:t>
      </w:r>
      <w:r w:rsidRPr="00CB2C86">
        <w:t>кратить дифференциацию доходов путем перераспределения доходов от верхн</w:t>
      </w:r>
      <w:r w:rsidRPr="00CB2C86">
        <w:t>е</w:t>
      </w:r>
      <w:r w:rsidRPr="00CB2C86">
        <w:t>го к нижнему уровню. Если суммировать эффекты правительственного пер</w:t>
      </w:r>
      <w:r w:rsidRPr="00CB2C86">
        <w:t>е</w:t>
      </w:r>
      <w:r w:rsidRPr="00CB2C86">
        <w:t>распределения доходов и провести корректировку на размер домашнего хозя</w:t>
      </w:r>
      <w:r w:rsidRPr="00CB2C86">
        <w:t>й</w:t>
      </w:r>
      <w:r w:rsidRPr="00CB2C86">
        <w:t xml:space="preserve">ства, то для </w:t>
      </w:r>
      <w:proofErr w:type="spellStart"/>
      <w:r w:rsidRPr="00CB2C86">
        <w:t>подушевого</w:t>
      </w:r>
      <w:proofErr w:type="spellEnd"/>
      <w:r w:rsidRPr="00CB2C86">
        <w:t xml:space="preserve"> дохода домашнего хозяйства после вычета налогов и выплаты трансфертных платежей коэффициент </w:t>
      </w:r>
      <w:proofErr w:type="spellStart"/>
      <w:r w:rsidRPr="00CB2C86">
        <w:t>Джини</w:t>
      </w:r>
      <w:proofErr w:type="spellEnd"/>
      <w:r w:rsidRPr="00CB2C86">
        <w:t>, равный 0,427, в 1996 и 2006</w:t>
      </w:r>
      <w:r w:rsidR="00B92291">
        <w:t> год</w:t>
      </w:r>
      <w:r w:rsidRPr="00CB2C86">
        <w:t>ах останется на том же уровне. В 2008</w:t>
      </w:r>
      <w:r w:rsidR="00B92291">
        <w:t> год</w:t>
      </w:r>
      <w:r w:rsidRPr="00CB2C86">
        <w:t>у месячный доход домох</w:t>
      </w:r>
      <w:r w:rsidRPr="00CB2C86">
        <w:t>о</w:t>
      </w:r>
      <w:r w:rsidRPr="00CB2C86">
        <w:t>зяйства после вычета налогов и выплаты социальны</w:t>
      </w:r>
      <w:r w:rsidR="00250299">
        <w:t>х</w:t>
      </w:r>
      <w:r w:rsidRPr="00CB2C86">
        <w:t xml:space="preserve"> трансфертных платежей почти удвоился по сравнению с первоначальным (увеличился с 2</w:t>
      </w:r>
      <w:r>
        <w:t> </w:t>
      </w:r>
      <w:r w:rsidRPr="00CB2C86">
        <w:t>800 до 5</w:t>
      </w:r>
      <w:r>
        <w:t> </w:t>
      </w:r>
      <w:r w:rsidRPr="00CB2C86">
        <w:t>600</w:t>
      </w:r>
      <w:r w:rsidR="004F720A">
        <w:t> долл.</w:t>
      </w:r>
      <w:r w:rsidRPr="00CB2C86">
        <w:t xml:space="preserve">) у домашних хозяйств Гонконга в </w:t>
      </w:r>
      <w:proofErr w:type="spellStart"/>
      <w:r w:rsidRPr="00CB2C86">
        <w:t>децильной</w:t>
      </w:r>
      <w:proofErr w:type="spellEnd"/>
      <w:r w:rsidRPr="00CB2C86">
        <w:t xml:space="preserve"> группе с наимен</w:t>
      </w:r>
      <w:r w:rsidRPr="00CB2C86">
        <w:t>ь</w:t>
      </w:r>
      <w:r w:rsidRPr="00CB2C86">
        <w:t>шим доходом.</w:t>
      </w:r>
    </w:p>
    <w:p w:rsidR="00F936A8" w:rsidRPr="00CB2C86" w:rsidRDefault="00F936A8" w:rsidP="00F91733">
      <w:pPr>
        <w:pStyle w:val="SingleTxtGR"/>
        <w:tabs>
          <w:tab w:val="clear" w:pos="1701"/>
          <w:tab w:val="clear" w:pos="2268"/>
          <w:tab w:val="left" w:pos="1980"/>
          <w:tab w:val="left" w:pos="2520"/>
        </w:tabs>
      </w:pPr>
      <w:r w:rsidRPr="00CB2C86">
        <w:t>11.15</w:t>
      </w:r>
      <w:r w:rsidRPr="00CB2C86">
        <w:tab/>
        <w:t xml:space="preserve">При международном сравнении коэффициента </w:t>
      </w:r>
      <w:proofErr w:type="spellStart"/>
      <w:r w:rsidRPr="00CB2C86">
        <w:t>Джини</w:t>
      </w:r>
      <w:proofErr w:type="spellEnd"/>
      <w:r w:rsidRPr="00CB2C86">
        <w:t xml:space="preserve"> следует также не упускать из вида, что Гонконг по сути является экономикой одного города с концентрированным скоплением предприятий сферы услуг. Эти виды услуг прекрасно развиты и диверсифицированы, и в них заняты работники с разноо</w:t>
      </w:r>
      <w:r w:rsidRPr="00CB2C86">
        <w:t>б</w:t>
      </w:r>
      <w:r w:rsidRPr="00CB2C86">
        <w:t>разным опытом и навыками. Это отражает роль Гонконга как финансового и д</w:t>
      </w:r>
      <w:r w:rsidRPr="00CB2C86">
        <w:t>е</w:t>
      </w:r>
      <w:r w:rsidRPr="00CB2C86">
        <w:t>лового центра, обслуживающего материковую часть Китая и регион Восточной Азии в целом. В этих условиях дифференциация доходов в Гонконге, как пр</w:t>
      </w:r>
      <w:r w:rsidRPr="00CB2C86">
        <w:t>а</w:t>
      </w:r>
      <w:r w:rsidRPr="00CB2C86">
        <w:t>вило, больше, чем в национальных экономиках с преобладанием обрабатыва</w:t>
      </w:r>
      <w:r w:rsidRPr="00CB2C86">
        <w:t>ю</w:t>
      </w:r>
      <w:r w:rsidRPr="00CB2C86">
        <w:t>щих отраслей и сельского хозяйства.</w:t>
      </w:r>
    </w:p>
    <w:p w:rsidR="00F936A8" w:rsidRPr="00CB2C86" w:rsidRDefault="00F936A8" w:rsidP="00F91733">
      <w:pPr>
        <w:pStyle w:val="H1GR"/>
        <w:tabs>
          <w:tab w:val="left" w:pos="1980"/>
          <w:tab w:val="left" w:pos="2520"/>
        </w:tabs>
      </w:pPr>
      <w:r w:rsidRPr="00CB2C86">
        <w:tab/>
      </w:r>
      <w:r w:rsidRPr="00CB2C86">
        <w:tab/>
        <w:t>Право на непрерывное улучшение условий жизни</w:t>
      </w:r>
    </w:p>
    <w:p w:rsidR="00F936A8" w:rsidRPr="00CB2C86" w:rsidRDefault="00F936A8" w:rsidP="00F91733">
      <w:pPr>
        <w:pStyle w:val="H23GR"/>
        <w:tabs>
          <w:tab w:val="left" w:pos="1980"/>
          <w:tab w:val="left" w:pos="2520"/>
        </w:tabs>
      </w:pPr>
      <w:r w:rsidRPr="00CB2C86">
        <w:tab/>
      </w:r>
      <w:r w:rsidRPr="00CB2C86">
        <w:tab/>
        <w:t>Сокращение масштабов нищеты</w:t>
      </w:r>
    </w:p>
    <w:p w:rsidR="00F936A8" w:rsidRPr="00CB2C86" w:rsidRDefault="00F936A8" w:rsidP="00F91733">
      <w:pPr>
        <w:pStyle w:val="SingleTxtGR"/>
        <w:tabs>
          <w:tab w:val="clear" w:pos="1701"/>
          <w:tab w:val="clear" w:pos="2268"/>
          <w:tab w:val="left" w:pos="1980"/>
          <w:tab w:val="left" w:pos="2520"/>
        </w:tabs>
      </w:pPr>
      <w:r w:rsidRPr="00CB2C86">
        <w:t>11.16</w:t>
      </w:r>
      <w:r w:rsidRPr="00CB2C86">
        <w:tab/>
        <w:t xml:space="preserve">В пункте 98 своих предыдущих Заключительных замечаний Комитет призвал САРГ активизировать свои усилия по борьбе с нищетой и социальной изоляцией, особенно обездоленных и </w:t>
      </w:r>
      <w:proofErr w:type="spellStart"/>
      <w:r w:rsidRPr="00CB2C86">
        <w:t>маргинализованных</w:t>
      </w:r>
      <w:proofErr w:type="spellEnd"/>
      <w:r w:rsidRPr="00CB2C86">
        <w:t xml:space="preserve"> групп и престарелых. Комитет рекомендовал также принять официальный порог нищеты и запросил данные о количестве жителей, живущих в условиях нищеты, и о прогрессе, достигнут</w:t>
      </w:r>
      <w:r w:rsidR="00250299">
        <w:t>о</w:t>
      </w:r>
      <w:r w:rsidRPr="00CB2C86">
        <w:t xml:space="preserve">м в деле сокращения масштабов нищеты, а также о роли Комиссии по борьбе с нищетой в снижении ее масштабов в САРГ. </w:t>
      </w:r>
    </w:p>
    <w:p w:rsidR="00F936A8" w:rsidRPr="00CB2C86" w:rsidRDefault="00F936A8" w:rsidP="00F91733">
      <w:pPr>
        <w:pStyle w:val="SingleTxtGR"/>
        <w:tabs>
          <w:tab w:val="clear" w:pos="1701"/>
          <w:tab w:val="clear" w:pos="2268"/>
          <w:tab w:val="left" w:pos="1980"/>
          <w:tab w:val="left" w:pos="2520"/>
        </w:tabs>
      </w:pPr>
      <w:r w:rsidRPr="00CB2C86">
        <w:t>11.17</w:t>
      </w:r>
      <w:r w:rsidRPr="00CB2C86">
        <w:tab/>
        <w:t>Правительство уделяет большое внимание работе по сокращению ма</w:t>
      </w:r>
      <w:r w:rsidRPr="00CB2C86">
        <w:t>с</w:t>
      </w:r>
      <w:r w:rsidRPr="00CB2C86">
        <w:t xml:space="preserve">штабов нищеты и с этой целью применяет прагматичный и многокомпонентный подход. Мы верны своему обязательству создавать </w:t>
      </w:r>
      <w:r>
        <w:t>"</w:t>
      </w:r>
      <w:r w:rsidRPr="00CB2C86">
        <w:t>подушку безопасности</w:t>
      </w:r>
      <w:r>
        <w:t>"</w:t>
      </w:r>
      <w:r w:rsidRPr="00CB2C86">
        <w:t xml:space="preserve"> и оказывать широкий ряд бесплатных или щедро субсидируемых услуг в таких областях, как жилье, медицинское обслуживание, образование и т.д., чтобы п</w:t>
      </w:r>
      <w:r w:rsidRPr="00CB2C86">
        <w:t>о</w:t>
      </w:r>
      <w:r w:rsidRPr="00CB2C86">
        <w:t>мочь обездоленным и малоимущим группам населения удовлетворять их н</w:t>
      </w:r>
      <w:r w:rsidRPr="00CB2C86">
        <w:t>а</w:t>
      </w:r>
      <w:r w:rsidRPr="00CB2C86">
        <w:t>сущные потребности. Мы считаем, что ключевым фактором в борьбе с нищетой является содействие экономическому росту путем увеличения количества раб</w:t>
      </w:r>
      <w:r w:rsidRPr="00CB2C86">
        <w:t>о</w:t>
      </w:r>
      <w:r w:rsidRPr="00CB2C86">
        <w:t>чих мест. Мы обеспечиваем профессиональную подготовку и переподготовку для повышения конкурентоспособности и квалификации нашей рабочей силы, особенно работников среднего возраста и трудящихся с низким доходом. В то же время мы продолжаем вкладывать средства в образование и учреждения ра</w:t>
      </w:r>
      <w:r w:rsidRPr="00CB2C86">
        <w:t>з</w:t>
      </w:r>
      <w:r w:rsidRPr="00CB2C86">
        <w:t>вития ребенка с целью увеличить социальную мобильность и сократить ма</w:t>
      </w:r>
      <w:r w:rsidRPr="00CB2C86">
        <w:t>с</w:t>
      </w:r>
      <w:r w:rsidRPr="00CB2C86">
        <w:t>штабы устойчивой нищеты.</w:t>
      </w:r>
    </w:p>
    <w:p w:rsidR="00F936A8" w:rsidRPr="00CB2C86" w:rsidRDefault="00F936A8" w:rsidP="00F91733">
      <w:pPr>
        <w:pStyle w:val="H23GR"/>
        <w:tabs>
          <w:tab w:val="left" w:pos="1980"/>
          <w:tab w:val="left" w:pos="2520"/>
        </w:tabs>
      </w:pPr>
      <w:r w:rsidRPr="00CB2C86">
        <w:tab/>
      </w:r>
      <w:r w:rsidRPr="00CB2C86">
        <w:tab/>
        <w:t>Комиссия по борьбе с нищетой и ее последующая деятельность</w:t>
      </w:r>
    </w:p>
    <w:p w:rsidR="00F936A8" w:rsidRPr="00CB2C86" w:rsidRDefault="00F936A8" w:rsidP="00F91733">
      <w:pPr>
        <w:pStyle w:val="SingleTxtGR"/>
        <w:tabs>
          <w:tab w:val="clear" w:pos="1701"/>
          <w:tab w:val="clear" w:pos="2268"/>
          <w:tab w:val="left" w:pos="1980"/>
          <w:tab w:val="left" w:pos="2520"/>
        </w:tabs>
      </w:pPr>
      <w:r w:rsidRPr="00CB2C86">
        <w:t>11.18</w:t>
      </w:r>
      <w:r w:rsidRPr="00CB2C86">
        <w:tab/>
        <w:t>Правительство учредило КБН в феврале 2005</w:t>
      </w:r>
      <w:r w:rsidR="00B92291">
        <w:t> год</w:t>
      </w:r>
      <w:r w:rsidRPr="00CB2C86">
        <w:t xml:space="preserve">а для исследования в </w:t>
      </w:r>
      <w:proofErr w:type="spellStart"/>
      <w:r w:rsidRPr="00CB2C86">
        <w:t>макроперспективе</w:t>
      </w:r>
      <w:proofErr w:type="spellEnd"/>
      <w:r w:rsidRPr="00CB2C86">
        <w:t xml:space="preserve"> способов оказания помощи малоимущим и сокращения ма</w:t>
      </w:r>
      <w:r w:rsidRPr="00CB2C86">
        <w:t>с</w:t>
      </w:r>
      <w:r w:rsidRPr="00CB2C86">
        <w:t>штабов нищеты. Членский состав КБН состоит из представителей различных секторов, включая государственных должностных лиц, представителей закон</w:t>
      </w:r>
      <w:r w:rsidRPr="00CB2C86">
        <w:t>о</w:t>
      </w:r>
      <w:r w:rsidRPr="00CB2C86">
        <w:t>дательных органов, деловых кругов, общественных деятелей, представителей НПО и ученых. КБН провела широкие агитационные кампании среди общес</w:t>
      </w:r>
      <w:r w:rsidRPr="00CB2C86">
        <w:t>т</w:t>
      </w:r>
      <w:r w:rsidRPr="00CB2C86">
        <w:t>венности и различные исследования, чтобы углубить наши знания о причинах нищеты в Гонконге, определить области, в которых можно срочно принять ко</w:t>
      </w:r>
      <w:r w:rsidRPr="00CB2C86">
        <w:t>р</w:t>
      </w:r>
      <w:r w:rsidRPr="00CB2C86">
        <w:t>ректирующие меры путем рассмотрения надлежащей политики и мер, и выр</w:t>
      </w:r>
      <w:r w:rsidRPr="00CB2C86">
        <w:t>а</w:t>
      </w:r>
      <w:r w:rsidRPr="00CB2C86">
        <w:t>ботала 53 рекомендации в отношении будущих направлений деятельности для предотвращения нищеты и сокращения ее масштабов. После завершения раб</w:t>
      </w:r>
      <w:r w:rsidRPr="00CB2C86">
        <w:t>о</w:t>
      </w:r>
      <w:r w:rsidRPr="00CB2C86">
        <w:t>ты КБН в 2007</w:t>
      </w:r>
      <w:r w:rsidR="00B92291">
        <w:t> год</w:t>
      </w:r>
      <w:r w:rsidRPr="00CB2C86">
        <w:t>у правительство учредило Рабочую группу по проблемам нищеты (РГН), которую возглавил Секретарь по вопросам труда и соц</w:t>
      </w:r>
      <w:r w:rsidRPr="00CB2C86">
        <w:t>и</w:t>
      </w:r>
      <w:r w:rsidRPr="00CB2C86">
        <w:t>ального обеспечения, с целью контроля выполнения рекомендаций КБН и коо</w:t>
      </w:r>
      <w:r w:rsidRPr="00CB2C86">
        <w:t>р</w:t>
      </w:r>
      <w:r w:rsidRPr="00CB2C86">
        <w:t>динации усилий правительства по решению связанных с нищетой проблем.</w:t>
      </w:r>
    </w:p>
    <w:p w:rsidR="00F936A8" w:rsidRPr="00CB2C86" w:rsidRDefault="00F936A8" w:rsidP="00F91733">
      <w:pPr>
        <w:pStyle w:val="SingleTxtGR"/>
        <w:tabs>
          <w:tab w:val="clear" w:pos="1701"/>
          <w:tab w:val="clear" w:pos="2268"/>
          <w:tab w:val="left" w:pos="1980"/>
          <w:tab w:val="left" w:pos="2520"/>
        </w:tabs>
      </w:pPr>
      <w:r w:rsidRPr="00CB2C86">
        <w:t>11.19</w:t>
      </w:r>
      <w:r w:rsidRPr="00CB2C86">
        <w:tab/>
        <w:t>РГН пунктуально следовала рекомендациям КБН, многие из которых уже выполнены. Например, был создан Фонд развития ребенка (ФРР) в размере 300</w:t>
      </w:r>
      <w:r w:rsidR="004F720A">
        <w:t> </w:t>
      </w:r>
      <w:r w:rsidR="00B63D5C">
        <w:t>млн. долл.</w:t>
      </w:r>
      <w:r w:rsidRPr="00CB2C86">
        <w:t>, который призван обеспечить детям из обездоленных семей больше возможностей для всестороннего развития личности и тем самым с</w:t>
      </w:r>
      <w:r w:rsidRPr="00CB2C86">
        <w:t>о</w:t>
      </w:r>
      <w:r w:rsidRPr="00CB2C86">
        <w:t>кратить масштабы устойчивой нищеты; укрепить профессиональную подгото</w:t>
      </w:r>
      <w:r w:rsidRPr="00CB2C86">
        <w:t>в</w:t>
      </w:r>
      <w:r w:rsidRPr="00CB2C86">
        <w:t>ку и переподготовку, упрочить навыки и  конкурентоспособность молодежи, работников среднего возраста и трудящихся с низкими доходами; увеличить усилия по оказанию социальной помощи неявным и одиноким престарелым; оказывать краткосрочную продовольственную помощь тем жителям и семьям, у которых недостаточно средств для приобретения повседневных продуктов п</w:t>
      </w:r>
      <w:r w:rsidRPr="00CB2C86">
        <w:t>и</w:t>
      </w:r>
      <w:r w:rsidRPr="00CB2C86">
        <w:t>тания; и осуществлять Программу субсидирования транспортных расходов р</w:t>
      </w:r>
      <w:r w:rsidRPr="00CB2C86">
        <w:t>а</w:t>
      </w:r>
      <w:r w:rsidRPr="00CB2C86">
        <w:t>ботников, проживающих в отдаленных районах. ФРР будет и впредь координ</w:t>
      </w:r>
      <w:r w:rsidRPr="00CB2C86">
        <w:t>и</w:t>
      </w:r>
      <w:r w:rsidRPr="00CB2C86">
        <w:t>ровать усилия правительства и изучать новые возможные инициативы и меры, направленные на оказание помощи, когда это необходимо, обездоленным гру</w:t>
      </w:r>
      <w:r w:rsidRPr="00CB2C86">
        <w:t>п</w:t>
      </w:r>
      <w:r w:rsidRPr="00CB2C86">
        <w:t>пам и нуждающимся людям.</w:t>
      </w:r>
    </w:p>
    <w:p w:rsidR="00F936A8" w:rsidRPr="00CB2C86" w:rsidRDefault="00F936A8" w:rsidP="00F91733">
      <w:pPr>
        <w:pStyle w:val="SingleTxtGR"/>
        <w:tabs>
          <w:tab w:val="clear" w:pos="1701"/>
          <w:tab w:val="clear" w:pos="2268"/>
          <w:tab w:val="left" w:pos="1980"/>
          <w:tab w:val="left" w:pos="2520"/>
        </w:tabs>
      </w:pPr>
      <w:r w:rsidRPr="00CB2C86">
        <w:t>11.20</w:t>
      </w:r>
      <w:r w:rsidRPr="00CB2C86">
        <w:tab/>
        <w:t>Некоторые комментаторы выразили озабоченность в связи с тем, что некоторые дети живут в условиях нищеты и что финансирование патронажной программы должно гарантировать, чтобы они получали надлежащую помощь и внимание. В апреле 2008</w:t>
      </w:r>
      <w:r w:rsidR="00B92291">
        <w:t> год</w:t>
      </w:r>
      <w:r w:rsidRPr="00CB2C86">
        <w:t>а для опробования основанной на активах модели Правительство учредило ФРР в размере 300</w:t>
      </w:r>
      <w:r w:rsidR="004F720A">
        <w:t> </w:t>
      </w:r>
      <w:r w:rsidR="00B63D5C">
        <w:t>млн. долл.</w:t>
      </w:r>
      <w:r w:rsidRPr="00CB2C86">
        <w:t>, который содействует долгосрочному развитию личности детей из обездоленных семей с целью с</w:t>
      </w:r>
      <w:r w:rsidRPr="00CB2C86">
        <w:t>о</w:t>
      </w:r>
      <w:r w:rsidRPr="00CB2C86">
        <w:t>кратить масштабы устойчивой нищеты. ФРР стремится консолидировать ресу</w:t>
      </w:r>
      <w:r w:rsidRPr="00CB2C86">
        <w:t>р</w:t>
      </w:r>
      <w:r w:rsidRPr="00CB2C86">
        <w:t>сы семьи, частного сектора и общины и правительства, чтобы предоставить б</w:t>
      </w:r>
      <w:r w:rsidRPr="00CB2C86">
        <w:t>о</w:t>
      </w:r>
      <w:r w:rsidRPr="00CB2C86">
        <w:t>лее широкие возможности этим детям, стимулировать их к планированию св</w:t>
      </w:r>
      <w:r w:rsidRPr="00CB2C86">
        <w:t>о</w:t>
      </w:r>
      <w:r w:rsidRPr="00CB2C86">
        <w:t>его будущего и сформировать у них положительное мироощущение. Три кл</w:t>
      </w:r>
      <w:r w:rsidRPr="00CB2C86">
        <w:t>ю</w:t>
      </w:r>
      <w:r w:rsidRPr="00CB2C86">
        <w:t>чевых компонента ФРР, а именно личные планы развития, патронажная пр</w:t>
      </w:r>
      <w:r w:rsidRPr="00CB2C86">
        <w:t>о</w:t>
      </w:r>
      <w:r w:rsidRPr="00CB2C86">
        <w:t>грамма и целевые сбережения, позволят детям развить свои способности и спланировать свое будущее. НПО, реализующие проекты ФРР, будут опред</w:t>
      </w:r>
      <w:r w:rsidRPr="00CB2C86">
        <w:t>е</w:t>
      </w:r>
      <w:r w:rsidRPr="00CB2C86">
        <w:t>лять личного наставника для каждого охваченного ребенка, чтобы ребенок под его руководством мог составлять и реализовывать свой личный план развития. Наставникам также рекомендуется делиться с детьми своим жизненным опытом и вовлекать в этот процесс их родителей/опекунов. Первые семь пробных пр</w:t>
      </w:r>
      <w:r w:rsidRPr="00CB2C86">
        <w:t>о</w:t>
      </w:r>
      <w:r w:rsidRPr="00CB2C86">
        <w:t>ектов, охвативших всю территорию, были осуществлены в декабре 2008</w:t>
      </w:r>
      <w:r w:rsidR="00B92291">
        <w:t> год</w:t>
      </w:r>
      <w:r w:rsidRPr="00CB2C86">
        <w:t>а, в ходе которых помощь была оказана в общей сложности 750 детям. Чтобы охв</w:t>
      </w:r>
      <w:r w:rsidRPr="00CB2C86">
        <w:t>а</w:t>
      </w:r>
      <w:r w:rsidRPr="00CB2C86">
        <w:t>тить больше детей из обездоленных семей, правительство намерено в первом полугодии 2010</w:t>
      </w:r>
      <w:r w:rsidR="00B92291">
        <w:t> год</w:t>
      </w:r>
      <w:r w:rsidRPr="00CB2C86">
        <w:t>а осуществить вторую серию из 15 проектов, рассчитанных еще на 1</w:t>
      </w:r>
      <w:r>
        <w:t> </w:t>
      </w:r>
      <w:r w:rsidRPr="00CB2C86">
        <w:t>500 нуждающихся детей из малообеспеченных семей. Мы предполаг</w:t>
      </w:r>
      <w:r w:rsidRPr="00CB2C86">
        <w:t>а</w:t>
      </w:r>
      <w:r w:rsidRPr="00CB2C86">
        <w:t>ем, что в конечном итоге ФРР окажет помощь по меньшей мере 13</w:t>
      </w:r>
      <w:r>
        <w:t> </w:t>
      </w:r>
      <w:r w:rsidRPr="00CB2C86">
        <w:t>600 детям. Отдельно с сентября 2000</w:t>
      </w:r>
      <w:r w:rsidR="00B92291">
        <w:t> год</w:t>
      </w:r>
      <w:r w:rsidRPr="00CB2C86">
        <w:t>а ДСО осуществляет политику по принципу один школьный социальный работник на каждую школу, чтобы определить учащихся с учебными, социальными и психическими проблемами и помочь в их решении. Нуждающиеся учащиеся могут обращаться за поддержкой и помощью к соц</w:t>
      </w:r>
      <w:r w:rsidRPr="00CB2C86">
        <w:t>и</w:t>
      </w:r>
      <w:r w:rsidRPr="00CB2C86">
        <w:t>альным работникам, которые тесно сотрудничают со школьным персоналом, а</w:t>
      </w:r>
      <w:r>
        <w:t> </w:t>
      </w:r>
      <w:r w:rsidRPr="00CB2C86">
        <w:t xml:space="preserve">также в другие социальные учреждения и к заинтересованным сторонам. </w:t>
      </w:r>
    </w:p>
    <w:p w:rsidR="00F936A8" w:rsidRPr="00CB2C86" w:rsidRDefault="00F936A8" w:rsidP="00F91733">
      <w:pPr>
        <w:pStyle w:val="H23GR"/>
        <w:tabs>
          <w:tab w:val="left" w:pos="1980"/>
          <w:tab w:val="left" w:pos="2520"/>
        </w:tabs>
      </w:pPr>
      <w:r w:rsidRPr="00CB2C86">
        <w:tab/>
      </w:r>
      <w:r w:rsidRPr="00CB2C86">
        <w:tab/>
        <w:t>Показатели нищеты</w:t>
      </w:r>
    </w:p>
    <w:p w:rsidR="00F936A8" w:rsidRPr="00CB2C86" w:rsidRDefault="00F936A8" w:rsidP="00F91733">
      <w:pPr>
        <w:pStyle w:val="SingleTxtGR"/>
        <w:tabs>
          <w:tab w:val="clear" w:pos="1701"/>
          <w:tab w:val="clear" w:pos="2268"/>
          <w:tab w:val="left" w:pos="1980"/>
          <w:tab w:val="left" w:pos="2520"/>
        </w:tabs>
      </w:pPr>
      <w:r w:rsidRPr="00CB2C86">
        <w:t>11.21</w:t>
      </w:r>
      <w:r w:rsidRPr="00CB2C86">
        <w:tab/>
        <w:t>Мы принимаем к сведению соображения Комитета, а также озабоче</w:t>
      </w:r>
      <w:r w:rsidRPr="00CB2C86">
        <w:t>н</w:t>
      </w:r>
      <w:r w:rsidRPr="00CB2C86">
        <w:t>ность некоторых комментаторов в связи с принятием порога нищеты. КБН в полном объеме обсудила вопрос о том, как измерять нищету в Гонконге. Было высказано мнение, что в таком преуспевающем городе как Гонконг нищету нельзя мерить простым критерием абсолютной нищеты или недоступностью минимальных средств к существованию, не можем мы полагаться также тол</w:t>
      </w:r>
      <w:r w:rsidRPr="00CB2C86">
        <w:t>ь</w:t>
      </w:r>
      <w:r w:rsidRPr="00CB2C86">
        <w:t>ко на один единственный критерий порога нищеты для измерения нищенского д</w:t>
      </w:r>
      <w:r w:rsidRPr="00CB2C86">
        <w:t>о</w:t>
      </w:r>
      <w:r w:rsidRPr="00CB2C86">
        <w:t>хода. Мы должны принимать во внимание реальное положение и потребности различных обездоленных групп, включая их доступ к таким основным у</w:t>
      </w:r>
      <w:r w:rsidRPr="00CB2C86">
        <w:t>с</w:t>
      </w:r>
      <w:r w:rsidRPr="00CB2C86">
        <w:t>лугам и возможностям, как жилье, медицинское обслуживание, образование и зан</w:t>
      </w:r>
      <w:r w:rsidRPr="00CB2C86">
        <w:t>я</w:t>
      </w:r>
      <w:r w:rsidRPr="00CB2C86">
        <w:t>тость.</w:t>
      </w:r>
    </w:p>
    <w:p w:rsidR="00F936A8" w:rsidRPr="00CB2C86" w:rsidRDefault="00F936A8" w:rsidP="00F91733">
      <w:pPr>
        <w:pStyle w:val="SingleTxtGR"/>
        <w:tabs>
          <w:tab w:val="clear" w:pos="1701"/>
          <w:tab w:val="clear" w:pos="2268"/>
          <w:tab w:val="left" w:pos="1980"/>
          <w:tab w:val="left" w:pos="2520"/>
        </w:tabs>
      </w:pPr>
      <w:r w:rsidRPr="00CB2C86">
        <w:t>11.22</w:t>
      </w:r>
      <w:r w:rsidRPr="00CB2C86">
        <w:tab/>
        <w:t>Правительство согласно с КБН и с самого начала приняло 24 мног</w:t>
      </w:r>
      <w:r w:rsidRPr="00CB2C86">
        <w:t>о</w:t>
      </w:r>
      <w:r w:rsidRPr="00CB2C86">
        <w:t>мерных показател</w:t>
      </w:r>
      <w:r w:rsidR="00250299">
        <w:t>я</w:t>
      </w:r>
      <w:r w:rsidRPr="00CB2C86">
        <w:t xml:space="preserve"> нищеты, которые КБН рекомендовала для отслеживания общего положения с нищетой в Гонконге. Среди этих 24 показателей 18 показ</w:t>
      </w:r>
      <w:r w:rsidRPr="00CB2C86">
        <w:t>а</w:t>
      </w:r>
      <w:r w:rsidRPr="00CB2C86">
        <w:t>телей основаны на циклах жизнедеятельности, охватывая детей и молодежь, трудящихся и взрослых, а также престарелых, а остальные шесть остаются л</w:t>
      </w:r>
      <w:r w:rsidRPr="00CB2C86">
        <w:t>о</w:t>
      </w:r>
      <w:r w:rsidRPr="00CB2C86">
        <w:t>кальными, отражающими различия в положении с нищетой в различных окр</w:t>
      </w:r>
      <w:r w:rsidRPr="00CB2C86">
        <w:t>у</w:t>
      </w:r>
      <w:r w:rsidRPr="00CB2C86">
        <w:t>гах. Используя эти показатели, мы можем отслеживать положение с нищетой в Гонконге под разными углами зрения и выявлять различные потребности обе</w:t>
      </w:r>
      <w:r w:rsidRPr="00CB2C86">
        <w:t>з</w:t>
      </w:r>
      <w:r w:rsidRPr="00CB2C86">
        <w:t>доленных групп и граждан в различных округах, беря их за основу для форм</w:t>
      </w:r>
      <w:r w:rsidRPr="00CB2C86">
        <w:t>у</w:t>
      </w:r>
      <w:r w:rsidRPr="00CB2C86">
        <w:t>лирования и оценки политических мер по оказани</w:t>
      </w:r>
      <w:r w:rsidR="00250299">
        <w:t>ю</w:t>
      </w:r>
      <w:r w:rsidRPr="00CB2C86">
        <w:t xml:space="preserve"> помощи нуждающимся. Эти показатели регулярно пересматриваются и публикуются для ознакомления о</w:t>
      </w:r>
      <w:r w:rsidRPr="00CB2C86">
        <w:t>б</w:t>
      </w:r>
      <w:r w:rsidRPr="00CB2C86">
        <w:t>щественности.</w:t>
      </w:r>
    </w:p>
    <w:p w:rsidR="00F936A8" w:rsidRPr="00CB2C86" w:rsidRDefault="00F936A8" w:rsidP="00F91733">
      <w:pPr>
        <w:pStyle w:val="SingleTxtGR"/>
        <w:tabs>
          <w:tab w:val="clear" w:pos="1701"/>
          <w:tab w:val="clear" w:pos="2268"/>
          <w:tab w:val="left" w:pos="1980"/>
          <w:tab w:val="left" w:pos="2520"/>
        </w:tabs>
      </w:pPr>
      <w:r w:rsidRPr="00CB2C86">
        <w:t>11.23</w:t>
      </w:r>
      <w:r w:rsidRPr="00CB2C86">
        <w:tab/>
        <w:t>Что касается тех показателей, которые связаны с доходом, то КБН сч</w:t>
      </w:r>
      <w:r w:rsidRPr="00CB2C86">
        <w:t>и</w:t>
      </w:r>
      <w:r w:rsidRPr="00CB2C86">
        <w:t>тает целесообразным сослаться на средние выплаты по линии ПВСП при ра</w:t>
      </w:r>
      <w:r w:rsidRPr="00CB2C86">
        <w:t>с</w:t>
      </w:r>
      <w:r w:rsidRPr="00CB2C86">
        <w:t>смотрении вопроса, живет ли какое-либо лицо в условиях нищеты, поскольку этот показатель широко используется и признается в качестве порога, на основе к</w:t>
      </w:r>
      <w:r w:rsidRPr="00CB2C86">
        <w:t>о</w:t>
      </w:r>
      <w:r w:rsidRPr="00CB2C86">
        <w:t>торого могут удовлетворяться насущные потребности нашего общества. Если применять только один этот критерий для установления количества малоим</w:t>
      </w:r>
      <w:r w:rsidRPr="00CB2C86">
        <w:t>у</w:t>
      </w:r>
      <w:r w:rsidRPr="00CB2C86">
        <w:t>щих граждан, то в 2008</w:t>
      </w:r>
      <w:r w:rsidR="00B92291">
        <w:t> год</w:t>
      </w:r>
      <w:r w:rsidRPr="00CB2C86">
        <w:t>у в целом лиц в возрасте 0</w:t>
      </w:r>
      <w:r>
        <w:t>−</w:t>
      </w:r>
      <w:r w:rsidRPr="00CB2C86">
        <w:t>59 лет, живущих в усл</w:t>
      </w:r>
      <w:r w:rsidRPr="00CB2C86">
        <w:t>о</w:t>
      </w:r>
      <w:r w:rsidRPr="00CB2C86">
        <w:t>виях нищеты, насчитывалось 517</w:t>
      </w:r>
      <w:r>
        <w:t> </w:t>
      </w:r>
      <w:r w:rsidRPr="00CB2C86">
        <w:t>000 человек. Если учитывать также малоим</w:t>
      </w:r>
      <w:r w:rsidRPr="00CB2C86">
        <w:t>у</w:t>
      </w:r>
      <w:r w:rsidRPr="00CB2C86">
        <w:t>щих престарелых людей</w:t>
      </w:r>
      <w:r w:rsidRPr="004F0ED8">
        <w:rPr>
          <w:sz w:val="18"/>
          <w:szCs w:val="18"/>
          <w:vertAlign w:val="superscript"/>
          <w:lang w:val="en-GB"/>
        </w:rPr>
        <w:footnoteReference w:id="12"/>
      </w:r>
      <w:r w:rsidRPr="00CB2C86">
        <w:t>, то количество малоимущих составит около 714</w:t>
      </w:r>
      <w:r>
        <w:t> </w:t>
      </w:r>
      <w:r w:rsidRPr="00CB2C86">
        <w:t>900</w:t>
      </w:r>
      <w:r>
        <w:t> </w:t>
      </w:r>
      <w:r w:rsidRPr="00CB2C86">
        <w:t>человек. Хотя население Гонконга продолжает расти</w:t>
      </w:r>
      <w:r w:rsidR="00B92291">
        <w:t> год</w:t>
      </w:r>
      <w:r w:rsidRPr="00CB2C86">
        <w:t xml:space="preserve"> от</w:t>
      </w:r>
      <w:r w:rsidR="00B92291">
        <w:t> год</w:t>
      </w:r>
      <w:r w:rsidRPr="00CB2C86">
        <w:t>у, в п</w:t>
      </w:r>
      <w:r w:rsidRPr="00CB2C86">
        <w:t>е</w:t>
      </w:r>
      <w:r w:rsidRPr="00CB2C86">
        <w:t>риод между 2003</w:t>
      </w:r>
      <w:r>
        <w:t>−</w:t>
      </w:r>
      <w:r w:rsidRPr="00CB2C86">
        <w:t>2008</w:t>
      </w:r>
      <w:r w:rsidR="00B92291">
        <w:t> год</w:t>
      </w:r>
      <w:r w:rsidRPr="00CB2C86">
        <w:t>ами количество его малоимущих жителей сократ</w:t>
      </w:r>
      <w:r w:rsidRPr="00CB2C86">
        <w:t>и</w:t>
      </w:r>
      <w:r w:rsidRPr="00CB2C86">
        <w:t>лось пр</w:t>
      </w:r>
      <w:r w:rsidRPr="00CB2C86">
        <w:t>и</w:t>
      </w:r>
      <w:r w:rsidRPr="00CB2C86">
        <w:t>мерно на 312</w:t>
      </w:r>
      <w:r>
        <w:t> </w:t>
      </w:r>
      <w:r w:rsidRPr="00CB2C86">
        <w:t>000 человек. Стоит также отметить, что многие лица, квалифицируемые как малоимущие, удовлетворяют свои насущные потребн</w:t>
      </w:r>
      <w:r w:rsidRPr="00CB2C86">
        <w:t>о</w:t>
      </w:r>
      <w:r w:rsidRPr="00CB2C86">
        <w:t>сти за счет пособий по линии ПВСП и пользуются широким кругом таких бе</w:t>
      </w:r>
      <w:r w:rsidRPr="00CB2C86">
        <w:t>с</w:t>
      </w:r>
      <w:r w:rsidRPr="00CB2C86">
        <w:t>платных или в значительной степени субсидируемых услуг, как жилье, мед</w:t>
      </w:r>
      <w:r w:rsidRPr="00CB2C86">
        <w:t>и</w:t>
      </w:r>
      <w:r w:rsidRPr="00CB2C86">
        <w:t>цинское обсл</w:t>
      </w:r>
      <w:r w:rsidRPr="00CB2C86">
        <w:t>у</w:t>
      </w:r>
      <w:r w:rsidRPr="00CB2C86">
        <w:t>живание и образование, которые предоставляет правительство.</w:t>
      </w:r>
    </w:p>
    <w:p w:rsidR="00F936A8" w:rsidRPr="00CB2C86" w:rsidRDefault="00F936A8" w:rsidP="00F91733">
      <w:pPr>
        <w:pStyle w:val="SingleTxtGR"/>
        <w:tabs>
          <w:tab w:val="clear" w:pos="1701"/>
          <w:tab w:val="clear" w:pos="2268"/>
          <w:tab w:val="left" w:pos="1980"/>
          <w:tab w:val="left" w:pos="2520"/>
        </w:tabs>
      </w:pPr>
      <w:r w:rsidRPr="00CB2C86">
        <w:t>11.24</w:t>
      </w:r>
      <w:r w:rsidRPr="00CB2C86">
        <w:tab/>
        <w:t>Хотя начало глобального финансового кризиса в сентябре 2008</w:t>
      </w:r>
      <w:r w:rsidR="00B92291">
        <w:t> год</w:t>
      </w:r>
      <w:r w:rsidRPr="00CB2C86">
        <w:t>а и последовавшая за ним рецессия привели в 2009</w:t>
      </w:r>
      <w:r w:rsidR="00B92291">
        <w:t> год</w:t>
      </w:r>
      <w:r w:rsidRPr="00CB2C86">
        <w:t>у к заметному ухудшению положения в сфере занятости и сокращению доходов, которые прервали те</w:t>
      </w:r>
      <w:r w:rsidRPr="00CB2C86">
        <w:t>н</w:t>
      </w:r>
      <w:r w:rsidRPr="00CB2C86">
        <w:t>денцию к улучшению положения с нищетой в период 2003</w:t>
      </w:r>
      <w:r>
        <w:t>−</w:t>
      </w:r>
      <w:r w:rsidRPr="00CB2C86">
        <w:t>2008</w:t>
      </w:r>
      <w:r w:rsidR="00B92291">
        <w:t> год</w:t>
      </w:r>
      <w:r w:rsidRPr="00CB2C86">
        <w:t>ов, в 2008 и 2009</w:t>
      </w:r>
      <w:r w:rsidR="00B92291">
        <w:t> год</w:t>
      </w:r>
      <w:r w:rsidRPr="00CB2C86">
        <w:t>ах правительство приняло ряд конкретных мер на сумму 87,6</w:t>
      </w:r>
      <w:r w:rsidR="004F720A">
        <w:t> </w:t>
      </w:r>
      <w:r w:rsidR="00B63D5C">
        <w:t>млрд. долл.</w:t>
      </w:r>
      <w:r w:rsidRPr="00CB2C86">
        <w:t xml:space="preserve"> (что эквивалентно 5,2% ВВП), чтобы облегчить экономическое бремя малоимущих домохозяйств и нуждающихся граждан. Правительство н</w:t>
      </w:r>
      <w:r w:rsidRPr="00CB2C86">
        <w:t>а</w:t>
      </w:r>
      <w:r w:rsidRPr="00CB2C86">
        <w:t>мерено и впредь внимательно отслеживать положение с нищетой и осущест</w:t>
      </w:r>
      <w:r w:rsidRPr="00CB2C86">
        <w:t>в</w:t>
      </w:r>
      <w:r w:rsidRPr="00CB2C86">
        <w:t>лять меры, направленные на оказани</w:t>
      </w:r>
      <w:r w:rsidR="00E11EF0">
        <w:t>е</w:t>
      </w:r>
      <w:r w:rsidRPr="00CB2C86">
        <w:t xml:space="preserve"> помощи малоимущим, когда это необх</w:t>
      </w:r>
      <w:r w:rsidRPr="00CB2C86">
        <w:t>о</w:t>
      </w:r>
      <w:r w:rsidRPr="00CB2C86">
        <w:t xml:space="preserve">димо. </w:t>
      </w:r>
    </w:p>
    <w:p w:rsidR="00F936A8" w:rsidRPr="00CB2C86" w:rsidRDefault="00F936A8" w:rsidP="00F91733">
      <w:pPr>
        <w:pStyle w:val="H1GR"/>
        <w:tabs>
          <w:tab w:val="left" w:pos="1980"/>
          <w:tab w:val="left" w:pos="2520"/>
        </w:tabs>
      </w:pPr>
      <w:r w:rsidRPr="00CB2C86">
        <w:tab/>
      </w:r>
      <w:r w:rsidRPr="00CB2C86">
        <w:tab/>
        <w:t>Право на достаточное питание</w:t>
      </w:r>
    </w:p>
    <w:p w:rsidR="00F936A8" w:rsidRPr="00CB2C86" w:rsidRDefault="00F936A8" w:rsidP="00F91733">
      <w:pPr>
        <w:pStyle w:val="H23GR"/>
        <w:tabs>
          <w:tab w:val="left" w:pos="1980"/>
          <w:tab w:val="left" w:pos="2520"/>
        </w:tabs>
      </w:pPr>
      <w:r w:rsidRPr="00CB2C86">
        <w:tab/>
      </w:r>
      <w:r w:rsidRPr="00CB2C86">
        <w:tab/>
        <w:t>Снабжение продуктами питания</w:t>
      </w:r>
    </w:p>
    <w:p w:rsidR="00F936A8" w:rsidRPr="00CB2C86" w:rsidRDefault="00F936A8" w:rsidP="00F91733">
      <w:pPr>
        <w:pStyle w:val="SingleTxtGR"/>
        <w:tabs>
          <w:tab w:val="clear" w:pos="1701"/>
          <w:tab w:val="clear" w:pos="2268"/>
          <w:tab w:val="left" w:pos="1980"/>
          <w:tab w:val="left" w:pos="2520"/>
        </w:tabs>
      </w:pPr>
      <w:r w:rsidRPr="00CB2C86">
        <w:t>11.25</w:t>
      </w:r>
      <w:r w:rsidRPr="00CB2C86">
        <w:tab/>
        <w:t>Цель продовольственной политики правительства заключается в том, чтобы обеспечить продовольственную безопасность и устойчивое снабжение продуктами питания, способствующими поддержанию стабильных цен. Будучи абсолютно открытой экономикой, Гонконг придерживается принципа свободной торговли в импорте продовольствия. Продовольственные товары из всех стран мира, если они пригодны для потребления, могут импортироваться и прод</w:t>
      </w:r>
      <w:r w:rsidRPr="00CB2C86">
        <w:t>а</w:t>
      </w:r>
      <w:r w:rsidRPr="00CB2C86">
        <w:t xml:space="preserve">ваться в Гонконге в зависимости </w:t>
      </w:r>
      <w:r w:rsidR="00E11EF0">
        <w:t xml:space="preserve">от </w:t>
      </w:r>
      <w:r w:rsidRPr="00CB2C86">
        <w:t>спроса на рынке, способствуя тем самым разнообразию выбора продуктов питания.</w:t>
      </w:r>
    </w:p>
    <w:p w:rsidR="00F936A8" w:rsidRPr="00CB2C86" w:rsidRDefault="00F936A8" w:rsidP="00F91733">
      <w:pPr>
        <w:pStyle w:val="SingleTxtGR"/>
        <w:tabs>
          <w:tab w:val="clear" w:pos="1701"/>
          <w:tab w:val="clear" w:pos="2268"/>
          <w:tab w:val="left" w:pos="1980"/>
          <w:tab w:val="left" w:pos="2520"/>
        </w:tabs>
      </w:pPr>
      <w:r w:rsidRPr="00CB2C86">
        <w:t>11.26</w:t>
      </w:r>
      <w:r w:rsidRPr="00CB2C86">
        <w:tab/>
        <w:t>Снабжение мясом жителей обеспечивается в основном за счет пост</w:t>
      </w:r>
      <w:r w:rsidRPr="00CB2C86">
        <w:t>а</w:t>
      </w:r>
      <w:r w:rsidRPr="00CB2C86">
        <w:t>вок скота из материкового Китая. Чтобы сохранить стабильные поставки, САРГ поддерживает тесные связи с соответствующими властями материковой части, а также с агентами по импорту. В июле 2007</w:t>
      </w:r>
      <w:r w:rsidR="00B92291">
        <w:t> год</w:t>
      </w:r>
      <w:r w:rsidRPr="00CB2C86">
        <w:t>а был открыт рынок для импорта живых свиней из материкового Китая, а количество агентов по импорту к о</w:t>
      </w:r>
      <w:r w:rsidRPr="00CB2C86">
        <w:t>к</w:t>
      </w:r>
      <w:r w:rsidRPr="00CB2C86">
        <w:t>тябрю 2007</w:t>
      </w:r>
      <w:r w:rsidR="00B92291">
        <w:t> год</w:t>
      </w:r>
      <w:r w:rsidRPr="00CB2C86">
        <w:t>а увеличилось с одного до трех.</w:t>
      </w:r>
    </w:p>
    <w:p w:rsidR="00F936A8" w:rsidRPr="00CB2C86" w:rsidRDefault="00F936A8" w:rsidP="00F91733">
      <w:pPr>
        <w:pStyle w:val="SingleTxtGR"/>
        <w:tabs>
          <w:tab w:val="clear" w:pos="1701"/>
          <w:tab w:val="clear" w:pos="2268"/>
          <w:tab w:val="left" w:pos="1980"/>
          <w:tab w:val="left" w:pos="2520"/>
        </w:tabs>
      </w:pPr>
      <w:r w:rsidRPr="00CB2C86">
        <w:t>11.27</w:t>
      </w:r>
      <w:r w:rsidRPr="00CB2C86">
        <w:tab/>
        <w:t>Чтобы стабилизировать поставки продовольствия, правительство п</w:t>
      </w:r>
      <w:r w:rsidRPr="00CB2C86">
        <w:t>о</w:t>
      </w:r>
      <w:r w:rsidRPr="00CB2C86">
        <w:t>ощряет усилия сектора торговли диверсифицировать источники поставок пр</w:t>
      </w:r>
      <w:r w:rsidRPr="00CB2C86">
        <w:t>о</w:t>
      </w:r>
      <w:r w:rsidRPr="00CB2C86">
        <w:t>довольствия, чтобы у потребителей был более богатый выбор продуктов пит</w:t>
      </w:r>
      <w:r w:rsidRPr="00CB2C86">
        <w:t>а</w:t>
      </w:r>
      <w:r w:rsidRPr="00CB2C86">
        <w:t>ния. Со времени предыдущего доклада заметно увеличилось потребление как охлажденного/замороженного мяса, так и мяса птицы взамен свежего мяса.</w:t>
      </w:r>
    </w:p>
    <w:p w:rsidR="00F936A8" w:rsidRPr="00CB2C86" w:rsidRDefault="00F936A8" w:rsidP="00F91733">
      <w:pPr>
        <w:pStyle w:val="SingleTxtGR"/>
        <w:tabs>
          <w:tab w:val="clear" w:pos="1701"/>
          <w:tab w:val="clear" w:pos="2268"/>
          <w:tab w:val="left" w:pos="1980"/>
          <w:tab w:val="left" w:pos="2520"/>
        </w:tabs>
      </w:pPr>
      <w:r w:rsidRPr="00CB2C86">
        <w:t>11.28</w:t>
      </w:r>
      <w:r w:rsidRPr="00CB2C86">
        <w:tab/>
        <w:t>Чтобы содействовать прозрачности рыночной информации о предл</w:t>
      </w:r>
      <w:r w:rsidRPr="00CB2C86">
        <w:t>о</w:t>
      </w:r>
      <w:r w:rsidRPr="00CB2C86">
        <w:t>жении и оптовых ценах на основные свежие продукты питания, такие как св</w:t>
      </w:r>
      <w:r w:rsidRPr="00CB2C86">
        <w:t>и</w:t>
      </w:r>
      <w:r w:rsidRPr="00CB2C86">
        <w:t xml:space="preserve">нина, говядина, рыба и овощи, она ежесуточно помещается на </w:t>
      </w:r>
      <w:proofErr w:type="spellStart"/>
      <w:r>
        <w:t>вебсайт</w:t>
      </w:r>
      <w:r w:rsidRPr="00CB2C86">
        <w:t>е</w:t>
      </w:r>
      <w:proofErr w:type="spellEnd"/>
      <w:r w:rsidRPr="00CB2C86">
        <w:t xml:space="preserve"> прав</w:t>
      </w:r>
      <w:r w:rsidRPr="00CB2C86">
        <w:t>и</w:t>
      </w:r>
      <w:r w:rsidRPr="00CB2C86">
        <w:t>тельства.</w:t>
      </w:r>
    </w:p>
    <w:p w:rsidR="00F936A8" w:rsidRPr="00CB2C86" w:rsidRDefault="00F936A8" w:rsidP="00F91733">
      <w:pPr>
        <w:pStyle w:val="H23GR"/>
        <w:tabs>
          <w:tab w:val="left" w:pos="1980"/>
          <w:tab w:val="left" w:pos="2520"/>
        </w:tabs>
      </w:pPr>
      <w:r w:rsidRPr="00CB2C86">
        <w:tab/>
      </w:r>
      <w:r w:rsidRPr="00CB2C86">
        <w:tab/>
        <w:t>Контроль торговли рисом</w:t>
      </w:r>
    </w:p>
    <w:p w:rsidR="00F936A8" w:rsidRPr="00CB2C86" w:rsidRDefault="00F936A8" w:rsidP="00F91733">
      <w:pPr>
        <w:pStyle w:val="SingleTxtGR"/>
        <w:tabs>
          <w:tab w:val="clear" w:pos="1701"/>
          <w:tab w:val="clear" w:pos="2268"/>
          <w:tab w:val="left" w:pos="1980"/>
          <w:tab w:val="left" w:pos="2520"/>
        </w:tabs>
      </w:pPr>
      <w:r w:rsidRPr="00CB2C86">
        <w:t xml:space="preserve">11.29 </w:t>
      </w:r>
      <w:r w:rsidRPr="00CB2C86">
        <w:tab/>
        <w:t>Чтобы содействовать либерализации и конкурентоспособности в то</w:t>
      </w:r>
      <w:r w:rsidRPr="00CB2C86">
        <w:t>р</w:t>
      </w:r>
      <w:r w:rsidRPr="00CB2C86">
        <w:t>говле рисом, в 2003</w:t>
      </w:r>
      <w:r w:rsidR="00B92291">
        <w:t> год</w:t>
      </w:r>
      <w:r w:rsidRPr="00CB2C86">
        <w:t xml:space="preserve">у правительство </w:t>
      </w:r>
      <w:proofErr w:type="spellStart"/>
      <w:r w:rsidRPr="00CB2C86">
        <w:t>либерализовало</w:t>
      </w:r>
      <w:proofErr w:type="spellEnd"/>
      <w:r w:rsidRPr="00CB2C86">
        <w:t xml:space="preserve"> торговлю рисом. В н</w:t>
      </w:r>
      <w:r w:rsidRPr="00CB2C86">
        <w:t>а</w:t>
      </w:r>
      <w:r w:rsidRPr="00CB2C86">
        <w:t>стоящее время правительство сохраняет необходимый контроль, чтобы обесп</w:t>
      </w:r>
      <w:r w:rsidRPr="00CB2C86">
        <w:t>е</w:t>
      </w:r>
      <w:r w:rsidRPr="00CB2C86">
        <w:t>чить ст</w:t>
      </w:r>
      <w:r w:rsidRPr="00CB2C86">
        <w:t>а</w:t>
      </w:r>
      <w:r w:rsidRPr="00CB2C86">
        <w:t>бильное снабжение рисом и поддерживать его запасы, достаточные для потре</w:t>
      </w:r>
      <w:r w:rsidRPr="00CB2C86">
        <w:t>б</w:t>
      </w:r>
      <w:r w:rsidRPr="00CB2C86">
        <w:t>ления в течение 15 суток на случай чрезвычайных ситуаций. Любое лицо может зарегистрироваться в качестве импортера риса. Требования, касающиеся ввоза, были отменены.</w:t>
      </w:r>
    </w:p>
    <w:p w:rsidR="00F936A8" w:rsidRPr="00CB2C86" w:rsidRDefault="00F936A8" w:rsidP="00F91733">
      <w:pPr>
        <w:pStyle w:val="H23GR"/>
        <w:tabs>
          <w:tab w:val="left" w:pos="1980"/>
          <w:tab w:val="left" w:pos="2520"/>
        </w:tabs>
      </w:pPr>
      <w:r w:rsidRPr="00CB2C86">
        <w:tab/>
      </w:r>
      <w:r w:rsidRPr="00CB2C86">
        <w:tab/>
        <w:t>Проекты краткосрочной продовольственной помощи</w:t>
      </w:r>
    </w:p>
    <w:p w:rsidR="00F936A8" w:rsidRPr="00CB2C86" w:rsidRDefault="00F936A8" w:rsidP="00F91733">
      <w:pPr>
        <w:pStyle w:val="SingleTxtGR"/>
        <w:tabs>
          <w:tab w:val="clear" w:pos="1701"/>
          <w:tab w:val="clear" w:pos="2268"/>
          <w:tab w:val="left" w:pos="1980"/>
          <w:tab w:val="left" w:pos="2520"/>
        </w:tabs>
      </w:pPr>
      <w:r w:rsidRPr="00CB2C86">
        <w:t>11.30</w:t>
      </w:r>
      <w:r w:rsidRPr="00CB2C86">
        <w:tab/>
        <w:t>В феврале 2009</w:t>
      </w:r>
      <w:r w:rsidR="00B92291">
        <w:t> год</w:t>
      </w:r>
      <w:r w:rsidRPr="00CB2C86">
        <w:t>а правительство выделило 100</w:t>
      </w:r>
      <w:r w:rsidR="004F720A">
        <w:t> </w:t>
      </w:r>
      <w:r w:rsidR="00B63D5C">
        <w:t>млн. долл.</w:t>
      </w:r>
      <w:r w:rsidRPr="00CB2C86">
        <w:t xml:space="preserve"> на реал</w:t>
      </w:r>
      <w:r w:rsidRPr="00CB2C86">
        <w:t>и</w:t>
      </w:r>
      <w:r w:rsidRPr="00CB2C86">
        <w:t>зацию пяти окружных проектов, охватывающих всю территорию, для предо</w:t>
      </w:r>
      <w:r w:rsidRPr="00CB2C86">
        <w:t>с</w:t>
      </w:r>
      <w:r w:rsidRPr="00CB2C86">
        <w:t>тавления краткосрочной продовольственной помощи лицам и семьям, которые стеснены в ежедневных расходах на продукты питания. Предполагается, что в конечном итоге этими проектами воспользуются по меньшей мере 50</w:t>
      </w:r>
      <w:r w:rsidR="00E758E4">
        <w:t> 000</w:t>
      </w:r>
      <w:r w:rsidRPr="00CB2C86">
        <w:t xml:space="preserve"> чел</w:t>
      </w:r>
      <w:r w:rsidRPr="00CB2C86">
        <w:t>о</w:t>
      </w:r>
      <w:r w:rsidRPr="00CB2C86">
        <w:t>век. До конца 2009</w:t>
      </w:r>
      <w:r w:rsidR="00B92291">
        <w:t> год</w:t>
      </w:r>
      <w:r w:rsidRPr="00CB2C86">
        <w:t>а более 24</w:t>
      </w:r>
      <w:r>
        <w:t> </w:t>
      </w:r>
      <w:r w:rsidRPr="00CB2C86">
        <w:t>300 человек уже получили помощь в соотве</w:t>
      </w:r>
      <w:r w:rsidRPr="00CB2C86">
        <w:t>т</w:t>
      </w:r>
      <w:r w:rsidRPr="00CB2C86">
        <w:t>ствии с этими проектами.</w:t>
      </w:r>
    </w:p>
    <w:p w:rsidR="00F936A8" w:rsidRPr="00CB2C86" w:rsidRDefault="00F936A8" w:rsidP="00F91733">
      <w:pPr>
        <w:pStyle w:val="H1GR"/>
        <w:tabs>
          <w:tab w:val="left" w:pos="1980"/>
          <w:tab w:val="left" w:pos="2520"/>
        </w:tabs>
      </w:pPr>
      <w:r w:rsidRPr="00CB2C86">
        <w:tab/>
      </w:r>
      <w:r w:rsidRPr="00CB2C86">
        <w:tab/>
        <w:t>Право на воду</w:t>
      </w:r>
    </w:p>
    <w:p w:rsidR="00F936A8" w:rsidRPr="00CB2C86" w:rsidRDefault="00F936A8" w:rsidP="00F91733">
      <w:pPr>
        <w:pStyle w:val="H23GR"/>
        <w:tabs>
          <w:tab w:val="left" w:pos="1980"/>
          <w:tab w:val="left" w:pos="2520"/>
        </w:tabs>
      </w:pPr>
      <w:r w:rsidRPr="00CB2C86">
        <w:tab/>
      </w:r>
      <w:r w:rsidRPr="00CB2C86">
        <w:tab/>
        <w:t>Достаточный и недорогой доступ к воде</w:t>
      </w:r>
    </w:p>
    <w:p w:rsidR="00F936A8" w:rsidRPr="00CB2C86" w:rsidRDefault="00F936A8" w:rsidP="00F91733">
      <w:pPr>
        <w:pStyle w:val="SingleTxtGR"/>
        <w:tabs>
          <w:tab w:val="clear" w:pos="1701"/>
          <w:tab w:val="clear" w:pos="2268"/>
          <w:tab w:val="left" w:pos="1980"/>
          <w:tab w:val="left" w:pos="2520"/>
        </w:tabs>
      </w:pPr>
      <w:r w:rsidRPr="00CB2C86">
        <w:t>11.31</w:t>
      </w:r>
      <w:r w:rsidRPr="00CB2C86">
        <w:tab/>
        <w:t>Гонконг располагает одной из самых безопасных и надежных систем водоснабжения в мире. Каждое домашнее хозяйство непрерывно и круглос</w:t>
      </w:r>
      <w:r w:rsidRPr="00CB2C86">
        <w:t>у</w:t>
      </w:r>
      <w:r w:rsidRPr="00CB2C86">
        <w:t>точно снабжается питьевой водой круглый</w:t>
      </w:r>
      <w:r w:rsidR="00B92291">
        <w:t> год</w:t>
      </w:r>
      <w:r w:rsidRPr="00CB2C86">
        <w:t>. Водоснабжение Гонконга ос</w:t>
      </w:r>
      <w:r w:rsidRPr="00CB2C86">
        <w:t>у</w:t>
      </w:r>
      <w:r w:rsidRPr="00CB2C86">
        <w:t>ществляется из двух основных источников: 70</w:t>
      </w:r>
      <w:r>
        <w:t>−</w:t>
      </w:r>
      <w:r w:rsidRPr="00CB2C86">
        <w:t xml:space="preserve">80% воды поступает из реки </w:t>
      </w:r>
      <w:proofErr w:type="spellStart"/>
      <w:r w:rsidRPr="00CB2C86">
        <w:t>Чжуцзян</w:t>
      </w:r>
      <w:proofErr w:type="spellEnd"/>
      <w:r w:rsidRPr="00CB2C86">
        <w:t xml:space="preserve"> в китайской провинции </w:t>
      </w:r>
      <w:proofErr w:type="spellStart"/>
      <w:r w:rsidRPr="00CB2C86">
        <w:t>Гуандун</w:t>
      </w:r>
      <w:proofErr w:type="spellEnd"/>
      <w:r w:rsidRPr="00CB2C86">
        <w:t xml:space="preserve"> и остальная доля покрывается за счет местного водосборного бассейна площадью примерно 300 км</w:t>
      </w:r>
      <w:r w:rsidRPr="003E21B6">
        <w:rPr>
          <w:vertAlign w:val="superscript"/>
        </w:rPr>
        <w:t>2</w:t>
      </w:r>
      <w:r w:rsidRPr="00CB2C86">
        <w:t>. Таких источн</w:t>
      </w:r>
      <w:r w:rsidRPr="00CB2C86">
        <w:t>и</w:t>
      </w:r>
      <w:r w:rsidRPr="00CB2C86">
        <w:t>ков хватит в обозримом будущем, если исходить из прогнозируемых сценариев текущего спроса и запасов. Кроме того, для хранения, очистки и подачи чистой воды потребителям функционируют необходимые гидротехнические сооруж</w:t>
      </w:r>
      <w:r w:rsidRPr="00CB2C86">
        <w:t>е</w:t>
      </w:r>
      <w:r w:rsidRPr="00CB2C86">
        <w:t>ния, включая 17 водохранилищ, 21 водоочистн</w:t>
      </w:r>
      <w:r w:rsidR="00E11EF0">
        <w:t>ое</w:t>
      </w:r>
      <w:r w:rsidRPr="00CB2C86">
        <w:t xml:space="preserve"> сооружени</w:t>
      </w:r>
      <w:r w:rsidR="00E11EF0">
        <w:t>е</w:t>
      </w:r>
      <w:r w:rsidRPr="00CB2C86">
        <w:t>, 166 резервуаров осветленной воды, 149 водопроводных насосных станций и 6</w:t>
      </w:r>
      <w:r w:rsidR="00E11EF0">
        <w:t> </w:t>
      </w:r>
      <w:r w:rsidRPr="00CB2C86">
        <w:t>300 км водопр</w:t>
      </w:r>
      <w:r w:rsidRPr="00CB2C86">
        <w:t>о</w:t>
      </w:r>
      <w:r w:rsidRPr="00CB2C86">
        <w:t>водных сетей.</w:t>
      </w:r>
    </w:p>
    <w:p w:rsidR="00F936A8" w:rsidRPr="00CB2C86" w:rsidRDefault="00F936A8" w:rsidP="00F91733">
      <w:pPr>
        <w:pStyle w:val="SingleTxtGR"/>
        <w:tabs>
          <w:tab w:val="clear" w:pos="1701"/>
          <w:tab w:val="clear" w:pos="2268"/>
          <w:tab w:val="left" w:pos="1980"/>
          <w:tab w:val="left" w:pos="2520"/>
        </w:tabs>
      </w:pPr>
      <w:r w:rsidRPr="00CB2C86">
        <w:t>11.32</w:t>
      </w:r>
      <w:r w:rsidRPr="00CB2C86">
        <w:tab/>
        <w:t>Правительство субсидирует хозяйственно-бытовое водоснабжение граждан. В соответствии с текущей политикой цен первые 12 м</w:t>
      </w:r>
      <w:r w:rsidRPr="00E11EF0">
        <w:rPr>
          <w:vertAlign w:val="superscript"/>
        </w:rPr>
        <w:t>3</w:t>
      </w:r>
      <w:r w:rsidRPr="00CB2C86">
        <w:t xml:space="preserve"> воды в течение четырех месяцев обходятся каждому домашнему хозяйству бесплатно. К тому же, средний счет домашнего хозяйства за воду составляет примерно 0,3% сре</w:t>
      </w:r>
      <w:r w:rsidRPr="00CB2C86">
        <w:t>д</w:t>
      </w:r>
      <w:r w:rsidRPr="00CB2C86">
        <w:t>них общих месячных расходов, что ниже, чем во многих других крупных гор</w:t>
      </w:r>
      <w:r w:rsidRPr="00CB2C86">
        <w:t>о</w:t>
      </w:r>
      <w:r w:rsidRPr="00CB2C86">
        <w:t>дах мира.</w:t>
      </w:r>
    </w:p>
    <w:p w:rsidR="00F936A8" w:rsidRPr="00CB2C86" w:rsidRDefault="00F936A8" w:rsidP="00F91733">
      <w:pPr>
        <w:pStyle w:val="H23GR"/>
        <w:tabs>
          <w:tab w:val="left" w:pos="1980"/>
          <w:tab w:val="left" w:pos="2520"/>
        </w:tabs>
      </w:pPr>
      <w:r w:rsidRPr="00CB2C86">
        <w:tab/>
      </w:r>
      <w:r w:rsidRPr="00CB2C86">
        <w:tab/>
        <w:t>Качество воды</w:t>
      </w:r>
    </w:p>
    <w:p w:rsidR="00F936A8" w:rsidRPr="00CB2C86" w:rsidRDefault="00F936A8" w:rsidP="00F91733">
      <w:pPr>
        <w:pStyle w:val="SingleTxtGR"/>
        <w:tabs>
          <w:tab w:val="clear" w:pos="1701"/>
          <w:tab w:val="clear" w:pos="2268"/>
          <w:tab w:val="left" w:pos="1980"/>
          <w:tab w:val="left" w:pos="2520"/>
        </w:tabs>
      </w:pPr>
      <w:r w:rsidRPr="00CB2C86">
        <w:t>11.33</w:t>
      </w:r>
      <w:r w:rsidRPr="00CB2C86">
        <w:tab/>
        <w:t xml:space="preserve">Вся неочищенная вода, включая воду реки </w:t>
      </w:r>
      <w:proofErr w:type="spellStart"/>
      <w:r w:rsidRPr="00CB2C86">
        <w:t>Чжуцзян</w:t>
      </w:r>
      <w:proofErr w:type="spellEnd"/>
      <w:r w:rsidRPr="00CB2C86">
        <w:t>, импортируем</w:t>
      </w:r>
      <w:r w:rsidR="00E11EF0">
        <w:t>ую</w:t>
      </w:r>
      <w:r w:rsidRPr="00CB2C86">
        <w:t xml:space="preserve"> из китайской провинции </w:t>
      </w:r>
      <w:proofErr w:type="spellStart"/>
      <w:r w:rsidRPr="00CB2C86">
        <w:t>Гуандун</w:t>
      </w:r>
      <w:proofErr w:type="spellEnd"/>
      <w:r w:rsidRPr="00CB2C86">
        <w:t>, и вод</w:t>
      </w:r>
      <w:r w:rsidR="00E11EF0">
        <w:t>у</w:t>
      </w:r>
      <w:r w:rsidRPr="00CB2C86">
        <w:t xml:space="preserve"> местных водохранилищ, проходит надлежащую и полную очистку, чтобы обрабатываемая вода была чистой и безопасной и </w:t>
      </w:r>
      <w:proofErr w:type="spellStart"/>
      <w:r w:rsidRPr="00CB2C86">
        <w:t>экологичной</w:t>
      </w:r>
      <w:proofErr w:type="spellEnd"/>
      <w:r w:rsidRPr="00CB2C86">
        <w:t xml:space="preserve"> перед подачей потребителям. Департамент вод</w:t>
      </w:r>
      <w:r w:rsidRPr="00CB2C86">
        <w:t>о</w:t>
      </w:r>
      <w:r w:rsidRPr="00CB2C86">
        <w:t>снабжения (ДВС) составил план по обеспечению безопасности воды, основа</w:t>
      </w:r>
      <w:r w:rsidRPr="00CB2C86">
        <w:t>н</w:t>
      </w:r>
      <w:r w:rsidRPr="00CB2C86">
        <w:t>ный на профилактическом управлении риском и многофакторном подходе в с</w:t>
      </w:r>
      <w:r w:rsidRPr="00CB2C86">
        <w:t>о</w:t>
      </w:r>
      <w:r w:rsidRPr="00CB2C86">
        <w:t>ответствии с Руководством Всемирной организации здравоохранения по обе</w:t>
      </w:r>
      <w:r w:rsidRPr="00CB2C86">
        <w:t>с</w:t>
      </w:r>
      <w:r w:rsidRPr="00CB2C86">
        <w:t>печению качества питьевой воды. Все это гарантирует качество природной в</w:t>
      </w:r>
      <w:r w:rsidRPr="00CB2C86">
        <w:t>о</w:t>
      </w:r>
      <w:r w:rsidRPr="00CB2C86">
        <w:t>ды после очистки на очистных сооружениях и подачи потребителям для пить</w:t>
      </w:r>
      <w:r w:rsidRPr="00CB2C86">
        <w:t>е</w:t>
      </w:r>
      <w:r w:rsidRPr="00CB2C86">
        <w:t>вых нужд. Качество очищенной воды в Гонконге полностью соответствует Р</w:t>
      </w:r>
      <w:r w:rsidRPr="00CB2C86">
        <w:t>у</w:t>
      </w:r>
      <w:r w:rsidRPr="00CB2C86">
        <w:t>ководству Всемирной организации здравоохранения по обеспечению качества питьевой воды.</w:t>
      </w:r>
    </w:p>
    <w:p w:rsidR="00F936A8" w:rsidRPr="00CB2C86" w:rsidRDefault="00F936A8" w:rsidP="00F91733">
      <w:pPr>
        <w:pStyle w:val="SingleTxtGR"/>
        <w:tabs>
          <w:tab w:val="clear" w:pos="1701"/>
          <w:tab w:val="clear" w:pos="2268"/>
          <w:tab w:val="left" w:pos="1980"/>
          <w:tab w:val="left" w:pos="2520"/>
        </w:tabs>
      </w:pPr>
      <w:r w:rsidRPr="00CB2C86">
        <w:t>11.34</w:t>
      </w:r>
      <w:r w:rsidRPr="00CB2C86">
        <w:tab/>
        <w:t>Кроме того, ДВС реализует комплексную программу мониторинга, к</w:t>
      </w:r>
      <w:r w:rsidRPr="00CB2C86">
        <w:t>о</w:t>
      </w:r>
      <w:r w:rsidRPr="00CB2C86">
        <w:t xml:space="preserve">торая охватывает воду реки </w:t>
      </w:r>
      <w:proofErr w:type="spellStart"/>
      <w:r w:rsidRPr="00CB2C86">
        <w:t>Чжуцзян</w:t>
      </w:r>
      <w:proofErr w:type="spellEnd"/>
      <w:r w:rsidRPr="00CB2C86">
        <w:t>, водосборные бассейны, водохранилища, очистные сооружения, резервуары осветленной воды, водопроводы и отводы потребителям. В установленных и произвольно выбранных точках регулярно отбираются представительные пробы для химического, бактериологического, биологического и радиологического анализа.</w:t>
      </w:r>
    </w:p>
    <w:p w:rsidR="00F936A8" w:rsidRPr="00CB2C86" w:rsidRDefault="00F936A8" w:rsidP="00F91733">
      <w:pPr>
        <w:pStyle w:val="SingleTxtGR"/>
        <w:tabs>
          <w:tab w:val="clear" w:pos="1701"/>
          <w:tab w:val="clear" w:pos="2268"/>
          <w:tab w:val="left" w:pos="1980"/>
          <w:tab w:val="left" w:pos="2520"/>
        </w:tabs>
      </w:pPr>
      <w:r w:rsidRPr="00CB2C86">
        <w:t>11.35</w:t>
      </w:r>
      <w:r w:rsidRPr="00CB2C86">
        <w:tab/>
        <w:t>К тому же в апреле 2000</w:t>
      </w:r>
      <w:r w:rsidR="00B92291">
        <w:t> год</w:t>
      </w:r>
      <w:r w:rsidRPr="00CB2C86">
        <w:t>а был создан Консультативный комитет по качеству водоснабжения (КККВ), независимый орган, который состоит из пре</w:t>
      </w:r>
      <w:r w:rsidRPr="00CB2C86">
        <w:t>д</w:t>
      </w:r>
      <w:r w:rsidRPr="00CB2C86">
        <w:t>ставителей научных кругов, экспертов, представителей ОС, экологического движения и соответствующих государственных управлений, чтобы консульт</w:t>
      </w:r>
      <w:r w:rsidRPr="00CB2C86">
        <w:t>и</w:t>
      </w:r>
      <w:r w:rsidRPr="00CB2C86">
        <w:t xml:space="preserve">ровать правительство по вопросам, связанным с качеством водоснабжения. Все данные мониторинга качества воды анализируются и утверждаются КККВ и публикуются на </w:t>
      </w:r>
      <w:proofErr w:type="spellStart"/>
      <w:r>
        <w:t>вебсайт</w:t>
      </w:r>
      <w:r w:rsidRPr="00CB2C86">
        <w:t>е</w:t>
      </w:r>
      <w:proofErr w:type="spellEnd"/>
      <w:r w:rsidRPr="00CB2C86">
        <w:t xml:space="preserve"> ДВС каждые шесть месяцев для ознакомления общ</w:t>
      </w:r>
      <w:r w:rsidRPr="00CB2C86">
        <w:t>е</w:t>
      </w:r>
      <w:r w:rsidRPr="00CB2C86">
        <w:t>ственности.</w:t>
      </w:r>
    </w:p>
    <w:p w:rsidR="00F936A8" w:rsidRPr="00CB2C86" w:rsidRDefault="00F936A8" w:rsidP="00F91733">
      <w:pPr>
        <w:pStyle w:val="H23GR"/>
        <w:tabs>
          <w:tab w:val="left" w:pos="1980"/>
          <w:tab w:val="left" w:pos="2520"/>
        </w:tabs>
      </w:pPr>
      <w:r w:rsidRPr="00CB2C86">
        <w:tab/>
      </w:r>
      <w:r w:rsidRPr="00CB2C86">
        <w:tab/>
        <w:t>Сбережение воды</w:t>
      </w:r>
    </w:p>
    <w:p w:rsidR="00F936A8" w:rsidRPr="00CB2C86" w:rsidRDefault="00F936A8" w:rsidP="00F91733">
      <w:pPr>
        <w:pStyle w:val="SingleTxtGR"/>
        <w:tabs>
          <w:tab w:val="clear" w:pos="1701"/>
          <w:tab w:val="clear" w:pos="2268"/>
          <w:tab w:val="left" w:pos="1980"/>
          <w:tab w:val="left" w:pos="2520"/>
        </w:tabs>
      </w:pPr>
      <w:r w:rsidRPr="00CB2C86">
        <w:t>11.36</w:t>
      </w:r>
      <w:r w:rsidRPr="00CB2C86">
        <w:tab/>
        <w:t xml:space="preserve">ДВС начал широкую информационно-просветительскую кампанию, посвященную </w:t>
      </w:r>
      <w:proofErr w:type="spellStart"/>
      <w:r w:rsidRPr="00CB2C86">
        <w:t>водосбережению</w:t>
      </w:r>
      <w:proofErr w:type="spellEnd"/>
      <w:r w:rsidRPr="00CB2C86">
        <w:t xml:space="preserve">. Акцент сделан на пропаганде более широкого использования </w:t>
      </w:r>
      <w:proofErr w:type="spellStart"/>
      <w:r w:rsidRPr="00CB2C86">
        <w:t>водосберегающих</w:t>
      </w:r>
      <w:proofErr w:type="spellEnd"/>
      <w:r w:rsidRPr="00CB2C86">
        <w:t xml:space="preserve"> устройств и добровольной Программе </w:t>
      </w:r>
      <w:proofErr w:type="spellStart"/>
      <w:r w:rsidRPr="00CB2C86">
        <w:t>вод</w:t>
      </w:r>
      <w:r w:rsidRPr="00CB2C86">
        <w:t>о</w:t>
      </w:r>
      <w:r w:rsidRPr="00CB2C86">
        <w:t>сберегающей</w:t>
      </w:r>
      <w:proofErr w:type="spellEnd"/>
      <w:r w:rsidRPr="00CB2C86">
        <w:t xml:space="preserve"> маркировки. Информационно-пропагандистские и просветител</w:t>
      </w:r>
      <w:r w:rsidRPr="00CB2C86">
        <w:t>ь</w:t>
      </w:r>
      <w:r w:rsidRPr="00CB2C86">
        <w:t>ские программы включают публичные объявления по телевидению и радио, агитационные брошюры, семинары и выставки. Для молодого поколения при</w:t>
      </w:r>
      <w:r w:rsidRPr="00CB2C86">
        <w:t>н</w:t>
      </w:r>
      <w:r w:rsidRPr="00CB2C86">
        <w:t>ципы и знания, связанные со сбережением воды, включаются в школьные уче</w:t>
      </w:r>
      <w:r w:rsidRPr="00CB2C86">
        <w:t>б</w:t>
      </w:r>
      <w:r w:rsidRPr="00CB2C86">
        <w:t>ные пр</w:t>
      </w:r>
      <w:r w:rsidRPr="00CB2C86">
        <w:t>о</w:t>
      </w:r>
      <w:r w:rsidRPr="00CB2C86">
        <w:t>граммы.</w:t>
      </w:r>
    </w:p>
    <w:p w:rsidR="00F936A8" w:rsidRPr="00CB2C86" w:rsidRDefault="00F936A8" w:rsidP="00F91733">
      <w:pPr>
        <w:pStyle w:val="SingleTxtGR"/>
        <w:tabs>
          <w:tab w:val="clear" w:pos="1701"/>
          <w:tab w:val="clear" w:pos="2268"/>
          <w:tab w:val="left" w:pos="1980"/>
          <w:tab w:val="left" w:pos="2520"/>
        </w:tabs>
      </w:pPr>
      <w:r w:rsidRPr="00CB2C86">
        <w:t>11.37</w:t>
      </w:r>
      <w:r w:rsidRPr="00CB2C86">
        <w:tab/>
        <w:t xml:space="preserve">Программа </w:t>
      </w:r>
      <w:proofErr w:type="spellStart"/>
      <w:r w:rsidRPr="00CB2C86">
        <w:t>водосберегающей</w:t>
      </w:r>
      <w:proofErr w:type="spellEnd"/>
      <w:r w:rsidRPr="00CB2C86">
        <w:t xml:space="preserve"> маркировки является одной из ключевых инициатив правительства в области сбережения воды. Ее цель </w:t>
      </w:r>
      <w:r>
        <w:t>−</w:t>
      </w:r>
      <w:r w:rsidRPr="00CB2C86">
        <w:t xml:space="preserve"> информировать граждан об уровне потребления и эффективности водопроводной арматуры и санитарно-технического оборудования, формируя тем самым у покупателей культуру </w:t>
      </w:r>
      <w:proofErr w:type="spellStart"/>
      <w:r w:rsidRPr="00CB2C86">
        <w:t>водосбережения</w:t>
      </w:r>
      <w:proofErr w:type="spellEnd"/>
      <w:r w:rsidRPr="00CB2C86">
        <w:t>. В то же время ДВС подает наглядный пример, уст</w:t>
      </w:r>
      <w:r w:rsidRPr="00CB2C86">
        <w:t>а</w:t>
      </w:r>
      <w:r w:rsidRPr="00CB2C86">
        <w:t xml:space="preserve">навливая </w:t>
      </w:r>
      <w:proofErr w:type="spellStart"/>
      <w:r w:rsidRPr="00CB2C86">
        <w:t>водосберегающие</w:t>
      </w:r>
      <w:proofErr w:type="spellEnd"/>
      <w:r w:rsidRPr="00CB2C86">
        <w:t xml:space="preserve"> приборы на водопроводной арматуре в государс</w:t>
      </w:r>
      <w:r w:rsidRPr="00CB2C86">
        <w:t>т</w:t>
      </w:r>
      <w:r w:rsidRPr="00CB2C86">
        <w:t>венных зданиях и школах.</w:t>
      </w:r>
    </w:p>
    <w:p w:rsidR="00F936A8" w:rsidRPr="00CB2C86" w:rsidRDefault="00F936A8" w:rsidP="00F91733">
      <w:pPr>
        <w:pStyle w:val="H23GR"/>
        <w:tabs>
          <w:tab w:val="left" w:pos="1980"/>
          <w:tab w:val="left" w:pos="2520"/>
        </w:tabs>
      </w:pPr>
      <w:r w:rsidRPr="00CB2C86">
        <w:tab/>
      </w:r>
      <w:r w:rsidRPr="00CB2C86">
        <w:tab/>
        <w:t>Охрана водных ресурсов</w:t>
      </w:r>
    </w:p>
    <w:p w:rsidR="00F936A8" w:rsidRPr="00CB2C86" w:rsidRDefault="00F936A8" w:rsidP="00F91733">
      <w:pPr>
        <w:pStyle w:val="SingleTxtGR"/>
        <w:tabs>
          <w:tab w:val="clear" w:pos="1701"/>
          <w:tab w:val="clear" w:pos="2268"/>
          <w:tab w:val="left" w:pos="1980"/>
          <w:tab w:val="left" w:pos="2520"/>
        </w:tabs>
      </w:pPr>
      <w:r w:rsidRPr="00CB2C86">
        <w:t>11.38</w:t>
      </w:r>
      <w:r w:rsidRPr="00CB2C86">
        <w:tab/>
        <w:t>Водосборные площади, которые собирают местные дождевые воды, являются ценным источником и защищаются от загрязнения путем тщательного мониторинга и контроля застройки на водосборных участках. Кроме того, для охраны водных ресурсов Гонконга принято законодательство (Указ о водопр</w:t>
      </w:r>
      <w:r w:rsidRPr="00CB2C86">
        <w:t>о</w:t>
      </w:r>
      <w:r w:rsidRPr="00CB2C86">
        <w:t xml:space="preserve">водных станциях </w:t>
      </w:r>
      <w:r>
        <w:t>(глава </w:t>
      </w:r>
      <w:r w:rsidRPr="00CB2C86">
        <w:t>102)</w:t>
      </w:r>
      <w:r w:rsidR="00C04E05">
        <w:t>)</w:t>
      </w:r>
      <w:r w:rsidRPr="00CB2C86">
        <w:t>, которое запрещает загрязнение на водопрово</w:t>
      </w:r>
      <w:r w:rsidRPr="00CB2C86">
        <w:t>д</w:t>
      </w:r>
      <w:r w:rsidRPr="00CB2C86">
        <w:t xml:space="preserve">ных станциях и препятствует загрязнению водных ресурсов Гонконга (Указ о борьбе с загрязнением вод </w:t>
      </w:r>
      <w:r>
        <w:t>(глава </w:t>
      </w:r>
      <w:r w:rsidRPr="00CB2C86">
        <w:t>358)).</w:t>
      </w:r>
    </w:p>
    <w:p w:rsidR="00F936A8" w:rsidRPr="00CB2C86" w:rsidRDefault="00F936A8" w:rsidP="00F91733">
      <w:pPr>
        <w:pStyle w:val="H1GR"/>
        <w:tabs>
          <w:tab w:val="left" w:pos="1980"/>
          <w:tab w:val="left" w:pos="2520"/>
        </w:tabs>
      </w:pPr>
      <w:r w:rsidRPr="00CB2C86">
        <w:tab/>
      </w:r>
      <w:r w:rsidRPr="00CB2C86">
        <w:tab/>
        <w:t>Право на достаточное жилище</w:t>
      </w:r>
    </w:p>
    <w:p w:rsidR="00F936A8" w:rsidRPr="003E21B6" w:rsidRDefault="00F936A8" w:rsidP="00F91733">
      <w:pPr>
        <w:pStyle w:val="H23GR"/>
        <w:tabs>
          <w:tab w:val="left" w:pos="1980"/>
          <w:tab w:val="left" w:pos="2520"/>
        </w:tabs>
      </w:pPr>
      <w:r w:rsidRPr="003E21B6">
        <w:tab/>
      </w:r>
      <w:r w:rsidRPr="003E21B6">
        <w:tab/>
        <w:t>Потребности в жилье</w:t>
      </w:r>
    </w:p>
    <w:p w:rsidR="00F936A8" w:rsidRPr="00CB2C86" w:rsidRDefault="00F936A8" w:rsidP="00F91733">
      <w:pPr>
        <w:pStyle w:val="SingleTxtGR"/>
        <w:tabs>
          <w:tab w:val="clear" w:pos="1701"/>
          <w:tab w:val="clear" w:pos="2268"/>
          <w:tab w:val="left" w:pos="1980"/>
          <w:tab w:val="left" w:pos="2520"/>
        </w:tabs>
      </w:pPr>
      <w:r w:rsidRPr="00CB2C86">
        <w:t xml:space="preserve">11.39 </w:t>
      </w:r>
      <w:r w:rsidRPr="00CB2C86">
        <w:tab/>
        <w:t>По оценкам, по состоянию на первый квартал 2009</w:t>
      </w:r>
      <w:r w:rsidR="00B92291">
        <w:t> год</w:t>
      </w:r>
      <w:r w:rsidRPr="00CB2C86">
        <w:t>а 40</w:t>
      </w:r>
      <w:r>
        <w:t> </w:t>
      </w:r>
      <w:r w:rsidRPr="00CB2C86">
        <w:t>400 д</w:t>
      </w:r>
      <w:r w:rsidRPr="00CB2C86">
        <w:t>о</w:t>
      </w:r>
      <w:r w:rsidRPr="00CB2C86">
        <w:t>машних хозяйств (73</w:t>
      </w:r>
      <w:r>
        <w:t> </w:t>
      </w:r>
      <w:r w:rsidRPr="00CB2C86">
        <w:t>400 человек) не были обеспечены достаточным жилищем</w:t>
      </w:r>
      <w:r w:rsidRPr="004F0ED8">
        <w:rPr>
          <w:sz w:val="18"/>
          <w:szCs w:val="18"/>
          <w:vertAlign w:val="superscript"/>
          <w:lang w:val="en-GB"/>
        </w:rPr>
        <w:footnoteReference w:id="13"/>
      </w:r>
      <w:r w:rsidRPr="00CB2C86">
        <w:t xml:space="preserve"> по сравнению со 100</w:t>
      </w:r>
      <w:r>
        <w:t> </w:t>
      </w:r>
      <w:r w:rsidRPr="00CB2C86">
        <w:t>000</w:t>
      </w:r>
      <w:r>
        <w:t> </w:t>
      </w:r>
      <w:r w:rsidRPr="00CB2C86">
        <w:t>домашних хозяйств (274</w:t>
      </w:r>
      <w:r>
        <w:t> </w:t>
      </w:r>
      <w:r w:rsidRPr="00CB2C86">
        <w:t>000</w:t>
      </w:r>
      <w:r>
        <w:t> </w:t>
      </w:r>
      <w:r w:rsidRPr="00CB2C86">
        <w:t>человек) в первом ква</w:t>
      </w:r>
      <w:r w:rsidRPr="00CB2C86">
        <w:t>р</w:t>
      </w:r>
      <w:r w:rsidRPr="00CB2C86">
        <w:t>тале 2002</w:t>
      </w:r>
      <w:r w:rsidR="00B92291">
        <w:t> год</w:t>
      </w:r>
      <w:r w:rsidR="00C04E05">
        <w:t>а</w:t>
      </w:r>
      <w:r w:rsidRPr="00CB2C86">
        <w:t>, о чем говорилось в предыдущем докладе.</w:t>
      </w:r>
    </w:p>
    <w:p w:rsidR="00F936A8" w:rsidRPr="003E21B6" w:rsidRDefault="00F936A8" w:rsidP="00F91733">
      <w:pPr>
        <w:pStyle w:val="H23GR"/>
        <w:tabs>
          <w:tab w:val="left" w:pos="1980"/>
          <w:tab w:val="left" w:pos="2520"/>
        </w:tabs>
      </w:pPr>
      <w:r w:rsidRPr="003E21B6">
        <w:tab/>
      </w:r>
      <w:r w:rsidRPr="003E21B6">
        <w:tab/>
        <w:t>Жилищная политика − обязательство правительства</w:t>
      </w:r>
    </w:p>
    <w:p w:rsidR="00F936A8" w:rsidRPr="00CB2C86" w:rsidRDefault="00F936A8" w:rsidP="00F91733">
      <w:pPr>
        <w:pStyle w:val="SingleTxtGR"/>
        <w:tabs>
          <w:tab w:val="clear" w:pos="1701"/>
          <w:tab w:val="clear" w:pos="2268"/>
          <w:tab w:val="left" w:pos="1980"/>
          <w:tab w:val="left" w:pos="2520"/>
        </w:tabs>
      </w:pPr>
      <w:r w:rsidRPr="00CB2C86">
        <w:t>11.40</w:t>
      </w:r>
      <w:r w:rsidRPr="00CB2C86">
        <w:tab/>
        <w:t>В соответствии с пересмотренной жилищной политикой правительс</w:t>
      </w:r>
      <w:r w:rsidRPr="00CB2C86">
        <w:t>т</w:t>
      </w:r>
      <w:r w:rsidRPr="00CB2C86">
        <w:t>ва в ноябре 2002</w:t>
      </w:r>
      <w:r w:rsidR="00B92291">
        <w:t> год</w:t>
      </w:r>
      <w:r w:rsidRPr="00CB2C86">
        <w:t>а, как уже упоминалось в пункте 11.18 предыдущего докл</w:t>
      </w:r>
      <w:r w:rsidRPr="00CB2C86">
        <w:t>а</w:t>
      </w:r>
      <w:r w:rsidRPr="00CB2C86">
        <w:t>да, главная задача Жилищного управления Гонконга (Жилищное управление) заключается в том, чтобы обеспечить государственным жильем, сдаваемым в аренду (ГЖА), семьи с низкими доходами, которые не могут позволить себе арендовать частное жилье. Цели нашей политики заключаются в следующем:</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a</w:t>
      </w:r>
      <w:proofErr w:type="spellEnd"/>
      <w:r>
        <w:t>)</w:t>
      </w:r>
      <w:r w:rsidRPr="00CB2C86">
        <w:tab/>
      </w:r>
      <w:r w:rsidR="00CE5C50" w:rsidRPr="00CB2C86">
        <w:t xml:space="preserve">акцент </w:t>
      </w:r>
      <w:r w:rsidRPr="00CB2C86">
        <w:t>субсидируемой жилищной политики правительства дел</w:t>
      </w:r>
      <w:r w:rsidRPr="00CB2C86">
        <w:t>а</w:t>
      </w:r>
      <w:r w:rsidRPr="00CB2C86">
        <w:t>ется на оказание помощи семьям с низкими доходами, которые не могут позв</w:t>
      </w:r>
      <w:r w:rsidRPr="00CB2C86">
        <w:t>о</w:t>
      </w:r>
      <w:r w:rsidRPr="00CB2C86">
        <w:t>лить себе арендовать частное жилье;</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b</w:t>
      </w:r>
      <w:proofErr w:type="spellEnd"/>
      <w:r>
        <w:t>)</w:t>
      </w:r>
      <w:r w:rsidRPr="00CB2C86">
        <w:tab/>
      </w:r>
      <w:r w:rsidR="00CE5C50" w:rsidRPr="00CB2C86">
        <w:t xml:space="preserve">правительству </w:t>
      </w:r>
      <w:r w:rsidRPr="00CB2C86">
        <w:t>следует свести к минимуму свое вмешательство на рынке частной недвижимости; и</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c</w:t>
      </w:r>
      <w:proofErr w:type="spellEnd"/>
      <w:r>
        <w:t>)</w:t>
      </w:r>
      <w:r w:rsidRPr="00CB2C86">
        <w:tab/>
      </w:r>
      <w:r w:rsidR="00CE5C50" w:rsidRPr="00CB2C86">
        <w:t xml:space="preserve">правительству </w:t>
      </w:r>
      <w:r w:rsidRPr="00CB2C86">
        <w:t>следует поддерживать справедливые и устойч</w:t>
      </w:r>
      <w:r w:rsidRPr="00CB2C86">
        <w:t>и</w:t>
      </w:r>
      <w:r w:rsidRPr="00CB2C86">
        <w:t>вые условия функционирования рынка частной недвижимости путем предо</w:t>
      </w:r>
      <w:r w:rsidRPr="00CB2C86">
        <w:t>с</w:t>
      </w:r>
      <w:r w:rsidRPr="00CB2C86">
        <w:t>тавления достаточных земельных участков и эффективной инфраструктуры жизн</w:t>
      </w:r>
      <w:r w:rsidRPr="00CB2C86">
        <w:t>е</w:t>
      </w:r>
      <w:r w:rsidRPr="00CB2C86">
        <w:t>обеспечения.</w:t>
      </w:r>
    </w:p>
    <w:p w:rsidR="00F936A8" w:rsidRPr="003E21B6" w:rsidRDefault="00F936A8" w:rsidP="00F91733">
      <w:pPr>
        <w:pStyle w:val="H23GR"/>
        <w:tabs>
          <w:tab w:val="left" w:pos="1980"/>
          <w:tab w:val="left" w:pos="2520"/>
        </w:tabs>
      </w:pPr>
      <w:r w:rsidRPr="003E21B6">
        <w:tab/>
      </w:r>
      <w:r w:rsidRPr="003E21B6">
        <w:tab/>
        <w:t>Оказание помощи в аренде жилья</w:t>
      </w:r>
    </w:p>
    <w:p w:rsidR="00F936A8" w:rsidRPr="00CB2C86" w:rsidRDefault="00F936A8" w:rsidP="00F91733">
      <w:pPr>
        <w:pStyle w:val="SingleTxtGR"/>
        <w:tabs>
          <w:tab w:val="clear" w:pos="1701"/>
          <w:tab w:val="clear" w:pos="2268"/>
          <w:tab w:val="left" w:pos="1980"/>
          <w:tab w:val="left" w:pos="2520"/>
        </w:tabs>
      </w:pPr>
      <w:r w:rsidRPr="00CB2C86">
        <w:t xml:space="preserve">11.41 </w:t>
      </w:r>
      <w:r w:rsidRPr="00CB2C86">
        <w:tab/>
        <w:t>Некоторые комментаторы выразили озабоченность в связи с продо</w:t>
      </w:r>
      <w:r w:rsidRPr="00CB2C86">
        <w:t>л</w:t>
      </w:r>
      <w:r w:rsidRPr="00CB2C86">
        <w:t>жительным периодом ожидания в очереди на получение государственного ж</w:t>
      </w:r>
      <w:r w:rsidRPr="00CB2C86">
        <w:t>и</w:t>
      </w:r>
      <w:r w:rsidRPr="00CB2C86">
        <w:t>лья и помощи, которая оказывается претендентам на ГЖА в период ожидания. По состоянию на декабрь 2009</w:t>
      </w:r>
      <w:r w:rsidR="00B92291">
        <w:t> год</w:t>
      </w:r>
      <w:r w:rsidRPr="00CB2C86">
        <w:t>а в очереди на ГЖА состояло 125</w:t>
      </w:r>
      <w:r>
        <w:t> </w:t>
      </w:r>
      <w:r w:rsidRPr="00CB2C86">
        <w:t>000 д</w:t>
      </w:r>
      <w:r w:rsidRPr="00CB2C86">
        <w:t>о</w:t>
      </w:r>
      <w:r w:rsidRPr="00CB2C86">
        <w:t>машних хозяйств, а средний период ожидания для обычной семьи составлял 1,9</w:t>
      </w:r>
      <w:r w:rsidR="00B92291">
        <w:t> год</w:t>
      </w:r>
      <w:r w:rsidRPr="00CB2C86">
        <w:t>а. Правительство намерено продолжать предоставление субсидируемого арендуемого жилья семьям с низкими доходами, которые не могут позволить себе арендовать частное жилье</w:t>
      </w:r>
      <w:r w:rsidR="00CE5C50">
        <w:t>,</w:t>
      </w:r>
      <w:r w:rsidRPr="00CB2C86">
        <w:t xml:space="preserve"> и будет пытаться сохранить среднее время ож</w:t>
      </w:r>
      <w:r w:rsidRPr="00CB2C86">
        <w:t>и</w:t>
      </w:r>
      <w:r w:rsidRPr="00CB2C86">
        <w:t>дания сроком примерно три</w:t>
      </w:r>
      <w:r w:rsidR="00B92291">
        <w:t> год</w:t>
      </w:r>
      <w:r w:rsidRPr="00CB2C86">
        <w:t>а. Имеющие на это право заявители, срочно н</w:t>
      </w:r>
      <w:r w:rsidRPr="00CB2C86">
        <w:t>у</w:t>
      </w:r>
      <w:r w:rsidRPr="00CB2C86">
        <w:t>ждающиеся в жилье, могут обращаться в Программу срочного распределения жилищ или ДСО за рекомендацией о досрочном переселении по гуманным с</w:t>
      </w:r>
      <w:r w:rsidRPr="00CB2C86">
        <w:t>о</w:t>
      </w:r>
      <w:r w:rsidRPr="00CB2C86">
        <w:t>ображ</w:t>
      </w:r>
      <w:r w:rsidRPr="00CB2C86">
        <w:t>е</w:t>
      </w:r>
      <w:r w:rsidRPr="00CB2C86">
        <w:t>ниям.</w:t>
      </w:r>
    </w:p>
    <w:p w:rsidR="00F936A8" w:rsidRPr="003E21B6" w:rsidRDefault="00F936A8" w:rsidP="00F91733">
      <w:pPr>
        <w:pStyle w:val="H23GR"/>
        <w:tabs>
          <w:tab w:val="left" w:pos="1980"/>
          <w:tab w:val="left" w:pos="2520"/>
        </w:tabs>
      </w:pPr>
      <w:r w:rsidRPr="003E21B6">
        <w:tab/>
      </w:r>
      <w:r w:rsidRPr="003E21B6">
        <w:tab/>
        <w:t>Жилищное законодательство</w:t>
      </w:r>
    </w:p>
    <w:p w:rsidR="00F936A8" w:rsidRPr="00CB2C86" w:rsidRDefault="00F936A8" w:rsidP="00F91733">
      <w:pPr>
        <w:pStyle w:val="SingleTxtGR"/>
        <w:tabs>
          <w:tab w:val="clear" w:pos="1701"/>
          <w:tab w:val="clear" w:pos="2268"/>
          <w:tab w:val="left" w:pos="1980"/>
          <w:tab w:val="left" w:pos="2520"/>
        </w:tabs>
      </w:pPr>
      <w:r w:rsidRPr="00CB2C86">
        <w:t>11.42</w:t>
      </w:r>
      <w:r w:rsidRPr="00CB2C86">
        <w:tab/>
        <w:t>Положение в основном остается таким же, каким оно было описано в предыдущем докладе, за исключение</w:t>
      </w:r>
      <w:r w:rsidR="00CE5C50">
        <w:t>м</w:t>
      </w:r>
      <w:r w:rsidRPr="00CB2C86">
        <w:t xml:space="preserve"> следующих событий.</w:t>
      </w:r>
    </w:p>
    <w:p w:rsidR="00F936A8" w:rsidRPr="00CB2C86" w:rsidRDefault="00F936A8" w:rsidP="00F91733">
      <w:pPr>
        <w:pStyle w:val="H4GR"/>
        <w:tabs>
          <w:tab w:val="left" w:pos="1980"/>
          <w:tab w:val="left" w:pos="2520"/>
        </w:tabs>
        <w:spacing w:before="240"/>
        <w:ind w:left="1134" w:right="1179" w:hanging="1134"/>
      </w:pPr>
      <w:r w:rsidRPr="00CB2C86">
        <w:tab/>
      </w:r>
      <w:r w:rsidRPr="00CB2C86">
        <w:tab/>
        <w:t>Указ об обеспеченности жильем (с поправкой) 2007</w:t>
      </w:r>
      <w:r w:rsidR="00CE5C50">
        <w:t xml:space="preserve"> </w:t>
      </w:r>
      <w:r w:rsidRPr="00CB2C86">
        <w:t>года</w:t>
      </w:r>
    </w:p>
    <w:p w:rsidR="00F936A8" w:rsidRPr="00CB2C86" w:rsidRDefault="00F936A8" w:rsidP="00F91733">
      <w:pPr>
        <w:pStyle w:val="SingleTxtGR"/>
        <w:tabs>
          <w:tab w:val="clear" w:pos="1701"/>
          <w:tab w:val="clear" w:pos="2268"/>
          <w:tab w:val="left" w:pos="1980"/>
          <w:tab w:val="left" w:pos="2520"/>
        </w:tabs>
      </w:pPr>
      <w:r w:rsidRPr="00CB2C86">
        <w:t>11.43</w:t>
      </w:r>
      <w:r w:rsidRPr="00CB2C86">
        <w:tab/>
        <w:t>Указ об обеспеченности жильем (с поправкой) 2007</w:t>
      </w:r>
      <w:r w:rsidR="00B92291">
        <w:t> год</w:t>
      </w:r>
      <w:r w:rsidRPr="00CB2C86">
        <w:t>а исполняется с 1</w:t>
      </w:r>
      <w:r>
        <w:t> </w:t>
      </w:r>
      <w:r w:rsidRPr="00CB2C86">
        <w:t>января 2008</w:t>
      </w:r>
      <w:r w:rsidR="00B92291">
        <w:t> год</w:t>
      </w:r>
      <w:r w:rsidRPr="00CB2C86">
        <w:t>а. Измененный Указ ввел новый механизм, предусматрива</w:t>
      </w:r>
      <w:r w:rsidRPr="00CB2C86">
        <w:t>ю</w:t>
      </w:r>
      <w:r w:rsidRPr="00CB2C86">
        <w:t>щий корректировку тарифов квартирной платы за ГЖА в соответствии с изм</w:t>
      </w:r>
      <w:r w:rsidRPr="00CB2C86">
        <w:t>е</w:t>
      </w:r>
      <w:r w:rsidRPr="00CB2C86">
        <w:t xml:space="preserve">нениями в доходах арендующих ГЖА домашних хозяйств. </w:t>
      </w:r>
    </w:p>
    <w:p w:rsidR="00F936A8" w:rsidRPr="00CB2C86" w:rsidRDefault="00F936A8" w:rsidP="00F91733">
      <w:pPr>
        <w:pStyle w:val="H4GR"/>
        <w:tabs>
          <w:tab w:val="left" w:pos="1980"/>
          <w:tab w:val="left" w:pos="2520"/>
        </w:tabs>
        <w:spacing w:before="240"/>
        <w:ind w:left="1134" w:right="1179" w:hanging="1134"/>
      </w:pPr>
      <w:r w:rsidRPr="00CB2C86">
        <w:tab/>
      </w:r>
      <w:r w:rsidRPr="00CB2C86">
        <w:tab/>
        <w:t xml:space="preserve">Указ о домовладельцах и квартиросъемщиках (консолидированный) </w:t>
      </w:r>
      <w:r>
        <w:t>(глава </w:t>
      </w:r>
      <w:r w:rsidRPr="00CB2C86">
        <w:t>7)</w:t>
      </w:r>
    </w:p>
    <w:p w:rsidR="00F936A8" w:rsidRPr="00CB2C86" w:rsidRDefault="00F936A8" w:rsidP="00F91733">
      <w:pPr>
        <w:pStyle w:val="SingleTxtGR"/>
        <w:tabs>
          <w:tab w:val="clear" w:pos="1701"/>
          <w:tab w:val="clear" w:pos="2268"/>
          <w:tab w:val="left" w:pos="1980"/>
          <w:tab w:val="left" w:pos="2520"/>
        </w:tabs>
      </w:pPr>
      <w:r w:rsidRPr="00CB2C86">
        <w:t>11.44</w:t>
      </w:r>
      <w:r w:rsidRPr="00CB2C86">
        <w:tab/>
        <w:t>Чтобы усилить контроль за квартирной платой и обеспечить безопа</w:t>
      </w:r>
      <w:r w:rsidRPr="00CB2C86">
        <w:t>с</w:t>
      </w:r>
      <w:r w:rsidRPr="00CB2C86">
        <w:t>ность собственности, в 1998</w:t>
      </w:r>
      <w:r w:rsidR="00CE5C50">
        <w:t xml:space="preserve"> </w:t>
      </w:r>
      <w:r w:rsidRPr="00CB2C86">
        <w:t>году и 2004</w:t>
      </w:r>
      <w:r w:rsidR="00B92291">
        <w:t> год</w:t>
      </w:r>
      <w:r w:rsidRPr="00CB2C86">
        <w:t>у соответственно в Указ о домовл</w:t>
      </w:r>
      <w:r w:rsidRPr="00CB2C86">
        <w:t>а</w:t>
      </w:r>
      <w:r w:rsidRPr="00CB2C86">
        <w:t>дельцах и квартиросъемщиках (консолидированный) были внесены поправки с целью обеспечить, чтобы рынок сдачи жилья внаем мог функционировать о</w:t>
      </w:r>
      <w:r w:rsidRPr="00CB2C86">
        <w:t>т</w:t>
      </w:r>
      <w:r w:rsidRPr="00CB2C86">
        <w:t>крыто и на здоровой основе, на котором домовладельцы и квартиросъемщики могли достигать взаимного соглашения об условиях аренды в соответствии с упомянутым Указом.</w:t>
      </w:r>
    </w:p>
    <w:p w:rsidR="00F936A8" w:rsidRPr="00CB2C86" w:rsidRDefault="00F936A8" w:rsidP="00F91733">
      <w:pPr>
        <w:pStyle w:val="SingleTxtGR"/>
        <w:tabs>
          <w:tab w:val="clear" w:pos="1701"/>
          <w:tab w:val="clear" w:pos="2268"/>
          <w:tab w:val="left" w:pos="1980"/>
          <w:tab w:val="left" w:pos="2520"/>
        </w:tabs>
      </w:pPr>
      <w:r w:rsidRPr="00CB2C86">
        <w:t>11.45</w:t>
      </w:r>
      <w:r w:rsidRPr="00CB2C86">
        <w:tab/>
        <w:t>Для квартиросъемщиков и домовладельцев, которые могут столкнут</w:t>
      </w:r>
      <w:r w:rsidRPr="00CB2C86">
        <w:t>ь</w:t>
      </w:r>
      <w:r w:rsidRPr="00CB2C86">
        <w:t>ся с  проблемами аренды, Департамент по вопросам ренты и стоимостной оценки оказывает бесплатные консультационные и посреднические услуги по вопросам аренды в соответствии с упомянутым выше Указом.</w:t>
      </w:r>
    </w:p>
    <w:p w:rsidR="00F936A8" w:rsidRPr="003E21B6" w:rsidRDefault="00F936A8" w:rsidP="00F91733">
      <w:pPr>
        <w:pStyle w:val="H23GR"/>
        <w:tabs>
          <w:tab w:val="left" w:pos="1980"/>
          <w:tab w:val="left" w:pos="2520"/>
        </w:tabs>
      </w:pPr>
      <w:r w:rsidRPr="003E21B6">
        <w:tab/>
      </w:r>
      <w:r w:rsidRPr="003E21B6">
        <w:tab/>
        <w:t>Особо нуждающиеся группы</w:t>
      </w:r>
    </w:p>
    <w:p w:rsidR="00F936A8" w:rsidRPr="00CB2C86" w:rsidRDefault="00F936A8" w:rsidP="00F91733">
      <w:pPr>
        <w:pStyle w:val="SingleTxtGR"/>
        <w:tabs>
          <w:tab w:val="clear" w:pos="1701"/>
          <w:tab w:val="clear" w:pos="2268"/>
          <w:tab w:val="left" w:pos="1980"/>
          <w:tab w:val="left" w:pos="2520"/>
        </w:tabs>
      </w:pPr>
      <w:r w:rsidRPr="00CB2C86">
        <w:t>11.46</w:t>
      </w:r>
      <w:r w:rsidRPr="00CB2C86">
        <w:tab/>
        <w:t>Положение, каким оно изложено в пунктах</w:t>
      </w:r>
      <w:r w:rsidR="00963F7A">
        <w:t xml:space="preserve"> </w:t>
      </w:r>
      <w:r w:rsidRPr="00CB2C86">
        <w:t>11.21 и 11.22 предыдущего доклада, в основном остается неизменным. Ниже подробнее излагаются меры, направленные</w:t>
      </w:r>
      <w:r w:rsidR="00963F7A">
        <w:t xml:space="preserve"> на</w:t>
      </w:r>
      <w:r w:rsidRPr="00CB2C86">
        <w:t xml:space="preserve"> удовлетворение потребностей престарелых и ЛОВ.</w:t>
      </w:r>
    </w:p>
    <w:p w:rsidR="00F936A8" w:rsidRPr="00CB2C86" w:rsidRDefault="00F936A8" w:rsidP="00F91733">
      <w:pPr>
        <w:pStyle w:val="SingleTxtGR"/>
        <w:tabs>
          <w:tab w:val="clear" w:pos="1701"/>
          <w:tab w:val="clear" w:pos="2268"/>
          <w:tab w:val="left" w:pos="1980"/>
          <w:tab w:val="left" w:pos="2520"/>
        </w:tabs>
      </w:pPr>
      <w:r w:rsidRPr="00CB2C86">
        <w:t>11.47</w:t>
      </w:r>
      <w:r w:rsidRPr="00CB2C86">
        <w:tab/>
        <w:t>Государственные жилые комплексы и жилые дома Жилищного упра</w:t>
      </w:r>
      <w:r w:rsidRPr="00CB2C86">
        <w:t>в</w:t>
      </w:r>
      <w:r w:rsidRPr="00CB2C86">
        <w:t xml:space="preserve">ления проектируются с таким расчетом, чтобы создать в них </w:t>
      </w:r>
      <w:proofErr w:type="spellStart"/>
      <w:r w:rsidRPr="00CB2C86">
        <w:t>безбарьерную</w:t>
      </w:r>
      <w:proofErr w:type="spellEnd"/>
      <w:r w:rsidRPr="00CB2C86">
        <w:t xml:space="preserve"> ср</w:t>
      </w:r>
      <w:r w:rsidRPr="00CB2C86">
        <w:t>е</w:t>
      </w:r>
      <w:r w:rsidRPr="00CB2C86">
        <w:t>ду и обеспечить безопасность и удобства для жильцов. Чтобы содействовать доступности для всех и удовлетворить различные потребности людей всех во</w:t>
      </w:r>
      <w:r w:rsidRPr="00CB2C86">
        <w:t>з</w:t>
      </w:r>
      <w:r w:rsidRPr="00CB2C86">
        <w:t>растов и лиц с ограниченными возможностями и здоровых людей, с 2002</w:t>
      </w:r>
      <w:r w:rsidR="00B92291">
        <w:t> год</w:t>
      </w:r>
      <w:r w:rsidRPr="00CB2C86">
        <w:t>а Жилищное управление применяет принцип универсального проектирования при застройке ГЖА.</w:t>
      </w:r>
    </w:p>
    <w:p w:rsidR="00F936A8" w:rsidRPr="00CB2C86" w:rsidRDefault="00F936A8" w:rsidP="00F91733">
      <w:pPr>
        <w:pStyle w:val="SingleTxtGR"/>
        <w:tabs>
          <w:tab w:val="clear" w:pos="1701"/>
          <w:tab w:val="clear" w:pos="2268"/>
          <w:tab w:val="left" w:pos="1980"/>
          <w:tab w:val="left" w:pos="2520"/>
        </w:tabs>
      </w:pPr>
      <w:r w:rsidRPr="00CB2C86">
        <w:t>11.48</w:t>
      </w:r>
      <w:r w:rsidRPr="00CB2C86">
        <w:tab/>
        <w:t>Чтобы облегчить передвижение всех людей</w:t>
      </w:r>
      <w:r w:rsidR="00963F7A">
        <w:t>,</w:t>
      </w:r>
      <w:r w:rsidRPr="00CB2C86">
        <w:t xml:space="preserve"> включая ЛОВ</w:t>
      </w:r>
      <w:r w:rsidR="00963F7A">
        <w:t>,</w:t>
      </w:r>
      <w:r w:rsidRPr="00CB2C86">
        <w:t xml:space="preserve"> между ж</w:t>
      </w:r>
      <w:r w:rsidRPr="00CB2C86">
        <w:t>и</w:t>
      </w:r>
      <w:r w:rsidRPr="00CB2C86">
        <w:t>лыми кварталами</w:t>
      </w:r>
      <w:r w:rsidR="00963F7A">
        <w:t>,</w:t>
      </w:r>
      <w:r w:rsidRPr="00CB2C86">
        <w:t xml:space="preserve"> Жилищное управление организовало </w:t>
      </w:r>
      <w:proofErr w:type="spellStart"/>
      <w:r w:rsidRPr="00CB2C86">
        <w:t>безбарьерный</w:t>
      </w:r>
      <w:proofErr w:type="spellEnd"/>
      <w:r w:rsidRPr="00CB2C86">
        <w:t xml:space="preserve"> маршрут и тактильные полосы, соединяющие жилые дома с главными объектами инфр</w:t>
      </w:r>
      <w:r w:rsidRPr="00CB2C86">
        <w:t>а</w:t>
      </w:r>
      <w:r w:rsidRPr="00CB2C86">
        <w:t>структуры жилого комплекса, в частности такими</w:t>
      </w:r>
      <w:r>
        <w:t xml:space="preserve"> как</w:t>
      </w:r>
      <w:r w:rsidRPr="00CB2C86">
        <w:t xml:space="preserve"> транспортные узлы, то</w:t>
      </w:r>
      <w:r w:rsidRPr="00CB2C86">
        <w:t>р</w:t>
      </w:r>
      <w:r w:rsidRPr="00CB2C86">
        <w:t>говые, социальные и общественные объекты.</w:t>
      </w:r>
    </w:p>
    <w:p w:rsidR="00F936A8" w:rsidRPr="00CB2C86" w:rsidRDefault="00F936A8" w:rsidP="00F91733">
      <w:pPr>
        <w:pStyle w:val="SingleTxtGR"/>
        <w:tabs>
          <w:tab w:val="clear" w:pos="1701"/>
          <w:tab w:val="clear" w:pos="2268"/>
          <w:tab w:val="left" w:pos="1980"/>
          <w:tab w:val="left" w:pos="2520"/>
        </w:tabs>
      </w:pPr>
      <w:r w:rsidRPr="00CB2C86">
        <w:t>11.49</w:t>
      </w:r>
      <w:r w:rsidRPr="00CB2C86">
        <w:tab/>
        <w:t>Чтобы ЛОВ могли ориентироваться в пространстве и находить та</w:t>
      </w:r>
      <w:r w:rsidRPr="00CB2C86">
        <w:t>к</w:t>
      </w:r>
      <w:r w:rsidRPr="00CB2C86">
        <w:t>тильную полосу в нужном для них направлении, Жилищное управление уст</w:t>
      </w:r>
      <w:r w:rsidRPr="00CB2C86">
        <w:t>а</w:t>
      </w:r>
      <w:r w:rsidRPr="00CB2C86">
        <w:t>навливает в стратегических пунктах в новых жилых районах планы района, в</w:t>
      </w:r>
      <w:r w:rsidRPr="00CB2C86">
        <w:t>ы</w:t>
      </w:r>
      <w:r w:rsidRPr="00CB2C86">
        <w:t>полненные в контрастной цветной гамме, снабженные тактильными датчиками и шрифтом Брайля и громкоговорителями: высококонтрастные цвета указывают людям с нарушениями зрения направление к тактильной полосе, а громкогов</w:t>
      </w:r>
      <w:r w:rsidRPr="00CB2C86">
        <w:t>о</w:t>
      </w:r>
      <w:r w:rsidRPr="00CB2C86">
        <w:t>рители помогают людям с нарушениями зрения, которые не знают азбуки Бр</w:t>
      </w:r>
      <w:r w:rsidR="00963F7A">
        <w:t>а</w:t>
      </w:r>
      <w:r w:rsidRPr="00CB2C86">
        <w:t>й</w:t>
      </w:r>
      <w:r w:rsidRPr="00CB2C86">
        <w:t>ля, найти тактильную полосу.</w:t>
      </w:r>
    </w:p>
    <w:p w:rsidR="00F936A8" w:rsidRPr="00CB2C86" w:rsidRDefault="00F936A8" w:rsidP="00F91733">
      <w:pPr>
        <w:pStyle w:val="SingleTxtGR"/>
        <w:tabs>
          <w:tab w:val="clear" w:pos="1701"/>
          <w:tab w:val="clear" w:pos="2268"/>
          <w:tab w:val="left" w:pos="1980"/>
          <w:tab w:val="left" w:pos="2520"/>
        </w:tabs>
      </w:pPr>
      <w:r w:rsidRPr="00CB2C86">
        <w:t>11.50</w:t>
      </w:r>
      <w:r w:rsidRPr="00CB2C86">
        <w:tab/>
        <w:t>К характерным особенностям, которые учитываются в принципе ун</w:t>
      </w:r>
      <w:r w:rsidRPr="00CB2C86">
        <w:t>и</w:t>
      </w:r>
      <w:r w:rsidRPr="00CB2C86">
        <w:t>версального проектирования</w:t>
      </w:r>
      <w:r w:rsidR="00963F7A">
        <w:t>,</w:t>
      </w:r>
      <w:r w:rsidRPr="00CB2C86">
        <w:t xml:space="preserve"> относятся пешеходные дорожки достаточной ш</w:t>
      </w:r>
      <w:r w:rsidRPr="00CB2C86">
        <w:t>и</w:t>
      </w:r>
      <w:r w:rsidRPr="00CB2C86">
        <w:t>рины для проезда инвалидных колясок и использования других вспомогател</w:t>
      </w:r>
      <w:r w:rsidRPr="00CB2C86">
        <w:t>ь</w:t>
      </w:r>
      <w:r w:rsidRPr="00CB2C86">
        <w:t>ных приспособлений для ходьбы, нескользкую напольную плитку в коридорах, кухнях и ванных комнатах, не допускающую скольжения; двери рычажного т</w:t>
      </w:r>
      <w:r w:rsidRPr="00CB2C86">
        <w:t>и</w:t>
      </w:r>
      <w:r w:rsidRPr="00CB2C86">
        <w:t>па, рычажные дверные ручки, смесители рычажного типа и скользящие по ве</w:t>
      </w:r>
      <w:r w:rsidRPr="00CB2C86">
        <w:t>р</w:t>
      </w:r>
      <w:r w:rsidRPr="00CB2C86">
        <w:t>тикальной стойке душевые головки, розетки и большие электрические выкл</w:t>
      </w:r>
      <w:r w:rsidRPr="00CB2C86">
        <w:t>ю</w:t>
      </w:r>
      <w:r w:rsidRPr="00CB2C86">
        <w:t>чатели и дверные звонки, расположенные в оптимальных местах, чтобы обе</w:t>
      </w:r>
      <w:r w:rsidRPr="00CB2C86">
        <w:t>с</w:t>
      </w:r>
      <w:r w:rsidRPr="00CB2C86">
        <w:t>печить беспрепятственный доступ и использование престарелыми, детьми и инвалидами-колясочниками.</w:t>
      </w:r>
    </w:p>
    <w:p w:rsidR="00F936A8" w:rsidRPr="00CB2C86" w:rsidRDefault="00F936A8" w:rsidP="00F91733">
      <w:pPr>
        <w:pStyle w:val="SingleTxtGR"/>
        <w:tabs>
          <w:tab w:val="clear" w:pos="1701"/>
          <w:tab w:val="clear" w:pos="2268"/>
          <w:tab w:val="left" w:pos="1980"/>
          <w:tab w:val="left" w:pos="2520"/>
        </w:tabs>
      </w:pPr>
      <w:r w:rsidRPr="00CB2C86">
        <w:t>11.51</w:t>
      </w:r>
      <w:r w:rsidRPr="00CB2C86">
        <w:tab/>
        <w:t>Государственные жилые комплексы с большим количеством престар</w:t>
      </w:r>
      <w:r w:rsidRPr="00CB2C86">
        <w:t>е</w:t>
      </w:r>
      <w:r w:rsidRPr="00CB2C86">
        <w:t>лых квартиросъемщиков, приспособлений и улучшенным ландшафтом прое</w:t>
      </w:r>
      <w:r w:rsidRPr="00CB2C86">
        <w:t>к</w:t>
      </w:r>
      <w:r w:rsidRPr="00CB2C86">
        <w:t>тируются с целью удовлетворения их потребностей. Кроме дополнительных приспособлений в общественных местах Жилищное управление выполняет также перепланировку квартир в соответствии с индивидуальными потребн</w:t>
      </w:r>
      <w:r w:rsidRPr="00CB2C86">
        <w:t>о</w:t>
      </w:r>
      <w:r w:rsidRPr="00CB2C86">
        <w:t>стями престарелых квартиросъемщиков. К этому относятся уменьшение две</w:t>
      </w:r>
      <w:r w:rsidRPr="00CB2C86">
        <w:t>р</w:t>
      </w:r>
      <w:r w:rsidRPr="00CB2C86">
        <w:t>ных порогов, замена порогов наклонным съездом и переоборудование туале</w:t>
      </w:r>
      <w:r w:rsidRPr="00CB2C86">
        <w:t>т</w:t>
      </w:r>
      <w:r w:rsidRPr="00CB2C86">
        <w:t>ных ко</w:t>
      </w:r>
      <w:r w:rsidRPr="00CB2C86">
        <w:t>м</w:t>
      </w:r>
      <w:r w:rsidRPr="00CB2C86">
        <w:t>нат и душевых. Эти программы встречают положительный отклик квартир</w:t>
      </w:r>
      <w:r w:rsidRPr="00CB2C86">
        <w:t>о</w:t>
      </w:r>
      <w:r w:rsidRPr="00CB2C86">
        <w:t>съемщиков и общественности.</w:t>
      </w:r>
    </w:p>
    <w:p w:rsidR="00F936A8" w:rsidRPr="00CB2C86" w:rsidRDefault="00F936A8" w:rsidP="00F91733">
      <w:pPr>
        <w:pStyle w:val="SingleTxtGR"/>
        <w:tabs>
          <w:tab w:val="clear" w:pos="1701"/>
          <w:tab w:val="clear" w:pos="2268"/>
          <w:tab w:val="left" w:pos="1980"/>
          <w:tab w:val="left" w:pos="2520"/>
        </w:tabs>
      </w:pPr>
      <w:r w:rsidRPr="00CB2C86">
        <w:t>11.52</w:t>
      </w:r>
      <w:r w:rsidRPr="00CB2C86">
        <w:tab/>
        <w:t>Чтобы еще больше улучшить пешеходную доступность, особенно к государственным жилым комплексам, построенным на холмах, которая обычно обеспечивается с помощью лестниц, соединяющих разные площадки в гран</w:t>
      </w:r>
      <w:r w:rsidRPr="00CB2C86">
        <w:t>и</w:t>
      </w:r>
      <w:r w:rsidRPr="00CB2C86">
        <w:t>цах комплекса или с соседними комплексами или общественной дорогой, в п</w:t>
      </w:r>
      <w:r w:rsidRPr="00CB2C86">
        <w:t>о</w:t>
      </w:r>
      <w:r w:rsidRPr="00CB2C86">
        <w:t>следние два</w:t>
      </w:r>
      <w:r w:rsidR="00B92291">
        <w:t> год</w:t>
      </w:r>
      <w:r w:rsidRPr="00CB2C86">
        <w:t>а Жилищное управление устанавливает лифты или эскалаторы в некоторых из этих комплексах. Жилищное управление стремится применять целостный подход при разработке общей программы работ в дополнение к с</w:t>
      </w:r>
      <w:r w:rsidRPr="00CB2C86">
        <w:t>о</w:t>
      </w:r>
      <w:r w:rsidRPr="00CB2C86">
        <w:t>оружению шахт лифтов, эскалаторов, надземных пешеходных переходов и др</w:t>
      </w:r>
      <w:r w:rsidRPr="00CB2C86">
        <w:t>у</w:t>
      </w:r>
      <w:r w:rsidRPr="00CB2C86">
        <w:t>гих работ по совершенствованию подъемных конструкций в построенных гос</w:t>
      </w:r>
      <w:r w:rsidRPr="00CB2C86">
        <w:t>у</w:t>
      </w:r>
      <w:r w:rsidRPr="00CB2C86">
        <w:t>дарственных жилых комплексах с целью упростить движение пешеходов и со</w:t>
      </w:r>
      <w:r w:rsidRPr="00CB2C86">
        <w:t>з</w:t>
      </w:r>
      <w:r w:rsidRPr="00CB2C86">
        <w:t xml:space="preserve">дать </w:t>
      </w:r>
      <w:proofErr w:type="spellStart"/>
      <w:r w:rsidRPr="00CB2C86">
        <w:t>безбарьерную</w:t>
      </w:r>
      <w:proofErr w:type="spellEnd"/>
      <w:r w:rsidRPr="00CB2C86">
        <w:t xml:space="preserve"> среду для ЛОВ и престарелых. Эту программу планируется завершить к 2012</w:t>
      </w:r>
      <w:r w:rsidR="00B92291">
        <w:t> год</w:t>
      </w:r>
      <w:r w:rsidRPr="00CB2C86">
        <w:t>у.</w:t>
      </w:r>
    </w:p>
    <w:p w:rsidR="00F936A8" w:rsidRPr="00CB2C86" w:rsidRDefault="00F936A8" w:rsidP="00F91733">
      <w:pPr>
        <w:pStyle w:val="SingleTxtGR"/>
        <w:tabs>
          <w:tab w:val="clear" w:pos="1701"/>
          <w:tab w:val="clear" w:pos="2268"/>
          <w:tab w:val="left" w:pos="1980"/>
          <w:tab w:val="left" w:pos="2520"/>
        </w:tabs>
      </w:pPr>
      <w:r w:rsidRPr="00CB2C86">
        <w:t>11.53</w:t>
      </w:r>
      <w:r w:rsidRPr="00CB2C86">
        <w:tab/>
        <w:t>Мы осуществляем различные первоочередные программы в интересах одиноких престарелых, престарелых, живущих с другими престарелыми, или проживающих в своих семьях престарелых людей, чтобы сократить для них время ожидания в очереди.</w:t>
      </w:r>
    </w:p>
    <w:p w:rsidR="00F936A8" w:rsidRPr="00CB2C86" w:rsidRDefault="00F936A8" w:rsidP="00F91733">
      <w:pPr>
        <w:pStyle w:val="SingleTxtGR"/>
        <w:tabs>
          <w:tab w:val="clear" w:pos="1701"/>
          <w:tab w:val="clear" w:pos="2268"/>
          <w:tab w:val="left" w:pos="1980"/>
          <w:tab w:val="left" w:pos="2520"/>
        </w:tabs>
      </w:pPr>
      <w:r w:rsidRPr="00CB2C86">
        <w:t>11.54</w:t>
      </w:r>
      <w:r w:rsidRPr="00CB2C86">
        <w:tab/>
        <w:t>Что касается ЛОВ, то мы намерены предоставлять им квартиры на этажах с лифтами и выделять квартиры большего размера домохозяйствам с прикова</w:t>
      </w:r>
      <w:r w:rsidRPr="00CB2C86">
        <w:t>н</w:t>
      </w:r>
      <w:r w:rsidRPr="00CB2C86">
        <w:t xml:space="preserve">ным к инвалидной коляске инвалидом(ми) или больными с диагнозом </w:t>
      </w:r>
      <w:proofErr w:type="spellStart"/>
      <w:r w:rsidRPr="00CB2C86">
        <w:t>тетрапл</w:t>
      </w:r>
      <w:r w:rsidRPr="00CB2C86">
        <w:t>е</w:t>
      </w:r>
      <w:r w:rsidRPr="00CB2C86">
        <w:t>гия</w:t>
      </w:r>
      <w:proofErr w:type="spellEnd"/>
      <w:r w:rsidRPr="00CB2C86">
        <w:t>. Адресное выделение квартир или перепланировка могут быть также организованы в случае необходимости и для лиц, страдающих другими физическими недостатками при предъявлении медицинской справки и по рек</w:t>
      </w:r>
      <w:r w:rsidRPr="00CB2C86">
        <w:t>о</w:t>
      </w:r>
      <w:r w:rsidRPr="00CB2C86">
        <w:t>мендации врачей.</w:t>
      </w:r>
    </w:p>
    <w:p w:rsidR="00F936A8" w:rsidRPr="00CB2C86" w:rsidRDefault="00F936A8" w:rsidP="00F91733">
      <w:pPr>
        <w:pStyle w:val="H23GR"/>
        <w:tabs>
          <w:tab w:val="left" w:pos="1980"/>
          <w:tab w:val="left" w:pos="2520"/>
        </w:tabs>
      </w:pPr>
      <w:r w:rsidRPr="00CB2C86">
        <w:tab/>
      </w:r>
      <w:r w:rsidRPr="00CB2C86">
        <w:tab/>
        <w:t>Реконструкция городов</w:t>
      </w:r>
    </w:p>
    <w:p w:rsidR="00F936A8" w:rsidRPr="00CB2C86" w:rsidRDefault="00F936A8" w:rsidP="00F91733">
      <w:pPr>
        <w:pStyle w:val="SingleTxtGR"/>
        <w:tabs>
          <w:tab w:val="clear" w:pos="1701"/>
          <w:tab w:val="clear" w:pos="2268"/>
          <w:tab w:val="left" w:pos="1980"/>
          <w:tab w:val="left" w:pos="2520"/>
        </w:tabs>
      </w:pPr>
      <w:r w:rsidRPr="00CB2C86">
        <w:t>11.55</w:t>
      </w:r>
      <w:r w:rsidRPr="00CB2C86">
        <w:tab/>
        <w:t>Положение в основном остается таким же, как оно описано в пун</w:t>
      </w:r>
      <w:r w:rsidRPr="00CB2C86">
        <w:t>к</w:t>
      </w:r>
      <w:r w:rsidRPr="00CB2C86">
        <w:t>тах</w:t>
      </w:r>
      <w:r w:rsidR="00963F7A">
        <w:t> </w:t>
      </w:r>
      <w:r w:rsidRPr="00CB2C86">
        <w:t>11.25</w:t>
      </w:r>
      <w:r>
        <w:t>−</w:t>
      </w:r>
      <w:r w:rsidRPr="00CB2C86">
        <w:t>11.27 предыдущего доклада. Задачи политики правительства в обла</w:t>
      </w:r>
      <w:r w:rsidRPr="00CB2C86">
        <w:t>с</w:t>
      </w:r>
      <w:r w:rsidRPr="00CB2C86">
        <w:t>ти реконструкции города заключаются в том, чтобы остановить процесс упадка, улучшить условия жизни жителей в старых городских районах и добиться б</w:t>
      </w:r>
      <w:r w:rsidRPr="00CB2C86">
        <w:t>о</w:t>
      </w:r>
      <w:r w:rsidRPr="00CB2C86">
        <w:t>лее рационального использования земли в обветшавших районах для создания застроенной среды, удовлетворяющей различные социально-экономические п</w:t>
      </w:r>
      <w:r w:rsidRPr="00CB2C86">
        <w:t>о</w:t>
      </w:r>
      <w:r w:rsidRPr="00CB2C86">
        <w:t>требности и потребности развития. В мае 2001</w:t>
      </w:r>
      <w:r w:rsidR="00B92291">
        <w:t> год</w:t>
      </w:r>
      <w:r w:rsidRPr="00CB2C86">
        <w:t xml:space="preserve">а для выполнения этих задач правительство в соответствии с Указом о создании Управления по городской реконструкции </w:t>
      </w:r>
      <w:r>
        <w:t>(глава </w:t>
      </w:r>
      <w:r w:rsidRPr="00CB2C86">
        <w:t>563) учредило Управление по городской реконструкции. В</w:t>
      </w:r>
      <w:r>
        <w:t> </w:t>
      </w:r>
      <w:r w:rsidRPr="00CB2C86">
        <w:t>ноябре 2001</w:t>
      </w:r>
      <w:r w:rsidR="00B92291">
        <w:t> год</w:t>
      </w:r>
      <w:r w:rsidRPr="00CB2C86">
        <w:t>а правительство после активных консультаций с обществе</w:t>
      </w:r>
      <w:r w:rsidRPr="00CB2C86">
        <w:t>н</w:t>
      </w:r>
      <w:r w:rsidRPr="00CB2C86">
        <w:t>ностью опубликовало стратегию городской реконструкции, чтобы заложить широкую политическую основу для руководства работой Управления. Управл</w:t>
      </w:r>
      <w:r w:rsidRPr="00CB2C86">
        <w:t>е</w:t>
      </w:r>
      <w:r w:rsidRPr="00CB2C86">
        <w:t>ние применяет комплексный подход к реконструкции старых городских ра</w:t>
      </w:r>
      <w:r w:rsidRPr="00CB2C86">
        <w:t>й</w:t>
      </w:r>
      <w:r w:rsidRPr="00CB2C86">
        <w:t>онов, включая перестройку обветшавших зданий, обновление старых зданий, восст</w:t>
      </w:r>
      <w:r w:rsidRPr="00CB2C86">
        <w:t>а</w:t>
      </w:r>
      <w:r w:rsidRPr="00CB2C86">
        <w:t>новление старых округов и сохранение зданий, имеющих историческую, культурную или архитектурную ценность в охваченных реконструкцией ра</w:t>
      </w:r>
      <w:r w:rsidRPr="00CB2C86">
        <w:t>й</w:t>
      </w:r>
      <w:r w:rsidRPr="00CB2C86">
        <w:t>онах. По состоянию на конец 2009</w:t>
      </w:r>
      <w:r w:rsidR="00B92291">
        <w:t> год</w:t>
      </w:r>
      <w:r w:rsidRPr="00CB2C86">
        <w:t>а Управление по городской реконстру</w:t>
      </w:r>
      <w:r w:rsidRPr="00CB2C86">
        <w:t>к</w:t>
      </w:r>
      <w:r w:rsidRPr="00CB2C86">
        <w:t>ции и его стратегический партнер в лице Общества по вопросам жилья Гонко</w:t>
      </w:r>
      <w:r w:rsidRPr="00CB2C86">
        <w:t>н</w:t>
      </w:r>
      <w:r w:rsidRPr="00CB2C86">
        <w:t>га ре</w:t>
      </w:r>
      <w:r w:rsidRPr="00CB2C86">
        <w:t>а</w:t>
      </w:r>
      <w:r w:rsidRPr="00CB2C86">
        <w:t>лизовывали 37 проектов перепланировки и новой застройки и четыре проекта по сохранению городского наследия, охватывающих 670 существу</w:t>
      </w:r>
      <w:r w:rsidRPr="00CB2C86">
        <w:t>ю</w:t>
      </w:r>
      <w:r w:rsidRPr="00CB2C86">
        <w:t>щих зданий. Нормативная и административная база, защищающая право на компенсацию домовладельцев и квартиросъемщиков, затронутых возобновл</w:t>
      </w:r>
      <w:r w:rsidRPr="00CB2C86">
        <w:t>е</w:t>
      </w:r>
      <w:r w:rsidRPr="00CB2C86">
        <w:t>нием работ, не изменилась со времени предыдущего доклада.</w:t>
      </w:r>
    </w:p>
    <w:p w:rsidR="00F936A8" w:rsidRPr="00CB2C86" w:rsidRDefault="00F936A8" w:rsidP="00F91733">
      <w:pPr>
        <w:pStyle w:val="SingleTxtGR"/>
        <w:tabs>
          <w:tab w:val="clear" w:pos="1701"/>
          <w:tab w:val="clear" w:pos="2268"/>
          <w:tab w:val="left" w:pos="1980"/>
          <w:tab w:val="left" w:pos="2520"/>
        </w:tabs>
      </w:pPr>
      <w:r w:rsidRPr="00CB2C86">
        <w:t>11.56</w:t>
      </w:r>
      <w:r w:rsidRPr="00CB2C86">
        <w:tab/>
        <w:t>Некоторые комментаторы выразили озабоченность, что план реконс</w:t>
      </w:r>
      <w:r w:rsidRPr="00CB2C86">
        <w:t>т</w:t>
      </w:r>
      <w:r w:rsidRPr="00CB2C86">
        <w:t>рукции города и проект развития железнодорожной сети в последние</w:t>
      </w:r>
      <w:r w:rsidR="00B92291">
        <w:t> год</w:t>
      </w:r>
      <w:r w:rsidRPr="00CB2C86">
        <w:t>ы м</w:t>
      </w:r>
      <w:r w:rsidRPr="00CB2C86">
        <w:t>о</w:t>
      </w:r>
      <w:r w:rsidRPr="00CB2C86">
        <w:t>гут затронуть право жителей на жилище. Чтобы реагировать на меняющиеся ожидания общественности в отношении реконструкции города, с июля 2008</w:t>
      </w:r>
      <w:r w:rsidR="00B92291">
        <w:t> год</w:t>
      </w:r>
      <w:r w:rsidRPr="00CB2C86">
        <w:t>а правительство осуществляет всеобъемлющий обзор стратегии горо</w:t>
      </w:r>
      <w:r w:rsidRPr="00CB2C86">
        <w:t>д</w:t>
      </w:r>
      <w:r w:rsidRPr="00CB2C86">
        <w:t>ской реконструкции при активном и обстоятельном участии общественности. Этот обзор будет закончен в 2010</w:t>
      </w:r>
      <w:r w:rsidR="00B92291">
        <w:t> год</w:t>
      </w:r>
      <w:r w:rsidRPr="00CB2C86">
        <w:t>у. Стратегия городской реконструкции б</w:t>
      </w:r>
      <w:r w:rsidRPr="00CB2C86">
        <w:t>у</w:t>
      </w:r>
      <w:r w:rsidRPr="00CB2C86">
        <w:t>дет пер</w:t>
      </w:r>
      <w:r w:rsidRPr="00CB2C86">
        <w:t>е</w:t>
      </w:r>
      <w:r w:rsidRPr="00CB2C86">
        <w:t>смотрена с учетом результатов этого обзора.</w:t>
      </w:r>
    </w:p>
    <w:p w:rsidR="00F936A8" w:rsidRPr="00CB2C86" w:rsidRDefault="00F936A8" w:rsidP="00F91733">
      <w:pPr>
        <w:pStyle w:val="H23GR"/>
        <w:tabs>
          <w:tab w:val="left" w:pos="1980"/>
          <w:tab w:val="left" w:pos="2520"/>
        </w:tabs>
      </w:pPr>
      <w:r w:rsidRPr="00CB2C86">
        <w:tab/>
      </w:r>
      <w:r w:rsidRPr="00CB2C86">
        <w:tab/>
        <w:t>Городская планировка</w:t>
      </w:r>
    </w:p>
    <w:p w:rsidR="00F936A8" w:rsidRPr="00CB2C86" w:rsidRDefault="00F936A8" w:rsidP="00F91733">
      <w:pPr>
        <w:pStyle w:val="SingleTxtGR"/>
        <w:tabs>
          <w:tab w:val="clear" w:pos="1701"/>
          <w:tab w:val="clear" w:pos="2268"/>
          <w:tab w:val="left" w:pos="1980"/>
          <w:tab w:val="left" w:pos="2520"/>
        </w:tabs>
      </w:pPr>
      <w:r w:rsidRPr="00CB2C86">
        <w:t>11.57</w:t>
      </w:r>
      <w:r w:rsidRPr="00CB2C86">
        <w:tab/>
        <w:t>Как уже отмечалось в пункте 11.28 предыдущего доклада, учитывая полученные замечания о предлагаемом законодательстве, в мае 2003</w:t>
      </w:r>
      <w:r w:rsidR="00B92291">
        <w:t> год</w:t>
      </w:r>
      <w:r w:rsidRPr="00CB2C86">
        <w:t>а мы представили ЗС законопроект о городской планировке (с поправкой) 2003</w:t>
      </w:r>
      <w:r w:rsidR="00B92291">
        <w:t> год</w:t>
      </w:r>
      <w:r w:rsidRPr="00CB2C86">
        <w:t>а, который впоследствии был принят 7 июля 2004</w:t>
      </w:r>
      <w:r w:rsidR="00B92291">
        <w:t> год</w:t>
      </w:r>
      <w:r w:rsidRPr="00CB2C86">
        <w:t>а. Основные задачи Указа о городской планировке (с поправкой) 2004</w:t>
      </w:r>
      <w:r w:rsidR="00B92291">
        <w:t> год</w:t>
      </w:r>
      <w:r w:rsidRPr="00CB2C86">
        <w:t>а заключаются в оптимизации процесса планирования и процедур утверждения плана, повысить открытость и прозрачность системы планирования и усилить контроль исполнения  планир</w:t>
      </w:r>
      <w:r w:rsidRPr="00CB2C86">
        <w:t>о</w:t>
      </w:r>
      <w:r w:rsidRPr="00CB2C86">
        <w:t>вочных решений в сельских Новых территориях. Измененный Указ вступил в силу 10 июня 2005</w:t>
      </w:r>
      <w:r w:rsidR="00B92291">
        <w:t> год</w:t>
      </w:r>
      <w:r w:rsidRPr="00CB2C86">
        <w:t>а.</w:t>
      </w:r>
    </w:p>
    <w:p w:rsidR="00F936A8" w:rsidRPr="00CB2C86" w:rsidRDefault="00F936A8" w:rsidP="00F91733">
      <w:pPr>
        <w:pStyle w:val="SingleTxtGR"/>
        <w:tabs>
          <w:tab w:val="clear" w:pos="1701"/>
          <w:tab w:val="clear" w:pos="2268"/>
          <w:tab w:val="left" w:pos="1980"/>
          <w:tab w:val="left" w:pos="2520"/>
        </w:tabs>
      </w:pPr>
      <w:r w:rsidRPr="00CB2C86">
        <w:t>11.58</w:t>
      </w:r>
      <w:r w:rsidRPr="00CB2C86">
        <w:tab/>
        <w:t>После принятия Указа о городской планировке (с поправкой) 2004</w:t>
      </w:r>
      <w:r w:rsidR="00B92291">
        <w:t> год</w:t>
      </w:r>
      <w:r w:rsidRPr="00CB2C86">
        <w:t>а в июне 2005</w:t>
      </w:r>
      <w:r w:rsidR="00B92291">
        <w:t> год</w:t>
      </w:r>
      <w:r w:rsidRPr="00CB2C86">
        <w:t>а система планировки стала более открытой и прозрачной, а у общественности появилось больше возможностей для участия в процессе пл</w:t>
      </w:r>
      <w:r w:rsidRPr="00CB2C86">
        <w:t>а</w:t>
      </w:r>
      <w:r w:rsidRPr="00CB2C86">
        <w:t>нирования. Все документы, направленные в Городской планировочный совет (ГПС), включая обращения о планировке и чертежи к планам города, а также обращения о внесении поправок в этот план, теперь доступны для рассмотр</w:t>
      </w:r>
      <w:r w:rsidRPr="00CB2C86">
        <w:t>е</w:t>
      </w:r>
      <w:r w:rsidRPr="00CB2C86">
        <w:t>ния и замечаний общественности. Все заседания ГПС и его комитетов (за и</w:t>
      </w:r>
      <w:r w:rsidRPr="00CB2C86">
        <w:t>с</w:t>
      </w:r>
      <w:r w:rsidRPr="00CB2C86">
        <w:t>ключением совещаний за закрытыми дверями и особых случаев, как это проп</w:t>
      </w:r>
      <w:r w:rsidRPr="00CB2C86">
        <w:t>и</w:t>
      </w:r>
      <w:r w:rsidRPr="00CB2C86">
        <w:t>сано в процедуре и практике ГПС) доступны для общественности. Все док</w:t>
      </w:r>
      <w:r w:rsidRPr="00CB2C86">
        <w:t>у</w:t>
      </w:r>
      <w:r w:rsidRPr="00CB2C86">
        <w:t>менты и протоколы (за исключением особых случаев, как это прописано в пр</w:t>
      </w:r>
      <w:r w:rsidRPr="00CB2C86">
        <w:t>о</w:t>
      </w:r>
      <w:r w:rsidRPr="00CB2C86">
        <w:t>цедуре и практике ГПС) также доступны для общественности. Кроме того</w:t>
      </w:r>
      <w:r w:rsidR="00963F7A">
        <w:t>,</w:t>
      </w:r>
      <w:r w:rsidRPr="00CB2C86">
        <w:t xml:space="preserve"> п</w:t>
      </w:r>
      <w:r w:rsidRPr="00CB2C86">
        <w:t>е</w:t>
      </w:r>
      <w:r w:rsidRPr="00CB2C86">
        <w:t>ред подготовкой утвержденных в соответствии с законом планировочных г</w:t>
      </w:r>
      <w:r w:rsidRPr="00CB2C86">
        <w:t>о</w:t>
      </w:r>
      <w:r w:rsidRPr="00CB2C86">
        <w:t>родских планов проводятся планировочные исследования. Всегда приветствуе</w:t>
      </w:r>
      <w:r w:rsidRPr="00CB2C86">
        <w:t>т</w:t>
      </w:r>
      <w:r w:rsidRPr="00CB2C86">
        <w:t>ся активное участие общественности на разных этапах этих исследований в форме общественных форумов, через Интернет, выставок и встреч с заинтер</w:t>
      </w:r>
      <w:r w:rsidRPr="00CB2C86">
        <w:t>е</w:t>
      </w:r>
      <w:r w:rsidRPr="00CB2C86">
        <w:t>сованными сторонами.</w:t>
      </w:r>
    </w:p>
    <w:p w:rsidR="00F936A8" w:rsidRPr="00CB2C86" w:rsidRDefault="00F936A8" w:rsidP="00F91733">
      <w:pPr>
        <w:pStyle w:val="SingleTxtGR"/>
        <w:tabs>
          <w:tab w:val="clear" w:pos="1701"/>
          <w:tab w:val="clear" w:pos="2268"/>
          <w:tab w:val="left" w:pos="1980"/>
          <w:tab w:val="left" w:pos="2520"/>
        </w:tabs>
      </w:pPr>
      <w:r w:rsidRPr="00CB2C86">
        <w:t>11.59</w:t>
      </w:r>
      <w:r w:rsidRPr="00CB2C86">
        <w:tab/>
        <w:t>Некоторые комментаторы предложили учитывать в городской план</w:t>
      </w:r>
      <w:r w:rsidRPr="00CB2C86">
        <w:t>и</w:t>
      </w:r>
      <w:r w:rsidRPr="00CB2C86">
        <w:t>ровке  большое значение рекреационной составляющей. Порядок землепольз</w:t>
      </w:r>
      <w:r w:rsidRPr="00CB2C86">
        <w:t>о</w:t>
      </w:r>
      <w:r w:rsidRPr="00CB2C86">
        <w:t>вания и нормы выделения открытого пространства, а также участки под такие государственные, медицинские или общественные объекты, как библиотека и спорти</w:t>
      </w:r>
      <w:r w:rsidRPr="00CB2C86">
        <w:t>в</w:t>
      </w:r>
      <w:r w:rsidRPr="00CB2C86">
        <w:t>ный зал в Гонконге, изложены в городских планах и планировочных нормах и руководствах Гонконга. Порядок выделения земли под государстве</w:t>
      </w:r>
      <w:r w:rsidRPr="00CB2C86">
        <w:t>н</w:t>
      </w:r>
      <w:r w:rsidRPr="00CB2C86">
        <w:t>ные, медицинские или общественные объекты и руководства по выделению з</w:t>
      </w:r>
      <w:r w:rsidRPr="00CB2C86">
        <w:t>е</w:t>
      </w:r>
      <w:r w:rsidRPr="00CB2C86">
        <w:t>мельных участков периодически пересматриваются и обновляются с учетом изменения спроса на земли определенной категории, численности населения, ожиданий общественности и спроса на рекреационные объекты.</w:t>
      </w:r>
    </w:p>
    <w:p w:rsidR="00F936A8" w:rsidRPr="00CB2C86" w:rsidRDefault="00F936A8" w:rsidP="00F91733">
      <w:pPr>
        <w:pStyle w:val="H23GR"/>
        <w:tabs>
          <w:tab w:val="left" w:pos="1980"/>
          <w:tab w:val="left" w:pos="2520"/>
        </w:tabs>
      </w:pPr>
      <w:r w:rsidRPr="00CB2C86">
        <w:tab/>
      </w:r>
      <w:r w:rsidRPr="00CB2C86">
        <w:tab/>
        <w:t>Новые города</w:t>
      </w:r>
    </w:p>
    <w:p w:rsidR="00F936A8" w:rsidRPr="00CB2C86" w:rsidRDefault="00F936A8" w:rsidP="00F91733">
      <w:pPr>
        <w:pStyle w:val="SingleTxtGR"/>
        <w:tabs>
          <w:tab w:val="clear" w:pos="1701"/>
          <w:tab w:val="clear" w:pos="2268"/>
          <w:tab w:val="left" w:pos="1980"/>
          <w:tab w:val="left" w:pos="2520"/>
        </w:tabs>
      </w:pPr>
      <w:r w:rsidRPr="00CB2C86">
        <w:t>11.60</w:t>
      </w:r>
      <w:r w:rsidRPr="00CB2C86">
        <w:tab/>
        <w:t xml:space="preserve">В начале </w:t>
      </w:r>
      <w:r w:rsidR="00963F7A">
        <w:t>19</w:t>
      </w:r>
      <w:r w:rsidRPr="00CB2C86">
        <w:t>70-х</w:t>
      </w:r>
      <w:r w:rsidR="00B92291">
        <w:t> год</w:t>
      </w:r>
      <w:r w:rsidRPr="00CB2C86">
        <w:t>ов на Новых Территориях началась крупнома</w:t>
      </w:r>
      <w:r w:rsidRPr="00CB2C86">
        <w:t>с</w:t>
      </w:r>
      <w:r w:rsidRPr="00CB2C86">
        <w:t xml:space="preserve">штабная новая городская застройка. В настоящее время на различных этапах застройки находятся девять новых городов, а именно: </w:t>
      </w:r>
      <w:proofErr w:type="spellStart"/>
      <w:r w:rsidRPr="00CB2C86">
        <w:t>Цуен</w:t>
      </w:r>
      <w:proofErr w:type="spellEnd"/>
      <w:r w:rsidRPr="00CB2C86">
        <w:t xml:space="preserve"> Ван, Ша Тин, </w:t>
      </w:r>
      <w:proofErr w:type="spellStart"/>
      <w:r w:rsidRPr="00CB2C86">
        <w:t>Туен</w:t>
      </w:r>
      <w:proofErr w:type="spellEnd"/>
      <w:r w:rsidRPr="00CB2C86">
        <w:t xml:space="preserve"> </w:t>
      </w:r>
      <w:proofErr w:type="spellStart"/>
      <w:r w:rsidRPr="00CB2C86">
        <w:t>Мун</w:t>
      </w:r>
      <w:proofErr w:type="spellEnd"/>
      <w:r w:rsidRPr="00CB2C86">
        <w:t xml:space="preserve">, Тай По, </w:t>
      </w:r>
      <w:proofErr w:type="spellStart"/>
      <w:r w:rsidRPr="00CB2C86">
        <w:t>Йен</w:t>
      </w:r>
      <w:proofErr w:type="spellEnd"/>
      <w:r w:rsidRPr="00CB2C86">
        <w:t xml:space="preserve"> Лонг, </w:t>
      </w:r>
      <w:proofErr w:type="spellStart"/>
      <w:r w:rsidRPr="00CB2C86">
        <w:t>Фанлин</w:t>
      </w:r>
      <w:proofErr w:type="spellEnd"/>
      <w:r w:rsidRPr="00CB2C86">
        <w:t>/</w:t>
      </w:r>
      <w:proofErr w:type="spellStart"/>
      <w:r w:rsidRPr="00CB2C86">
        <w:t>Сеуншуй</w:t>
      </w:r>
      <w:proofErr w:type="spellEnd"/>
      <w:r w:rsidRPr="00CB2C86">
        <w:t xml:space="preserve">, </w:t>
      </w:r>
      <w:proofErr w:type="spellStart"/>
      <w:r w:rsidRPr="00CB2C86">
        <w:t>Цеунг</w:t>
      </w:r>
      <w:proofErr w:type="spellEnd"/>
      <w:r w:rsidRPr="00CB2C86">
        <w:t xml:space="preserve"> </w:t>
      </w:r>
      <w:proofErr w:type="spellStart"/>
      <w:r w:rsidRPr="00CB2C86">
        <w:t>Кван-О</w:t>
      </w:r>
      <w:proofErr w:type="spellEnd"/>
      <w:r w:rsidRPr="00CB2C86">
        <w:t xml:space="preserve">, Тин </w:t>
      </w:r>
      <w:proofErr w:type="spellStart"/>
      <w:r w:rsidRPr="00CB2C86">
        <w:t>Шуй</w:t>
      </w:r>
      <w:proofErr w:type="spellEnd"/>
      <w:r w:rsidRPr="00CB2C86">
        <w:t xml:space="preserve"> </w:t>
      </w:r>
      <w:proofErr w:type="spellStart"/>
      <w:r w:rsidRPr="00CB2C86">
        <w:t>Вай</w:t>
      </w:r>
      <w:proofErr w:type="spellEnd"/>
      <w:r w:rsidRPr="00CB2C86">
        <w:t xml:space="preserve"> и С</w:t>
      </w:r>
      <w:r w:rsidRPr="00CB2C86">
        <w:t>е</w:t>
      </w:r>
      <w:r w:rsidRPr="00CB2C86">
        <w:t xml:space="preserve">верный </w:t>
      </w:r>
      <w:proofErr w:type="spellStart"/>
      <w:r w:rsidRPr="00CB2C86">
        <w:t>Лантау</w:t>
      </w:r>
      <w:proofErr w:type="spellEnd"/>
      <w:r w:rsidRPr="00CB2C86">
        <w:t>, и после полной застройки в них будут проживать четыре ми</w:t>
      </w:r>
      <w:r w:rsidRPr="00CB2C86">
        <w:t>л</w:t>
      </w:r>
      <w:r w:rsidRPr="00CB2C86">
        <w:t>лиона человек. Крупномасштабные новые города больше не будут застраиват</w:t>
      </w:r>
      <w:r w:rsidRPr="00CB2C86">
        <w:t>ь</w:t>
      </w:r>
      <w:r w:rsidRPr="00CB2C86">
        <w:t>ся, пока не будут застроены новые жилые районы со средней плотностью з</w:t>
      </w:r>
      <w:r w:rsidRPr="00CB2C86">
        <w:t>а</w:t>
      </w:r>
      <w:r w:rsidRPr="00CB2C86">
        <w:t>стройки в Кай Так и на севере-востоке Новых Территорий.</w:t>
      </w:r>
    </w:p>
    <w:p w:rsidR="00F936A8" w:rsidRPr="00496EF1" w:rsidRDefault="00F936A8" w:rsidP="00F91733">
      <w:pPr>
        <w:pStyle w:val="H23GR"/>
        <w:tabs>
          <w:tab w:val="left" w:pos="1980"/>
          <w:tab w:val="left" w:pos="2520"/>
        </w:tabs>
      </w:pPr>
      <w:r w:rsidRPr="00496EF1">
        <w:tab/>
      </w:r>
      <w:r w:rsidRPr="00496EF1">
        <w:tab/>
        <w:t>Гонконг 2030: Видение и стратегия планировки</w:t>
      </w:r>
    </w:p>
    <w:p w:rsidR="00F936A8" w:rsidRPr="00CB2C86" w:rsidRDefault="00F936A8" w:rsidP="00F91733">
      <w:pPr>
        <w:pStyle w:val="SingleTxtGR"/>
        <w:tabs>
          <w:tab w:val="clear" w:pos="1701"/>
          <w:tab w:val="clear" w:pos="2268"/>
          <w:tab w:val="left" w:pos="1980"/>
          <w:tab w:val="left" w:pos="2520"/>
        </w:tabs>
      </w:pPr>
      <w:r w:rsidRPr="00CB2C86">
        <w:t>11.61</w:t>
      </w:r>
      <w:r w:rsidRPr="00CB2C86">
        <w:tab/>
        <w:t>В пунктах 11.30 и 11.31 предыдущего доклада мы разъяснили, что и</w:t>
      </w:r>
      <w:r w:rsidRPr="00CB2C86">
        <w:t>с</w:t>
      </w:r>
      <w:r w:rsidRPr="00CB2C86">
        <w:t xml:space="preserve">следование </w:t>
      </w:r>
      <w:r>
        <w:t>"</w:t>
      </w:r>
      <w:r w:rsidRPr="00CB2C86">
        <w:t>Гонконг 2030: Видение и стратегия планировки</w:t>
      </w:r>
      <w:r>
        <w:t>"</w:t>
      </w:r>
      <w:r w:rsidRPr="00CB2C86">
        <w:t xml:space="preserve"> проводится с ц</w:t>
      </w:r>
      <w:r w:rsidRPr="00CB2C86">
        <w:t>е</w:t>
      </w:r>
      <w:r w:rsidRPr="00CB2C86">
        <w:t>лью сформулировать обновленную комплексную стратегию развития, земл</w:t>
      </w:r>
      <w:r w:rsidRPr="00CB2C86">
        <w:t>е</w:t>
      </w:r>
      <w:r w:rsidRPr="00CB2C86">
        <w:t>пользования, развития транспорта и защиты окружающей среды, которой нео</w:t>
      </w:r>
      <w:r w:rsidRPr="00CB2C86">
        <w:t>б</w:t>
      </w:r>
      <w:r w:rsidRPr="00CB2C86">
        <w:t>ходимо будет руководствоваться при развитии Гонконга до 2030</w:t>
      </w:r>
      <w:r w:rsidR="00B92291">
        <w:t> год</w:t>
      </w:r>
      <w:r w:rsidRPr="00CB2C86">
        <w:t>а. Исслед</w:t>
      </w:r>
      <w:r w:rsidRPr="00CB2C86">
        <w:t>о</w:t>
      </w:r>
      <w:r w:rsidRPr="00CB2C86">
        <w:t>вание было завершено, а его результаты были обнародованы в октябре 2007</w:t>
      </w:r>
      <w:r w:rsidR="00B92291">
        <w:t> год</w:t>
      </w:r>
      <w:r w:rsidRPr="00CB2C86">
        <w:t>а. В</w:t>
      </w:r>
      <w:r>
        <w:t> </w:t>
      </w:r>
      <w:r w:rsidRPr="00CB2C86">
        <w:t>главную основу исследования была положена концепция устойч</w:t>
      </w:r>
      <w:r w:rsidRPr="00CB2C86">
        <w:t>и</w:t>
      </w:r>
      <w:r w:rsidRPr="00CB2C86">
        <w:t>вого развития. Рекомендованная стратегия, сосредоточенная на трех широких направл</w:t>
      </w:r>
      <w:r w:rsidRPr="00CB2C86">
        <w:t>е</w:t>
      </w:r>
      <w:r w:rsidRPr="00CB2C86">
        <w:t>ниях, а именно</w:t>
      </w:r>
      <w:r w:rsidR="00963F7A">
        <w:t>:</w:t>
      </w:r>
      <w:r w:rsidRPr="00CB2C86">
        <w:t xml:space="preserve"> улучшение качества жизни, повышение экономической конкурентоспособности и укрепление связей с материковым Китаем, </w:t>
      </w:r>
      <w:r w:rsidR="00043126">
        <w:t xml:space="preserve">− </w:t>
      </w:r>
      <w:r w:rsidRPr="00CB2C86">
        <w:t>пресл</w:t>
      </w:r>
      <w:r w:rsidRPr="00CB2C86">
        <w:t>е</w:t>
      </w:r>
      <w:r w:rsidRPr="00CB2C86">
        <w:t xml:space="preserve">дует цель содействовать Гонконгу в реализации его видения как </w:t>
      </w:r>
      <w:r>
        <w:t>"</w:t>
      </w:r>
      <w:r w:rsidRPr="00CB2C86">
        <w:t>всемирного города Азии</w:t>
      </w:r>
      <w:r>
        <w:t>"</w:t>
      </w:r>
      <w:r w:rsidRPr="00CB2C86">
        <w:t>.</w:t>
      </w:r>
    </w:p>
    <w:p w:rsidR="00F936A8" w:rsidRPr="00496EF1" w:rsidRDefault="00F936A8" w:rsidP="00F91733">
      <w:pPr>
        <w:pStyle w:val="H23GR"/>
        <w:tabs>
          <w:tab w:val="left" w:pos="1980"/>
          <w:tab w:val="left" w:pos="2520"/>
        </w:tabs>
      </w:pPr>
      <w:r w:rsidRPr="00496EF1">
        <w:tab/>
      </w:r>
      <w:r w:rsidRPr="00496EF1">
        <w:tab/>
        <w:t>Меры по оказанию помощи лицам, нуждающимся в достато</w:t>
      </w:r>
      <w:r w:rsidRPr="00496EF1">
        <w:t>ч</w:t>
      </w:r>
      <w:r w:rsidRPr="00496EF1">
        <w:t>ном жилище</w:t>
      </w:r>
    </w:p>
    <w:p w:rsidR="00F936A8" w:rsidRPr="00CB2C86" w:rsidRDefault="00F936A8" w:rsidP="00F91733">
      <w:pPr>
        <w:pStyle w:val="H4GR"/>
        <w:tabs>
          <w:tab w:val="left" w:pos="1980"/>
          <w:tab w:val="left" w:pos="2520"/>
        </w:tabs>
        <w:spacing w:before="240"/>
        <w:ind w:left="1134" w:right="1179" w:hanging="1134"/>
      </w:pPr>
      <w:r w:rsidRPr="00CB2C86">
        <w:tab/>
      </w:r>
      <w:r w:rsidRPr="00CB2C86">
        <w:tab/>
      </w:r>
      <w:proofErr w:type="spellStart"/>
      <w:r w:rsidRPr="00CB2C86">
        <w:t>Скваттерские</w:t>
      </w:r>
      <w:proofErr w:type="spellEnd"/>
      <w:r w:rsidRPr="00CB2C86">
        <w:t xml:space="preserve"> поселения, постройки на крышах и квартиры-ночлежки</w:t>
      </w:r>
    </w:p>
    <w:p w:rsidR="00F936A8" w:rsidRPr="00CB2C86" w:rsidRDefault="00F936A8" w:rsidP="00F91733">
      <w:pPr>
        <w:pStyle w:val="SingleTxtGR"/>
        <w:tabs>
          <w:tab w:val="clear" w:pos="1701"/>
          <w:tab w:val="clear" w:pos="2268"/>
          <w:tab w:val="left" w:pos="1980"/>
          <w:tab w:val="left" w:pos="2520"/>
        </w:tabs>
      </w:pPr>
      <w:r w:rsidRPr="00CB2C86">
        <w:t>11.62</w:t>
      </w:r>
      <w:r w:rsidRPr="00CB2C86">
        <w:tab/>
        <w:t xml:space="preserve">Комитет и некоторые комментаторы выразили озабоченность в связи с условиями жизни обитателей </w:t>
      </w:r>
      <w:proofErr w:type="spellStart"/>
      <w:r w:rsidRPr="00CB2C86">
        <w:t>скваттерских</w:t>
      </w:r>
      <w:proofErr w:type="spellEnd"/>
      <w:r w:rsidRPr="00CB2C86">
        <w:t xml:space="preserve"> поселений, построек на крышах и квартир</w:t>
      </w:r>
      <w:r w:rsidR="00043126">
        <w:t>-</w:t>
      </w:r>
      <w:r w:rsidRPr="00CB2C86">
        <w:t>ночлежек</w:t>
      </w:r>
      <w:r w:rsidRPr="004F0ED8">
        <w:rPr>
          <w:sz w:val="18"/>
          <w:szCs w:val="18"/>
          <w:vertAlign w:val="superscript"/>
          <w:lang w:val="en-GB"/>
        </w:rPr>
        <w:footnoteReference w:id="14"/>
      </w:r>
      <w:r w:rsidRPr="00CB2C86">
        <w:t xml:space="preserve"> (так называемых </w:t>
      </w:r>
      <w:r>
        <w:t>"</w:t>
      </w:r>
      <w:r w:rsidRPr="00CB2C86">
        <w:t>клетушек</w:t>
      </w:r>
      <w:r>
        <w:t>"</w:t>
      </w:r>
      <w:r w:rsidRPr="00CB2C86">
        <w:t>). Правительство оказывает с</w:t>
      </w:r>
      <w:r w:rsidRPr="00CB2C86">
        <w:t>о</w:t>
      </w:r>
      <w:r w:rsidRPr="00CB2C86">
        <w:t>циальную помощь лицам с низким доходом и нуждающимся семьям через си</w:t>
      </w:r>
      <w:r w:rsidRPr="00CB2C86">
        <w:t>с</w:t>
      </w:r>
      <w:r w:rsidRPr="00CB2C86">
        <w:t>тему социальной помощи, которая включает социальное обеспечение и ж</w:t>
      </w:r>
      <w:r w:rsidRPr="00CB2C86">
        <w:t>и</w:t>
      </w:r>
      <w:r w:rsidRPr="00CB2C86">
        <w:t>лье. Отдельные граждане и семьи, которые материально не могут обеспечить себя, могут обращаться за помощью по линии СВСО, чтобы обеспечить свои насу</w:t>
      </w:r>
      <w:r w:rsidRPr="00CB2C86">
        <w:t>щ</w:t>
      </w:r>
      <w:r w:rsidRPr="00CB2C86">
        <w:t>ные потребности. Семьи с низким доходом, которые не могут позволить себе аренду частного жилья</w:t>
      </w:r>
      <w:r w:rsidR="00043126">
        <w:t>,</w:t>
      </w:r>
      <w:r w:rsidRPr="00CB2C86">
        <w:t xml:space="preserve"> могут обращаться с ходатайством в Жилищное упра</w:t>
      </w:r>
      <w:r w:rsidRPr="00CB2C86">
        <w:t>в</w:t>
      </w:r>
      <w:r w:rsidRPr="00CB2C86">
        <w:t>ление об аренде государственного жилья. Лица, которые действительно и сро</w:t>
      </w:r>
      <w:r w:rsidRPr="00CB2C86">
        <w:t>ч</w:t>
      </w:r>
      <w:r w:rsidRPr="00CB2C86">
        <w:t>но нуждаются в жилье, но которые не в состоянии самостоятельно удовлетв</w:t>
      </w:r>
      <w:r w:rsidRPr="00CB2C86">
        <w:t>о</w:t>
      </w:r>
      <w:r w:rsidRPr="00CB2C86">
        <w:t>рить эту потребность, могут обращаться за помощью в ДСО или НПО. Формы помощи могут включать кратковременную финансовую помощь для оплаты аренды и расходов, связанных с переселением, устройство в городские общ</w:t>
      </w:r>
      <w:r w:rsidRPr="00CB2C86">
        <w:t>е</w:t>
      </w:r>
      <w:r w:rsidRPr="00CB2C86">
        <w:t>жития для одиноких или во временные убежища, функционирующие под эг</w:t>
      </w:r>
      <w:r w:rsidRPr="00CB2C86">
        <w:t>и</w:t>
      </w:r>
      <w:r w:rsidRPr="00CB2C86">
        <w:t>дой НПО, или рекомендации Жилищному управлению о предоставлении ГЖА в случаях, когда речь заходит о переселении по гуманным соображениям.</w:t>
      </w:r>
    </w:p>
    <w:p w:rsidR="00F936A8" w:rsidRPr="00CB2C86" w:rsidRDefault="00F936A8" w:rsidP="00F91733">
      <w:pPr>
        <w:pStyle w:val="SingleTxtGR"/>
        <w:tabs>
          <w:tab w:val="clear" w:pos="1701"/>
          <w:tab w:val="clear" w:pos="2268"/>
          <w:tab w:val="left" w:pos="1980"/>
          <w:tab w:val="left" w:pos="2520"/>
        </w:tabs>
      </w:pPr>
      <w:r w:rsidRPr="00CB2C86">
        <w:t>11.63</w:t>
      </w:r>
      <w:r w:rsidRPr="00CB2C86">
        <w:tab/>
        <w:t xml:space="preserve">Программа общежитий для одиноких ДВД, функционирующая под эгидой НПО, была специально начата с целью обеспечить кратковременным жильем переселенных жильцов, которых затронул Указ о квартирах-ночлежках. </w:t>
      </w:r>
    </w:p>
    <w:p w:rsidR="00F936A8" w:rsidRPr="00CB2C86" w:rsidRDefault="00F936A8" w:rsidP="00F91733">
      <w:pPr>
        <w:pStyle w:val="SingleTxtGR"/>
        <w:tabs>
          <w:tab w:val="clear" w:pos="1701"/>
          <w:tab w:val="clear" w:pos="2268"/>
          <w:tab w:val="left" w:pos="1980"/>
          <w:tab w:val="left" w:pos="2520"/>
        </w:tabs>
      </w:pPr>
      <w:r w:rsidRPr="00CB2C86">
        <w:t>11.64</w:t>
      </w:r>
      <w:r w:rsidRPr="00CB2C86">
        <w:tab/>
        <w:t xml:space="preserve">В настоящее время в рамках Программы созданы два общежития для одиноких, а именно </w:t>
      </w:r>
      <w:proofErr w:type="spellStart"/>
      <w:r w:rsidRPr="00CB2C86">
        <w:t>Санрайз</w:t>
      </w:r>
      <w:proofErr w:type="spellEnd"/>
      <w:r w:rsidRPr="00CB2C86">
        <w:t xml:space="preserve"> Хаус, которым управляет Армия спасения в </w:t>
      </w:r>
      <w:proofErr w:type="spellStart"/>
      <w:r w:rsidRPr="00CB2C86">
        <w:t>Шам</w:t>
      </w:r>
      <w:proofErr w:type="spellEnd"/>
      <w:r w:rsidRPr="00CB2C86">
        <w:t xml:space="preserve"> </w:t>
      </w:r>
      <w:proofErr w:type="spellStart"/>
      <w:r w:rsidRPr="00CB2C86">
        <w:t>Шуй</w:t>
      </w:r>
      <w:proofErr w:type="spellEnd"/>
      <w:r w:rsidRPr="00CB2C86">
        <w:t xml:space="preserve"> По, и Хай Стрит Хаус, который находится в ведении Районного консульт</w:t>
      </w:r>
      <w:r w:rsidRPr="00CB2C86">
        <w:t>а</w:t>
      </w:r>
      <w:r w:rsidRPr="00CB2C86">
        <w:t>тивного инициативного совета. Оба общежития рассчитаны в общей сложности на 580 спальных мест, а месячная арендная плата колеблется от 700 до 1</w:t>
      </w:r>
      <w:r>
        <w:t> </w:t>
      </w:r>
      <w:r w:rsidRPr="00CB2C86">
        <w:t>260</w:t>
      </w:r>
      <w:r w:rsidR="004F720A">
        <w:t> долл.</w:t>
      </w:r>
      <w:r w:rsidRPr="00CB2C86">
        <w:t xml:space="preserve"> с человека. По состоянию на декабрь 2009</w:t>
      </w:r>
      <w:r w:rsidR="00B92291">
        <w:t> год</w:t>
      </w:r>
      <w:r w:rsidRPr="00CB2C86">
        <w:t>а плотность заселе</w:t>
      </w:r>
      <w:r w:rsidRPr="00CB2C86">
        <w:t>н</w:t>
      </w:r>
      <w:r w:rsidRPr="00CB2C86">
        <w:t>ности в этих общежитиях составляла 85%. Если после размещения таких имеющих на это право жильцов в общежитиях останутся свободные места,  они смогут принять других одиноких лиц, направляемых ДСО и другими учрежд</w:t>
      </w:r>
      <w:r w:rsidRPr="00CB2C86">
        <w:t>е</w:t>
      </w:r>
      <w:r w:rsidRPr="00CB2C86">
        <w:t>ниями социального обеспечения по соображениям гуманности.</w:t>
      </w:r>
    </w:p>
    <w:p w:rsidR="00F936A8" w:rsidRPr="00CB2C86" w:rsidRDefault="00F936A8" w:rsidP="00F91733">
      <w:pPr>
        <w:pStyle w:val="SingleTxtGR"/>
        <w:tabs>
          <w:tab w:val="clear" w:pos="1701"/>
          <w:tab w:val="clear" w:pos="2268"/>
          <w:tab w:val="left" w:pos="1980"/>
          <w:tab w:val="left" w:pos="2520"/>
        </w:tabs>
      </w:pPr>
      <w:r w:rsidRPr="00CB2C86">
        <w:t>11.65</w:t>
      </w:r>
      <w:r w:rsidRPr="00CB2C86">
        <w:tab/>
        <w:t>Путем распространения бланков заявлений и информационных бр</w:t>
      </w:r>
      <w:r w:rsidRPr="00CB2C86">
        <w:t>о</w:t>
      </w:r>
      <w:r w:rsidRPr="00CB2C86">
        <w:t>шюр ДЗ предоставляет информацию жильцам лицензированных частных ква</w:t>
      </w:r>
      <w:r w:rsidRPr="00CB2C86">
        <w:t>р</w:t>
      </w:r>
      <w:r w:rsidRPr="00CB2C86">
        <w:t>тир-ночлежек о том, как можно ходатайствовать о предоставлении ГЖА. Кроме Центра обслуживания клиентов</w:t>
      </w:r>
      <w:r w:rsidR="00043126">
        <w:t>,</w:t>
      </w:r>
      <w:r w:rsidRPr="00CB2C86">
        <w:t xml:space="preserve"> в его ведении также находится Центр жили</w:t>
      </w:r>
      <w:r w:rsidRPr="00CB2C86">
        <w:t>щ</w:t>
      </w:r>
      <w:r w:rsidRPr="00CB2C86">
        <w:t>ной информации, расположенный в городском районе для удобства  просителей ГЖА. ДЗ также оказывает помощь в поисках жилья имеющим на это право ос</w:t>
      </w:r>
      <w:r w:rsidRPr="00CB2C86">
        <w:t>т</w:t>
      </w:r>
      <w:r w:rsidRPr="00CB2C86">
        <w:t xml:space="preserve">ро нуждающимся в нем жильцам сносимых домов, которых затрагивает снос </w:t>
      </w:r>
      <w:proofErr w:type="spellStart"/>
      <w:r w:rsidRPr="00CB2C86">
        <w:t>скваттерских</w:t>
      </w:r>
      <w:proofErr w:type="spellEnd"/>
      <w:r w:rsidRPr="00CB2C86">
        <w:t xml:space="preserve"> поселений и построек на крышах, проводимый другими соотве</w:t>
      </w:r>
      <w:r w:rsidRPr="00CB2C86">
        <w:t>т</w:t>
      </w:r>
      <w:r w:rsidRPr="00CB2C86">
        <w:t>ствующими государственными департаментами.</w:t>
      </w:r>
    </w:p>
    <w:p w:rsidR="00F936A8" w:rsidRPr="00CB2C86" w:rsidRDefault="00F936A8" w:rsidP="00F91733">
      <w:pPr>
        <w:pStyle w:val="SingleTxtGR"/>
        <w:tabs>
          <w:tab w:val="clear" w:pos="1701"/>
          <w:tab w:val="clear" w:pos="2268"/>
          <w:tab w:val="left" w:pos="1980"/>
          <w:tab w:val="left" w:pos="2520"/>
        </w:tabs>
      </w:pPr>
      <w:r w:rsidRPr="00CB2C86">
        <w:t>11.66</w:t>
      </w:r>
      <w:r w:rsidRPr="00CB2C86">
        <w:tab/>
        <w:t>Что касается построек на крышах, то Департамент содержания зданий продолжает поэтапную программу ликвидации незаконных построек на кр</w:t>
      </w:r>
      <w:r w:rsidRPr="00CB2C86">
        <w:t>ы</w:t>
      </w:r>
      <w:r w:rsidRPr="00CB2C86">
        <w:t>шах примерно в 5</w:t>
      </w:r>
      <w:r>
        <w:t> </w:t>
      </w:r>
      <w:r w:rsidRPr="00CB2C86">
        <w:t xml:space="preserve">500 </w:t>
      </w:r>
      <w:proofErr w:type="spellStart"/>
      <w:r w:rsidRPr="00CB2C86">
        <w:t>одноподъездных</w:t>
      </w:r>
      <w:proofErr w:type="spellEnd"/>
      <w:r w:rsidRPr="00CB2C86">
        <w:t xml:space="preserve"> домах. ДЗ помогает обитателям нез</w:t>
      </w:r>
      <w:r w:rsidRPr="00CB2C86">
        <w:t>а</w:t>
      </w:r>
      <w:r w:rsidRPr="00CB2C86">
        <w:t>конных построек на крышах, затрагиваемых этим сносом, переселиться в др</w:t>
      </w:r>
      <w:r w:rsidRPr="00CB2C86">
        <w:t>у</w:t>
      </w:r>
      <w:r w:rsidRPr="00CB2C86">
        <w:t>гое жилище и принимает активные меры, чтобы убедить их зарегистрироваться в списке очередников на получение ГЖА.</w:t>
      </w:r>
    </w:p>
    <w:p w:rsidR="00F936A8" w:rsidRPr="00CB2C86" w:rsidRDefault="00F936A8" w:rsidP="00F91733">
      <w:pPr>
        <w:pStyle w:val="SingleTxtGR"/>
        <w:tabs>
          <w:tab w:val="clear" w:pos="1701"/>
          <w:tab w:val="clear" w:pos="2268"/>
          <w:tab w:val="left" w:pos="1980"/>
          <w:tab w:val="left" w:pos="2520"/>
        </w:tabs>
      </w:pPr>
      <w:r w:rsidRPr="00CB2C86">
        <w:t>11.67</w:t>
      </w:r>
      <w:r w:rsidRPr="00CB2C86">
        <w:tab/>
        <w:t>В отношении скваттеров государственная политика сводится к сносу их жилищ, когда тем угрожают оползни, и переселению скваттеров в другие жилища или, когда эти жилища занимают земли, которые нужны для государс</w:t>
      </w:r>
      <w:r w:rsidRPr="00CB2C86">
        <w:t>т</w:t>
      </w:r>
      <w:r w:rsidRPr="00CB2C86">
        <w:t>венной застройки, или когда снос зданий обусловлен необходимостью улу</w:t>
      </w:r>
      <w:r w:rsidRPr="00CB2C86">
        <w:t>ч</w:t>
      </w:r>
      <w:r w:rsidRPr="00CB2C86">
        <w:t>шить состояние окружающей среды или условия жизни выселяемых скваттеров. Цель нашей политики: никто не должен остаться без жилья в результате очис</w:t>
      </w:r>
      <w:r w:rsidRPr="00CB2C86">
        <w:t>т</w:t>
      </w:r>
      <w:r w:rsidRPr="00CB2C86">
        <w:t>ных операций.</w:t>
      </w:r>
    </w:p>
    <w:p w:rsidR="00F936A8" w:rsidRPr="00CB2C86" w:rsidRDefault="00F936A8" w:rsidP="00F91733">
      <w:pPr>
        <w:pStyle w:val="H4GR"/>
        <w:tabs>
          <w:tab w:val="left" w:pos="1980"/>
          <w:tab w:val="left" w:pos="2520"/>
        </w:tabs>
        <w:spacing w:before="240"/>
        <w:ind w:left="1134" w:right="1179" w:hanging="1134"/>
      </w:pPr>
      <w:r w:rsidRPr="00CB2C86">
        <w:tab/>
      </w:r>
      <w:r w:rsidRPr="00CB2C86">
        <w:tab/>
        <w:t xml:space="preserve">Обездоленные и </w:t>
      </w:r>
      <w:proofErr w:type="spellStart"/>
      <w:r w:rsidRPr="00CB2C86">
        <w:t>маргинализованные</w:t>
      </w:r>
      <w:proofErr w:type="spellEnd"/>
      <w:r w:rsidRPr="00CB2C86">
        <w:t xml:space="preserve"> лица, затронутые принудительным выселением</w:t>
      </w:r>
    </w:p>
    <w:p w:rsidR="00F936A8" w:rsidRPr="00CB2C86" w:rsidRDefault="00F936A8" w:rsidP="00F91733">
      <w:pPr>
        <w:pStyle w:val="SingleTxtGR"/>
        <w:tabs>
          <w:tab w:val="clear" w:pos="1701"/>
          <w:tab w:val="clear" w:pos="2268"/>
          <w:tab w:val="left" w:pos="1980"/>
          <w:tab w:val="left" w:pos="2520"/>
        </w:tabs>
      </w:pPr>
      <w:r w:rsidRPr="00CB2C86">
        <w:t>11.68</w:t>
      </w:r>
      <w:r w:rsidRPr="00CB2C86">
        <w:tab/>
        <w:t xml:space="preserve">Правительство оказывает социальную помощь остро нуждающимся в жилье лицам, включая обездоленных и </w:t>
      </w:r>
      <w:proofErr w:type="spellStart"/>
      <w:r w:rsidRPr="00CB2C86">
        <w:t>маргинализованных</w:t>
      </w:r>
      <w:proofErr w:type="spellEnd"/>
      <w:r w:rsidRPr="00CB2C86">
        <w:t>, пострадавших от государственных принудительных выселений людей, которые имеют право на получение квартиры/временного жилья из государственного сдаваемого в аре</w:t>
      </w:r>
      <w:r w:rsidRPr="00CB2C86">
        <w:t>н</w:t>
      </w:r>
      <w:r w:rsidRPr="00CB2C86">
        <w:t>ду жилищного фонда. Тем же, кто не имеет такого права, но остро нужда</w:t>
      </w:r>
      <w:r w:rsidR="00043126">
        <w:t>е</w:t>
      </w:r>
      <w:r w:rsidRPr="00CB2C86">
        <w:t>тся в жилье, предоставляются места в кратковременных центрах в качестве промеж</w:t>
      </w:r>
      <w:r w:rsidRPr="00CB2C86">
        <w:t>у</w:t>
      </w:r>
      <w:r w:rsidRPr="00CB2C86">
        <w:t>точного решения жилищной проблемы. Всем просителям государственного ж</w:t>
      </w:r>
      <w:r w:rsidRPr="00CB2C86">
        <w:t>и</w:t>
      </w:r>
      <w:r w:rsidRPr="00CB2C86">
        <w:t>лья, сдаваемого в аренду, независимо от этнического происхождения или п</w:t>
      </w:r>
      <w:r w:rsidRPr="00CB2C86">
        <w:t>о</w:t>
      </w:r>
      <w:r w:rsidRPr="00CB2C86">
        <w:t>ла, гарантируется равное обращение и рассмотрение их дел на основе одинак</w:t>
      </w:r>
      <w:r w:rsidRPr="00CB2C86">
        <w:t>о</w:t>
      </w:r>
      <w:r w:rsidRPr="00CB2C86">
        <w:t>вого набора требований, предъявляемых к просителям.</w:t>
      </w:r>
    </w:p>
    <w:p w:rsidR="00F936A8" w:rsidRPr="00CB2C86" w:rsidRDefault="00F936A8" w:rsidP="00F91733">
      <w:pPr>
        <w:pStyle w:val="H4GR"/>
        <w:tabs>
          <w:tab w:val="left" w:pos="1980"/>
          <w:tab w:val="left" w:pos="2520"/>
        </w:tabs>
        <w:spacing w:before="240"/>
        <w:ind w:left="1134" w:right="1179" w:hanging="1134"/>
      </w:pPr>
      <w:r w:rsidRPr="00CB2C86">
        <w:tab/>
      </w:r>
      <w:r w:rsidRPr="00CB2C86">
        <w:tab/>
        <w:t xml:space="preserve">Лица без определенного места жительства </w:t>
      </w:r>
    </w:p>
    <w:p w:rsidR="00F936A8" w:rsidRPr="00CB2C86" w:rsidRDefault="00F936A8" w:rsidP="00F91733">
      <w:pPr>
        <w:pStyle w:val="SingleTxtGR"/>
        <w:tabs>
          <w:tab w:val="clear" w:pos="1701"/>
          <w:tab w:val="clear" w:pos="2268"/>
          <w:tab w:val="left" w:pos="1980"/>
          <w:tab w:val="left" w:pos="2520"/>
        </w:tabs>
      </w:pPr>
      <w:r w:rsidRPr="00CB2C86">
        <w:t>11.69</w:t>
      </w:r>
      <w:r w:rsidRPr="00CB2C86">
        <w:tab/>
        <w:t>Количество лиц без определенного места жительства, зарегистрир</w:t>
      </w:r>
      <w:r w:rsidRPr="00CB2C86">
        <w:t>о</w:t>
      </w:r>
      <w:r w:rsidRPr="00CB2C86">
        <w:t>ванных в электронном Реестре лиц без определенного места жительства, кот</w:t>
      </w:r>
      <w:r w:rsidRPr="00CB2C86">
        <w:t>о</w:t>
      </w:r>
      <w:r w:rsidRPr="00CB2C86">
        <w:t>рый ведет ДСО, в последние</w:t>
      </w:r>
      <w:r w:rsidR="00B92291">
        <w:t> год</w:t>
      </w:r>
      <w:r w:rsidRPr="00CB2C86">
        <w:t>ы продолжало уменьшаться, значительно с</w:t>
      </w:r>
      <w:r w:rsidRPr="00CB2C86">
        <w:t>о</w:t>
      </w:r>
      <w:r w:rsidRPr="00CB2C86">
        <w:t>кратившись с 785 в декабре 2002</w:t>
      </w:r>
      <w:r w:rsidR="00B92291">
        <w:t> год</w:t>
      </w:r>
      <w:r w:rsidRPr="00CB2C86">
        <w:t>а до 405 человек в декабре 2009</w:t>
      </w:r>
      <w:r w:rsidR="00B92291">
        <w:t> год</w:t>
      </w:r>
      <w:r w:rsidRPr="00CB2C86">
        <w:t>а.</w:t>
      </w:r>
    </w:p>
    <w:p w:rsidR="00F936A8" w:rsidRPr="00CB2C86" w:rsidRDefault="00F936A8" w:rsidP="00F91733">
      <w:pPr>
        <w:pStyle w:val="SingleTxtGR"/>
        <w:tabs>
          <w:tab w:val="clear" w:pos="1701"/>
          <w:tab w:val="clear" w:pos="2268"/>
          <w:tab w:val="left" w:pos="1980"/>
          <w:tab w:val="left" w:pos="2520"/>
        </w:tabs>
      </w:pPr>
      <w:r w:rsidRPr="00CB2C86">
        <w:t>11.70</w:t>
      </w:r>
      <w:r w:rsidRPr="00CB2C86">
        <w:tab/>
        <w:t>В пункте 11.24 предыдущего доклада упоминалось, что в апреле 2001</w:t>
      </w:r>
      <w:r w:rsidR="00B92291">
        <w:t> год</w:t>
      </w:r>
      <w:r w:rsidRPr="00CB2C86">
        <w:t>а ДСО выделил трем НПО дополнительные средства на реализацию трехлетнего Плана действий в помощь лицам без определенного места жител</w:t>
      </w:r>
      <w:r w:rsidRPr="00CB2C86">
        <w:t>ь</w:t>
      </w:r>
      <w:r w:rsidRPr="00CB2C86">
        <w:t>ства, который включает пакет комплексных социальных услуг лицам без опр</w:t>
      </w:r>
      <w:r w:rsidRPr="00CB2C86">
        <w:t>е</w:t>
      </w:r>
      <w:r w:rsidRPr="00CB2C86">
        <w:t>деленного места жительства. Этот План действий был завершен в марте 2004</w:t>
      </w:r>
      <w:r w:rsidR="00B92291">
        <w:t> год</w:t>
      </w:r>
      <w:r w:rsidRPr="00CB2C86">
        <w:t>а и, по оценкам, оказался эффективным в том отношении, что помог лицам без опред</w:t>
      </w:r>
      <w:r w:rsidRPr="00CB2C86">
        <w:t>е</w:t>
      </w:r>
      <w:r w:rsidRPr="00CB2C86">
        <w:t>ленного места жительства бросить бродяжничество. Учитывая эффективность Плана действий, ДСО поставил на регулярную основу социал</w:t>
      </w:r>
      <w:r w:rsidRPr="00CB2C86">
        <w:t>ь</w:t>
      </w:r>
      <w:r w:rsidRPr="00CB2C86">
        <w:t>ное обслуживание лиц без определенного места жительства, создав для них в апреле 2004</w:t>
      </w:r>
      <w:r w:rsidR="00B92291">
        <w:t> год</w:t>
      </w:r>
      <w:r w:rsidRPr="00CB2C86">
        <w:t>а три группы комплексного обслуживания. Группы комплексн</w:t>
      </w:r>
      <w:r w:rsidRPr="00CB2C86">
        <w:t>о</w:t>
      </w:r>
      <w:r w:rsidRPr="00CB2C86">
        <w:t>го обслуживания, которые действуют под эгидой трех НПО, оказывают адре</w:t>
      </w:r>
      <w:r w:rsidRPr="00CB2C86">
        <w:t>с</w:t>
      </w:r>
      <w:r w:rsidRPr="00CB2C86">
        <w:t>ные услуги по принципу одного окна, включая посещения социальных рабо</w:t>
      </w:r>
      <w:r w:rsidRPr="00CB2C86">
        <w:t>т</w:t>
      </w:r>
      <w:r w:rsidRPr="00CB2C86">
        <w:t>ников днем и поздней ночью, экстренное устройство в приемники и кратк</w:t>
      </w:r>
      <w:r w:rsidRPr="00CB2C86">
        <w:t>о</w:t>
      </w:r>
      <w:r w:rsidRPr="00CB2C86">
        <w:t>срочное помещение в общежития, консультационные услуги, содействие труд</w:t>
      </w:r>
      <w:r w:rsidRPr="00CB2C86">
        <w:t>о</w:t>
      </w:r>
      <w:r w:rsidRPr="00CB2C86">
        <w:t>устройству, личный уход (например, купание, парикмахерские услуги и орган</w:t>
      </w:r>
      <w:r w:rsidRPr="00CB2C86">
        <w:t>и</w:t>
      </w:r>
      <w:r w:rsidRPr="00CB2C86">
        <w:t>зация питания), оказание помощи из фонда экстренной помощи, достижение договоренности о долговременном размещении в жилых помещениях, реабил</w:t>
      </w:r>
      <w:r w:rsidRPr="00CB2C86">
        <w:t>и</w:t>
      </w:r>
      <w:r w:rsidRPr="00CB2C86">
        <w:t>тационное обслуживание и направление на обслуживание. Группы комплексн</w:t>
      </w:r>
      <w:r w:rsidRPr="00CB2C86">
        <w:t>о</w:t>
      </w:r>
      <w:r w:rsidRPr="00CB2C86">
        <w:t>го обслуживания также сотрудничают с другими НПО, например, такими</w:t>
      </w:r>
      <w:r>
        <w:t xml:space="preserve"> как</w:t>
      </w:r>
      <w:r w:rsidRPr="00CB2C86">
        <w:t xml:space="preserve"> Общество помощи и реаб</w:t>
      </w:r>
      <w:r w:rsidRPr="00CB2C86">
        <w:t>и</w:t>
      </w:r>
      <w:r w:rsidRPr="00CB2C86">
        <w:t>литации наркоманов и Общество реабилитации и предупреждения преступности Гонконга, чтобы обеспечить эффективное оказ</w:t>
      </w:r>
      <w:r w:rsidRPr="00CB2C86">
        <w:t>а</w:t>
      </w:r>
      <w:r w:rsidRPr="00CB2C86">
        <w:t>ние специализированных услуг лицам без определенного места жительства с особыми потребностями, например наркоманам и бывшим преступникам.</w:t>
      </w:r>
    </w:p>
    <w:p w:rsidR="00F936A8" w:rsidRPr="00CB2C86" w:rsidRDefault="00F936A8" w:rsidP="00F91733">
      <w:pPr>
        <w:pStyle w:val="SingleTxtGR"/>
        <w:tabs>
          <w:tab w:val="clear" w:pos="1701"/>
          <w:tab w:val="clear" w:pos="2268"/>
          <w:tab w:val="left" w:pos="1980"/>
          <w:tab w:val="left" w:pos="2520"/>
        </w:tabs>
      </w:pPr>
      <w:r w:rsidRPr="00CB2C86">
        <w:t>11.71</w:t>
      </w:r>
      <w:r w:rsidRPr="00CB2C86">
        <w:tab/>
        <w:t>Помимо учреждения трех Групп комплексного обслуживания</w:t>
      </w:r>
      <w:r w:rsidR="00043126">
        <w:t>,</w:t>
      </w:r>
      <w:r w:rsidRPr="00CB2C86">
        <w:t xml:space="preserve"> соц</w:t>
      </w:r>
      <w:r w:rsidRPr="00CB2C86">
        <w:t>и</w:t>
      </w:r>
      <w:r w:rsidRPr="00CB2C86">
        <w:t>альное обслуживание лиц без определенного места жительства было также усилено благодаря созданию:</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a</w:t>
      </w:r>
      <w:proofErr w:type="spellEnd"/>
      <w:r>
        <w:t>)</w:t>
      </w:r>
      <w:r w:rsidRPr="00CB2C86">
        <w:tab/>
        <w:t>пяти проектов НПО по оказанию краткосрочной продовольс</w:t>
      </w:r>
      <w:r w:rsidRPr="00CB2C86">
        <w:t>т</w:t>
      </w:r>
      <w:r w:rsidRPr="00CB2C86">
        <w:t>венной помощи, которые были начаты 27 февраля 2009</w:t>
      </w:r>
      <w:r w:rsidR="00043126">
        <w:t xml:space="preserve"> года</w:t>
      </w:r>
      <w:r w:rsidRPr="00CB2C86">
        <w:t>, о чем сообщалось выше в пункте 11.30. В рамках этих проектов оказывается продовольственную помощь нуждающимся лицам, в том числе и лицам без определенного места жительс</w:t>
      </w:r>
      <w:r w:rsidRPr="00CB2C86">
        <w:t>т</w:t>
      </w:r>
      <w:r w:rsidRPr="00CB2C86">
        <w:t>ва; и</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b</w:t>
      </w:r>
      <w:proofErr w:type="spellEnd"/>
      <w:r>
        <w:t>)</w:t>
      </w:r>
      <w:r w:rsidRPr="00CB2C86">
        <w:tab/>
        <w:t>Группы сети ухода и поддержки, действующей под эгидой одной НПО при субсидировании ДСО, которая оказывает социальную помощь, инд</w:t>
      </w:r>
      <w:r w:rsidRPr="00CB2C86">
        <w:t>и</w:t>
      </w:r>
      <w:r w:rsidRPr="00CB2C86">
        <w:t xml:space="preserve">видуальную и групповую поддержку с целью помочь лицам без определенного места жительства и другим уязвимым группам </w:t>
      </w:r>
      <w:proofErr w:type="spellStart"/>
      <w:r w:rsidRPr="00CB2C86">
        <w:t>реинтегрироваться</w:t>
      </w:r>
      <w:proofErr w:type="spellEnd"/>
      <w:r w:rsidRPr="00CB2C86">
        <w:t xml:space="preserve"> в жизнь о</w:t>
      </w:r>
      <w:r w:rsidRPr="00CB2C86">
        <w:t>б</w:t>
      </w:r>
      <w:r w:rsidRPr="00CB2C86">
        <w:t xml:space="preserve">щества. </w:t>
      </w:r>
    </w:p>
    <w:p w:rsidR="00F936A8" w:rsidRPr="00CB2C86" w:rsidRDefault="00F936A8" w:rsidP="00F91733">
      <w:pPr>
        <w:pStyle w:val="SingleTxtGR"/>
        <w:tabs>
          <w:tab w:val="clear" w:pos="1701"/>
          <w:tab w:val="clear" w:pos="2268"/>
          <w:tab w:val="left" w:pos="1980"/>
          <w:tab w:val="left" w:pos="2520"/>
        </w:tabs>
      </w:pPr>
      <w:r w:rsidRPr="00CB2C86">
        <w:t>11.72</w:t>
      </w:r>
      <w:r w:rsidRPr="00CB2C86">
        <w:tab/>
        <w:t>Между тем ЦКСОС и КЦСО, которые успешно выполняли функции центров по обслуживанию семей, о чем упоминалось в пункте 11.24 предыд</w:t>
      </w:r>
      <w:r w:rsidRPr="00CB2C86">
        <w:t>у</w:t>
      </w:r>
      <w:r w:rsidRPr="00CB2C86">
        <w:t>щего доклада, продолжают оказывать в случае необходимости социальные у</w:t>
      </w:r>
      <w:r w:rsidRPr="00CB2C86">
        <w:t>с</w:t>
      </w:r>
      <w:r w:rsidRPr="00CB2C86">
        <w:t>луги лицам без определенного места жительства.</w:t>
      </w:r>
    </w:p>
    <w:p w:rsidR="00F936A8" w:rsidRPr="00CB2C86" w:rsidRDefault="00F936A8" w:rsidP="00F91733">
      <w:pPr>
        <w:pStyle w:val="HChGR"/>
        <w:tabs>
          <w:tab w:val="left" w:pos="1980"/>
          <w:tab w:val="left" w:pos="2520"/>
        </w:tabs>
      </w:pPr>
      <w:r w:rsidRPr="00CB2C86">
        <w:tab/>
      </w:r>
      <w:r w:rsidRPr="00CB2C86">
        <w:tab/>
        <w:t>Статья 12</w:t>
      </w:r>
      <w:r>
        <w:br/>
      </w:r>
      <w:r w:rsidRPr="00CB2C86">
        <w:t>Право на здоровье</w:t>
      </w:r>
    </w:p>
    <w:p w:rsidR="00F936A8" w:rsidRPr="00CB2C86" w:rsidRDefault="00F936A8" w:rsidP="00F91733">
      <w:pPr>
        <w:pStyle w:val="H1GR"/>
        <w:tabs>
          <w:tab w:val="left" w:pos="1980"/>
          <w:tab w:val="left" w:pos="2520"/>
        </w:tabs>
      </w:pPr>
      <w:r w:rsidRPr="00CB2C86">
        <w:tab/>
      </w:r>
      <w:r w:rsidRPr="00CB2C86">
        <w:tab/>
        <w:t>Здоровье и медицинское обслуживание</w:t>
      </w:r>
    </w:p>
    <w:p w:rsidR="00F936A8" w:rsidRPr="00CB2C86" w:rsidRDefault="00F936A8" w:rsidP="00F91733">
      <w:pPr>
        <w:pStyle w:val="SingleTxtGR"/>
        <w:tabs>
          <w:tab w:val="clear" w:pos="1701"/>
          <w:tab w:val="clear" w:pos="2268"/>
          <w:tab w:val="left" w:pos="1980"/>
          <w:tab w:val="left" w:pos="2520"/>
        </w:tabs>
      </w:pPr>
      <w:r w:rsidRPr="00CB2C86">
        <w:t>12.1</w:t>
      </w:r>
      <w:r w:rsidRPr="00CB2C86">
        <w:tab/>
        <w:t>Положение на конституционном уровне остается таким же, как оно было описано в пункте 412 первоначального доклада.</w:t>
      </w:r>
    </w:p>
    <w:p w:rsidR="00F936A8" w:rsidRPr="00CB2C86" w:rsidRDefault="00F936A8" w:rsidP="00F91733">
      <w:pPr>
        <w:pStyle w:val="H23GR"/>
        <w:tabs>
          <w:tab w:val="left" w:pos="1980"/>
          <w:tab w:val="left" w:pos="2520"/>
        </w:tabs>
      </w:pPr>
      <w:r w:rsidRPr="00CB2C86">
        <w:tab/>
      </w:r>
      <w:r w:rsidRPr="00CB2C86">
        <w:tab/>
        <w:t>Политика</w:t>
      </w:r>
    </w:p>
    <w:p w:rsidR="00F936A8" w:rsidRPr="00CB2C86" w:rsidRDefault="00F936A8" w:rsidP="00F91733">
      <w:pPr>
        <w:pStyle w:val="SingleTxtGR"/>
        <w:tabs>
          <w:tab w:val="clear" w:pos="1701"/>
          <w:tab w:val="clear" w:pos="2268"/>
          <w:tab w:val="left" w:pos="1980"/>
          <w:tab w:val="left" w:pos="2520"/>
        </w:tabs>
      </w:pPr>
      <w:r w:rsidRPr="00CB2C86">
        <w:t>12.2</w:t>
      </w:r>
      <w:r w:rsidRPr="00CB2C86">
        <w:tab/>
        <w:t>Как было указано в пункте 413 первоначального доклада, государс</w:t>
      </w:r>
      <w:r w:rsidRPr="00CB2C86">
        <w:t>т</w:t>
      </w:r>
      <w:r w:rsidRPr="00CB2C86">
        <w:t>венная политика заключается в том, чтобы никто из-за отсутствия средств не был лишен доступа к необходимому медицинскому обслуживанию. Для выпо</w:t>
      </w:r>
      <w:r w:rsidRPr="00CB2C86">
        <w:t>л</w:t>
      </w:r>
      <w:r w:rsidRPr="00CB2C86">
        <w:t>нения этого обязательства правительство обильно субсидирует различные м</w:t>
      </w:r>
      <w:r w:rsidRPr="00CB2C86">
        <w:t>е</w:t>
      </w:r>
      <w:r w:rsidRPr="00CB2C86">
        <w:t>дико-санитарные услуги и постоянно пересматривает и улучшает их качество.</w:t>
      </w:r>
    </w:p>
    <w:p w:rsidR="00F936A8" w:rsidRPr="00CB2C86" w:rsidRDefault="00F936A8" w:rsidP="00F91733">
      <w:pPr>
        <w:pStyle w:val="SingleTxtGR"/>
        <w:keepLines/>
        <w:tabs>
          <w:tab w:val="clear" w:pos="1701"/>
          <w:tab w:val="left" w:pos="1980"/>
        </w:tabs>
      </w:pPr>
      <w:r w:rsidRPr="00CB2C86">
        <w:t>12.3</w:t>
      </w:r>
      <w:r w:rsidRPr="00CB2C86">
        <w:tab/>
        <w:t>Согласно оценкам, сделанным на основе Национальных счетов здр</w:t>
      </w:r>
      <w:r w:rsidRPr="00CB2C86">
        <w:t>а</w:t>
      </w:r>
      <w:r w:rsidRPr="00CB2C86">
        <w:t>воохранения Гонконга (НСЗГ)</w:t>
      </w:r>
      <w:r w:rsidRPr="004F0ED8">
        <w:rPr>
          <w:sz w:val="18"/>
          <w:szCs w:val="18"/>
          <w:vertAlign w:val="superscript"/>
          <w:lang w:val="en-GB"/>
        </w:rPr>
        <w:footnoteReference w:id="15"/>
      </w:r>
      <w:r>
        <w:t>,</w:t>
      </w:r>
      <w:r w:rsidRPr="00CB2C86">
        <w:t xml:space="preserve"> государственные расходы на здравоохранение в 2005</w:t>
      </w:r>
      <w:r>
        <w:t>−</w:t>
      </w:r>
      <w:r w:rsidRPr="00CB2C86">
        <w:t>2006</w:t>
      </w:r>
      <w:r w:rsidR="00B92291">
        <w:t> год</w:t>
      </w:r>
      <w:r w:rsidRPr="00CB2C86">
        <w:t>ах составили 36,9</w:t>
      </w:r>
      <w:r w:rsidR="004F720A">
        <w:t> </w:t>
      </w:r>
      <w:r w:rsidR="00B63D5C">
        <w:t>млрд. долл.</w:t>
      </w:r>
      <w:r w:rsidRPr="004F0ED8">
        <w:rPr>
          <w:sz w:val="18"/>
          <w:szCs w:val="18"/>
          <w:vertAlign w:val="superscript"/>
          <w:lang w:val="en-GB"/>
        </w:rPr>
        <w:footnoteReference w:id="16"/>
      </w:r>
      <w:r w:rsidR="00445153">
        <w:t>,</w:t>
      </w:r>
      <w:r w:rsidRPr="00CB2C86">
        <w:t xml:space="preserve"> или 2,6% ВВП, что равнялось 51,6% всех расходов на здравоохранение.</w:t>
      </w:r>
    </w:p>
    <w:p w:rsidR="00F936A8" w:rsidRPr="00CB2C86" w:rsidRDefault="00F936A8" w:rsidP="00F91733">
      <w:pPr>
        <w:pStyle w:val="SingleTxtGR"/>
        <w:tabs>
          <w:tab w:val="clear" w:pos="1701"/>
          <w:tab w:val="left" w:pos="1980"/>
        </w:tabs>
      </w:pPr>
      <w:r w:rsidRPr="00CB2C86">
        <w:t>12.4</w:t>
      </w:r>
      <w:r w:rsidRPr="00CB2C86">
        <w:tab/>
        <w:t>Государственный и частный секторы дополняют друг друга в области медико-санитарных услуг. В 2005</w:t>
      </w:r>
      <w:r>
        <w:t>−</w:t>
      </w:r>
      <w:r w:rsidRPr="00CB2C86">
        <w:t>2006</w:t>
      </w:r>
      <w:r w:rsidR="00B92291">
        <w:t> год</w:t>
      </w:r>
      <w:r w:rsidRPr="00CB2C86">
        <w:t>ах расходы частного сектора на здравоохранение составили, по оценкам, 34,7</w:t>
      </w:r>
      <w:r w:rsidR="004F720A">
        <w:t> </w:t>
      </w:r>
      <w:r w:rsidR="00B63D5C">
        <w:t>млрд. долл.</w:t>
      </w:r>
      <w:r w:rsidRPr="004F0ED8">
        <w:rPr>
          <w:sz w:val="18"/>
          <w:szCs w:val="18"/>
          <w:vertAlign w:val="superscript"/>
          <w:lang w:val="en-GB"/>
        </w:rPr>
        <w:footnoteReference w:id="17"/>
      </w:r>
      <w:r w:rsidR="00445153">
        <w:t>,</w:t>
      </w:r>
      <w:r w:rsidRPr="00CB2C86">
        <w:t xml:space="preserve"> или 2,5% ВВП, а его доля в общем объеме расходов на здравоохранение равнялась 48,4%. </w:t>
      </w:r>
    </w:p>
    <w:p w:rsidR="00F936A8" w:rsidRPr="00CB2C86" w:rsidRDefault="00F936A8" w:rsidP="00F91733">
      <w:pPr>
        <w:pStyle w:val="SingleTxtGR"/>
        <w:tabs>
          <w:tab w:val="clear" w:pos="1701"/>
          <w:tab w:val="left" w:pos="1980"/>
        </w:tabs>
      </w:pPr>
      <w:r w:rsidRPr="00CB2C86">
        <w:t>12.5</w:t>
      </w:r>
      <w:r w:rsidRPr="00CB2C86">
        <w:tab/>
        <w:t>Правительство заявило о своем твердом намерении увеличить к 2012</w:t>
      </w:r>
      <w:r w:rsidR="00B92291">
        <w:t> год</w:t>
      </w:r>
      <w:r w:rsidRPr="00CB2C86">
        <w:t>у и продолжает последовательно увеличивать бюджет своего здрав</w:t>
      </w:r>
      <w:r w:rsidRPr="00CB2C86">
        <w:t>о</w:t>
      </w:r>
      <w:r w:rsidRPr="00CB2C86">
        <w:t>охранения с 15% до 17% периодических государственных расходов. Мы пол</w:t>
      </w:r>
      <w:r w:rsidRPr="00CB2C86">
        <w:t>ь</w:t>
      </w:r>
      <w:r w:rsidRPr="00CB2C86">
        <w:t>зуемся увел</w:t>
      </w:r>
      <w:r w:rsidRPr="00CB2C86">
        <w:t>и</w:t>
      </w:r>
      <w:r w:rsidRPr="00CB2C86">
        <w:t>чением бюджета, чтобы улучшить качество национальных медико-санитарных услуг и реализовать меры по реформированию системы здрав</w:t>
      </w:r>
      <w:r w:rsidRPr="00CB2C86">
        <w:t>о</w:t>
      </w:r>
      <w:r w:rsidRPr="00CB2C86">
        <w:t>охранения (подробно рассматриваются ниже в пунктах 12.47</w:t>
      </w:r>
      <w:r>
        <w:t>−</w:t>
      </w:r>
      <w:r w:rsidRPr="00CB2C86">
        <w:t>12.49), которые получили шир</w:t>
      </w:r>
      <w:r w:rsidRPr="00CB2C86">
        <w:t>о</w:t>
      </w:r>
      <w:r w:rsidRPr="00CB2C86">
        <w:t xml:space="preserve">кую общественную поддержку. </w:t>
      </w:r>
    </w:p>
    <w:p w:rsidR="00F936A8" w:rsidRPr="00CB2C86" w:rsidRDefault="00F936A8" w:rsidP="00F91733">
      <w:pPr>
        <w:pStyle w:val="H23GR"/>
        <w:tabs>
          <w:tab w:val="left" w:pos="1980"/>
        </w:tabs>
      </w:pPr>
      <w:r w:rsidRPr="00CB2C86">
        <w:tab/>
      </w:r>
      <w:r w:rsidRPr="00CB2C86">
        <w:tab/>
        <w:t>Общий уровень здоровья населения Гонконга</w:t>
      </w:r>
    </w:p>
    <w:p w:rsidR="00F936A8" w:rsidRDefault="00F936A8" w:rsidP="00F91733">
      <w:pPr>
        <w:pStyle w:val="SingleTxtGR"/>
        <w:tabs>
          <w:tab w:val="clear" w:pos="1701"/>
          <w:tab w:val="left" w:pos="1980"/>
        </w:tabs>
      </w:pPr>
      <w:r w:rsidRPr="00CB2C86">
        <w:t>12.6</w:t>
      </w:r>
      <w:r w:rsidRPr="00CB2C86">
        <w:tab/>
        <w:t xml:space="preserve">Показатели здоровья населения Гонконга сходны </w:t>
      </w:r>
      <w:r w:rsidR="00445153">
        <w:t xml:space="preserve">с </w:t>
      </w:r>
      <w:r w:rsidRPr="00CB2C86">
        <w:t>такими же показ</w:t>
      </w:r>
      <w:r w:rsidRPr="00CB2C86">
        <w:t>а</w:t>
      </w:r>
      <w:r w:rsidRPr="00CB2C86">
        <w:t>телями развитых экономик.</w:t>
      </w:r>
    </w:p>
    <w:tbl>
      <w:tblPr>
        <w:tblStyle w:val="TabNum"/>
        <w:tblW w:w="7370" w:type="dxa"/>
        <w:tblInd w:w="1134" w:type="dxa"/>
        <w:tblLayout w:type="fixed"/>
        <w:tblLook w:val="01E0" w:firstRow="1" w:lastRow="1" w:firstColumn="1" w:lastColumn="1" w:noHBand="0" w:noVBand="0"/>
      </w:tblPr>
      <w:tblGrid>
        <w:gridCol w:w="1876"/>
        <w:gridCol w:w="1568"/>
        <w:gridCol w:w="1567"/>
        <w:gridCol w:w="1162"/>
        <w:gridCol w:w="1197"/>
      </w:tblGrid>
      <w:tr w:rsidR="00F936A8" w:rsidRPr="00BD472B" w:rsidTr="00F936A8">
        <w:trPr>
          <w:tblHeader/>
        </w:trPr>
        <w:tc>
          <w:tcPr>
            <w:cnfStyle w:val="001000000000" w:firstRow="0" w:lastRow="0" w:firstColumn="1" w:lastColumn="0" w:oddVBand="0" w:evenVBand="0" w:oddHBand="0" w:evenHBand="0" w:firstRowFirstColumn="0" w:firstRowLastColumn="0" w:lastRowFirstColumn="0" w:lastRowLastColumn="0"/>
            <w:tcW w:w="1876" w:type="dxa"/>
            <w:vMerge w:val="restart"/>
            <w:shd w:val="clear" w:color="auto" w:fill="auto"/>
          </w:tcPr>
          <w:p w:rsidR="00F936A8" w:rsidRPr="00BD472B" w:rsidRDefault="00F936A8" w:rsidP="00122DDF">
            <w:pPr>
              <w:tabs>
                <w:tab w:val="left" w:pos="1980"/>
              </w:tabs>
              <w:spacing w:before="80" w:after="80" w:line="200" w:lineRule="exact"/>
              <w:rPr>
                <w:i/>
                <w:sz w:val="16"/>
              </w:rPr>
            </w:pPr>
          </w:p>
        </w:tc>
        <w:tc>
          <w:tcPr>
            <w:tcW w:w="1568" w:type="dxa"/>
            <w:vMerge w:val="restart"/>
            <w:tcBorders>
              <w:top w:val="single" w:sz="4" w:space="0" w:color="auto"/>
              <w:bottom w:val="nil"/>
            </w:tcBorders>
            <w:shd w:val="clear" w:color="auto" w:fill="auto"/>
          </w:tcPr>
          <w:p w:rsidR="00F936A8" w:rsidRPr="00BD472B"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D472B">
              <w:rPr>
                <w:i/>
                <w:sz w:val="16"/>
              </w:rPr>
              <w:t>Коэффициент мл</w:t>
            </w:r>
            <w:r w:rsidRPr="00BD472B">
              <w:rPr>
                <w:i/>
                <w:sz w:val="16"/>
              </w:rPr>
              <w:t>а</w:t>
            </w:r>
            <w:r w:rsidRPr="00BD472B">
              <w:rPr>
                <w:i/>
                <w:sz w:val="16"/>
              </w:rPr>
              <w:t>денческой смертн</w:t>
            </w:r>
            <w:r w:rsidRPr="00BD472B">
              <w:rPr>
                <w:i/>
                <w:sz w:val="16"/>
              </w:rPr>
              <w:t>о</w:t>
            </w:r>
            <w:r w:rsidRPr="00BD472B">
              <w:rPr>
                <w:i/>
                <w:sz w:val="16"/>
              </w:rPr>
              <w:t>сти (на 1</w:t>
            </w:r>
            <w:r w:rsidR="00445153">
              <w:rPr>
                <w:i/>
                <w:sz w:val="16"/>
              </w:rPr>
              <w:t> </w:t>
            </w:r>
            <w:r w:rsidRPr="00BD472B">
              <w:rPr>
                <w:i/>
                <w:sz w:val="16"/>
              </w:rPr>
              <w:t>000 ж</w:t>
            </w:r>
            <w:r w:rsidRPr="00BD472B">
              <w:rPr>
                <w:i/>
                <w:sz w:val="16"/>
              </w:rPr>
              <w:t>и</w:t>
            </w:r>
            <w:r w:rsidRPr="00BD472B">
              <w:rPr>
                <w:i/>
                <w:sz w:val="16"/>
              </w:rPr>
              <w:t>ворождений)</w:t>
            </w:r>
          </w:p>
        </w:tc>
        <w:tc>
          <w:tcPr>
            <w:tcW w:w="1567" w:type="dxa"/>
            <w:vMerge w:val="restart"/>
            <w:tcBorders>
              <w:top w:val="single" w:sz="4" w:space="0" w:color="auto"/>
              <w:bottom w:val="nil"/>
            </w:tcBorders>
            <w:shd w:val="clear" w:color="auto" w:fill="auto"/>
          </w:tcPr>
          <w:p w:rsidR="00F936A8" w:rsidRPr="00BD472B"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D472B">
              <w:rPr>
                <w:i/>
                <w:sz w:val="16"/>
              </w:rPr>
              <w:t>Коэффициент м</w:t>
            </w:r>
            <w:r w:rsidRPr="00BD472B">
              <w:rPr>
                <w:i/>
                <w:sz w:val="16"/>
              </w:rPr>
              <w:t>а</w:t>
            </w:r>
            <w:r w:rsidRPr="00BD472B">
              <w:rPr>
                <w:i/>
                <w:sz w:val="16"/>
              </w:rPr>
              <w:t>теринской смер</w:t>
            </w:r>
            <w:r w:rsidRPr="00BD472B">
              <w:rPr>
                <w:i/>
                <w:sz w:val="16"/>
              </w:rPr>
              <w:t>т</w:t>
            </w:r>
            <w:r w:rsidRPr="00BD472B">
              <w:rPr>
                <w:i/>
                <w:sz w:val="16"/>
              </w:rPr>
              <w:t>ности (на 100 000</w:t>
            </w:r>
            <w:r>
              <w:rPr>
                <w:i/>
                <w:sz w:val="16"/>
              </w:rPr>
              <w:t xml:space="preserve"> </w:t>
            </w:r>
            <w:r w:rsidRPr="00BD472B">
              <w:rPr>
                <w:i/>
                <w:sz w:val="16"/>
              </w:rPr>
              <w:t>всех р</w:t>
            </w:r>
            <w:r w:rsidRPr="00BD472B">
              <w:rPr>
                <w:i/>
                <w:sz w:val="16"/>
              </w:rPr>
              <w:t>о</w:t>
            </w:r>
            <w:r w:rsidRPr="00BD472B">
              <w:rPr>
                <w:i/>
                <w:sz w:val="16"/>
              </w:rPr>
              <w:t>дов)</w:t>
            </w:r>
          </w:p>
        </w:tc>
        <w:tc>
          <w:tcPr>
            <w:tcW w:w="2359" w:type="dxa"/>
            <w:gridSpan w:val="2"/>
            <w:tcBorders>
              <w:top w:val="single" w:sz="4" w:space="0" w:color="auto"/>
              <w:bottom w:val="single" w:sz="4" w:space="0" w:color="auto"/>
            </w:tcBorders>
            <w:shd w:val="clear" w:color="auto" w:fill="auto"/>
          </w:tcPr>
          <w:p w:rsidR="00F936A8" w:rsidRPr="00BD472B" w:rsidRDefault="00F936A8" w:rsidP="00122DDF">
            <w:pPr>
              <w:tabs>
                <w:tab w:val="left" w:pos="1980"/>
              </w:tabs>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BD472B">
              <w:rPr>
                <w:i/>
                <w:sz w:val="16"/>
              </w:rPr>
              <w:t>Средняя продолжительность жизни</w:t>
            </w:r>
          </w:p>
        </w:tc>
      </w:tr>
      <w:tr w:rsidR="00F936A8" w:rsidRPr="00BD472B" w:rsidTr="00F936A8">
        <w:trPr>
          <w:tblHeader/>
        </w:trPr>
        <w:tc>
          <w:tcPr>
            <w:cnfStyle w:val="001000000000" w:firstRow="0" w:lastRow="0" w:firstColumn="1" w:lastColumn="0" w:oddVBand="0" w:evenVBand="0" w:oddHBand="0" w:evenHBand="0" w:firstRowFirstColumn="0" w:firstRowLastColumn="0" w:lastRowFirstColumn="0" w:lastRowLastColumn="0"/>
            <w:tcW w:w="1876" w:type="dxa"/>
            <w:vMerge/>
            <w:tcBorders>
              <w:top w:val="nil"/>
              <w:bottom w:val="single" w:sz="12" w:space="0" w:color="auto"/>
            </w:tcBorders>
            <w:shd w:val="clear" w:color="auto" w:fill="auto"/>
          </w:tcPr>
          <w:p w:rsidR="00F936A8" w:rsidRPr="00BD472B" w:rsidRDefault="00F936A8" w:rsidP="00122DDF">
            <w:pPr>
              <w:tabs>
                <w:tab w:val="left" w:pos="1980"/>
              </w:tabs>
              <w:spacing w:before="80" w:after="80" w:line="200" w:lineRule="exact"/>
              <w:rPr>
                <w:i/>
                <w:sz w:val="16"/>
              </w:rPr>
            </w:pPr>
          </w:p>
        </w:tc>
        <w:tc>
          <w:tcPr>
            <w:tcW w:w="1568" w:type="dxa"/>
            <w:vMerge/>
            <w:tcBorders>
              <w:top w:val="nil"/>
              <w:bottom w:val="single" w:sz="12" w:space="0" w:color="auto"/>
            </w:tcBorders>
            <w:shd w:val="clear" w:color="auto" w:fill="auto"/>
          </w:tcPr>
          <w:p w:rsidR="00F936A8" w:rsidRPr="00BD472B"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567" w:type="dxa"/>
            <w:vMerge/>
            <w:tcBorders>
              <w:top w:val="nil"/>
              <w:bottom w:val="single" w:sz="12" w:space="0" w:color="auto"/>
            </w:tcBorders>
            <w:shd w:val="clear" w:color="auto" w:fill="auto"/>
          </w:tcPr>
          <w:p w:rsidR="00F936A8" w:rsidRPr="00BD472B"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162" w:type="dxa"/>
            <w:tcBorders>
              <w:top w:val="single" w:sz="4" w:space="0" w:color="auto"/>
              <w:bottom w:val="single" w:sz="12" w:space="0" w:color="auto"/>
            </w:tcBorders>
            <w:shd w:val="clear" w:color="auto" w:fill="auto"/>
          </w:tcPr>
          <w:p w:rsidR="00F936A8" w:rsidRPr="00BD472B"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D472B">
              <w:rPr>
                <w:i/>
                <w:sz w:val="16"/>
              </w:rPr>
              <w:t>Мужчины</w:t>
            </w:r>
          </w:p>
        </w:tc>
        <w:tc>
          <w:tcPr>
            <w:tcW w:w="1197" w:type="dxa"/>
            <w:tcBorders>
              <w:top w:val="single" w:sz="4" w:space="0" w:color="auto"/>
              <w:bottom w:val="single" w:sz="12" w:space="0" w:color="auto"/>
            </w:tcBorders>
            <w:shd w:val="clear" w:color="auto" w:fill="auto"/>
          </w:tcPr>
          <w:p w:rsidR="00F936A8" w:rsidRPr="00BD472B"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D472B">
              <w:rPr>
                <w:i/>
                <w:sz w:val="16"/>
              </w:rPr>
              <w:t>Женщины</w:t>
            </w:r>
          </w:p>
        </w:tc>
      </w:tr>
      <w:tr w:rsidR="00F936A8" w:rsidRPr="00BD472B" w:rsidTr="00F936A8">
        <w:tc>
          <w:tcPr>
            <w:cnfStyle w:val="001000000000" w:firstRow="0" w:lastRow="0" w:firstColumn="1" w:lastColumn="0" w:oddVBand="0" w:evenVBand="0" w:oddHBand="0" w:evenHBand="0" w:firstRowFirstColumn="0" w:firstRowLastColumn="0" w:lastRowFirstColumn="0" w:lastRowLastColumn="0"/>
            <w:tcW w:w="1876" w:type="dxa"/>
            <w:tcBorders>
              <w:top w:val="single" w:sz="12" w:space="0" w:color="auto"/>
            </w:tcBorders>
          </w:tcPr>
          <w:p w:rsidR="00F936A8" w:rsidRPr="00BD472B" w:rsidRDefault="00F936A8" w:rsidP="00122DDF">
            <w:pPr>
              <w:tabs>
                <w:tab w:val="left" w:pos="1980"/>
              </w:tabs>
            </w:pPr>
            <w:r w:rsidRPr="00BD472B">
              <w:t>Гонконг (2008)</w:t>
            </w:r>
          </w:p>
        </w:tc>
        <w:tc>
          <w:tcPr>
            <w:tcW w:w="1568" w:type="dxa"/>
            <w:tcBorders>
              <w:top w:val="single" w:sz="12" w:space="0" w:color="auto"/>
            </w:tcBorders>
          </w:tcPr>
          <w:p w:rsidR="00F936A8" w:rsidRPr="00BD472B"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D472B">
              <w:t>1</w:t>
            </w:r>
            <w:r>
              <w:t>,</w:t>
            </w:r>
            <w:r w:rsidRPr="00BD472B">
              <w:t>8</w:t>
            </w:r>
          </w:p>
        </w:tc>
        <w:tc>
          <w:tcPr>
            <w:tcW w:w="1567" w:type="dxa"/>
            <w:tcBorders>
              <w:top w:val="single" w:sz="12" w:space="0" w:color="auto"/>
            </w:tcBorders>
          </w:tcPr>
          <w:p w:rsidR="00F936A8" w:rsidRPr="00BD472B"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D472B">
              <w:t>2</w:t>
            </w:r>
            <w:r>
              <w:t>,</w:t>
            </w:r>
            <w:r w:rsidRPr="00BD472B">
              <w:t>5</w:t>
            </w:r>
          </w:p>
        </w:tc>
        <w:tc>
          <w:tcPr>
            <w:tcW w:w="1162" w:type="dxa"/>
            <w:tcBorders>
              <w:top w:val="single" w:sz="12" w:space="0" w:color="auto"/>
            </w:tcBorders>
          </w:tcPr>
          <w:p w:rsidR="00F936A8" w:rsidRPr="00BD472B"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D472B">
              <w:t>79</w:t>
            </w:r>
            <w:r>
              <w:t>,</w:t>
            </w:r>
            <w:r w:rsidRPr="00BD472B">
              <w:t>3</w:t>
            </w:r>
          </w:p>
        </w:tc>
        <w:tc>
          <w:tcPr>
            <w:tcW w:w="1197" w:type="dxa"/>
            <w:tcBorders>
              <w:top w:val="single" w:sz="12" w:space="0" w:color="auto"/>
            </w:tcBorders>
          </w:tcPr>
          <w:p w:rsidR="00F936A8" w:rsidRPr="00BD472B"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D472B">
              <w:t>85</w:t>
            </w:r>
            <w:r>
              <w:t>,</w:t>
            </w:r>
            <w:r w:rsidRPr="00BD472B">
              <w:t>5</w:t>
            </w:r>
          </w:p>
        </w:tc>
      </w:tr>
      <w:tr w:rsidR="00F936A8" w:rsidRPr="00BD472B" w:rsidTr="00F936A8">
        <w:tc>
          <w:tcPr>
            <w:cnfStyle w:val="001000000000" w:firstRow="0" w:lastRow="0" w:firstColumn="1" w:lastColumn="0" w:oddVBand="0" w:evenVBand="0" w:oddHBand="0" w:evenHBand="0" w:firstRowFirstColumn="0" w:firstRowLastColumn="0" w:lastRowFirstColumn="0" w:lastRowLastColumn="0"/>
            <w:tcW w:w="1876" w:type="dxa"/>
          </w:tcPr>
          <w:p w:rsidR="00F936A8" w:rsidRPr="00BD472B" w:rsidRDefault="00F936A8" w:rsidP="00122DDF">
            <w:pPr>
              <w:tabs>
                <w:tab w:val="left" w:pos="1980"/>
              </w:tabs>
            </w:pPr>
            <w:r w:rsidRPr="00BD472B">
              <w:t>Япония</w:t>
            </w:r>
          </w:p>
        </w:tc>
        <w:tc>
          <w:tcPr>
            <w:tcW w:w="1568" w:type="dxa"/>
          </w:tcPr>
          <w:p w:rsidR="00F936A8" w:rsidRPr="00BD472B"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D472B">
              <w:t>2</w:t>
            </w:r>
            <w:r>
              <w:t>,</w:t>
            </w:r>
            <w:r w:rsidRPr="00BD472B">
              <w:t>6 (2008)</w:t>
            </w:r>
          </w:p>
        </w:tc>
        <w:tc>
          <w:tcPr>
            <w:tcW w:w="1567" w:type="dxa"/>
          </w:tcPr>
          <w:p w:rsidR="00F936A8" w:rsidRPr="00BD472B"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D472B">
              <w:t>3</w:t>
            </w:r>
            <w:r>
              <w:t>,</w:t>
            </w:r>
            <w:r w:rsidRPr="00BD472B">
              <w:t>2 (2007)</w:t>
            </w:r>
          </w:p>
        </w:tc>
        <w:tc>
          <w:tcPr>
            <w:tcW w:w="1162" w:type="dxa"/>
          </w:tcPr>
          <w:p w:rsidR="00F936A8" w:rsidRPr="00BD472B"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D472B">
              <w:t>79</w:t>
            </w:r>
            <w:r>
              <w:t>,</w:t>
            </w:r>
            <w:r w:rsidRPr="00BD472B">
              <w:t>3 (2008)</w:t>
            </w:r>
          </w:p>
        </w:tc>
        <w:tc>
          <w:tcPr>
            <w:tcW w:w="1197" w:type="dxa"/>
          </w:tcPr>
          <w:p w:rsidR="00F936A8" w:rsidRPr="00BD472B"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D472B">
              <w:t>86</w:t>
            </w:r>
            <w:r>
              <w:t>,</w:t>
            </w:r>
            <w:r w:rsidRPr="00BD472B">
              <w:t>1 (2008)</w:t>
            </w:r>
          </w:p>
        </w:tc>
      </w:tr>
      <w:tr w:rsidR="00F936A8" w:rsidRPr="00BD472B" w:rsidTr="00F936A8">
        <w:tc>
          <w:tcPr>
            <w:cnfStyle w:val="001000000000" w:firstRow="0" w:lastRow="0" w:firstColumn="1" w:lastColumn="0" w:oddVBand="0" w:evenVBand="0" w:oddHBand="0" w:evenHBand="0" w:firstRowFirstColumn="0" w:firstRowLastColumn="0" w:lastRowFirstColumn="0" w:lastRowLastColumn="0"/>
            <w:tcW w:w="1876" w:type="dxa"/>
          </w:tcPr>
          <w:p w:rsidR="00F936A8" w:rsidRPr="00BD472B" w:rsidRDefault="00F936A8" w:rsidP="00122DDF">
            <w:pPr>
              <w:tabs>
                <w:tab w:val="left" w:pos="1980"/>
              </w:tabs>
            </w:pPr>
            <w:r w:rsidRPr="00BD472B">
              <w:t xml:space="preserve">Соединенное </w:t>
            </w:r>
            <w:r>
              <w:br/>
            </w:r>
            <w:r w:rsidRPr="00BD472B">
              <w:t>Кор</w:t>
            </w:r>
            <w:r w:rsidRPr="00BD472B">
              <w:t>о</w:t>
            </w:r>
            <w:r w:rsidRPr="00BD472B">
              <w:t>левство</w:t>
            </w:r>
          </w:p>
        </w:tc>
        <w:tc>
          <w:tcPr>
            <w:tcW w:w="1568" w:type="dxa"/>
          </w:tcPr>
          <w:p w:rsidR="00F936A8" w:rsidRPr="00BD472B"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D472B">
              <w:t>4</w:t>
            </w:r>
            <w:r>
              <w:t>,</w:t>
            </w:r>
            <w:r w:rsidRPr="00BD472B">
              <w:t>7* (2008)</w:t>
            </w:r>
          </w:p>
        </w:tc>
        <w:tc>
          <w:tcPr>
            <w:tcW w:w="1567" w:type="dxa"/>
          </w:tcPr>
          <w:p w:rsidR="00F936A8" w:rsidRPr="00BD472B"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D472B">
              <w:t>7</w:t>
            </w:r>
            <w:r>
              <w:t>,</w:t>
            </w:r>
            <w:r w:rsidRPr="00BD472B">
              <w:t>3 (2007)</w:t>
            </w:r>
          </w:p>
        </w:tc>
        <w:tc>
          <w:tcPr>
            <w:tcW w:w="1162" w:type="dxa"/>
          </w:tcPr>
          <w:p w:rsidR="00F936A8" w:rsidRPr="00BD472B"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D472B">
              <w:t>77</w:t>
            </w:r>
            <w:r>
              <w:t>,</w:t>
            </w:r>
            <w:r w:rsidRPr="00BD472B">
              <w:t>4 (2007)</w:t>
            </w:r>
          </w:p>
        </w:tc>
        <w:tc>
          <w:tcPr>
            <w:tcW w:w="1197" w:type="dxa"/>
          </w:tcPr>
          <w:p w:rsidR="00F936A8" w:rsidRPr="00BD472B"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D472B">
              <w:t>81</w:t>
            </w:r>
            <w:r>
              <w:t>,</w:t>
            </w:r>
            <w:r w:rsidRPr="00BD472B">
              <w:t>6 (2007)</w:t>
            </w:r>
          </w:p>
        </w:tc>
      </w:tr>
      <w:tr w:rsidR="00F936A8" w:rsidRPr="00BD472B" w:rsidTr="00F936A8">
        <w:tc>
          <w:tcPr>
            <w:cnfStyle w:val="001000000000" w:firstRow="0" w:lastRow="0" w:firstColumn="1" w:lastColumn="0" w:oddVBand="0" w:evenVBand="0" w:oddHBand="0" w:evenHBand="0" w:firstRowFirstColumn="0" w:firstRowLastColumn="0" w:lastRowFirstColumn="0" w:lastRowLastColumn="0"/>
            <w:tcW w:w="1876" w:type="dxa"/>
          </w:tcPr>
          <w:p w:rsidR="00F936A8" w:rsidRPr="00BD472B" w:rsidRDefault="00F936A8" w:rsidP="00122DDF">
            <w:pPr>
              <w:tabs>
                <w:tab w:val="left" w:pos="1980"/>
              </w:tabs>
            </w:pPr>
            <w:r w:rsidRPr="00BD472B">
              <w:t>США</w:t>
            </w:r>
          </w:p>
        </w:tc>
        <w:tc>
          <w:tcPr>
            <w:tcW w:w="1568" w:type="dxa"/>
          </w:tcPr>
          <w:p w:rsidR="00F936A8" w:rsidRPr="00BD472B"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D472B">
              <w:t>6</w:t>
            </w:r>
            <w:r>
              <w:t>,</w:t>
            </w:r>
            <w:r w:rsidRPr="00BD472B">
              <w:t>5* (2008)</w:t>
            </w:r>
          </w:p>
        </w:tc>
        <w:tc>
          <w:tcPr>
            <w:tcW w:w="1567" w:type="dxa"/>
          </w:tcPr>
          <w:p w:rsidR="00F936A8" w:rsidRPr="00BD472B"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D472B">
              <w:t>13</w:t>
            </w:r>
            <w:r>
              <w:t>,</w:t>
            </w:r>
            <w:r w:rsidRPr="00BD472B">
              <w:t>3 (2006)</w:t>
            </w:r>
          </w:p>
        </w:tc>
        <w:tc>
          <w:tcPr>
            <w:tcW w:w="1162" w:type="dxa"/>
          </w:tcPr>
          <w:p w:rsidR="00F936A8" w:rsidRPr="00BD472B"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D472B">
              <w:t>75</w:t>
            </w:r>
            <w:r>
              <w:t>,</w:t>
            </w:r>
            <w:r w:rsidRPr="00BD472B">
              <w:t>3* (2007)</w:t>
            </w:r>
          </w:p>
        </w:tc>
        <w:tc>
          <w:tcPr>
            <w:tcW w:w="1197" w:type="dxa"/>
          </w:tcPr>
          <w:p w:rsidR="00F936A8" w:rsidRPr="00BD472B"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D472B">
              <w:t>80</w:t>
            </w:r>
            <w:r>
              <w:t>,</w:t>
            </w:r>
            <w:r w:rsidRPr="00BD472B">
              <w:t>4* (2007)</w:t>
            </w:r>
          </w:p>
        </w:tc>
      </w:tr>
    </w:tbl>
    <w:p w:rsidR="00F936A8" w:rsidRPr="00EB7B74" w:rsidRDefault="00F936A8" w:rsidP="00122DDF">
      <w:pPr>
        <w:pStyle w:val="SingleTxtGR"/>
        <w:tabs>
          <w:tab w:val="left" w:pos="1980"/>
        </w:tabs>
        <w:suppressAutoHyphens/>
        <w:spacing w:before="120" w:after="240"/>
        <w:ind w:left="1358"/>
        <w:rPr>
          <w:sz w:val="18"/>
          <w:szCs w:val="18"/>
        </w:rPr>
      </w:pPr>
      <w:r w:rsidRPr="00EB7B74">
        <w:rPr>
          <w:sz w:val="18"/>
          <w:szCs w:val="18"/>
        </w:rPr>
        <w:t>* Предварительная цифра.</w:t>
      </w:r>
    </w:p>
    <w:p w:rsidR="00F936A8" w:rsidRPr="00CB2C86" w:rsidRDefault="00F936A8" w:rsidP="00F91733">
      <w:pPr>
        <w:pStyle w:val="SingleTxtGR"/>
        <w:tabs>
          <w:tab w:val="clear" w:pos="1701"/>
          <w:tab w:val="clear" w:pos="2268"/>
          <w:tab w:val="left" w:pos="1980"/>
          <w:tab w:val="left" w:pos="2520"/>
        </w:tabs>
      </w:pPr>
      <w:r w:rsidRPr="00CB2C86">
        <w:t>12.7</w:t>
      </w:r>
      <w:r w:rsidRPr="00CB2C86">
        <w:tab/>
        <w:t>Коэффициент младенческой смертности сократился с 3,2 на 1</w:t>
      </w:r>
      <w:r w:rsidR="00247D76">
        <w:t> </w:t>
      </w:r>
      <w:r w:rsidRPr="00CB2C86">
        <w:t>000 ж</w:t>
      </w:r>
      <w:r w:rsidRPr="00CB2C86">
        <w:t>и</w:t>
      </w:r>
      <w:r w:rsidRPr="00CB2C86">
        <w:t>ворождений в 1998</w:t>
      </w:r>
      <w:r w:rsidR="00B92291">
        <w:t> год</w:t>
      </w:r>
      <w:r w:rsidRPr="00CB2C86">
        <w:t>у до 2,5 в 2004</w:t>
      </w:r>
      <w:r w:rsidR="00B92291">
        <w:t> год</w:t>
      </w:r>
      <w:r w:rsidRPr="00CB2C86">
        <w:t>у и до 1,8 в 2008</w:t>
      </w:r>
      <w:r w:rsidR="00B92291">
        <w:t> год</w:t>
      </w:r>
      <w:r w:rsidRPr="00CB2C86">
        <w:t>у. Средняя пр</w:t>
      </w:r>
      <w:r w:rsidRPr="00CB2C86">
        <w:t>о</w:t>
      </w:r>
      <w:r w:rsidRPr="00CB2C86">
        <w:t>должительность жизни мужчин выросла с 77,4 лет в 1998</w:t>
      </w:r>
      <w:r w:rsidR="00B92291">
        <w:t> год</w:t>
      </w:r>
      <w:r w:rsidRPr="00CB2C86">
        <w:t>у до 79 лет в 2004</w:t>
      </w:r>
      <w:r w:rsidR="00B92291">
        <w:t> год</w:t>
      </w:r>
      <w:r w:rsidRPr="00CB2C86">
        <w:t>у и до 79,3 лет в 2008</w:t>
      </w:r>
      <w:r w:rsidR="00B92291">
        <w:t> год</w:t>
      </w:r>
      <w:r w:rsidRPr="00CB2C86">
        <w:t>у. Средняя продолжительность жизни женщин увел</w:t>
      </w:r>
      <w:r w:rsidRPr="00CB2C86">
        <w:t>и</w:t>
      </w:r>
      <w:r w:rsidRPr="00CB2C86">
        <w:t>чилась с 83 лет в 1998</w:t>
      </w:r>
      <w:r w:rsidR="00B92291">
        <w:t> год</w:t>
      </w:r>
      <w:r w:rsidRPr="00CB2C86">
        <w:t>у до 84,8 в 2004</w:t>
      </w:r>
      <w:r w:rsidR="00B92291">
        <w:t> год</w:t>
      </w:r>
      <w:r w:rsidRPr="00CB2C86">
        <w:t>у и 85,5 лет в 2008</w:t>
      </w:r>
      <w:r w:rsidR="00B92291">
        <w:t> год</w:t>
      </w:r>
      <w:r w:rsidRPr="00CB2C86">
        <w:t>у. Средняя продолжительность жизни в Гонконге остается одной из самых выс</w:t>
      </w:r>
      <w:r w:rsidRPr="00CB2C86">
        <w:t>о</w:t>
      </w:r>
      <w:r w:rsidRPr="00CB2C86">
        <w:t>ких в мире. В 2008</w:t>
      </w:r>
      <w:r w:rsidR="00B92291">
        <w:t> год</w:t>
      </w:r>
      <w:r w:rsidRPr="00CB2C86">
        <w:t>у коэффициент материнской смертности оставался ни</w:t>
      </w:r>
      <w:r w:rsidRPr="00CB2C86">
        <w:t>з</w:t>
      </w:r>
      <w:r w:rsidRPr="00CB2C86">
        <w:t>ким, составляя 2,5 на 100</w:t>
      </w:r>
      <w:r w:rsidR="00E758E4">
        <w:t> 000</w:t>
      </w:r>
      <w:r w:rsidRPr="00CB2C86">
        <w:t xml:space="preserve"> зарегистрированных живорождений. Все насел</w:t>
      </w:r>
      <w:r w:rsidRPr="00CB2C86">
        <w:t>е</w:t>
      </w:r>
      <w:r w:rsidRPr="00CB2C86">
        <w:t>ние Гонконга имеет доступ к безопасной питьевой воде и необходимой системе канализации. Оно также имеет возможность пользоваться услугами специально подготовленного персонала, обеспечивающего лечение общих заболеваний и травм, медицинским уходом во время беременности и родов, а также педиатр</w:t>
      </w:r>
      <w:r w:rsidRPr="00CB2C86">
        <w:t>и</w:t>
      </w:r>
      <w:r w:rsidRPr="00CB2C86">
        <w:t>ческой помощью. Согласно регулярно проводимому обзору охвата иммунизац</w:t>
      </w:r>
      <w:r w:rsidRPr="00CB2C86">
        <w:t>и</w:t>
      </w:r>
      <w:r w:rsidRPr="00CB2C86">
        <w:t>ей показатели охвата иммунизацией детей против туберкулеза, гепатита В, п</w:t>
      </w:r>
      <w:r w:rsidRPr="00CB2C86">
        <w:t>о</w:t>
      </w:r>
      <w:r w:rsidRPr="00CB2C86">
        <w:t>лиомиел</w:t>
      </w:r>
      <w:r w:rsidRPr="00CB2C86">
        <w:t>и</w:t>
      </w:r>
      <w:r w:rsidRPr="00CB2C86">
        <w:t>та, дифтерии, коклюша, столбняка, кори, свинки и краснухи по-прежнему пр</w:t>
      </w:r>
      <w:r w:rsidRPr="00CB2C86">
        <w:t>е</w:t>
      </w:r>
      <w:r w:rsidRPr="00CB2C86">
        <w:t xml:space="preserve">вышали 95%. Эти показатели являются одними из самых высоких показателей среди развитых экономик. </w:t>
      </w:r>
    </w:p>
    <w:p w:rsidR="00F936A8" w:rsidRPr="00CB2C86" w:rsidRDefault="00F936A8" w:rsidP="00F91733">
      <w:pPr>
        <w:pStyle w:val="H23GR"/>
        <w:tabs>
          <w:tab w:val="left" w:pos="1980"/>
          <w:tab w:val="left" w:pos="2520"/>
        </w:tabs>
      </w:pPr>
      <w:r w:rsidRPr="00CB2C86">
        <w:tab/>
      </w:r>
      <w:r w:rsidRPr="00CB2C86">
        <w:tab/>
        <w:t>Оказание медико-санитарной помощи и программы</w:t>
      </w:r>
    </w:p>
    <w:p w:rsidR="00F936A8" w:rsidRPr="00CB2C86" w:rsidRDefault="00F936A8" w:rsidP="00F91733">
      <w:pPr>
        <w:pStyle w:val="H4GR"/>
        <w:tabs>
          <w:tab w:val="left" w:pos="1980"/>
          <w:tab w:val="left" w:pos="2520"/>
        </w:tabs>
        <w:spacing w:before="240"/>
        <w:ind w:left="1134" w:right="1179" w:hanging="1134"/>
      </w:pPr>
      <w:r w:rsidRPr="00CB2C86">
        <w:tab/>
      </w:r>
      <w:r w:rsidRPr="00CB2C86">
        <w:tab/>
        <w:t>Первичная медико-санитарная помощь</w:t>
      </w:r>
    </w:p>
    <w:p w:rsidR="00F936A8" w:rsidRPr="00CB2C86" w:rsidRDefault="00F936A8" w:rsidP="00F91733">
      <w:pPr>
        <w:pStyle w:val="SingleTxtGR"/>
        <w:tabs>
          <w:tab w:val="clear" w:pos="1701"/>
          <w:tab w:val="clear" w:pos="2268"/>
          <w:tab w:val="left" w:pos="1980"/>
          <w:tab w:val="left" w:pos="2520"/>
        </w:tabs>
      </w:pPr>
      <w:r w:rsidRPr="00CB2C86">
        <w:t>12.8</w:t>
      </w:r>
      <w:r w:rsidRPr="00CB2C86">
        <w:tab/>
        <w:t>Как было разъяснено в пунктах 442</w:t>
      </w:r>
      <w:r>
        <w:t>−</w:t>
      </w:r>
      <w:r w:rsidRPr="00CB2C86">
        <w:t>443 первоначального доклада, г</w:t>
      </w:r>
      <w:r w:rsidRPr="00CB2C86">
        <w:t>о</w:t>
      </w:r>
      <w:r w:rsidRPr="00CB2C86">
        <w:t>сударственная первичная медико-санитарная помощь оказывается сетью клиник и центров здоровья, подведомственных ДЗ. Департамент руководствуется по</w:t>
      </w:r>
      <w:r w:rsidRPr="00CB2C86">
        <w:t>д</w:t>
      </w:r>
      <w:r w:rsidRPr="00CB2C86">
        <w:t>ходом Всемирной организации здравоохранения (ВОЗ) к оказанию первичной медико-санитарной помощи. Первичная медико-санитарная помощь состоит из широкого ряда медико-санитарных услуг, включая укрепление здоровья и пр</w:t>
      </w:r>
      <w:r w:rsidRPr="00CB2C86">
        <w:t>о</w:t>
      </w:r>
      <w:r w:rsidRPr="00CB2C86">
        <w:t>филактику заболеваний.</w:t>
      </w:r>
    </w:p>
    <w:p w:rsidR="00F936A8" w:rsidRPr="00CB2C86" w:rsidRDefault="00F936A8" w:rsidP="00F91733">
      <w:pPr>
        <w:pStyle w:val="SingleTxtGR"/>
        <w:tabs>
          <w:tab w:val="clear" w:pos="1701"/>
          <w:tab w:val="clear" w:pos="2268"/>
          <w:tab w:val="left" w:pos="1980"/>
          <w:tab w:val="left" w:pos="2520"/>
        </w:tabs>
      </w:pPr>
      <w:r w:rsidRPr="00CB2C86">
        <w:t>12.9</w:t>
      </w:r>
      <w:r w:rsidRPr="00CB2C86">
        <w:tab/>
        <w:t>Расходы Гонконга на первичную медико-санитарную помощь, которая включает расходы на государственные общие амбулаторные клиники, частные амбулаторные центры (общие и специализированные) и стоматологическую п</w:t>
      </w:r>
      <w:r w:rsidRPr="00CB2C86">
        <w:t>о</w:t>
      </w:r>
      <w:r w:rsidRPr="00CB2C86">
        <w:t>мощь, в 2005</w:t>
      </w:r>
      <w:r>
        <w:t>−</w:t>
      </w:r>
      <w:r w:rsidRPr="00CB2C86">
        <w:t>2006</w:t>
      </w:r>
      <w:r w:rsidR="00B92291">
        <w:t> год</w:t>
      </w:r>
      <w:r w:rsidRPr="00CB2C86">
        <w:t>ах составляли 21</w:t>
      </w:r>
      <w:r w:rsidR="004F720A">
        <w:t> </w:t>
      </w:r>
      <w:r w:rsidR="00B63D5C">
        <w:t>млрд. долл.</w:t>
      </w:r>
      <w:r w:rsidRPr="004F0ED8">
        <w:rPr>
          <w:sz w:val="18"/>
          <w:szCs w:val="18"/>
          <w:vertAlign w:val="superscript"/>
          <w:lang w:val="en-GB"/>
        </w:rPr>
        <w:footnoteReference w:id="18"/>
      </w:r>
      <w:r w:rsidRPr="00CB2C86">
        <w:t>, причем на долю госуда</w:t>
      </w:r>
      <w:r w:rsidRPr="00CB2C86">
        <w:t>р</w:t>
      </w:r>
      <w:r w:rsidRPr="00CB2C86">
        <w:t>ственных расходов, которые были направлены главным образом на обесп</w:t>
      </w:r>
      <w:r w:rsidRPr="00CB2C86">
        <w:t>е</w:t>
      </w:r>
      <w:r w:rsidRPr="00CB2C86">
        <w:t>чение бесплатной помощи или помощи по очень низким тарифам для широкой общ</w:t>
      </w:r>
      <w:r w:rsidRPr="00CB2C86">
        <w:t>е</w:t>
      </w:r>
      <w:r w:rsidRPr="00CB2C86">
        <w:t>ственности, приходилось 22%.</w:t>
      </w:r>
    </w:p>
    <w:p w:rsidR="00F936A8" w:rsidRPr="00CB2C86" w:rsidRDefault="00F936A8" w:rsidP="00F91733">
      <w:pPr>
        <w:pStyle w:val="H4GR"/>
        <w:tabs>
          <w:tab w:val="left" w:pos="1980"/>
          <w:tab w:val="left" w:pos="2520"/>
        </w:tabs>
        <w:spacing w:before="240"/>
        <w:ind w:left="1134" w:right="1179" w:hanging="1134"/>
      </w:pPr>
      <w:r w:rsidRPr="00CB2C86">
        <w:tab/>
      </w:r>
      <w:r w:rsidRPr="00CB2C86">
        <w:tab/>
        <w:t>Охрана здоровья семьи и медицинское обслуживание женщин в р</w:t>
      </w:r>
      <w:r w:rsidRPr="00CB2C86">
        <w:t>е</w:t>
      </w:r>
      <w:r w:rsidRPr="00CB2C86">
        <w:t>продуктивном возрасте и детей в возрасте до пяти лет</w:t>
      </w:r>
    </w:p>
    <w:p w:rsidR="00F936A8" w:rsidRPr="00CB2C86" w:rsidRDefault="00F936A8" w:rsidP="00F91733">
      <w:pPr>
        <w:pStyle w:val="SingleTxtGR"/>
        <w:tabs>
          <w:tab w:val="clear" w:pos="1701"/>
          <w:tab w:val="clear" w:pos="2268"/>
          <w:tab w:val="left" w:pos="1980"/>
          <w:tab w:val="left" w:pos="2520"/>
        </w:tabs>
      </w:pPr>
      <w:r w:rsidRPr="00CB2C86">
        <w:t>12.10</w:t>
      </w:r>
      <w:r w:rsidRPr="00CB2C86">
        <w:tab/>
        <w:t>Государственная служба охраны здоровья семьи (СОЗС) оказывает всеобъемлющий набор медицинских и профилактических услуг для детей в во</w:t>
      </w:r>
      <w:r w:rsidRPr="00CB2C86">
        <w:t>з</w:t>
      </w:r>
      <w:r w:rsidRPr="00CB2C86">
        <w:t xml:space="preserve">расте от 0 до 5 лет и женщинам в возрасте </w:t>
      </w:r>
      <w:r w:rsidR="00247D76">
        <w:t xml:space="preserve">моложе </w:t>
      </w:r>
      <w:r w:rsidRPr="00CB2C86">
        <w:t>65 лет через сеть из 31 по</w:t>
      </w:r>
      <w:r w:rsidRPr="00CB2C86">
        <w:t>д</w:t>
      </w:r>
      <w:r w:rsidRPr="00CB2C86">
        <w:t>ведомственных ей ЦОМД и 3 Центров здоровья женщин.</w:t>
      </w:r>
    </w:p>
    <w:p w:rsidR="00F936A8" w:rsidRPr="00CB2C86" w:rsidRDefault="00F936A8" w:rsidP="00F91733">
      <w:pPr>
        <w:pStyle w:val="SingleTxtGR"/>
        <w:tabs>
          <w:tab w:val="clear" w:pos="1701"/>
          <w:tab w:val="clear" w:pos="2268"/>
          <w:tab w:val="left" w:pos="1980"/>
          <w:tab w:val="left" w:pos="2520"/>
        </w:tabs>
      </w:pPr>
      <w:r w:rsidRPr="00CB2C86">
        <w:t>12.11</w:t>
      </w:r>
      <w:r w:rsidRPr="00CB2C86">
        <w:tab/>
        <w:t>Программы, которые предлагаются женщинам репродуктивного во</w:t>
      </w:r>
      <w:r w:rsidRPr="00CB2C86">
        <w:t>з</w:t>
      </w:r>
      <w:r w:rsidRPr="00CB2C86">
        <w:t>раста, включают дородовый и послеродовый уход, планирование семьи, скр</w:t>
      </w:r>
      <w:r w:rsidRPr="00CB2C86">
        <w:t>и</w:t>
      </w:r>
      <w:r w:rsidRPr="00CB2C86">
        <w:t>нинг рака шейки матки. Рак молочной железы и мастит относятся к серьезным заболев</w:t>
      </w:r>
      <w:r w:rsidRPr="00CB2C86">
        <w:t>а</w:t>
      </w:r>
      <w:r w:rsidRPr="00CB2C86">
        <w:t xml:space="preserve">ниям, и их профилактика активно проводится повсеместно. </w:t>
      </w:r>
    </w:p>
    <w:p w:rsidR="00F936A8" w:rsidRPr="00CB2C86" w:rsidRDefault="00F936A8" w:rsidP="00F91733">
      <w:pPr>
        <w:pStyle w:val="SingleTxtGR"/>
        <w:tabs>
          <w:tab w:val="clear" w:pos="1701"/>
          <w:tab w:val="clear" w:pos="2268"/>
          <w:tab w:val="left" w:pos="1980"/>
          <w:tab w:val="left" w:pos="2520"/>
        </w:tabs>
      </w:pPr>
      <w:r w:rsidRPr="00CB2C86">
        <w:t>12.12</w:t>
      </w:r>
      <w:r w:rsidRPr="00CB2C86">
        <w:tab/>
        <w:t>Служба охраны здоровья ребенка оказывает свои услуги в форме Ко</w:t>
      </w:r>
      <w:r w:rsidRPr="00CB2C86">
        <w:t>м</w:t>
      </w:r>
      <w:r w:rsidRPr="00CB2C86">
        <w:t>плексной программы охраны здоровья и развития ребенка. Она состоит из трех основных компонентов, а именно: программы помощи родителям, программы иммунизации и программа охраны здоровья и развития ребенка. Программа помощи родителям преследует цель снабдить родителей необходимыми зн</w:t>
      </w:r>
      <w:r w:rsidRPr="00CB2C86">
        <w:t>а</w:t>
      </w:r>
      <w:r w:rsidRPr="00CB2C86">
        <w:t>ниями и навыками для воспитания здоровых и хорошо развитых детей. Ко</w:t>
      </w:r>
      <w:r w:rsidRPr="00CB2C86">
        <w:t>м</w:t>
      </w:r>
      <w:r w:rsidRPr="00CB2C86">
        <w:t>плексная программа иммунизации проводится в ЦОМД для защиты детей от десяти инфекционных болезней. Программа наблюдения за здоровьем и разв</w:t>
      </w:r>
      <w:r w:rsidRPr="00CB2C86">
        <w:t>и</w:t>
      </w:r>
      <w:r w:rsidRPr="00CB2C86">
        <w:t>тием ребенка позволяет проводить регулярный мониторинг детей для раннего выявления проблем роста, развития и поведения. Дети с выявленными серье</w:t>
      </w:r>
      <w:r w:rsidRPr="00CB2C86">
        <w:t>з</w:t>
      </w:r>
      <w:r w:rsidRPr="00CB2C86">
        <w:t>ными аномалиями направляются к специалистам или в Службу детской диагн</w:t>
      </w:r>
      <w:r w:rsidRPr="00CB2C86">
        <w:t>о</w:t>
      </w:r>
      <w:r w:rsidRPr="00CB2C86">
        <w:t>стики для дальнейшего лечения.</w:t>
      </w:r>
    </w:p>
    <w:p w:rsidR="00F936A8" w:rsidRPr="00CB2C86" w:rsidRDefault="00F936A8" w:rsidP="00F91733">
      <w:pPr>
        <w:pStyle w:val="H4GR"/>
        <w:tabs>
          <w:tab w:val="left" w:pos="1980"/>
          <w:tab w:val="left" w:pos="2520"/>
        </w:tabs>
        <w:spacing w:before="240"/>
        <w:ind w:left="1134" w:right="1179" w:hanging="1134"/>
      </w:pPr>
      <w:r w:rsidRPr="00CB2C86">
        <w:tab/>
      </w:r>
      <w:r w:rsidRPr="00CB2C86">
        <w:tab/>
        <w:t xml:space="preserve"> Служба здоровья женщин</w:t>
      </w:r>
    </w:p>
    <w:p w:rsidR="00F936A8" w:rsidRPr="00CB2C86" w:rsidRDefault="00F936A8" w:rsidP="00F91733">
      <w:pPr>
        <w:pStyle w:val="SingleTxtGR"/>
        <w:tabs>
          <w:tab w:val="clear" w:pos="1701"/>
          <w:tab w:val="clear" w:pos="2268"/>
          <w:tab w:val="left" w:pos="1980"/>
          <w:tab w:val="left" w:pos="2520"/>
        </w:tabs>
      </w:pPr>
      <w:r w:rsidRPr="00CB2C86">
        <w:t>12.13</w:t>
      </w:r>
      <w:r w:rsidRPr="00CB2C86">
        <w:tab/>
        <w:t>Служба здоровья женщин занимается укреплением здоровья женщин и удовлетворением их потребностей в медицинской помощи на различных этапах жизни. Служба стремится расширить возможности женщин, позволяющие д</w:t>
      </w:r>
      <w:r w:rsidRPr="00CB2C86">
        <w:t>е</w:t>
      </w:r>
      <w:r w:rsidRPr="00CB2C86">
        <w:t>лать выбор образа жизни, который благоприятствует их здоровью, и, когда н</w:t>
      </w:r>
      <w:r w:rsidRPr="00CB2C86">
        <w:t>е</w:t>
      </w:r>
      <w:r w:rsidRPr="00CB2C86">
        <w:t>обходимо, добиваться права на надлежащее медицинское и социальное обсл</w:t>
      </w:r>
      <w:r w:rsidRPr="00CB2C86">
        <w:t>у</w:t>
      </w:r>
      <w:r w:rsidRPr="00CB2C86">
        <w:t>живание, путем предоставления точной и обновленной информации о всех пр</w:t>
      </w:r>
      <w:r w:rsidRPr="00CB2C86">
        <w:t>о</w:t>
      </w:r>
      <w:r w:rsidRPr="00CB2C86">
        <w:t>блемах женского здоровья и соответствующих общественных ресурсах. Прав</w:t>
      </w:r>
      <w:r w:rsidRPr="00CB2C86">
        <w:t>и</w:t>
      </w:r>
      <w:r w:rsidRPr="00CB2C86">
        <w:t>тельство имеет три подведомственных ему Центра охраны здоровья женщин и 10 ЦОМД, у которых имеется Служба охраны здоровья женщин, которая зан</w:t>
      </w:r>
      <w:r w:rsidRPr="00CB2C86">
        <w:t>и</w:t>
      </w:r>
      <w:r w:rsidRPr="00CB2C86">
        <w:t>мается медико-санитарным просвещением, дает консультации и делает закл</w:t>
      </w:r>
      <w:r w:rsidRPr="00CB2C86">
        <w:t>ю</w:t>
      </w:r>
      <w:r w:rsidRPr="00CB2C86">
        <w:t>чения о состоянии здоровья в зависимости от индивидуальных потребностей.</w:t>
      </w:r>
    </w:p>
    <w:p w:rsidR="00F936A8" w:rsidRPr="00CB2C86" w:rsidRDefault="00F936A8" w:rsidP="00F91733">
      <w:pPr>
        <w:pStyle w:val="SingleTxtGR"/>
        <w:tabs>
          <w:tab w:val="clear" w:pos="1701"/>
          <w:tab w:val="clear" w:pos="2268"/>
          <w:tab w:val="left" w:pos="1980"/>
          <w:tab w:val="left" w:pos="2520"/>
        </w:tabs>
      </w:pPr>
      <w:r w:rsidRPr="00CB2C86">
        <w:t>12.14</w:t>
      </w:r>
      <w:r w:rsidRPr="00CB2C86">
        <w:tab/>
        <w:t>Некоторые комментаторы рекомендовали увеличить часы работы ЦОМД с одного до двух дней в неделю, чтобы облегчить посещения работа</w:t>
      </w:r>
      <w:r w:rsidRPr="00CB2C86">
        <w:t>ю</w:t>
      </w:r>
      <w:r w:rsidRPr="00CB2C86">
        <w:t>щим женщинам. Служба охраны здоровья женщин оказывает свои услуги в Центрах охраны здоровья женщин и в ЦОМД в утренние часы каждую вторую и четвертую нерабочую субботу каждого месяца, чтобы облегчить посещения работающим женщинам. Хотя в настоящее время ДЗ не планирует расширить медицинское обслуживание женщин или вводить вечерние часы приема, он не является единственным поставщиком медицинских услуг для женщин. Мед</w:t>
      </w:r>
      <w:r w:rsidRPr="00CB2C86">
        <w:t>и</w:t>
      </w:r>
      <w:r w:rsidRPr="00CB2C86">
        <w:t xml:space="preserve">цинские услуги женщинам также оказывают другие местные организации, </w:t>
      </w:r>
      <w:r w:rsidR="00254ACE">
        <w:t>в ч</w:t>
      </w:r>
      <w:r w:rsidR="00254ACE">
        <w:t>а</w:t>
      </w:r>
      <w:r w:rsidR="00254ACE">
        <w:t>стности такие, как</w:t>
      </w:r>
      <w:r w:rsidRPr="00CB2C86">
        <w:t xml:space="preserve"> Ассоциация планирования семьи, Группа госпиталей Тунг </w:t>
      </w:r>
      <w:proofErr w:type="spellStart"/>
      <w:r w:rsidRPr="00CB2C86">
        <w:t>Ва</w:t>
      </w:r>
      <w:proofErr w:type="spellEnd"/>
      <w:r w:rsidRPr="00CB2C86">
        <w:t xml:space="preserve">, Федерация профсоюзов Гонконга и частные практикующие врачи. Кроме того, ДЗ имеет </w:t>
      </w:r>
      <w:proofErr w:type="spellStart"/>
      <w:r>
        <w:t>вебстраниц</w:t>
      </w:r>
      <w:r w:rsidRPr="00CB2C86">
        <w:t>у</w:t>
      </w:r>
      <w:proofErr w:type="spellEnd"/>
      <w:r w:rsidRPr="00CB2C86">
        <w:t xml:space="preserve"> (</w:t>
      </w:r>
      <w:r w:rsidRPr="00CB2C86">
        <w:rPr>
          <w:lang w:val="en-GB"/>
        </w:rPr>
        <w:t>http</w:t>
      </w:r>
      <w:r w:rsidRPr="00CB2C86">
        <w:t>://</w:t>
      </w:r>
      <w:r w:rsidRPr="00CB2C86">
        <w:rPr>
          <w:lang w:val="en-GB"/>
        </w:rPr>
        <w:t>www</w:t>
      </w:r>
      <w:r w:rsidRPr="00CB2C86">
        <w:t>.</w:t>
      </w:r>
      <w:proofErr w:type="spellStart"/>
      <w:r w:rsidRPr="00CB2C86">
        <w:rPr>
          <w:lang w:val="en-GB"/>
        </w:rPr>
        <w:t>fhs</w:t>
      </w:r>
      <w:proofErr w:type="spellEnd"/>
      <w:r w:rsidRPr="00CB2C86">
        <w:t>.</w:t>
      </w:r>
      <w:proofErr w:type="spellStart"/>
      <w:r w:rsidRPr="00CB2C86">
        <w:rPr>
          <w:lang w:val="en-GB"/>
        </w:rPr>
        <w:t>gov</w:t>
      </w:r>
      <w:proofErr w:type="spellEnd"/>
      <w:r w:rsidRPr="00CB2C86">
        <w:t>.</w:t>
      </w:r>
      <w:proofErr w:type="spellStart"/>
      <w:r w:rsidRPr="00CB2C86">
        <w:rPr>
          <w:lang w:val="en-GB"/>
        </w:rPr>
        <w:t>hk</w:t>
      </w:r>
      <w:proofErr w:type="spellEnd"/>
      <w:r w:rsidRPr="00CB2C86">
        <w:t>) и круглосуточную горячую линию для распространения всеобъемлющей информации о здоровье женщин.</w:t>
      </w:r>
    </w:p>
    <w:p w:rsidR="00F936A8" w:rsidRPr="00CB2C86" w:rsidRDefault="00F936A8" w:rsidP="00F91733">
      <w:pPr>
        <w:pStyle w:val="SingleTxtGR"/>
        <w:tabs>
          <w:tab w:val="clear" w:pos="1701"/>
          <w:tab w:val="clear" w:pos="2268"/>
          <w:tab w:val="left" w:pos="1980"/>
          <w:tab w:val="left" w:pos="2520"/>
        </w:tabs>
      </w:pPr>
      <w:r w:rsidRPr="00CB2C86">
        <w:t>12.15</w:t>
      </w:r>
      <w:r w:rsidRPr="00CB2C86">
        <w:tab/>
        <w:t>Некоторые комментаторы призвали правительство содействовать рег</w:t>
      </w:r>
      <w:r w:rsidRPr="00CB2C86">
        <w:t>у</w:t>
      </w:r>
      <w:r w:rsidRPr="00CB2C86">
        <w:t xml:space="preserve">лярным консультациям у </w:t>
      </w:r>
      <w:proofErr w:type="spellStart"/>
      <w:r w:rsidRPr="00CB2C86">
        <w:t>врачей-маммологов</w:t>
      </w:r>
      <w:proofErr w:type="spellEnd"/>
      <w:r w:rsidRPr="00CB2C86">
        <w:t>. Мы придаем большое значение здоровью женщин. Для гарантированного обеспечения здоровья женщин Го</w:t>
      </w:r>
      <w:r w:rsidRPr="00CB2C86">
        <w:t>н</w:t>
      </w:r>
      <w:r w:rsidRPr="00CB2C86">
        <w:t>конга мы применяем стратегии укрепления здоровья и профилактики болезней. Комиссия экспертов по профилактике и скринингу рака Координационного к</w:t>
      </w:r>
      <w:r w:rsidRPr="00CB2C86">
        <w:t>о</w:t>
      </w:r>
      <w:r w:rsidRPr="00CB2C86">
        <w:t>митета по борьбе с раком дает рекомендации относительно стратегий по пр</w:t>
      </w:r>
      <w:r w:rsidRPr="00CB2C86">
        <w:t>о</w:t>
      </w:r>
      <w:r w:rsidRPr="00CB2C86">
        <w:t xml:space="preserve">филактике и скринингу рака на основе последних медицинских достижений. Согласно рекомендации Комиссии экспертов Центры охраны здоровья женщин ДЗ проводят </w:t>
      </w:r>
      <w:proofErr w:type="spellStart"/>
      <w:r w:rsidRPr="00CB2C86">
        <w:t>маммографический</w:t>
      </w:r>
      <w:proofErr w:type="spellEnd"/>
      <w:r w:rsidRPr="00CB2C86">
        <w:t xml:space="preserve"> скрининг для женщин, входящих в группу в</w:t>
      </w:r>
      <w:r w:rsidRPr="00CB2C86">
        <w:t>ы</w:t>
      </w:r>
      <w:r w:rsidRPr="00CB2C86">
        <w:t>соко риска, например, женщин, страдающих первой стадией рака молочной ж</w:t>
      </w:r>
      <w:r w:rsidRPr="00CB2C86">
        <w:t>е</w:t>
      </w:r>
      <w:r w:rsidRPr="00CB2C86">
        <w:t>лезы в возрасте моложе 50 лет, или женщин в возрасте 50 лет и старше (п</w:t>
      </w:r>
      <w:r w:rsidRPr="00CB2C86">
        <w:t>о</w:t>
      </w:r>
      <w:r w:rsidRPr="00CB2C86">
        <w:t>скольку вероятность заболевания раком увеличивается с возрастом).</w:t>
      </w:r>
    </w:p>
    <w:p w:rsidR="00F936A8" w:rsidRPr="00CB2C86" w:rsidRDefault="00F936A8" w:rsidP="00F91733">
      <w:pPr>
        <w:pStyle w:val="SingleTxtGR"/>
        <w:tabs>
          <w:tab w:val="clear" w:pos="1701"/>
          <w:tab w:val="clear" w:pos="2268"/>
          <w:tab w:val="left" w:pos="1980"/>
          <w:tab w:val="left" w:pos="2520"/>
        </w:tabs>
      </w:pPr>
      <w:r w:rsidRPr="00CB2C86">
        <w:t>12.16</w:t>
      </w:r>
      <w:r w:rsidRPr="00CB2C86">
        <w:tab/>
        <w:t>Важно, чтобы общественность принимала первичные меры профила</w:t>
      </w:r>
      <w:r w:rsidRPr="00CB2C86">
        <w:t>к</w:t>
      </w:r>
      <w:r w:rsidRPr="00CB2C86">
        <w:t>тики рака молочной железы. ДЗ прилагает немалые усилия, чтобы содейств</w:t>
      </w:r>
      <w:r w:rsidRPr="00CB2C86">
        <w:t>о</w:t>
      </w:r>
      <w:r w:rsidRPr="00CB2C86">
        <w:t>вать первичной профилактик</w:t>
      </w:r>
      <w:r w:rsidR="00950CC6">
        <w:t>е</w:t>
      </w:r>
      <w:r w:rsidRPr="00CB2C86">
        <w:t xml:space="preserve"> рака груди. К таким мерам относятся сохранение оптимальной массы тела, регулярные физические упражнения, умеренное п</w:t>
      </w:r>
      <w:r w:rsidRPr="00CB2C86">
        <w:t>о</w:t>
      </w:r>
      <w:r w:rsidRPr="00CB2C86">
        <w:t>требление алкогольных напитков, употребление в пищу продуктов с низким с</w:t>
      </w:r>
      <w:r w:rsidRPr="00CB2C86">
        <w:t>о</w:t>
      </w:r>
      <w:r w:rsidRPr="00CB2C86">
        <w:t>держанием жиров и большое количество фруктов и овощей, раннее рождение первого ребенка и вскармливание грудью. К тому же ДЗ пропагандирует при</w:t>
      </w:r>
      <w:r w:rsidRPr="00CB2C86">
        <w:t>н</w:t>
      </w:r>
      <w:r w:rsidRPr="00CB2C86">
        <w:t>цип профилактики рака груди, цель которого заключается в том, чтобы стим</w:t>
      </w:r>
      <w:r w:rsidRPr="00CB2C86">
        <w:t>у</w:t>
      </w:r>
      <w:r w:rsidRPr="00CB2C86">
        <w:t>лировать женщин внимательнее относиться к состоянию своей груди и следить за тем, как оно меняется в различные периоды месяца. Это позволяет выявить на ранней стадии любые патологические изменения молочной железы. Мед</w:t>
      </w:r>
      <w:r w:rsidRPr="00CB2C86">
        <w:t>и</w:t>
      </w:r>
      <w:r w:rsidRPr="00CB2C86">
        <w:t>цинский персонал ДЗ проводит медицинский осмотр, дает консультации и н</w:t>
      </w:r>
      <w:r w:rsidRPr="00CB2C86">
        <w:t>а</w:t>
      </w:r>
      <w:r w:rsidRPr="00CB2C86">
        <w:t>правления к специалистам женщинам, у которых обнаружены уплотнения и аномальные грудные изменения.</w:t>
      </w:r>
    </w:p>
    <w:p w:rsidR="00F936A8" w:rsidRPr="00CB2C86" w:rsidRDefault="00F936A8" w:rsidP="00F91733">
      <w:pPr>
        <w:pStyle w:val="SingleTxtGR"/>
        <w:tabs>
          <w:tab w:val="clear" w:pos="1701"/>
          <w:tab w:val="clear" w:pos="2268"/>
          <w:tab w:val="left" w:pos="1980"/>
          <w:tab w:val="left" w:pos="2520"/>
        </w:tabs>
      </w:pPr>
      <w:r w:rsidRPr="00CB2C86">
        <w:t>12.17</w:t>
      </w:r>
      <w:r w:rsidRPr="00CB2C86">
        <w:tab/>
        <w:t>Ежегодный регистрационный взнос в Службу охраны здоровья же</w:t>
      </w:r>
      <w:r w:rsidRPr="00CB2C86">
        <w:t>н</w:t>
      </w:r>
      <w:r w:rsidRPr="00CB2C86">
        <w:t>щин (315</w:t>
      </w:r>
      <w:r w:rsidR="004F720A">
        <w:t> долл.</w:t>
      </w:r>
      <w:r w:rsidRPr="00CB2C86">
        <w:t xml:space="preserve">) и дополнительная плата за </w:t>
      </w:r>
      <w:proofErr w:type="spellStart"/>
      <w:r w:rsidRPr="00CB2C86">
        <w:t>скрининговую</w:t>
      </w:r>
      <w:proofErr w:type="spellEnd"/>
      <w:r w:rsidRPr="00CB2C86">
        <w:t xml:space="preserve"> маммографию (225</w:t>
      </w:r>
      <w:r w:rsidR="004F720A">
        <w:t> долл.</w:t>
      </w:r>
      <w:r w:rsidRPr="00CB2C86">
        <w:t>) в значительной степени субсидируются государством. С получат</w:t>
      </w:r>
      <w:r w:rsidRPr="00CB2C86">
        <w:t>е</w:t>
      </w:r>
      <w:r w:rsidRPr="00CB2C86">
        <w:t>лей помощи по линии СВСО плата не взимается.</w:t>
      </w:r>
    </w:p>
    <w:p w:rsidR="00F936A8" w:rsidRPr="00CB2C86" w:rsidRDefault="00F936A8" w:rsidP="00F91733">
      <w:pPr>
        <w:pStyle w:val="H4GR"/>
        <w:tabs>
          <w:tab w:val="left" w:pos="1980"/>
          <w:tab w:val="left" w:pos="2520"/>
        </w:tabs>
        <w:spacing w:before="240"/>
        <w:ind w:left="1134" w:right="1179" w:hanging="1134"/>
      </w:pPr>
      <w:r w:rsidRPr="00CB2C86">
        <w:tab/>
      </w:r>
      <w:r w:rsidRPr="00CB2C86">
        <w:tab/>
        <w:t>Услуги беременным женщинам из материкового Китая</w:t>
      </w:r>
    </w:p>
    <w:p w:rsidR="00F936A8" w:rsidRPr="00CB2C86" w:rsidRDefault="00F936A8" w:rsidP="00F91733">
      <w:pPr>
        <w:pStyle w:val="SingleTxtGR"/>
        <w:tabs>
          <w:tab w:val="clear" w:pos="1701"/>
          <w:tab w:val="clear" w:pos="2268"/>
          <w:tab w:val="left" w:pos="1980"/>
          <w:tab w:val="left" w:pos="2520"/>
        </w:tabs>
      </w:pPr>
      <w:r w:rsidRPr="00CB2C86">
        <w:t>12.18</w:t>
      </w:r>
      <w:r w:rsidRPr="00CB2C86">
        <w:tab/>
        <w:t>Некоторые комментаторы предложили усилить защиту беременных женщин из материкового Китая, которые были помещены в местную больницу для родов. Женщинам, не отвечающим квалификационным требованиям, АБ оказывает комплекс акушерских услуг, которые распространяются на береме</w:t>
      </w:r>
      <w:r w:rsidRPr="00CB2C86">
        <w:t>н</w:t>
      </w:r>
      <w:r w:rsidRPr="00CB2C86">
        <w:t>ных женщин из материкового Китая, включая дородовый осмотр и пребывание в государственных больницах в течение двух ночей для родов. Дородовое н</w:t>
      </w:r>
      <w:r w:rsidRPr="00CB2C86">
        <w:t>а</w:t>
      </w:r>
      <w:r w:rsidRPr="00CB2C86">
        <w:t>блюдение помогает снизить риск как тяжелых родов у женщин, так и врожде</w:t>
      </w:r>
      <w:r w:rsidRPr="00CB2C86">
        <w:t>н</w:t>
      </w:r>
      <w:r w:rsidRPr="00CB2C86">
        <w:t>ных патологий неизвестного происхождения и обеспечивает проведение всех необх</w:t>
      </w:r>
      <w:r w:rsidRPr="00CB2C86">
        <w:t>о</w:t>
      </w:r>
      <w:r w:rsidRPr="00CB2C86">
        <w:t>димых анализов до родов. Если необходимо, беременная женщина может и дальше получать дородовую помощь в акушерских амбулаторных клиниках в течение всей беременности после оплаты всех соответствующих счетов. Сущ</w:t>
      </w:r>
      <w:r w:rsidRPr="00CB2C86">
        <w:t>е</w:t>
      </w:r>
      <w:r w:rsidRPr="00CB2C86">
        <w:t>ствующий порядок оказывается эффективным в уменьшении количества случ</w:t>
      </w:r>
      <w:r w:rsidRPr="00CB2C86">
        <w:t>а</w:t>
      </w:r>
      <w:r w:rsidRPr="00CB2C86">
        <w:t>ев, когда беременные женщины нуждаются в срочной госпитализации через о</w:t>
      </w:r>
      <w:r w:rsidRPr="00CB2C86">
        <w:t>т</w:t>
      </w:r>
      <w:r w:rsidRPr="00CB2C86">
        <w:t>деления реанимации и интенсивной терапии без существенного дородового н</w:t>
      </w:r>
      <w:r w:rsidRPr="00CB2C86">
        <w:t>а</w:t>
      </w:r>
      <w:r w:rsidRPr="00CB2C86">
        <w:t>блюдения, а это снижает риск как для матери, так и для плода.</w:t>
      </w:r>
    </w:p>
    <w:p w:rsidR="00F936A8" w:rsidRPr="00CB2C86" w:rsidRDefault="00F936A8" w:rsidP="00F91733">
      <w:pPr>
        <w:pStyle w:val="H4GR"/>
        <w:tabs>
          <w:tab w:val="left" w:pos="1980"/>
          <w:tab w:val="left" w:pos="2520"/>
        </w:tabs>
        <w:spacing w:before="240"/>
        <w:ind w:left="1134" w:right="1179" w:hanging="1134"/>
      </w:pPr>
      <w:r w:rsidRPr="00CB2C86">
        <w:tab/>
      </w:r>
      <w:r w:rsidRPr="00CB2C86">
        <w:tab/>
        <w:t>Медицинское обслуживание учащихся</w:t>
      </w:r>
    </w:p>
    <w:p w:rsidR="00F936A8" w:rsidRPr="00CB2C86" w:rsidRDefault="00F936A8" w:rsidP="00F91733">
      <w:pPr>
        <w:pStyle w:val="SingleTxtGR"/>
        <w:tabs>
          <w:tab w:val="clear" w:pos="1701"/>
          <w:tab w:val="clear" w:pos="2268"/>
          <w:tab w:val="left" w:pos="1980"/>
          <w:tab w:val="left" w:pos="2520"/>
        </w:tabs>
      </w:pPr>
      <w:r w:rsidRPr="00CB2C86">
        <w:t>12.19</w:t>
      </w:r>
      <w:r w:rsidRPr="00CB2C86">
        <w:tab/>
        <w:t>Оказываемое ДЗ медицинское обслуживание включает целый ко</w:t>
      </w:r>
      <w:r w:rsidRPr="00CB2C86">
        <w:t>м</w:t>
      </w:r>
      <w:r w:rsidRPr="00CB2C86">
        <w:t>плекс терапевтических и профилактических услуг, направленных на укрепление физического и социально-психического здоровья учащихся начальных и сре</w:t>
      </w:r>
      <w:r w:rsidRPr="00CB2C86">
        <w:t>д</w:t>
      </w:r>
      <w:r w:rsidRPr="00CB2C86">
        <w:t>них школ Гонконга. Школьники могут посещать один из 12 Центров медици</w:t>
      </w:r>
      <w:r w:rsidRPr="00CB2C86">
        <w:t>н</w:t>
      </w:r>
      <w:r w:rsidRPr="00CB2C86">
        <w:t>ского обслуживания школьников для оценки состояния здоровья, включая м</w:t>
      </w:r>
      <w:r w:rsidRPr="00CB2C86">
        <w:t>е</w:t>
      </w:r>
      <w:r w:rsidRPr="00CB2C86">
        <w:t xml:space="preserve">дицинский осмотр и </w:t>
      </w:r>
      <w:proofErr w:type="spellStart"/>
      <w:r w:rsidRPr="00CB2C86">
        <w:t>тест-скрининги</w:t>
      </w:r>
      <w:proofErr w:type="spellEnd"/>
      <w:r w:rsidRPr="00CB2C86">
        <w:t xml:space="preserve"> для выявления скрытых медицинских п</w:t>
      </w:r>
      <w:r w:rsidRPr="00CB2C86">
        <w:t>а</w:t>
      </w:r>
      <w:r w:rsidRPr="00CB2C86">
        <w:t>тологий, индивидуальные консультации, медико-санитарное просвещение и н</w:t>
      </w:r>
      <w:r w:rsidRPr="00CB2C86">
        <w:t>а</w:t>
      </w:r>
      <w:r w:rsidRPr="00CB2C86">
        <w:t>правление к специалистам, школьным педагогам, школьным социальным р</w:t>
      </w:r>
      <w:r w:rsidRPr="00CB2C86">
        <w:t>а</w:t>
      </w:r>
      <w:r w:rsidRPr="00CB2C86">
        <w:t>ботникам и в случае необходимости сотрудникам других социальных учрежд</w:t>
      </w:r>
      <w:r w:rsidRPr="00CB2C86">
        <w:t>е</w:t>
      </w:r>
      <w:r w:rsidRPr="00CB2C86">
        <w:t>ний для дал</w:t>
      </w:r>
      <w:r w:rsidRPr="00CB2C86">
        <w:t>ь</w:t>
      </w:r>
      <w:r w:rsidRPr="00CB2C86">
        <w:t xml:space="preserve">нейшей оценки. </w:t>
      </w:r>
    </w:p>
    <w:p w:rsidR="00F936A8" w:rsidRPr="00CB2C86" w:rsidRDefault="00F936A8" w:rsidP="00F91733">
      <w:pPr>
        <w:pStyle w:val="H4GR"/>
        <w:tabs>
          <w:tab w:val="left" w:pos="1980"/>
          <w:tab w:val="left" w:pos="2520"/>
        </w:tabs>
        <w:spacing w:before="240"/>
        <w:ind w:left="1134" w:right="1179" w:hanging="1134"/>
      </w:pPr>
      <w:r w:rsidRPr="00CB2C86">
        <w:tab/>
      </w:r>
      <w:r w:rsidRPr="00CB2C86">
        <w:tab/>
        <w:t>Здоровье детей и подростков</w:t>
      </w:r>
    </w:p>
    <w:p w:rsidR="00F936A8" w:rsidRPr="00CB2C86" w:rsidRDefault="00F936A8" w:rsidP="00F91733">
      <w:pPr>
        <w:pStyle w:val="SingleTxtGR"/>
        <w:tabs>
          <w:tab w:val="clear" w:pos="1701"/>
          <w:tab w:val="clear" w:pos="2268"/>
          <w:tab w:val="left" w:pos="1980"/>
          <w:tab w:val="left" w:pos="2520"/>
        </w:tabs>
      </w:pPr>
      <w:r w:rsidRPr="00CB2C86">
        <w:t>12.20</w:t>
      </w:r>
      <w:r w:rsidRPr="00CB2C86">
        <w:tab/>
        <w:t>В 2001</w:t>
      </w:r>
      <w:r w:rsidR="00B92291">
        <w:t> год</w:t>
      </w:r>
      <w:r w:rsidRPr="00CB2C86">
        <w:t>а ДЗ внедрил Программу здоровья подростков в рамках м</w:t>
      </w:r>
      <w:r w:rsidRPr="00CB2C86">
        <w:t>е</w:t>
      </w:r>
      <w:r w:rsidRPr="00CB2C86">
        <w:t xml:space="preserve">дицинского обслуживания учащихся. Ее цель </w:t>
      </w:r>
      <w:r>
        <w:t>−</w:t>
      </w:r>
      <w:r w:rsidRPr="00CB2C86">
        <w:t xml:space="preserve"> помочь подросткам, сталк</w:t>
      </w:r>
      <w:r w:rsidRPr="00CB2C86">
        <w:t>и</w:t>
      </w:r>
      <w:r w:rsidRPr="00CB2C86">
        <w:t>вающимся с трудностями роста, формируя у них жизнестойкость, прививая им н</w:t>
      </w:r>
      <w:r w:rsidRPr="00CB2C86">
        <w:t>а</w:t>
      </w:r>
      <w:r w:rsidRPr="00CB2C86">
        <w:t>выки, необходимые для преодоления кризисов и стресса, и воспитывая у них положительное мировоззрение. Для пропаганды программ укрепления здоровья среди учащихся, преподавателей и родителей в средние школы выезжают ме</w:t>
      </w:r>
      <w:r w:rsidRPr="00CB2C86">
        <w:t>ж</w:t>
      </w:r>
      <w:r w:rsidRPr="00CB2C86">
        <w:t>дисциплинарные бригады врачей, медицинских сестер, клинических психол</w:t>
      </w:r>
      <w:r w:rsidRPr="00CB2C86">
        <w:t>о</w:t>
      </w:r>
      <w:r w:rsidRPr="00CB2C86">
        <w:t xml:space="preserve">гов, социальных работников и других специалистов. </w:t>
      </w:r>
    </w:p>
    <w:p w:rsidR="00F936A8" w:rsidRPr="00CB2C86" w:rsidRDefault="00F936A8" w:rsidP="00F91733">
      <w:pPr>
        <w:pStyle w:val="SingleTxtGR"/>
        <w:tabs>
          <w:tab w:val="clear" w:pos="1701"/>
          <w:tab w:val="clear" w:pos="2268"/>
          <w:tab w:val="left" w:pos="1980"/>
          <w:tab w:val="left" w:pos="2520"/>
        </w:tabs>
      </w:pPr>
      <w:r w:rsidRPr="00CB2C86">
        <w:t>12.21</w:t>
      </w:r>
      <w:r w:rsidRPr="00CB2C86">
        <w:tab/>
        <w:t>Одни комментаторы настоятельно призвали правительство сформул</w:t>
      </w:r>
      <w:r w:rsidRPr="00CB2C86">
        <w:t>и</w:t>
      </w:r>
      <w:r w:rsidRPr="00CB2C86">
        <w:t>ровать всеобъемлющую политику охраны здоровья детей, а другие выразили озабоченность в связи с проблемой ожирения, а также нездорового режима п</w:t>
      </w:r>
      <w:r w:rsidRPr="00CB2C86">
        <w:t>и</w:t>
      </w:r>
      <w:r w:rsidRPr="00CB2C86">
        <w:t>тания и образа жизни детей и подростков в Гонконге. Правительство придает большое значение здоровью детей и подростков. Через ДЗ и АБ мы оказываем детям широкий спектр медицинских услуг, в том числе укрепление здоровья, профилактику болезней, раннее вмешательство и медицинское обслуживание. Комплексная программа охраны здоровья и развития ребенка выполняется в ЦОМД ДЗ для содействия целостному (физическому, умственному, психич</w:t>
      </w:r>
      <w:r w:rsidRPr="00CB2C86">
        <w:t>е</w:t>
      </w:r>
      <w:r w:rsidRPr="00CB2C86">
        <w:t>скому и социальному) развитию и благополучию детей с момента рождения до пяти лет. Главными компонентами этой комплексной программы являются п</w:t>
      </w:r>
      <w:r w:rsidRPr="00CB2C86">
        <w:t>о</w:t>
      </w:r>
      <w:r w:rsidRPr="00CB2C86">
        <w:t>мощь родителям, иммунизация, а также наблюдение за состоянием здоровья и развитием.</w:t>
      </w:r>
    </w:p>
    <w:p w:rsidR="00F936A8" w:rsidRPr="00CB2C86" w:rsidRDefault="00F936A8" w:rsidP="00F91733">
      <w:pPr>
        <w:pStyle w:val="SingleTxtGR"/>
        <w:tabs>
          <w:tab w:val="clear" w:pos="1701"/>
          <w:tab w:val="clear" w:pos="2268"/>
          <w:tab w:val="left" w:pos="1980"/>
          <w:tab w:val="left" w:pos="2520"/>
        </w:tabs>
      </w:pPr>
      <w:r w:rsidRPr="00CB2C86">
        <w:t>12.22</w:t>
      </w:r>
      <w:r w:rsidRPr="00CB2C86">
        <w:tab/>
        <w:t>Факты продемонстрировали, что дети, вскормленные грудью, меньше подвержены риску детского ожирения. Программы, пропагандирующие и по</w:t>
      </w:r>
      <w:r w:rsidRPr="00CB2C86">
        <w:t>д</w:t>
      </w:r>
      <w:r w:rsidRPr="00CB2C86">
        <w:t>держивающие продолженное вскармливание грудью, реализуются в ЦОМД. К</w:t>
      </w:r>
      <w:r>
        <w:t> </w:t>
      </w:r>
      <w:r w:rsidRPr="00CB2C86">
        <w:t>ним относятся дородовые семинары, группы поддержки, консультации врачей по связанным с грудным вскармливанием проблемам и индивидуальные ко</w:t>
      </w:r>
      <w:r w:rsidRPr="00CB2C86">
        <w:t>н</w:t>
      </w:r>
      <w:r w:rsidRPr="00CB2C86">
        <w:t>сультации, а также обучение технике грудного вскармливания. У младенцев, рожденных в 2008</w:t>
      </w:r>
      <w:r w:rsidR="00B92291">
        <w:t> год</w:t>
      </w:r>
      <w:r w:rsidRPr="00CB2C86">
        <w:t>у, 73</w:t>
      </w:r>
      <w:r>
        <w:t>,</w:t>
      </w:r>
      <w:r w:rsidRPr="00CB2C86">
        <w:t>7% матерей начали кормление грудью сразу после родов, а 12</w:t>
      </w:r>
      <w:r>
        <w:t>,</w:t>
      </w:r>
      <w:r w:rsidRPr="00CB2C86">
        <w:t>7% младенцев вскармливались исключительно грудью в возрасте от 4 до 6 месяцев.</w:t>
      </w:r>
    </w:p>
    <w:p w:rsidR="00F936A8" w:rsidRPr="00CB2C86" w:rsidRDefault="00F936A8" w:rsidP="00F91733">
      <w:pPr>
        <w:pStyle w:val="SingleTxtGR"/>
        <w:tabs>
          <w:tab w:val="clear" w:pos="1701"/>
          <w:tab w:val="clear" w:pos="2268"/>
          <w:tab w:val="left" w:pos="1980"/>
          <w:tab w:val="left" w:pos="2520"/>
        </w:tabs>
      </w:pPr>
      <w:r w:rsidRPr="00CB2C86">
        <w:t>12.23</w:t>
      </w:r>
      <w:r w:rsidRPr="00CB2C86">
        <w:tab/>
        <w:t>Комплексная программа охраны здоровья и развития ребенка охват</w:t>
      </w:r>
      <w:r w:rsidRPr="00CB2C86">
        <w:t>ы</w:t>
      </w:r>
      <w:r w:rsidRPr="00CB2C86">
        <w:t xml:space="preserve">вает наблюдение за ростом и рекомендации по кормлению ребенка. Родители снабжаются предварительным руководством об отнятии от груди и здоровом кормлении. ДЗ также предоставляет информацию на семинарах </w:t>
      </w:r>
      <w:r>
        <w:t>"</w:t>
      </w:r>
      <w:r w:rsidRPr="00CB2C86">
        <w:t xml:space="preserve">Счастливое </w:t>
      </w:r>
      <w:proofErr w:type="spellStart"/>
      <w:r w:rsidRPr="00CB2C86">
        <w:t>родительство</w:t>
      </w:r>
      <w:proofErr w:type="spellEnd"/>
      <w:r>
        <w:t>"</w:t>
      </w:r>
      <w:r w:rsidRPr="00CB2C86">
        <w:t xml:space="preserve">, в брошюрах, содержащих советы родителям, и на </w:t>
      </w:r>
      <w:proofErr w:type="spellStart"/>
      <w:r>
        <w:t>вебсайт</w:t>
      </w:r>
      <w:r w:rsidRPr="00CB2C86">
        <w:t>е</w:t>
      </w:r>
      <w:proofErr w:type="spellEnd"/>
      <w:r w:rsidRPr="00CB2C86">
        <w:t xml:space="preserve"> ДЗ </w:t>
      </w:r>
      <w:r>
        <w:t>"</w:t>
      </w:r>
      <w:r w:rsidRPr="00CB2C86">
        <w:t>Служба охраны здоровья семьи</w:t>
      </w:r>
      <w:r>
        <w:t>"</w:t>
      </w:r>
      <w:r w:rsidRPr="00CB2C86">
        <w:t>.</w:t>
      </w:r>
    </w:p>
    <w:p w:rsidR="00F936A8" w:rsidRPr="00CB2C86" w:rsidRDefault="00F936A8" w:rsidP="00F91733">
      <w:pPr>
        <w:pStyle w:val="SingleTxtGR"/>
        <w:tabs>
          <w:tab w:val="clear" w:pos="1701"/>
          <w:tab w:val="clear" w:pos="2268"/>
          <w:tab w:val="left" w:pos="1980"/>
          <w:tab w:val="left" w:pos="2520"/>
        </w:tabs>
      </w:pPr>
      <w:r w:rsidRPr="00CB2C86">
        <w:t>12.24</w:t>
      </w:r>
      <w:r w:rsidRPr="00CB2C86">
        <w:tab/>
        <w:t>В настоящее время Служба охраны здоровья семьи разрабатывает р</w:t>
      </w:r>
      <w:r w:rsidRPr="00CB2C86">
        <w:t>у</w:t>
      </w:r>
      <w:r w:rsidRPr="00CB2C86">
        <w:t>ководство для родителей, посвященное отнятию от груди. Оно призвано помочь родителям научиться практике здорового кормления уже в период отнятия от груди, чтобы дети могли легче сформировать долгосрочную привычку здоров</w:t>
      </w:r>
      <w:r w:rsidRPr="00CB2C86">
        <w:t>о</w:t>
      </w:r>
      <w:r w:rsidRPr="00CB2C86">
        <w:t>го питания.</w:t>
      </w:r>
    </w:p>
    <w:p w:rsidR="00F936A8" w:rsidRPr="00CB2C86" w:rsidRDefault="00F936A8" w:rsidP="00F91733">
      <w:pPr>
        <w:pStyle w:val="SingleTxtGR"/>
        <w:tabs>
          <w:tab w:val="clear" w:pos="1701"/>
          <w:tab w:val="clear" w:pos="2268"/>
          <w:tab w:val="left" w:pos="1980"/>
          <w:tab w:val="left" w:pos="2520"/>
        </w:tabs>
      </w:pPr>
      <w:r w:rsidRPr="00CB2C86">
        <w:t>12.25</w:t>
      </w:r>
      <w:r w:rsidRPr="00CB2C86">
        <w:tab/>
        <w:t>Для учащихся начальной и средней школы Служба здоровья учащихся ДЗ оказывает комплексные, развивающие и профилактические услуги в зав</w:t>
      </w:r>
      <w:r w:rsidRPr="00CB2C86">
        <w:t>и</w:t>
      </w:r>
      <w:r w:rsidRPr="00CB2C86">
        <w:t>симости от их потребностей на каждом этапе развития. Она преследует цель укрепить и сохранить физическое и психическое здоровье учащихся.</w:t>
      </w:r>
    </w:p>
    <w:p w:rsidR="00F936A8" w:rsidRPr="00CB2C86" w:rsidRDefault="00F936A8" w:rsidP="00F91733">
      <w:pPr>
        <w:pStyle w:val="H4GR"/>
        <w:tabs>
          <w:tab w:val="left" w:pos="1980"/>
          <w:tab w:val="left" w:pos="2520"/>
        </w:tabs>
        <w:spacing w:before="240"/>
        <w:ind w:left="1134" w:right="1179" w:hanging="1134"/>
      </w:pPr>
      <w:r w:rsidRPr="00CB2C86">
        <w:tab/>
      </w:r>
      <w:r w:rsidRPr="00CB2C86">
        <w:tab/>
        <w:t>Стоматологическое обслуживание</w:t>
      </w:r>
    </w:p>
    <w:p w:rsidR="00F936A8" w:rsidRPr="00CB2C86" w:rsidRDefault="00F936A8" w:rsidP="00F91733">
      <w:pPr>
        <w:pStyle w:val="SingleTxtGR"/>
        <w:tabs>
          <w:tab w:val="clear" w:pos="1701"/>
          <w:tab w:val="clear" w:pos="2268"/>
          <w:tab w:val="left" w:pos="1980"/>
          <w:tab w:val="left" w:pos="2520"/>
        </w:tabs>
      </w:pPr>
      <w:r w:rsidRPr="00CB2C86">
        <w:t>12.26</w:t>
      </w:r>
      <w:r w:rsidRPr="00CB2C86">
        <w:tab/>
        <w:t>Лечебные стоматологические услуги оказываются в основном врачами частного сектора и НПО. Государственные стоматологические услуги в целом ограничиваются неотложной стоматологической помощью, специализирова</w:t>
      </w:r>
      <w:r w:rsidRPr="00CB2C86">
        <w:t>н</w:t>
      </w:r>
      <w:r w:rsidRPr="00CB2C86">
        <w:t>ной санацией рта пациентов в государственных больницах и групп пациентов с особыми потребностями, стоматологической помощью заключенным/лицам, содержащимся в исправительных учреждениях, и базовой стоматологической помощью учащимся начальной школы через Школьную стоматологическую службу.</w:t>
      </w:r>
    </w:p>
    <w:p w:rsidR="00F936A8" w:rsidRPr="00CB2C86" w:rsidRDefault="00F936A8" w:rsidP="00F91733">
      <w:pPr>
        <w:pStyle w:val="SingleTxtGR"/>
        <w:tabs>
          <w:tab w:val="clear" w:pos="1701"/>
          <w:tab w:val="clear" w:pos="2268"/>
          <w:tab w:val="left" w:pos="1980"/>
          <w:tab w:val="left" w:pos="2520"/>
        </w:tabs>
      </w:pPr>
      <w:r w:rsidRPr="00CB2C86">
        <w:t>12.27</w:t>
      </w:r>
      <w:r w:rsidRPr="00CB2C86">
        <w:tab/>
        <w:t>В 2008</w:t>
      </w:r>
      <w:r>
        <w:t>−</w:t>
      </w:r>
      <w:r w:rsidRPr="00CB2C86">
        <w:t>2009</w:t>
      </w:r>
      <w:r w:rsidR="00B92291">
        <w:t> год</w:t>
      </w:r>
      <w:r w:rsidRPr="00CB2C86">
        <w:t>ах свыше 346</w:t>
      </w:r>
      <w:r>
        <w:t> </w:t>
      </w:r>
      <w:r w:rsidRPr="00CB2C86">
        <w:t>000 детей</w:t>
      </w:r>
      <w:r w:rsidR="00950CC6">
        <w:t xml:space="preserve">, </w:t>
      </w:r>
      <w:r w:rsidRPr="00CB2C86">
        <w:t>около 94,3% учащихся н</w:t>
      </w:r>
      <w:r w:rsidRPr="00CB2C86">
        <w:t>а</w:t>
      </w:r>
      <w:r w:rsidRPr="00CB2C86">
        <w:t>чальной школы, были охвачены услугами Школьной стоматологической слу</w:t>
      </w:r>
      <w:r w:rsidRPr="00CB2C86">
        <w:t>ж</w:t>
      </w:r>
      <w:r w:rsidRPr="00CB2C86">
        <w:t>бы. Эта цифра отражает увеличение на 6% уровня участия по сравнению с 2001</w:t>
      </w:r>
      <w:r>
        <w:t>−</w:t>
      </w:r>
      <w:r w:rsidRPr="00CB2C86">
        <w:t>2002</w:t>
      </w:r>
      <w:r w:rsidR="00B92291">
        <w:t> год</w:t>
      </w:r>
      <w:r w:rsidRPr="00CB2C86">
        <w:t>ами, как сообщалось в пункте 12.16 предыдущего доклада. Пр</w:t>
      </w:r>
      <w:r w:rsidRPr="00CB2C86">
        <w:t>а</w:t>
      </w:r>
      <w:r w:rsidRPr="00CB2C86">
        <w:t>вительство также стремиться повысить уровень информированности общес</w:t>
      </w:r>
      <w:r w:rsidRPr="00CB2C86">
        <w:t>т</w:t>
      </w:r>
      <w:r w:rsidRPr="00CB2C86">
        <w:t>венности о большом значении гигиены ротовой полости и помочь населению сформировать культуру гигиены ротовой полости путем пропаганды и просв</w:t>
      </w:r>
      <w:r w:rsidRPr="00CB2C86">
        <w:t>е</w:t>
      </w:r>
      <w:r w:rsidRPr="00CB2C86">
        <w:t>щения. С 2003</w:t>
      </w:r>
      <w:r w:rsidR="00B92291">
        <w:t> год</w:t>
      </w:r>
      <w:r w:rsidRPr="00CB2C86">
        <w:t xml:space="preserve">а ДЗ реализует ежегодную кампанию </w:t>
      </w:r>
      <w:r>
        <w:t>"</w:t>
      </w:r>
      <w:r w:rsidRPr="00CB2C86">
        <w:t>Берегите ваши зубы</w:t>
      </w:r>
      <w:r>
        <w:t>"</w:t>
      </w:r>
      <w:r w:rsidRPr="00CB2C86">
        <w:t>, чтобы активизировать свои усилия по пропаганде гигиены ротовой полости в обществе.</w:t>
      </w:r>
    </w:p>
    <w:p w:rsidR="00F936A8" w:rsidRPr="00CB2C86" w:rsidRDefault="00F936A8" w:rsidP="00F91733">
      <w:pPr>
        <w:pStyle w:val="H4GR"/>
        <w:tabs>
          <w:tab w:val="left" w:pos="1980"/>
          <w:tab w:val="left" w:pos="2520"/>
        </w:tabs>
        <w:spacing w:before="240"/>
        <w:ind w:left="1134" w:right="1179" w:hanging="1134"/>
      </w:pPr>
      <w:r w:rsidRPr="00CB2C86">
        <w:tab/>
      </w:r>
      <w:r w:rsidRPr="00CB2C86">
        <w:tab/>
        <w:t xml:space="preserve">Санитарное просвещение </w:t>
      </w:r>
    </w:p>
    <w:p w:rsidR="00F936A8" w:rsidRPr="00CB2C86" w:rsidRDefault="00F936A8" w:rsidP="00F91733">
      <w:pPr>
        <w:pStyle w:val="SingleTxtGR"/>
        <w:tabs>
          <w:tab w:val="clear" w:pos="1701"/>
          <w:tab w:val="clear" w:pos="2268"/>
          <w:tab w:val="left" w:pos="1980"/>
          <w:tab w:val="left" w:pos="2520"/>
        </w:tabs>
      </w:pPr>
      <w:r w:rsidRPr="00CB2C86">
        <w:t>12.28</w:t>
      </w:r>
      <w:r w:rsidRPr="00CB2C86">
        <w:tab/>
        <w:t>В пункте 12.17 предыдущего доклада мы отмечали, что Центральный о</w:t>
      </w:r>
      <w:r w:rsidRPr="00CB2C86">
        <w:t>т</w:t>
      </w:r>
      <w:r w:rsidRPr="00CB2C86">
        <w:t>дел санитарного просвещения ДЗ создал междисциплинарную группу. Отдел работает в партнерстве с общественностью с целью комплексно и более эффе</w:t>
      </w:r>
      <w:r w:rsidRPr="00CB2C86">
        <w:t>к</w:t>
      </w:r>
      <w:r w:rsidRPr="00CB2C86">
        <w:t>тивно укреплять здоровье населения. К приоритетным областям относятся п</w:t>
      </w:r>
      <w:r w:rsidRPr="00CB2C86">
        <w:t>и</w:t>
      </w:r>
      <w:r w:rsidRPr="00CB2C86">
        <w:t xml:space="preserve">тание, физическая активность, трансплантология, профилактика травматизма и укрепление психического здоровья. </w:t>
      </w:r>
    </w:p>
    <w:p w:rsidR="00F936A8" w:rsidRPr="00CB2C86" w:rsidRDefault="00F936A8" w:rsidP="00F91733">
      <w:pPr>
        <w:pStyle w:val="H23GR"/>
        <w:tabs>
          <w:tab w:val="left" w:pos="1980"/>
          <w:tab w:val="left" w:pos="2520"/>
        </w:tabs>
      </w:pPr>
      <w:r w:rsidRPr="00CB2C86">
        <w:tab/>
      </w:r>
      <w:r w:rsidRPr="00CB2C86">
        <w:tab/>
        <w:t>Обслуживание в государственных больницах</w:t>
      </w:r>
    </w:p>
    <w:p w:rsidR="00F936A8" w:rsidRPr="00CB2C86" w:rsidRDefault="00F936A8" w:rsidP="00F91733">
      <w:pPr>
        <w:pStyle w:val="SingleTxtGR"/>
        <w:tabs>
          <w:tab w:val="clear" w:pos="1701"/>
          <w:tab w:val="clear" w:pos="2268"/>
          <w:tab w:val="left" w:pos="1980"/>
          <w:tab w:val="left" w:pos="2520"/>
        </w:tabs>
      </w:pPr>
      <w:r w:rsidRPr="00CB2C86">
        <w:t>12.29</w:t>
      </w:r>
      <w:r w:rsidRPr="00CB2C86">
        <w:tab/>
        <w:t>Как уже упоминалось в пункте 12.20 предыдущего доклада, больни</w:t>
      </w:r>
      <w:r w:rsidRPr="00CB2C86">
        <w:t>ч</w:t>
      </w:r>
      <w:r w:rsidRPr="00CB2C86">
        <w:t>ное обслуживание и соответствующие медицинские услуги в Гонконге в осно</w:t>
      </w:r>
      <w:r w:rsidRPr="00CB2C86">
        <w:t>в</w:t>
      </w:r>
      <w:r w:rsidRPr="00CB2C86">
        <w:t>ном обеспечиваются АБ. В настоящее время в ведении АБ находится 41 бол</w:t>
      </w:r>
      <w:r w:rsidRPr="00CB2C86">
        <w:t>ь</w:t>
      </w:r>
      <w:r w:rsidRPr="00CB2C86">
        <w:t>ница и медицинск</w:t>
      </w:r>
      <w:r w:rsidR="00950CC6">
        <w:t>ое</w:t>
      </w:r>
      <w:r w:rsidRPr="00CB2C86">
        <w:t xml:space="preserve"> учреждени</w:t>
      </w:r>
      <w:r w:rsidR="00950CC6">
        <w:t>е</w:t>
      </w:r>
      <w:r w:rsidRPr="00CB2C86">
        <w:t>, 48 специализированных амбулаторных кл</w:t>
      </w:r>
      <w:r w:rsidRPr="00CB2C86">
        <w:t>и</w:t>
      </w:r>
      <w:r w:rsidRPr="00CB2C86">
        <w:t>ник и 74</w:t>
      </w:r>
      <w:r>
        <w:t> </w:t>
      </w:r>
      <w:r w:rsidRPr="00CB2C86">
        <w:t xml:space="preserve">общих амбулаторных клиник. Они были объединены в семь районных групп. </w:t>
      </w:r>
    </w:p>
    <w:p w:rsidR="00F936A8" w:rsidRPr="00CB2C86" w:rsidRDefault="00F936A8" w:rsidP="00F91733">
      <w:pPr>
        <w:pStyle w:val="H4GR"/>
        <w:tabs>
          <w:tab w:val="left" w:pos="1980"/>
          <w:tab w:val="left" w:pos="2520"/>
        </w:tabs>
        <w:spacing w:before="240"/>
        <w:ind w:left="1134" w:right="1179" w:hanging="1134"/>
      </w:pPr>
      <w:r w:rsidRPr="00CB2C86">
        <w:tab/>
      </w:r>
      <w:r w:rsidRPr="00CB2C86">
        <w:tab/>
        <w:t>Больничное обслуживание</w:t>
      </w:r>
    </w:p>
    <w:p w:rsidR="00F936A8" w:rsidRPr="00CB2C86" w:rsidRDefault="00F936A8" w:rsidP="00F91733">
      <w:pPr>
        <w:pStyle w:val="SingleTxtGR"/>
        <w:tabs>
          <w:tab w:val="clear" w:pos="1701"/>
          <w:tab w:val="clear" w:pos="2268"/>
          <w:tab w:val="left" w:pos="1980"/>
          <w:tab w:val="left" w:pos="2520"/>
        </w:tabs>
      </w:pPr>
      <w:r w:rsidRPr="00CB2C86">
        <w:t>12.30</w:t>
      </w:r>
      <w:r w:rsidRPr="00CB2C86">
        <w:tab/>
        <w:t>АБ предоставляет больничное обслуживание пациентам с острыми з</w:t>
      </w:r>
      <w:r w:rsidRPr="00CB2C86">
        <w:t>а</w:t>
      </w:r>
      <w:r w:rsidRPr="00CB2C86">
        <w:t>болеваниями, требующими интенсивной терапии. По состоянию на 31 марта 2009</w:t>
      </w:r>
      <w:r w:rsidR="00B92291">
        <w:t> год</w:t>
      </w:r>
      <w:r w:rsidRPr="00CB2C86">
        <w:t>а АБ располагала общим фондом больничных коек на 27</w:t>
      </w:r>
      <w:r>
        <w:t> </w:t>
      </w:r>
      <w:r w:rsidRPr="00CB2C86">
        <w:t>117 пацие</w:t>
      </w:r>
      <w:r w:rsidRPr="00CB2C86">
        <w:t>н</w:t>
      </w:r>
      <w:r w:rsidRPr="00CB2C86">
        <w:t>тов, в том числе 20 416 сметных коек, 2 041 коек в профилакториях, 4 000 коек для психически больных и 660 коек для психически неполноценных людей. По</w:t>
      </w:r>
      <w:r>
        <w:t> </w:t>
      </w:r>
      <w:r w:rsidRPr="00CB2C86">
        <w:t>сравнению с общим больничным коечным фондом по состоянию на март 2002</w:t>
      </w:r>
      <w:r w:rsidR="00B92291">
        <w:t> год</w:t>
      </w:r>
      <w:r w:rsidRPr="00CB2C86">
        <w:t>а, упомянутым в пункте 12.22 предыдущего доклада, небольшое с</w:t>
      </w:r>
      <w:r w:rsidRPr="00CB2C86">
        <w:t>о</w:t>
      </w:r>
      <w:r w:rsidRPr="00CB2C86">
        <w:t>кращение больничного коечного фонда было обусловлено постепенным пер</w:t>
      </w:r>
      <w:r w:rsidRPr="00CB2C86">
        <w:t>е</w:t>
      </w:r>
      <w:r w:rsidRPr="00CB2C86">
        <w:t>носом акцента со стационарного обслуживания на амбулаторное и обслужив</w:t>
      </w:r>
      <w:r w:rsidRPr="00CB2C86">
        <w:t>а</w:t>
      </w:r>
      <w:r w:rsidRPr="00CB2C86">
        <w:t>ние по месту жительства, что соответствует общей международной тенденции. В соответствии с этой тенденцией опора на стационарный коечный фонд о</w:t>
      </w:r>
      <w:r w:rsidRPr="00CB2C86">
        <w:t>с</w:t>
      </w:r>
      <w:r w:rsidRPr="00CB2C86">
        <w:t>лабла. В 2008</w:t>
      </w:r>
      <w:r>
        <w:t>−</w:t>
      </w:r>
      <w:r w:rsidRPr="00CB2C86">
        <w:t>2009</w:t>
      </w:r>
      <w:r w:rsidR="00B92291">
        <w:t> год</w:t>
      </w:r>
      <w:r w:rsidRPr="00CB2C86">
        <w:t>ах из государственных больниц было выписано 1,27</w:t>
      </w:r>
      <w:r w:rsidR="004F720A">
        <w:t> млн.</w:t>
      </w:r>
      <w:r w:rsidRPr="00CB2C86">
        <w:t xml:space="preserve"> стационарных и амбулаторных больных. В этот же период на такое обслуживание в бол</w:t>
      </w:r>
      <w:r w:rsidRPr="00CB2C86">
        <w:t>ь</w:t>
      </w:r>
      <w:r w:rsidRPr="00CB2C86">
        <w:t>ницах АБ было затрачено 23,4</w:t>
      </w:r>
      <w:r w:rsidR="004F720A">
        <w:t> </w:t>
      </w:r>
      <w:r w:rsidR="00B63D5C">
        <w:t>млрд. долларов.</w:t>
      </w:r>
      <w:r w:rsidRPr="00CB2C86">
        <w:t xml:space="preserve"> </w:t>
      </w:r>
    </w:p>
    <w:p w:rsidR="00F936A8" w:rsidRPr="00CB2C86" w:rsidRDefault="00F936A8" w:rsidP="00F91733">
      <w:pPr>
        <w:pStyle w:val="H4GR"/>
        <w:tabs>
          <w:tab w:val="left" w:pos="1980"/>
          <w:tab w:val="left" w:pos="2520"/>
        </w:tabs>
        <w:spacing w:before="240"/>
        <w:ind w:left="1134" w:right="1179" w:hanging="1134"/>
      </w:pPr>
      <w:r w:rsidRPr="00CB2C86">
        <w:tab/>
      </w:r>
      <w:r w:rsidRPr="00CB2C86">
        <w:tab/>
        <w:t>Расходы на государственные больницы и списки очередников на л</w:t>
      </w:r>
      <w:r w:rsidRPr="00CB2C86">
        <w:t>е</w:t>
      </w:r>
      <w:r w:rsidRPr="00CB2C86">
        <w:t xml:space="preserve">чение </w:t>
      </w:r>
    </w:p>
    <w:p w:rsidR="00F936A8" w:rsidRPr="00CB2C86" w:rsidRDefault="00F936A8" w:rsidP="00F91733">
      <w:pPr>
        <w:pStyle w:val="SingleTxtGR"/>
        <w:tabs>
          <w:tab w:val="clear" w:pos="1701"/>
          <w:tab w:val="clear" w:pos="2268"/>
          <w:tab w:val="left" w:pos="1980"/>
          <w:tab w:val="left" w:pos="2520"/>
        </w:tabs>
      </w:pPr>
      <w:r w:rsidRPr="00CB2C86">
        <w:t>12.31</w:t>
      </w:r>
      <w:r w:rsidRPr="00CB2C86">
        <w:tab/>
        <w:t>Мы принимаем к сведению озабоченность Комитета в связи с расх</w:t>
      </w:r>
      <w:r w:rsidRPr="00CB2C86">
        <w:t>о</w:t>
      </w:r>
      <w:r w:rsidRPr="00CB2C86">
        <w:t>дами на государственные больницы и списками очередников на лечение. В п</w:t>
      </w:r>
      <w:r w:rsidRPr="00CB2C86">
        <w:t>о</w:t>
      </w:r>
      <w:r w:rsidRPr="00CB2C86">
        <w:t>следние</w:t>
      </w:r>
      <w:r w:rsidR="00B92291">
        <w:t> год</w:t>
      </w:r>
      <w:r w:rsidRPr="00CB2C86">
        <w:t>ы государственные ассигнования АБ увеличились с 26,9</w:t>
      </w:r>
      <w:r w:rsidR="004F720A">
        <w:t> </w:t>
      </w:r>
      <w:r w:rsidR="00B63D5C">
        <w:t>млрд. долл.</w:t>
      </w:r>
      <w:r w:rsidRPr="00CB2C86">
        <w:t xml:space="preserve"> в 2005</w:t>
      </w:r>
      <w:r>
        <w:t>−</w:t>
      </w:r>
      <w:r w:rsidRPr="00CB2C86">
        <w:t>2006</w:t>
      </w:r>
      <w:r w:rsidR="00B92291">
        <w:t> год</w:t>
      </w:r>
      <w:r w:rsidRPr="00CB2C86">
        <w:t>ах до 31,1</w:t>
      </w:r>
      <w:r w:rsidR="004F720A">
        <w:t> </w:t>
      </w:r>
      <w:r w:rsidR="00B63D5C">
        <w:t>млрд. долл.</w:t>
      </w:r>
      <w:r w:rsidRPr="00CB2C86">
        <w:t xml:space="preserve"> в 2008</w:t>
      </w:r>
      <w:r>
        <w:t>−</w:t>
      </w:r>
      <w:r w:rsidRPr="00CB2C86">
        <w:t>2009</w:t>
      </w:r>
      <w:r w:rsidR="00B92291">
        <w:t> год</w:t>
      </w:r>
      <w:r w:rsidRPr="00CB2C86">
        <w:t>ах. Чтобы еще больше улучшить качество медико-санитарных услуг, оказываемых АБ, правительство также постановило увеличить периодическое субсидирование АБ приме</w:t>
      </w:r>
      <w:r w:rsidRPr="00CB2C86">
        <w:t>р</w:t>
      </w:r>
      <w:r w:rsidRPr="00CB2C86">
        <w:t>но на 870</w:t>
      </w:r>
      <w:r w:rsidR="004F720A">
        <w:t> </w:t>
      </w:r>
      <w:r w:rsidR="00B63D5C">
        <w:t>млн. долл.</w:t>
      </w:r>
      <w:r w:rsidRPr="00CB2C86">
        <w:t xml:space="preserve"> ежегодно в трехлетний период с 2009</w:t>
      </w:r>
      <w:r>
        <w:t>−</w:t>
      </w:r>
      <w:r w:rsidRPr="00CB2C86">
        <w:t>2010</w:t>
      </w:r>
      <w:r w:rsidR="00B92291">
        <w:t> год</w:t>
      </w:r>
      <w:r w:rsidRPr="00CB2C86">
        <w:t>ов по 2011</w:t>
      </w:r>
      <w:r>
        <w:t>−</w:t>
      </w:r>
      <w:r w:rsidRPr="00CB2C86">
        <w:t>2012</w:t>
      </w:r>
      <w:r w:rsidR="00B92291">
        <w:t> год</w:t>
      </w:r>
      <w:r w:rsidRPr="00CB2C86">
        <w:t>ы. Что касается времени ожидания больных на прием в специ</w:t>
      </w:r>
      <w:r w:rsidRPr="00CB2C86">
        <w:t>а</w:t>
      </w:r>
      <w:r w:rsidRPr="00CB2C86">
        <w:t>лизированные амбулаторные клиники АБ, то АБ приняла систему приоритетов, согласно которой дата приема новых пациентов устанавливается с учетом сро</w:t>
      </w:r>
      <w:r w:rsidRPr="00CB2C86">
        <w:t>ч</w:t>
      </w:r>
      <w:r w:rsidRPr="00CB2C86">
        <w:t>ности их клинического заболевания, чтобы больные, нуждающиеся в срочной медицинской помощи, получали должную помощь в разумное время. Более по</w:t>
      </w:r>
      <w:r w:rsidRPr="00CB2C86">
        <w:t>д</w:t>
      </w:r>
      <w:r w:rsidRPr="00CB2C86">
        <w:t>робная информация содержится в пункте 12.35.</w:t>
      </w:r>
    </w:p>
    <w:p w:rsidR="00F936A8" w:rsidRPr="00CB2C86" w:rsidRDefault="00F936A8" w:rsidP="00F91733">
      <w:pPr>
        <w:pStyle w:val="H4GR"/>
        <w:tabs>
          <w:tab w:val="left" w:pos="1980"/>
          <w:tab w:val="left" w:pos="2520"/>
        </w:tabs>
        <w:spacing w:before="240"/>
        <w:ind w:left="1134" w:right="1179" w:hanging="1134"/>
      </w:pPr>
      <w:r w:rsidRPr="00CB2C86">
        <w:tab/>
      </w:r>
      <w:r w:rsidRPr="00CB2C86">
        <w:tab/>
        <w:t>Экстренная помощь при несчастных случаях и неотложная п</w:t>
      </w:r>
      <w:r w:rsidRPr="00CB2C86">
        <w:t>о</w:t>
      </w:r>
      <w:r w:rsidRPr="00CB2C86">
        <w:t>мощь</w:t>
      </w:r>
    </w:p>
    <w:p w:rsidR="00F936A8" w:rsidRPr="00CB2C86" w:rsidRDefault="00F936A8" w:rsidP="00F91733">
      <w:pPr>
        <w:pStyle w:val="SingleTxtGR"/>
        <w:tabs>
          <w:tab w:val="clear" w:pos="1701"/>
          <w:tab w:val="clear" w:pos="2268"/>
          <w:tab w:val="left" w:pos="1980"/>
          <w:tab w:val="left" w:pos="2520"/>
        </w:tabs>
      </w:pPr>
      <w:r w:rsidRPr="00CB2C86">
        <w:t>12.32</w:t>
      </w:r>
      <w:r w:rsidRPr="00CB2C86">
        <w:tab/>
        <w:t>По состоянию на 31 декабря 2009</w:t>
      </w:r>
      <w:r w:rsidR="00B92291">
        <w:t> год</w:t>
      </w:r>
      <w:r w:rsidRPr="00CB2C86">
        <w:t>а экстренную помощь при несч</w:t>
      </w:r>
      <w:r w:rsidRPr="00CB2C86">
        <w:t>а</w:t>
      </w:r>
      <w:r w:rsidRPr="00CB2C86">
        <w:t>стных случаях и неотложную помощь больным, нуждающимся в срочном мед</w:t>
      </w:r>
      <w:r w:rsidRPr="00CB2C86">
        <w:t>и</w:t>
      </w:r>
      <w:r w:rsidRPr="00CB2C86">
        <w:t>цинском вмешательстве, а также медицинскую поддержку во время стихийных бедствий и катастроф оказывали 16 государственных больниц. В</w:t>
      </w:r>
      <w:r>
        <w:t> </w:t>
      </w:r>
      <w:r w:rsidRPr="00CB2C86">
        <w:t>2008</w:t>
      </w:r>
      <w:r>
        <w:t>−</w:t>
      </w:r>
      <w:r w:rsidRPr="00CB2C86">
        <w:t>2009</w:t>
      </w:r>
      <w:r w:rsidR="00B92291">
        <w:t> год</w:t>
      </w:r>
      <w:r w:rsidRPr="00CB2C86">
        <w:t>ах на оказание такой помощи было ассигновано 1,7</w:t>
      </w:r>
      <w:r w:rsidR="004F720A">
        <w:t> </w:t>
      </w:r>
      <w:r w:rsidR="00B63D5C">
        <w:t>млрд. долларов.</w:t>
      </w:r>
      <w:r w:rsidRPr="00CB2C86">
        <w:t xml:space="preserve"> </w:t>
      </w:r>
    </w:p>
    <w:p w:rsidR="00F936A8" w:rsidRPr="00CB2C86" w:rsidRDefault="00F936A8" w:rsidP="00F91733">
      <w:pPr>
        <w:pStyle w:val="SingleTxtGR"/>
        <w:tabs>
          <w:tab w:val="clear" w:pos="1701"/>
          <w:tab w:val="clear" w:pos="2268"/>
          <w:tab w:val="left" w:pos="1980"/>
          <w:tab w:val="left" w:pos="2520"/>
        </w:tabs>
      </w:pPr>
      <w:r w:rsidRPr="00CB2C86">
        <w:t>12.33</w:t>
      </w:r>
      <w:r w:rsidRPr="00CB2C86">
        <w:tab/>
        <w:t>В 2008</w:t>
      </w:r>
      <w:r>
        <w:t>−</w:t>
      </w:r>
      <w:r w:rsidRPr="00CB2C86">
        <w:t>2009</w:t>
      </w:r>
      <w:r w:rsidR="00B92291">
        <w:t> год</w:t>
      </w:r>
      <w:r w:rsidRPr="00CB2C86">
        <w:t>ах в отделениях экстренной и скорой помощи гос</w:t>
      </w:r>
      <w:r w:rsidRPr="00CB2C86">
        <w:t>у</w:t>
      </w:r>
      <w:r w:rsidRPr="00CB2C86">
        <w:t>дарственных больниц находил</w:t>
      </w:r>
      <w:r w:rsidR="00950CC6">
        <w:t>и</w:t>
      </w:r>
      <w:r w:rsidRPr="00CB2C86">
        <w:t>сь примерно 2,12</w:t>
      </w:r>
      <w:r w:rsidR="004F720A">
        <w:t> млн.</w:t>
      </w:r>
      <w:r w:rsidRPr="00CB2C86">
        <w:t xml:space="preserve"> больных. Пациенты, п</w:t>
      </w:r>
      <w:r w:rsidRPr="00CB2C86">
        <w:t>о</w:t>
      </w:r>
      <w:r w:rsidRPr="00CB2C86">
        <w:t>мещенные в отделения экстренной и неотложной помощи, подразделяются на пять категорий согласно их клиническому состоянию: критическое (категория 1), крайне тяжелое (категория 2), тяжелое (категория 3) средней тяжести (кат</w:t>
      </w:r>
      <w:r w:rsidRPr="00CB2C86">
        <w:t>е</w:t>
      </w:r>
      <w:r w:rsidRPr="00CB2C86">
        <w:t>гория 4), удовлетворительное (категория 5). Все это нацелено на то, чтобы п</w:t>
      </w:r>
      <w:r w:rsidRPr="00CB2C86">
        <w:t>а</w:t>
      </w:r>
      <w:r w:rsidRPr="00CB2C86">
        <w:t>циенты, нуждающиеся в помощи в первую очередь, могли получить ее нез</w:t>
      </w:r>
      <w:r w:rsidRPr="00CB2C86">
        <w:t>а</w:t>
      </w:r>
      <w:r w:rsidRPr="00CB2C86">
        <w:t>медлительно. В 2008</w:t>
      </w:r>
      <w:r>
        <w:t>−</w:t>
      </w:r>
      <w:r w:rsidRPr="00CB2C86">
        <w:t>2009</w:t>
      </w:r>
      <w:r w:rsidR="00B92291">
        <w:t> год</w:t>
      </w:r>
      <w:r w:rsidRPr="00CB2C86">
        <w:t>ах все пациенты категории 1 получили срочную помощь, а свыше 95% пациентов категории 2 помощь была оказана в течение 15</w:t>
      </w:r>
      <w:r>
        <w:t> </w:t>
      </w:r>
      <w:r w:rsidRPr="00CB2C86">
        <w:t xml:space="preserve">минут. </w:t>
      </w:r>
    </w:p>
    <w:p w:rsidR="00F936A8" w:rsidRPr="00CB2C86" w:rsidRDefault="00F936A8" w:rsidP="00F91733">
      <w:pPr>
        <w:pStyle w:val="H4GR"/>
        <w:tabs>
          <w:tab w:val="left" w:pos="1980"/>
          <w:tab w:val="left" w:pos="2520"/>
        </w:tabs>
        <w:spacing w:before="240"/>
        <w:ind w:left="1134" w:right="1179" w:hanging="1134"/>
      </w:pPr>
      <w:r w:rsidRPr="00CB2C86">
        <w:tab/>
      </w:r>
      <w:r w:rsidRPr="00CB2C86">
        <w:tab/>
        <w:t>Специализированная амбулаторная помощь</w:t>
      </w:r>
    </w:p>
    <w:p w:rsidR="00F936A8" w:rsidRPr="00CB2C86" w:rsidRDefault="00F936A8" w:rsidP="00F91733">
      <w:pPr>
        <w:pStyle w:val="SingleTxtGR"/>
        <w:tabs>
          <w:tab w:val="clear" w:pos="1701"/>
          <w:tab w:val="clear" w:pos="2268"/>
          <w:tab w:val="left" w:pos="1980"/>
          <w:tab w:val="left" w:pos="2520"/>
        </w:tabs>
      </w:pPr>
      <w:r w:rsidRPr="00CB2C86">
        <w:t>12.34</w:t>
      </w:r>
      <w:r w:rsidRPr="00CB2C86">
        <w:tab/>
        <w:t>Для оказания специализированной помощи АБ имеет в различных районах специализированные амбулаторные клиники. Услуги, оказываемые в этих клиниках, включают установление симптомов, лечение и дополнительное леч</w:t>
      </w:r>
      <w:r w:rsidRPr="00CB2C86">
        <w:t>е</w:t>
      </w:r>
      <w:r w:rsidRPr="00CB2C86">
        <w:t>ние. В 2008</w:t>
      </w:r>
      <w:r>
        <w:t>−</w:t>
      </w:r>
      <w:r w:rsidRPr="00CB2C86">
        <w:t>2009</w:t>
      </w:r>
      <w:r w:rsidR="00B92291">
        <w:t> год</w:t>
      </w:r>
      <w:r w:rsidRPr="00CB2C86">
        <w:t>ах на оказание такой помощи было израсходовано около 6,5</w:t>
      </w:r>
      <w:r w:rsidR="004F720A">
        <w:t> </w:t>
      </w:r>
      <w:r w:rsidR="00B63D5C">
        <w:t>млрд. долларов.</w:t>
      </w:r>
      <w:r w:rsidRPr="00CB2C86">
        <w:t xml:space="preserve"> </w:t>
      </w:r>
    </w:p>
    <w:p w:rsidR="00F936A8" w:rsidRPr="00CB2C86" w:rsidRDefault="00F936A8" w:rsidP="00F91733">
      <w:pPr>
        <w:pStyle w:val="SingleTxtGR"/>
        <w:tabs>
          <w:tab w:val="clear" w:pos="1701"/>
          <w:tab w:val="clear" w:pos="2268"/>
          <w:tab w:val="left" w:pos="1980"/>
          <w:tab w:val="left" w:pos="2520"/>
        </w:tabs>
      </w:pPr>
      <w:r w:rsidRPr="00CB2C86">
        <w:t>12.35</w:t>
      </w:r>
      <w:r w:rsidRPr="00CB2C86">
        <w:tab/>
        <w:t>В 2008</w:t>
      </w:r>
      <w:r>
        <w:t>−</w:t>
      </w:r>
      <w:r w:rsidRPr="00CB2C86">
        <w:t>2009</w:t>
      </w:r>
      <w:r w:rsidR="00B92291">
        <w:t> год</w:t>
      </w:r>
      <w:r w:rsidRPr="00CB2C86">
        <w:t>ах количество пациентов в специализированных а</w:t>
      </w:r>
      <w:r w:rsidRPr="00CB2C86">
        <w:t>м</w:t>
      </w:r>
      <w:r w:rsidRPr="00CB2C86">
        <w:t>булаторных клиниках АБ составило 6,07</w:t>
      </w:r>
      <w:r w:rsidR="004F720A">
        <w:t> млн.</w:t>
      </w:r>
      <w:r w:rsidRPr="00CB2C86">
        <w:t xml:space="preserve"> человек. В соответствии с новой системой классификации больных в специализированных амбулаторных клин</w:t>
      </w:r>
      <w:r w:rsidRPr="00CB2C86">
        <w:t>и</w:t>
      </w:r>
      <w:r w:rsidRPr="00CB2C86">
        <w:t>ках АБ устанавливает дату приема новых пациентов, учитывая срочность го</w:t>
      </w:r>
      <w:r w:rsidRPr="00CB2C86">
        <w:t>с</w:t>
      </w:r>
      <w:r w:rsidRPr="00CB2C86">
        <w:t>питализации по их клиническому состоянию, историю болезни, присутству</w:t>
      </w:r>
      <w:r w:rsidRPr="00CB2C86">
        <w:t>ю</w:t>
      </w:r>
      <w:r w:rsidRPr="00CB2C86">
        <w:t>щие симптомы и результаты медицинских осмотров и анализов. Больные пр</w:t>
      </w:r>
      <w:r w:rsidRPr="00CB2C86">
        <w:t>и</w:t>
      </w:r>
      <w:r w:rsidRPr="00CB2C86">
        <w:t xml:space="preserve">оритетной категории </w:t>
      </w:r>
      <w:r w:rsidRPr="00CB2C86">
        <w:rPr>
          <w:lang w:val="en-US"/>
        </w:rPr>
        <w:t>I</w:t>
      </w:r>
      <w:r w:rsidRPr="00CB2C86">
        <w:t xml:space="preserve"> и приоритетной категории </w:t>
      </w:r>
      <w:r w:rsidRPr="00CB2C86">
        <w:rPr>
          <w:lang w:val="en-US"/>
        </w:rPr>
        <w:t>II</w:t>
      </w:r>
      <w:r w:rsidRPr="00CB2C86">
        <w:t xml:space="preserve"> могут быть осмотрены в т</w:t>
      </w:r>
      <w:r w:rsidRPr="00CB2C86">
        <w:t>е</w:t>
      </w:r>
      <w:r w:rsidRPr="00CB2C86">
        <w:t>чении соответственно двух и восьми недель. Классификационные критерии б</w:t>
      </w:r>
      <w:r w:rsidRPr="00CB2C86">
        <w:t>ы</w:t>
      </w:r>
      <w:r w:rsidRPr="00CB2C86">
        <w:t>ли направлены всем практикующим частным врачам, чтобы облегчить им пре</w:t>
      </w:r>
      <w:r w:rsidRPr="00CB2C86">
        <w:t>д</w:t>
      </w:r>
      <w:r w:rsidRPr="00CB2C86">
        <w:t>варительную оценку состояния здоровья пациентов. Ряд специализированных клиник АБ сотрудничают со специализированными клиниками семейной мед</w:t>
      </w:r>
      <w:r w:rsidRPr="00CB2C86">
        <w:t>и</w:t>
      </w:r>
      <w:r w:rsidRPr="00CB2C86">
        <w:t>цины в рамках той же самой группы для проведения предварительной оценки состояния здоровья больных с низкой степенью риска, чтобы сократить время ожидания для новых направленных пациентов.</w:t>
      </w:r>
    </w:p>
    <w:p w:rsidR="00F936A8" w:rsidRPr="00CB2C86" w:rsidRDefault="00F936A8" w:rsidP="00F91733">
      <w:pPr>
        <w:pStyle w:val="SingleTxtGR"/>
        <w:tabs>
          <w:tab w:val="clear" w:pos="1701"/>
          <w:tab w:val="clear" w:pos="2268"/>
          <w:tab w:val="left" w:pos="1980"/>
          <w:tab w:val="left" w:pos="2520"/>
        </w:tabs>
      </w:pPr>
      <w:r w:rsidRPr="00CB2C86">
        <w:t>12.36</w:t>
      </w:r>
      <w:r w:rsidRPr="00CB2C86">
        <w:tab/>
        <w:t>Пациенты со стабильным состоянием здоровья направляются обратно к врачу первичной медицинской помощи в частном секторе или в штатные а</w:t>
      </w:r>
      <w:r w:rsidRPr="00CB2C86">
        <w:t>м</w:t>
      </w:r>
      <w:r w:rsidRPr="00CB2C86">
        <w:t xml:space="preserve">булаторные клиники АБ для дальнейших консультаций и лечения. </w:t>
      </w:r>
    </w:p>
    <w:p w:rsidR="00F936A8" w:rsidRPr="00CB2C86" w:rsidRDefault="00F936A8" w:rsidP="00F91733">
      <w:pPr>
        <w:pStyle w:val="H4GR"/>
        <w:tabs>
          <w:tab w:val="left" w:pos="1980"/>
          <w:tab w:val="left" w:pos="2520"/>
        </w:tabs>
        <w:spacing w:before="240"/>
        <w:ind w:left="1134" w:right="1179" w:hanging="1134"/>
      </w:pPr>
      <w:r w:rsidRPr="00CB2C86">
        <w:tab/>
      </w:r>
      <w:r w:rsidRPr="00CB2C86">
        <w:tab/>
        <w:t>Смежное медицинское обслуживание</w:t>
      </w:r>
    </w:p>
    <w:p w:rsidR="00F936A8" w:rsidRPr="00CB2C86" w:rsidRDefault="00F936A8" w:rsidP="00F91733">
      <w:pPr>
        <w:pStyle w:val="SingleTxtGR"/>
        <w:tabs>
          <w:tab w:val="clear" w:pos="1701"/>
          <w:tab w:val="clear" w:pos="2268"/>
          <w:tab w:val="left" w:pos="1980"/>
          <w:tab w:val="left" w:pos="2520"/>
        </w:tabs>
      </w:pPr>
      <w:r w:rsidRPr="00CB2C86">
        <w:t>12.37</w:t>
      </w:r>
      <w:r w:rsidRPr="00CB2C86">
        <w:tab/>
        <w:t>Смежный медицинский персонал АБ, включающий клинических пс</w:t>
      </w:r>
      <w:r w:rsidRPr="00CB2C86">
        <w:t>и</w:t>
      </w:r>
      <w:r w:rsidRPr="00CB2C86">
        <w:t xml:space="preserve">хологов, психотерапевтов и </w:t>
      </w:r>
      <w:proofErr w:type="spellStart"/>
      <w:r w:rsidRPr="00CB2C86">
        <w:t>профпатологов</w:t>
      </w:r>
      <w:proofErr w:type="spellEnd"/>
      <w:r w:rsidRPr="00CB2C86">
        <w:t>, оказыва</w:t>
      </w:r>
      <w:r w:rsidR="00950CC6">
        <w:t>е</w:t>
      </w:r>
      <w:r w:rsidRPr="00CB2C86">
        <w:t>т пациентам реабилитац</w:t>
      </w:r>
      <w:r w:rsidRPr="00CB2C86">
        <w:t>и</w:t>
      </w:r>
      <w:r w:rsidRPr="00CB2C86">
        <w:t>онную, больничную и послебольничную помощь, чтобы оптимизировать р</w:t>
      </w:r>
      <w:r w:rsidRPr="00CB2C86">
        <w:t>е</w:t>
      </w:r>
      <w:r w:rsidRPr="00CB2C86">
        <w:t xml:space="preserve">зультаты их лечения и содействовать их </w:t>
      </w:r>
      <w:proofErr w:type="spellStart"/>
      <w:r w:rsidRPr="00CB2C86">
        <w:t>реинтеграции</w:t>
      </w:r>
      <w:proofErr w:type="spellEnd"/>
      <w:r w:rsidRPr="00CB2C86">
        <w:t xml:space="preserve"> в жизнь общества. В</w:t>
      </w:r>
      <w:r>
        <w:t> </w:t>
      </w:r>
      <w:r w:rsidRPr="00CB2C86">
        <w:t>2008</w:t>
      </w:r>
      <w:r>
        <w:t>−</w:t>
      </w:r>
      <w:r w:rsidRPr="00CB2C86">
        <w:t>2009</w:t>
      </w:r>
      <w:r w:rsidR="00B92291">
        <w:t> год</w:t>
      </w:r>
      <w:r w:rsidRPr="00CB2C86">
        <w:t>ах количество амбулаторных пациентов в смежных медици</w:t>
      </w:r>
      <w:r w:rsidRPr="00CB2C86">
        <w:t>н</w:t>
      </w:r>
      <w:r w:rsidRPr="00CB2C86">
        <w:t>ских отделениях составило примерно 1,9</w:t>
      </w:r>
      <w:r w:rsidR="004F720A">
        <w:t> млн.</w:t>
      </w:r>
      <w:r w:rsidRPr="00CB2C86">
        <w:t xml:space="preserve"> человек. С другой стороны, в п</w:t>
      </w:r>
      <w:r w:rsidRPr="00CB2C86">
        <w:t>о</w:t>
      </w:r>
      <w:r w:rsidRPr="00CB2C86">
        <w:t>становке медицинского диагноза и наблюдении за результатами лечения врачам помогают техники медицинских лабораторий, специалисты лучевой диагност</w:t>
      </w:r>
      <w:r w:rsidRPr="00CB2C86">
        <w:t>и</w:t>
      </w:r>
      <w:r w:rsidRPr="00CB2C86">
        <w:t xml:space="preserve">ки, медицинские физики и медицинские научные сотрудники. </w:t>
      </w:r>
    </w:p>
    <w:p w:rsidR="00F936A8" w:rsidRPr="00E2781B" w:rsidRDefault="00F936A8" w:rsidP="00F91733">
      <w:pPr>
        <w:pStyle w:val="H4GR"/>
        <w:tabs>
          <w:tab w:val="left" w:pos="1980"/>
          <w:tab w:val="left" w:pos="2520"/>
        </w:tabs>
        <w:spacing w:before="240"/>
        <w:ind w:left="1134" w:right="1179" w:hanging="1134"/>
      </w:pPr>
      <w:r w:rsidRPr="00E2781B">
        <w:tab/>
      </w:r>
      <w:r w:rsidRPr="00E2781B">
        <w:tab/>
        <w:t>Амбулаторная помощь и помощь по месту жительства</w:t>
      </w:r>
    </w:p>
    <w:p w:rsidR="00F936A8" w:rsidRPr="00CB2C86" w:rsidRDefault="00F936A8" w:rsidP="00F91733">
      <w:pPr>
        <w:pStyle w:val="SingleTxtGR"/>
        <w:tabs>
          <w:tab w:val="clear" w:pos="1701"/>
          <w:tab w:val="clear" w:pos="2268"/>
          <w:tab w:val="left" w:pos="1980"/>
          <w:tab w:val="left" w:pos="2520"/>
        </w:tabs>
      </w:pPr>
      <w:r w:rsidRPr="00CB2C86">
        <w:t>12.38</w:t>
      </w:r>
      <w:r w:rsidRPr="00CB2C86">
        <w:tab/>
        <w:t>В свете международной тенденции, заключающейся в смещении а</w:t>
      </w:r>
      <w:r w:rsidRPr="00CB2C86">
        <w:t>к</w:t>
      </w:r>
      <w:r w:rsidRPr="00CB2C86">
        <w:t>цента на развитие амбулаторной помощи и помощи по месту жительства, АБ активизировала их развитие. Данная мера направлена на ослабление опоры на стационарную помощь и облегчение реабилитации выписанных из больниц п</w:t>
      </w:r>
      <w:r w:rsidRPr="00CB2C86">
        <w:t>а</w:t>
      </w:r>
      <w:r w:rsidRPr="00CB2C86">
        <w:t>циентов. АБ также продолжит улучшать профессиональную подготовку семе</w:t>
      </w:r>
      <w:r w:rsidRPr="00CB2C86">
        <w:t>й</w:t>
      </w:r>
      <w:r w:rsidRPr="00CB2C86">
        <w:t>ных врачей и другого местного медико-санитарного персонала для повышения кач</w:t>
      </w:r>
      <w:r w:rsidRPr="00CB2C86">
        <w:t>е</w:t>
      </w:r>
      <w:r w:rsidRPr="00CB2C86">
        <w:t xml:space="preserve">ства медицинской помощи по месту жительства. </w:t>
      </w:r>
    </w:p>
    <w:p w:rsidR="00F936A8" w:rsidRPr="00CB2C86" w:rsidRDefault="00F936A8" w:rsidP="00F91733">
      <w:pPr>
        <w:pStyle w:val="SingleTxtGR"/>
        <w:tabs>
          <w:tab w:val="clear" w:pos="1701"/>
          <w:tab w:val="clear" w:pos="2268"/>
          <w:tab w:val="left" w:pos="1980"/>
          <w:tab w:val="left" w:pos="2520"/>
        </w:tabs>
      </w:pPr>
      <w:r w:rsidRPr="00CB2C86">
        <w:t>12.39</w:t>
      </w:r>
      <w:r w:rsidRPr="00CB2C86">
        <w:tab/>
        <w:t>В 2008</w:t>
      </w:r>
      <w:r>
        <w:t>−</w:t>
      </w:r>
      <w:r w:rsidRPr="00CB2C86">
        <w:t>2009</w:t>
      </w:r>
      <w:r w:rsidR="00B92291">
        <w:t> год</w:t>
      </w:r>
      <w:r w:rsidRPr="00CB2C86">
        <w:t>ах расходы АБ на медицинское обслуживание по ме</w:t>
      </w:r>
      <w:r w:rsidRPr="00CB2C86">
        <w:t>с</w:t>
      </w:r>
      <w:r w:rsidRPr="00CB2C86">
        <w:t>ту жительства составил</w:t>
      </w:r>
      <w:r w:rsidR="00E7314B">
        <w:t>и</w:t>
      </w:r>
      <w:r w:rsidRPr="00CB2C86">
        <w:t xml:space="preserve"> 800</w:t>
      </w:r>
      <w:r w:rsidR="004F720A">
        <w:t> </w:t>
      </w:r>
      <w:r w:rsidR="00B63D5C">
        <w:t>млн. долларов.</w:t>
      </w:r>
      <w:r w:rsidRPr="00CB2C86">
        <w:t xml:space="preserve"> В тот же период врачи АБ сове</w:t>
      </w:r>
      <w:r w:rsidRPr="00CB2C86">
        <w:t>р</w:t>
      </w:r>
      <w:r w:rsidRPr="00CB2C86">
        <w:t>шили в общей сложности 799</w:t>
      </w:r>
      <w:r w:rsidR="00E7314B">
        <w:t> </w:t>
      </w:r>
      <w:r w:rsidRPr="00CB2C86">
        <w:t>300 посещений на дому и оказали социально-медицинскую помощь 831</w:t>
      </w:r>
      <w:r w:rsidR="00E7314B">
        <w:t> </w:t>
      </w:r>
      <w:r w:rsidRPr="00CB2C86">
        <w:t>700 престарелым людям и пациентам с расстро</w:t>
      </w:r>
      <w:r w:rsidRPr="00CB2C86">
        <w:t>й</w:t>
      </w:r>
      <w:r w:rsidRPr="00CB2C86">
        <w:t>ствами психического здоровья.</w:t>
      </w:r>
    </w:p>
    <w:p w:rsidR="00F936A8" w:rsidRPr="00E2781B" w:rsidRDefault="00F936A8" w:rsidP="00F91733">
      <w:pPr>
        <w:pStyle w:val="H4GR"/>
        <w:tabs>
          <w:tab w:val="left" w:pos="1980"/>
          <w:tab w:val="left" w:pos="2520"/>
        </w:tabs>
        <w:spacing w:before="240"/>
        <w:ind w:left="1134" w:right="1179" w:hanging="1134"/>
      </w:pPr>
      <w:r w:rsidRPr="00E2781B">
        <w:tab/>
      </w:r>
      <w:r w:rsidRPr="00E2781B">
        <w:tab/>
        <w:t>Оплата медицинских услуг и освобождение от их оплаты</w:t>
      </w:r>
    </w:p>
    <w:p w:rsidR="00F936A8" w:rsidRPr="00CB2C86" w:rsidRDefault="00F936A8" w:rsidP="00F91733">
      <w:pPr>
        <w:pStyle w:val="SingleTxtGR"/>
        <w:tabs>
          <w:tab w:val="clear" w:pos="1701"/>
          <w:tab w:val="clear" w:pos="2268"/>
          <w:tab w:val="left" w:pos="1980"/>
          <w:tab w:val="left" w:pos="2520"/>
        </w:tabs>
      </w:pPr>
      <w:r w:rsidRPr="00CB2C86">
        <w:t>12.40</w:t>
      </w:r>
      <w:r w:rsidRPr="00CB2C86">
        <w:tab/>
        <w:t>Плата за медицинские услуги государственных больниц в Гонконге находится на доступном для населения уровне. Мы принимаем к сведению оз</w:t>
      </w:r>
      <w:r w:rsidRPr="00CB2C86">
        <w:t>а</w:t>
      </w:r>
      <w:r w:rsidRPr="00CB2C86">
        <w:t>боченность Комитета и некоторых комментаторов в связи медицинской пом</w:t>
      </w:r>
      <w:r w:rsidRPr="00CB2C86">
        <w:t>о</w:t>
      </w:r>
      <w:r w:rsidRPr="00CB2C86">
        <w:t>щью, которая оказывается пациентам с низким доходом на основе текущей си</w:t>
      </w:r>
      <w:r w:rsidRPr="00CB2C86">
        <w:t>с</w:t>
      </w:r>
      <w:r w:rsidRPr="00CB2C86">
        <w:t>темы освобождения от оплаты медицинских счетов. На оплату медицинских у</w:t>
      </w:r>
      <w:r w:rsidRPr="00CB2C86">
        <w:t>с</w:t>
      </w:r>
      <w:r w:rsidRPr="00CB2C86">
        <w:t>луг в государственных больницах и клиниках правительство выделяет знач</w:t>
      </w:r>
      <w:r w:rsidRPr="00CB2C86">
        <w:t>и</w:t>
      </w:r>
      <w:r w:rsidRPr="00CB2C86">
        <w:t>тельные субсидии, причем уровень субсидирования составляет 95%. Граждане, пол</w:t>
      </w:r>
      <w:r w:rsidRPr="00CB2C86">
        <w:t>у</w:t>
      </w:r>
      <w:r w:rsidRPr="00CB2C86">
        <w:t>чающие помощь по линии СВСО, освобождаются от оплаты медицинских услуг в государственных медицинских учреждениях. Вместе с тем для оказания помощи нуждающимся группам населения правительство ввело в действие м</w:t>
      </w:r>
      <w:r w:rsidRPr="00CB2C86">
        <w:t>е</w:t>
      </w:r>
      <w:r w:rsidRPr="00CB2C86">
        <w:t>ханизм освобождения от оплаты медицинских услуг. Участниками этого мех</w:t>
      </w:r>
      <w:r w:rsidRPr="00CB2C86">
        <w:t>а</w:t>
      </w:r>
      <w:r w:rsidRPr="00CB2C86">
        <w:t>низма являются пациенты с низким доходом, хронически больные пациенты и престарелые пациенты, испытывающие финансовые трудности.</w:t>
      </w:r>
    </w:p>
    <w:p w:rsidR="00F936A8" w:rsidRPr="00E2781B" w:rsidRDefault="00F936A8" w:rsidP="00F91733">
      <w:pPr>
        <w:pStyle w:val="H4GR"/>
        <w:tabs>
          <w:tab w:val="left" w:pos="1980"/>
          <w:tab w:val="left" w:pos="2520"/>
        </w:tabs>
        <w:spacing w:before="240"/>
        <w:ind w:left="1134" w:right="1179" w:hanging="1134"/>
      </w:pPr>
      <w:r w:rsidRPr="00E2781B">
        <w:tab/>
      </w:r>
      <w:r w:rsidRPr="00E2781B">
        <w:tab/>
        <w:t>Субсидирование лекарств</w:t>
      </w:r>
    </w:p>
    <w:p w:rsidR="00F936A8" w:rsidRPr="00CB2C86" w:rsidRDefault="00F936A8" w:rsidP="00F91733">
      <w:pPr>
        <w:pStyle w:val="SingleTxtGR"/>
        <w:tabs>
          <w:tab w:val="clear" w:pos="1701"/>
          <w:tab w:val="clear" w:pos="2268"/>
          <w:tab w:val="left" w:pos="1980"/>
          <w:tab w:val="left" w:pos="2520"/>
        </w:tabs>
      </w:pPr>
      <w:r w:rsidRPr="00CB2C86">
        <w:t>12.41</w:t>
      </w:r>
      <w:r w:rsidRPr="00CB2C86">
        <w:tab/>
        <w:t>Мы принимаем к сведению рекомендацию Комитета и других комме</w:t>
      </w:r>
      <w:r w:rsidRPr="00CB2C86">
        <w:t>н</w:t>
      </w:r>
      <w:r w:rsidRPr="00CB2C86">
        <w:t xml:space="preserve">таторов, касающуюся пересмотра нынешнего перечня субсидируемых лекарств, предназначенного для удовлетворения потребностей хронически и психически больных граждан. </w:t>
      </w:r>
    </w:p>
    <w:p w:rsidR="00F936A8" w:rsidRPr="00CB2C86" w:rsidRDefault="00F936A8" w:rsidP="00F91733">
      <w:pPr>
        <w:pStyle w:val="SingleTxtGR"/>
        <w:tabs>
          <w:tab w:val="clear" w:pos="1701"/>
          <w:tab w:val="clear" w:pos="2268"/>
          <w:tab w:val="left" w:pos="1980"/>
          <w:tab w:val="left" w:pos="2520"/>
        </w:tabs>
      </w:pPr>
      <w:r w:rsidRPr="00CB2C86">
        <w:t>12.42</w:t>
      </w:r>
      <w:r w:rsidRPr="00CB2C86">
        <w:tab/>
        <w:t>Фармакологическая политика АБ заключается в том, чтобы обеспечить справедливый доступ к значившимся в Фармакологическом справочнике экон</w:t>
      </w:r>
      <w:r w:rsidRPr="00CB2C86">
        <w:t>о</w:t>
      </w:r>
      <w:r w:rsidRPr="00CB2C86">
        <w:t>мически эффективным лекарствам проверенной безопасности и эффективности путем стандартизации фармакологической политики и использования лекарств во всех больницах и клиниках АБ. В настоящее время в Фармакологическом справочнике значится примерно 1 300 стандартных лекарств. Все они доказали свою клиническую, терапевтическую и экономическую эффективность. Пац</w:t>
      </w:r>
      <w:r w:rsidRPr="00CB2C86">
        <w:t>и</w:t>
      </w:r>
      <w:r w:rsidRPr="00CB2C86">
        <w:t>ентам, которые отвечают соответствующим клиническим условиям, врачи в</w:t>
      </w:r>
      <w:r w:rsidRPr="00CB2C86">
        <w:t>ы</w:t>
      </w:r>
      <w:r w:rsidRPr="00CB2C86">
        <w:t>писывают лекарства, а лекарства обеспечиваются АБ по стандартным ценам и тарифам.</w:t>
      </w:r>
    </w:p>
    <w:p w:rsidR="00F936A8" w:rsidRPr="00CB2C86" w:rsidRDefault="00F936A8" w:rsidP="00F91733">
      <w:pPr>
        <w:pStyle w:val="SingleTxtGR"/>
        <w:tabs>
          <w:tab w:val="clear" w:pos="1701"/>
          <w:tab w:val="clear" w:pos="2268"/>
          <w:tab w:val="left" w:pos="1980"/>
          <w:tab w:val="left" w:pos="2520"/>
        </w:tabs>
      </w:pPr>
      <w:r w:rsidRPr="00CB2C86">
        <w:t>12.43</w:t>
      </w:r>
      <w:r w:rsidRPr="00CB2C86">
        <w:tab/>
        <w:t>В соответствии с созданным механизмом АБ регулярно проверяет н</w:t>
      </w:r>
      <w:r w:rsidRPr="00CB2C86">
        <w:t>о</w:t>
      </w:r>
      <w:r w:rsidRPr="00CB2C86">
        <w:t>вые лекарства и пересматривает список лекарств в Справочнике через свои к</w:t>
      </w:r>
      <w:r w:rsidRPr="00CB2C86">
        <w:t>о</w:t>
      </w:r>
      <w:r w:rsidRPr="00CB2C86">
        <w:t>митеты экспертов (включая Консультативный фармакологический комитет и Комитет по пересмотру использования лекарств), в состав которых входят вр</w:t>
      </w:r>
      <w:r w:rsidRPr="00CB2C86">
        <w:t>а</w:t>
      </w:r>
      <w:r w:rsidRPr="00CB2C86">
        <w:t>чи, клинические фармакологи и фармацевты. В зависимости от обстоятельств в Справочник вносятся соответствующие изменения. В процессе пересмотра учитываются такие факторы, как научные данные, экономическая эффекти</w:t>
      </w:r>
      <w:r w:rsidRPr="00CB2C86">
        <w:t>в</w:t>
      </w:r>
      <w:r w:rsidRPr="00CB2C86">
        <w:t>ность, технический прогресс в соответствующих методах лечения, практич</w:t>
      </w:r>
      <w:r w:rsidRPr="00CB2C86">
        <w:t>е</w:t>
      </w:r>
      <w:r w:rsidRPr="00CB2C86">
        <w:t>ский опыт использования лекарств, а также мнения групп экспертов и пацие</w:t>
      </w:r>
      <w:r w:rsidRPr="00CB2C86">
        <w:t>н</w:t>
      </w:r>
      <w:r w:rsidRPr="00CB2C86">
        <w:t>тов. Чтобы усилить защиту пациентов, в 2010</w:t>
      </w:r>
      <w:r w:rsidR="00E7314B">
        <w:t>−20</w:t>
      </w:r>
      <w:r w:rsidRPr="00CB2C86">
        <w:t>11</w:t>
      </w:r>
      <w:r w:rsidR="00B92291">
        <w:t> год</w:t>
      </w:r>
      <w:r w:rsidR="00E7314B">
        <w:t>ах</w:t>
      </w:r>
      <w:r w:rsidRPr="00CB2C86">
        <w:t xml:space="preserve"> мы дополнительно увеличили периодические финансовые ресурсы АБ на сумму 194</w:t>
      </w:r>
      <w:r w:rsidR="004F720A">
        <w:t> </w:t>
      </w:r>
      <w:r w:rsidR="00B63D5C">
        <w:t>млн. долл.</w:t>
      </w:r>
      <w:r w:rsidRPr="00CB2C86">
        <w:t xml:space="preserve"> с целью расширить список Справочника, включив в него 6 лекарств для лечения редких генетических заболеваний и два лекарства для лечения онкологических заболеваний. В этом же</w:t>
      </w:r>
      <w:r w:rsidR="00B92291">
        <w:t> год</w:t>
      </w:r>
      <w:r w:rsidRPr="00CB2C86">
        <w:t>у будет также расширено клиническое применение девяти лекарственных классов, в том числе лекарств для лечения хронических и пс</w:t>
      </w:r>
      <w:r w:rsidRPr="00CB2C86">
        <w:t>и</w:t>
      </w:r>
      <w:r w:rsidRPr="00CB2C86">
        <w:t xml:space="preserve">хических заболеваний. </w:t>
      </w:r>
    </w:p>
    <w:p w:rsidR="00F936A8" w:rsidRPr="00E2781B" w:rsidRDefault="00F936A8" w:rsidP="00F91733">
      <w:pPr>
        <w:pStyle w:val="H4GR"/>
        <w:tabs>
          <w:tab w:val="left" w:pos="1980"/>
          <w:tab w:val="left" w:pos="2520"/>
        </w:tabs>
        <w:spacing w:before="240"/>
        <w:ind w:left="1134" w:right="1179" w:hanging="1134"/>
      </w:pPr>
      <w:r w:rsidRPr="00E2781B">
        <w:tab/>
      </w:r>
      <w:r w:rsidRPr="00E2781B">
        <w:tab/>
        <w:t xml:space="preserve">Рабочий день медицинского персонала и безопасность пациентов </w:t>
      </w:r>
    </w:p>
    <w:p w:rsidR="00F936A8" w:rsidRPr="00CB2C86" w:rsidRDefault="00F936A8" w:rsidP="00F91733">
      <w:pPr>
        <w:pStyle w:val="SingleTxtGR"/>
        <w:tabs>
          <w:tab w:val="clear" w:pos="1701"/>
          <w:tab w:val="clear" w:pos="2268"/>
          <w:tab w:val="left" w:pos="1980"/>
          <w:tab w:val="left" w:pos="2520"/>
        </w:tabs>
      </w:pPr>
      <w:r w:rsidRPr="00CB2C86">
        <w:t>12.44</w:t>
      </w:r>
      <w:r w:rsidRPr="00CB2C86">
        <w:tab/>
        <w:t>Некоторые комментаторы были обеспокоены продолжительным раб</w:t>
      </w:r>
      <w:r w:rsidRPr="00CB2C86">
        <w:t>о</w:t>
      </w:r>
      <w:r w:rsidRPr="00CB2C86">
        <w:t>чим днем персонала больниц и возможными последствиями для безопасности пациентов. АБ твердо намерена сохранять добросовестный и компетентный персонал, чтобы оказывать качественную медицинскую помощь населению. Для</w:t>
      </w:r>
      <w:r>
        <w:t> </w:t>
      </w:r>
      <w:r w:rsidRPr="00CB2C86">
        <w:t>улучшения условий труда персонала в последние</w:t>
      </w:r>
      <w:r w:rsidR="00B92291">
        <w:t> год</w:t>
      </w:r>
      <w:r w:rsidRPr="00CB2C86">
        <w:t>ы АБ предпринимала различные инициативы, включая экспериментальные программы в рамках Р</w:t>
      </w:r>
      <w:r w:rsidRPr="00CB2C86">
        <w:t>е</w:t>
      </w:r>
      <w:r w:rsidRPr="00CB2C86">
        <w:t>формы труда врачей, которая призвана рационализировать рабочий день врачей и одновременно улучшить помощь пациентам путем оптимизации работы ко</w:t>
      </w:r>
      <w:r w:rsidRPr="00CB2C86">
        <w:t>л</w:t>
      </w:r>
      <w:r w:rsidRPr="00CB2C86">
        <w:t>лектива и распределения обязанностей. АБ продолжит мониторинг условий труда своего персонала и будет определять способы регулирования рабочей н</w:t>
      </w:r>
      <w:r w:rsidRPr="00CB2C86">
        <w:t>а</w:t>
      </w:r>
      <w:r w:rsidRPr="00CB2C86">
        <w:t>грузки, улучшая качество оказываемых населению услуг.</w:t>
      </w:r>
    </w:p>
    <w:p w:rsidR="00F936A8" w:rsidRPr="00E2781B" w:rsidRDefault="00F936A8" w:rsidP="00F91733">
      <w:pPr>
        <w:pStyle w:val="H4GR"/>
        <w:tabs>
          <w:tab w:val="left" w:pos="1980"/>
          <w:tab w:val="left" w:pos="2520"/>
        </w:tabs>
        <w:spacing w:before="240"/>
        <w:ind w:left="1134" w:right="1179" w:hanging="1134"/>
      </w:pPr>
      <w:r w:rsidRPr="00E2781B">
        <w:tab/>
      </w:r>
      <w:r w:rsidRPr="00E2781B">
        <w:tab/>
        <w:t xml:space="preserve">Рассмотрение жалоб на медицинское обслуживание </w:t>
      </w:r>
    </w:p>
    <w:p w:rsidR="00F936A8" w:rsidRPr="00CB2C86" w:rsidRDefault="00F936A8" w:rsidP="00F91733">
      <w:pPr>
        <w:pStyle w:val="SingleTxtGR"/>
        <w:tabs>
          <w:tab w:val="clear" w:pos="1701"/>
          <w:tab w:val="clear" w:pos="2268"/>
          <w:tab w:val="left" w:pos="1980"/>
          <w:tab w:val="left" w:pos="2520"/>
        </w:tabs>
      </w:pPr>
      <w:r w:rsidRPr="00CB2C86">
        <w:t>12.45</w:t>
      </w:r>
      <w:r w:rsidRPr="00CB2C86">
        <w:tab/>
        <w:t>Некоторые комментаторы выразили озабоченность в связи с недост</w:t>
      </w:r>
      <w:r w:rsidRPr="00CB2C86">
        <w:t>а</w:t>
      </w:r>
      <w:r w:rsidRPr="00CB2C86">
        <w:t>точной эффективностью механизма рассмотрения жалоб на больничное обсл</w:t>
      </w:r>
      <w:r w:rsidRPr="00CB2C86">
        <w:t>у</w:t>
      </w:r>
      <w:r w:rsidRPr="00CB2C86">
        <w:t>живание. АБ располагает действующим двухуровневым механизмом рассмо</w:t>
      </w:r>
      <w:r w:rsidRPr="00CB2C86">
        <w:t>т</w:t>
      </w:r>
      <w:r w:rsidRPr="00CB2C86">
        <w:t>рением жалоб на медицинское обслуживание. Все впервые поступившие жал</w:t>
      </w:r>
      <w:r w:rsidRPr="00CB2C86">
        <w:t>о</w:t>
      </w:r>
      <w:r w:rsidRPr="00CB2C86">
        <w:t>бы на больничное обслуживание направляются непосредственно в больницы, которые готовят на них ответы. Если заявитель не удовлетворен ходом рассмо</w:t>
      </w:r>
      <w:r w:rsidRPr="00CB2C86">
        <w:t>т</w:t>
      </w:r>
      <w:r w:rsidRPr="00CB2C86">
        <w:t>рения его/ее жалобы или его результатами, он/она может обратиться в Комитет по рассмотрению жалоб населения (КРЖ) АБ. КРЖ, в состав которого входят представители различных слоев общества, отвечает за рассмотрение всех жалоб и принятие по ним решений. Члены КРЖ не являются сотрудниками АБ, а КРЖ не имеет прямой линии связи с какой-либо больницей или действующим отд</w:t>
      </w:r>
      <w:r w:rsidRPr="00CB2C86">
        <w:t>е</w:t>
      </w:r>
      <w:r w:rsidRPr="00CB2C86">
        <w:t>лением/обслуживающей службой. Это позволяет КРЖ рассматривать все жал</w:t>
      </w:r>
      <w:r w:rsidRPr="00CB2C86">
        <w:t>о</w:t>
      </w:r>
      <w:r w:rsidRPr="00CB2C86">
        <w:t>бы справедливо и беспристрастно</w:t>
      </w:r>
      <w:r w:rsidR="00E7314B">
        <w:t>,</w:t>
      </w:r>
      <w:r w:rsidRPr="00CB2C86">
        <w:t xml:space="preserve"> как подобает независимому органу. АБ та</w:t>
      </w:r>
      <w:r w:rsidRPr="00CB2C86">
        <w:t>к</w:t>
      </w:r>
      <w:r w:rsidRPr="00CB2C86">
        <w:t>же осуществляет различные инициативы, направленные на постоянное пов</w:t>
      </w:r>
      <w:r w:rsidRPr="00CB2C86">
        <w:t>ы</w:t>
      </w:r>
      <w:r w:rsidRPr="00CB2C86">
        <w:t>шение действенности и эффективности своей системы рассмотрения жалоб, например проводя опросы пациентов об их удовлетворенности и активно соб</w:t>
      </w:r>
      <w:r w:rsidRPr="00CB2C86">
        <w:t>и</w:t>
      </w:r>
      <w:r w:rsidRPr="00CB2C86">
        <w:t>рая их ответы и тем самым создавая кратчайший механизм рассмотрения нео</w:t>
      </w:r>
      <w:r w:rsidRPr="00CB2C86">
        <w:t>д</w:t>
      </w:r>
      <w:r w:rsidRPr="00CB2C86">
        <w:t>нократных обращений с целью ускорить и оптимизировать производство по т</w:t>
      </w:r>
      <w:r w:rsidRPr="00CB2C86">
        <w:t>а</w:t>
      </w:r>
      <w:r w:rsidRPr="00CB2C86">
        <w:t>ким случ</w:t>
      </w:r>
      <w:r w:rsidRPr="00CB2C86">
        <w:t>а</w:t>
      </w:r>
      <w:r w:rsidRPr="00CB2C86">
        <w:t>ям.</w:t>
      </w:r>
    </w:p>
    <w:p w:rsidR="00F936A8" w:rsidRPr="00CB2C86" w:rsidRDefault="00F936A8" w:rsidP="00F91733">
      <w:pPr>
        <w:pStyle w:val="H23GR"/>
        <w:tabs>
          <w:tab w:val="left" w:pos="1980"/>
          <w:tab w:val="left" w:pos="2520"/>
        </w:tabs>
      </w:pPr>
      <w:r w:rsidRPr="00CB2C86">
        <w:tab/>
      </w:r>
      <w:r w:rsidRPr="00CB2C86">
        <w:tab/>
        <w:t>Регулирование работы медицинских учреждений</w:t>
      </w:r>
    </w:p>
    <w:p w:rsidR="00F936A8" w:rsidRPr="00CB2C86" w:rsidRDefault="00F936A8" w:rsidP="00F91733">
      <w:pPr>
        <w:pStyle w:val="SingleTxtGR"/>
        <w:tabs>
          <w:tab w:val="clear" w:pos="1701"/>
          <w:tab w:val="clear" w:pos="2268"/>
          <w:tab w:val="left" w:pos="1980"/>
          <w:tab w:val="left" w:pos="2520"/>
        </w:tabs>
      </w:pPr>
      <w:r w:rsidRPr="00CB2C86">
        <w:t>12.46</w:t>
      </w:r>
      <w:r w:rsidRPr="00CB2C86">
        <w:tab/>
        <w:t>Управление по регистрации медицинских учреждений ДЗ регистрир</w:t>
      </w:r>
      <w:r w:rsidRPr="00CB2C86">
        <w:t>у</w:t>
      </w:r>
      <w:r w:rsidRPr="00CB2C86">
        <w:t>ет частные госпитали, сестринские дома и дома матери и ребенка и следит за их размещением, персоналом и оборудованием. К основе такого регулирования и мониторинга частных медицинских услуг относятся как статутные, так и адм</w:t>
      </w:r>
      <w:r w:rsidRPr="00CB2C86">
        <w:t>и</w:t>
      </w:r>
      <w:r w:rsidRPr="00CB2C86">
        <w:t>нистративные меры, принимаемые ДЗ</w:t>
      </w:r>
      <w:r w:rsidRPr="004F0ED8">
        <w:rPr>
          <w:sz w:val="18"/>
          <w:szCs w:val="18"/>
          <w:vertAlign w:val="superscript"/>
          <w:lang w:val="en-GB"/>
        </w:rPr>
        <w:footnoteReference w:id="19"/>
      </w:r>
      <w:r>
        <w:t>.</w:t>
      </w:r>
      <w:r w:rsidRPr="00CB2C86">
        <w:t xml:space="preserve"> Эта основа регулярно пересматривае</w:t>
      </w:r>
      <w:r w:rsidRPr="00CB2C86">
        <w:t>т</w:t>
      </w:r>
      <w:r w:rsidRPr="00CB2C86">
        <w:t>ся с целью обеспечить, чтобы частный сектор неизменно оказывал высококач</w:t>
      </w:r>
      <w:r w:rsidRPr="00CB2C86">
        <w:t>е</w:t>
      </w:r>
      <w:r w:rsidRPr="00CB2C86">
        <w:t>ственные услуги. Там, где необходимо, вносятся улучшения, например ДЗ п</w:t>
      </w:r>
      <w:r w:rsidRPr="00CB2C86">
        <w:t>е</w:t>
      </w:r>
      <w:r w:rsidRPr="00CB2C86">
        <w:t>ресмотрел Кодекс практики частных госпиталей, сестринских домов и домов матери и ребенка, который в конце 2009</w:t>
      </w:r>
      <w:r w:rsidR="00B92291">
        <w:t> год</w:t>
      </w:r>
      <w:r w:rsidRPr="00CB2C86">
        <w:t>а узаконил нормы наилучшей пра</w:t>
      </w:r>
      <w:r w:rsidRPr="00CB2C86">
        <w:t>к</w:t>
      </w:r>
      <w:r w:rsidRPr="00CB2C86">
        <w:t>тики в частных госпиталях.</w:t>
      </w:r>
    </w:p>
    <w:p w:rsidR="00F936A8" w:rsidRPr="006570F9" w:rsidRDefault="00F936A8" w:rsidP="00F91733">
      <w:pPr>
        <w:pStyle w:val="H23GR"/>
        <w:tabs>
          <w:tab w:val="left" w:pos="1980"/>
          <w:tab w:val="left" w:pos="2520"/>
        </w:tabs>
      </w:pPr>
      <w:r w:rsidRPr="006570F9">
        <w:tab/>
      </w:r>
      <w:r w:rsidRPr="006570F9">
        <w:tab/>
        <w:t>Реформирование системы здравоохранения</w:t>
      </w:r>
    </w:p>
    <w:p w:rsidR="00F936A8" w:rsidRPr="00CB2C86" w:rsidRDefault="00F936A8" w:rsidP="00F91733">
      <w:pPr>
        <w:pStyle w:val="SingleTxtGR"/>
        <w:tabs>
          <w:tab w:val="clear" w:pos="1701"/>
          <w:tab w:val="clear" w:pos="2268"/>
          <w:tab w:val="left" w:pos="1980"/>
          <w:tab w:val="left" w:pos="2520"/>
        </w:tabs>
      </w:pPr>
      <w:r w:rsidRPr="00CB2C86">
        <w:t>12.47</w:t>
      </w:r>
      <w:r w:rsidRPr="00CB2C86">
        <w:tab/>
        <w:t>В дополнение к положению, изложенному в пунктах 12.39</w:t>
      </w:r>
      <w:r>
        <w:t>−</w:t>
      </w:r>
      <w:r w:rsidRPr="00CB2C86">
        <w:t>12.41 пр</w:t>
      </w:r>
      <w:r w:rsidRPr="00CB2C86">
        <w:t>е</w:t>
      </w:r>
      <w:r w:rsidRPr="00CB2C86">
        <w:t>дыдущего доклада, чтобы справиться с проблемами, которые возникают в Го</w:t>
      </w:r>
      <w:r w:rsidRPr="00CB2C86">
        <w:t>н</w:t>
      </w:r>
      <w:r w:rsidRPr="00CB2C86">
        <w:t>конге в связи со старением населения, растущими ожиданиями от медицинского обслуживания и растущими затратами на здравоохранение, обусловленными техническим прогрессом, в марте 2008</w:t>
      </w:r>
      <w:r w:rsidR="00B92291">
        <w:t> год</w:t>
      </w:r>
      <w:r w:rsidRPr="00CB2C86">
        <w:t>а правительство опубликовало Ко</w:t>
      </w:r>
      <w:r w:rsidRPr="00CB2C86">
        <w:t>н</w:t>
      </w:r>
      <w:r w:rsidRPr="00CB2C86">
        <w:t xml:space="preserve">сультационный документ о реформе здравоохранения </w:t>
      </w:r>
      <w:r>
        <w:t>"</w:t>
      </w:r>
      <w:r w:rsidRPr="00CB2C86">
        <w:t xml:space="preserve">Твое здоровье </w:t>
      </w:r>
      <w:r>
        <w:t>−</w:t>
      </w:r>
      <w:r w:rsidRPr="00CB2C86">
        <w:t xml:space="preserve"> твоя жизнь</w:t>
      </w:r>
      <w:r>
        <w:t>"</w:t>
      </w:r>
      <w:r w:rsidRPr="00CB2C86">
        <w:t xml:space="preserve"> и приступило к реализации трехмесячных первоначальных публичных консультаций по реформе здравоохранения. В качестве неотъемлемой части мы выдвинули следующие дополнительные предложения в отношении реформы:</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a</w:t>
      </w:r>
      <w:proofErr w:type="spellEnd"/>
      <w:r>
        <w:t>)</w:t>
      </w:r>
      <w:r w:rsidRPr="00CB2C86">
        <w:tab/>
      </w:r>
      <w:r w:rsidR="00E7314B" w:rsidRPr="00CB2C86">
        <w:t xml:space="preserve">повышение </w:t>
      </w:r>
      <w:r w:rsidRPr="00CB2C86">
        <w:t>качества первичной медико-санитарной помощи;</w:t>
      </w:r>
    </w:p>
    <w:p w:rsidR="00F936A8" w:rsidRPr="00CB2C86" w:rsidRDefault="00F936A8" w:rsidP="00F91733">
      <w:pPr>
        <w:pStyle w:val="SingleTxtGR"/>
        <w:tabs>
          <w:tab w:val="clear" w:pos="1701"/>
          <w:tab w:val="clear" w:pos="2268"/>
          <w:tab w:val="left" w:pos="1980"/>
          <w:tab w:val="left" w:pos="2520"/>
        </w:tabs>
      </w:pPr>
      <w:r>
        <w:tab/>
      </w:r>
      <w:proofErr w:type="spellStart"/>
      <w:r>
        <w:t>b</w:t>
      </w:r>
      <w:proofErr w:type="spellEnd"/>
      <w:r>
        <w:t>)</w:t>
      </w:r>
      <w:r w:rsidRPr="00CB2C86">
        <w:tab/>
      </w:r>
      <w:r w:rsidR="00E7314B" w:rsidRPr="00CB2C86">
        <w:t xml:space="preserve">укрепление </w:t>
      </w:r>
      <w:r w:rsidRPr="00CB2C86">
        <w:t>государственно-частного партнерства в области здр</w:t>
      </w:r>
      <w:r w:rsidRPr="00CB2C86">
        <w:t>а</w:t>
      </w:r>
      <w:r w:rsidRPr="00CB2C86">
        <w:t>воохранения;</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c</w:t>
      </w:r>
      <w:proofErr w:type="spellEnd"/>
      <w:r>
        <w:t>)</w:t>
      </w:r>
      <w:r w:rsidRPr="00CB2C86">
        <w:tab/>
      </w:r>
      <w:r w:rsidR="00E7314B" w:rsidRPr="00CB2C86">
        <w:t xml:space="preserve">развитие </w:t>
      </w:r>
      <w:r w:rsidRPr="00CB2C86">
        <w:t>обмена электронными медицинскими картами;</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d</w:t>
      </w:r>
      <w:proofErr w:type="spellEnd"/>
      <w:r>
        <w:t>)</w:t>
      </w:r>
      <w:r w:rsidRPr="00CB2C86">
        <w:tab/>
      </w:r>
      <w:r w:rsidR="00E7314B" w:rsidRPr="00CB2C86">
        <w:t xml:space="preserve">укрепление </w:t>
      </w:r>
      <w:r w:rsidRPr="00CB2C86">
        <w:t>социально-медицинской защиты населения; и</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e</w:t>
      </w:r>
      <w:proofErr w:type="spellEnd"/>
      <w:r>
        <w:t>)</w:t>
      </w:r>
      <w:r w:rsidRPr="00CB2C86">
        <w:tab/>
      </w:r>
      <w:r w:rsidR="00E7314B" w:rsidRPr="00CB2C86">
        <w:t xml:space="preserve">реформирование </w:t>
      </w:r>
      <w:r w:rsidRPr="00CB2C86">
        <w:t>финансовых механизмов здравоохранения.</w:t>
      </w:r>
    </w:p>
    <w:p w:rsidR="00F936A8" w:rsidRPr="00CB2C86" w:rsidRDefault="00F936A8" w:rsidP="00F91733">
      <w:pPr>
        <w:pStyle w:val="SingleTxtGR"/>
        <w:tabs>
          <w:tab w:val="clear" w:pos="1701"/>
          <w:tab w:val="clear" w:pos="2268"/>
          <w:tab w:val="left" w:pos="1980"/>
          <w:tab w:val="left" w:pos="2520"/>
        </w:tabs>
      </w:pPr>
      <w:r w:rsidRPr="00CB2C86">
        <w:t>12.48</w:t>
      </w:r>
      <w:r w:rsidRPr="00CB2C86">
        <w:tab/>
        <w:t>Первый этап публичных консультаций в отношении реформирования системы здравоохранения отразил широкий консенсус в обществе о необход</w:t>
      </w:r>
      <w:r w:rsidRPr="00CB2C86">
        <w:t>и</w:t>
      </w:r>
      <w:r w:rsidRPr="00CB2C86">
        <w:t>мости ее реформирования и осуществления перечисленных в предыдущем пункте предложений по реформе, чтобы улучшить медицинское обслуживание. Нас</w:t>
      </w:r>
      <w:r w:rsidRPr="00CB2C86">
        <w:t>е</w:t>
      </w:r>
      <w:r w:rsidRPr="00CB2C86">
        <w:t>ление также признало необходимость решения проблемы финансирования здравоохранения, чтобы обеспечить ее устойчивое развитие.</w:t>
      </w:r>
    </w:p>
    <w:p w:rsidR="00F936A8" w:rsidRPr="00CB2C86" w:rsidRDefault="00F936A8" w:rsidP="00F91733">
      <w:pPr>
        <w:pStyle w:val="SingleTxtGR"/>
        <w:tabs>
          <w:tab w:val="clear" w:pos="1701"/>
          <w:tab w:val="clear" w:pos="2268"/>
          <w:tab w:val="left" w:pos="1980"/>
          <w:tab w:val="left" w:pos="2520"/>
        </w:tabs>
      </w:pPr>
      <w:r w:rsidRPr="00CB2C86">
        <w:t>12.49</w:t>
      </w:r>
      <w:r w:rsidRPr="00CB2C86">
        <w:tab/>
        <w:t>Понимая трудные проблемы финансирования здравоохранения, об</w:t>
      </w:r>
      <w:r w:rsidRPr="00CB2C86">
        <w:t>у</w:t>
      </w:r>
      <w:r w:rsidRPr="00CB2C86">
        <w:t>словленные старением населения Гонконга и растущие затраты на медицину, а также принимая во внимание мнения, полученные на первом этапе публичных консультаций в отношении реформирования здравоохранения, особенно в о</w:t>
      </w:r>
      <w:r w:rsidRPr="00CB2C86">
        <w:t>т</w:t>
      </w:r>
      <w:r w:rsidRPr="00CB2C86">
        <w:t>ношения финансирования, правительство в настоящее время работает над д</w:t>
      </w:r>
      <w:r w:rsidRPr="00CB2C86">
        <w:t>о</w:t>
      </w:r>
      <w:r w:rsidRPr="00CB2C86">
        <w:t>полнительным финансовым вариантом, основанным на добровольном участии, которое будет состоять из элементов страхования и сбережения и нормироват</w:t>
      </w:r>
      <w:r w:rsidRPr="00CB2C86">
        <w:t>ь</w:t>
      </w:r>
      <w:r w:rsidRPr="00CB2C86">
        <w:t>ся и регулироваться правительством. Для продвижения реформы здравоохран</w:t>
      </w:r>
      <w:r w:rsidRPr="00CB2C86">
        <w:t>е</w:t>
      </w:r>
      <w:r w:rsidRPr="00CB2C86">
        <w:t>ния правительство выделило 50</w:t>
      </w:r>
      <w:r w:rsidR="004F720A">
        <w:t> </w:t>
      </w:r>
      <w:r w:rsidR="00B63D5C">
        <w:t>млрд. долларов.</w:t>
      </w:r>
      <w:r w:rsidRPr="00CB2C86">
        <w:t xml:space="preserve"> Цель состоит в том, чтобы обеспечить более широкий выбор частных медико-санитарных услуг для тех, кто желает и может позволить их себе путем программ добровольного мед</w:t>
      </w:r>
      <w:r w:rsidRPr="00CB2C86">
        <w:t>и</w:t>
      </w:r>
      <w:r w:rsidRPr="00CB2C86">
        <w:t>цинского страхования и сбережения, ослабив в свою очередь нагрузку на гос</w:t>
      </w:r>
      <w:r w:rsidRPr="00CB2C86">
        <w:t>у</w:t>
      </w:r>
      <w:r w:rsidRPr="00CB2C86">
        <w:t>дарственную систему здравоохранения и обеспечив малоимущим гражданам возможность пользоваться обильно субсидируемой государственной медици</w:t>
      </w:r>
      <w:r w:rsidRPr="00CB2C86">
        <w:t>н</w:t>
      </w:r>
      <w:r w:rsidRPr="00CB2C86">
        <w:t>ской помощью. Мы планируем проконсультироваться с общественностью в о</w:t>
      </w:r>
      <w:r w:rsidRPr="00CB2C86">
        <w:t>т</w:t>
      </w:r>
      <w:r w:rsidRPr="00CB2C86">
        <w:t>ношении подробного предложения в 2010</w:t>
      </w:r>
      <w:r w:rsidR="00B92291">
        <w:t> год</w:t>
      </w:r>
      <w:r w:rsidRPr="00CB2C86">
        <w:t>у.</w:t>
      </w:r>
    </w:p>
    <w:p w:rsidR="00F936A8" w:rsidRPr="00E2781B" w:rsidRDefault="00F936A8" w:rsidP="00F91733">
      <w:pPr>
        <w:pStyle w:val="H4GR"/>
        <w:tabs>
          <w:tab w:val="left" w:pos="1980"/>
          <w:tab w:val="left" w:pos="2520"/>
        </w:tabs>
        <w:spacing w:before="240"/>
        <w:ind w:left="1134" w:right="1179" w:hanging="1134"/>
      </w:pPr>
      <w:r w:rsidRPr="00E2781B">
        <w:tab/>
      </w:r>
      <w:r w:rsidRPr="00E2781B">
        <w:tab/>
        <w:t>Улучшение первичной медико-санитарной помощи</w:t>
      </w:r>
    </w:p>
    <w:p w:rsidR="00F936A8" w:rsidRPr="00CB2C86" w:rsidRDefault="00F936A8" w:rsidP="00F91733">
      <w:pPr>
        <w:pStyle w:val="SingleTxtGR"/>
        <w:tabs>
          <w:tab w:val="clear" w:pos="1701"/>
          <w:tab w:val="clear" w:pos="2268"/>
          <w:tab w:val="left" w:pos="1980"/>
          <w:tab w:val="left" w:pos="2520"/>
        </w:tabs>
      </w:pPr>
      <w:r w:rsidRPr="00CB2C86">
        <w:t>12.50</w:t>
      </w:r>
      <w:r w:rsidRPr="00CB2C86">
        <w:tab/>
        <w:t>Что касается конкретно</w:t>
      </w:r>
      <w:r w:rsidR="00E0491E">
        <w:t>й</w:t>
      </w:r>
      <w:r w:rsidRPr="00CB2C86">
        <w:t xml:space="preserve"> первичной медико-санитарной помощи, то Рабочая группа по первичной медико-санитарной помощи, учрежденная прав</w:t>
      </w:r>
      <w:r w:rsidRPr="00CB2C86">
        <w:t>и</w:t>
      </w:r>
      <w:r w:rsidRPr="00CB2C86">
        <w:t>тельством, в сентябре 2009</w:t>
      </w:r>
      <w:r w:rsidR="00B92291">
        <w:t> год</w:t>
      </w:r>
      <w:r w:rsidRPr="00CB2C86">
        <w:t>а сделала ряд предварительных рекомендаций, которые излагаются ниже:</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a</w:t>
      </w:r>
      <w:proofErr w:type="spellEnd"/>
      <w:r>
        <w:t>)</w:t>
      </w:r>
      <w:r w:rsidRPr="00CB2C86">
        <w:tab/>
      </w:r>
      <w:r w:rsidR="00E0491E" w:rsidRPr="00CB2C86">
        <w:t xml:space="preserve">разработать </w:t>
      </w:r>
      <w:r w:rsidRPr="00CB2C86">
        <w:t>концептуальные модели и клинические протоколы для различных хронических заболеваний и возрастных/</w:t>
      </w:r>
      <w:proofErr w:type="spellStart"/>
      <w:r w:rsidRPr="00CB2C86">
        <w:t>гендерных</w:t>
      </w:r>
      <w:proofErr w:type="spellEnd"/>
      <w:r w:rsidRPr="00CB2C86">
        <w:t xml:space="preserve"> групп;</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b</w:t>
      </w:r>
      <w:proofErr w:type="spellEnd"/>
      <w:r>
        <w:t>)</w:t>
      </w:r>
      <w:r w:rsidRPr="00CB2C86">
        <w:tab/>
      </w:r>
      <w:r w:rsidR="00E0491E" w:rsidRPr="00CB2C86">
        <w:t xml:space="preserve">постепенно </w:t>
      </w:r>
      <w:r w:rsidRPr="00CB2C86">
        <w:t>разработать справочник по первичной медико-санитарной помощи, чтобы население, опираясь на более полную информацию, могло св</w:t>
      </w:r>
      <w:r w:rsidRPr="00CB2C86">
        <w:t>о</w:t>
      </w:r>
      <w:r w:rsidRPr="00CB2C86">
        <w:t>бодно выбирать различных поставщиков первичных медико-санитарных услуг, наилучшим образом отвечающих их потребностям, и разв</w:t>
      </w:r>
      <w:r w:rsidRPr="00CB2C86">
        <w:t>и</w:t>
      </w:r>
      <w:r w:rsidRPr="00CB2C86">
        <w:t>вать концепцию с</w:t>
      </w:r>
      <w:r w:rsidRPr="00CB2C86">
        <w:t>е</w:t>
      </w:r>
      <w:r w:rsidRPr="00CB2C86">
        <w:t>мейного врача; и</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c</w:t>
      </w:r>
      <w:proofErr w:type="spellEnd"/>
      <w:r>
        <w:t>)</w:t>
      </w:r>
      <w:r w:rsidRPr="00CB2C86">
        <w:tab/>
      </w:r>
      <w:r w:rsidR="00E0491E" w:rsidRPr="00CB2C86">
        <w:t xml:space="preserve">приступить </w:t>
      </w:r>
      <w:r w:rsidRPr="00CB2C86">
        <w:t>к реализации экспериментальных проектов в ра</w:t>
      </w:r>
      <w:r w:rsidRPr="00CB2C86">
        <w:t>з</w:t>
      </w:r>
      <w:r w:rsidRPr="00CB2C86">
        <w:t>личных округах по созданию местных центров и сетей здоровья путем сотру</w:t>
      </w:r>
      <w:r w:rsidRPr="00CB2C86">
        <w:t>д</w:t>
      </w:r>
      <w:r w:rsidRPr="00CB2C86">
        <w:t>ничества между государственным, частным секторами и НПО для оказания комплексной первичной медико-санитарной помощи населению по принципу одного окна.</w:t>
      </w:r>
    </w:p>
    <w:p w:rsidR="00F936A8" w:rsidRPr="00CB2C86" w:rsidRDefault="00F936A8" w:rsidP="00F91733">
      <w:pPr>
        <w:pStyle w:val="SingleTxtGR"/>
        <w:tabs>
          <w:tab w:val="clear" w:pos="1701"/>
          <w:tab w:val="clear" w:pos="2268"/>
          <w:tab w:val="left" w:pos="1980"/>
          <w:tab w:val="left" w:pos="2520"/>
        </w:tabs>
      </w:pPr>
      <w:r w:rsidRPr="00CB2C86">
        <w:t>12.51</w:t>
      </w:r>
      <w:r w:rsidRPr="00CB2C86">
        <w:tab/>
        <w:t>Правительство выделит дополнительные ресурсы на реализацию уп</w:t>
      </w:r>
      <w:r w:rsidRPr="00CB2C86">
        <w:t>о</w:t>
      </w:r>
      <w:r w:rsidRPr="00CB2C86">
        <w:t>мянутых выше рекомендаций об улучшении первичной медико-санитарной п</w:t>
      </w:r>
      <w:r w:rsidRPr="00CB2C86">
        <w:t>о</w:t>
      </w:r>
      <w:r w:rsidRPr="00CB2C86">
        <w:t>мощи в САРГ. Мы также приступили к реализации ряда экспериментальных проектов, нацеленных на усиление поддержки пациентам с хроническими заб</w:t>
      </w:r>
      <w:r w:rsidRPr="00CB2C86">
        <w:t>о</w:t>
      </w:r>
      <w:r w:rsidRPr="00CB2C86">
        <w:t>леваниями в государственном и частном секторах в местных общинах. Посре</w:t>
      </w:r>
      <w:r w:rsidRPr="00CB2C86">
        <w:t>д</w:t>
      </w:r>
      <w:r w:rsidRPr="00CB2C86">
        <w:t>ством этих экспериментальных проектов и других инициатив мы изучаем во</w:t>
      </w:r>
      <w:r w:rsidRPr="00CB2C86">
        <w:t>з</w:t>
      </w:r>
      <w:r w:rsidRPr="00CB2C86">
        <w:t>можности для более широкого государственно-частного партнерства по оказ</w:t>
      </w:r>
      <w:r w:rsidRPr="00CB2C86">
        <w:t>а</w:t>
      </w:r>
      <w:r w:rsidRPr="00CB2C86">
        <w:t>нию медико-санитарной помощи. Кроме того</w:t>
      </w:r>
      <w:r w:rsidR="00E0491E">
        <w:t>,</w:t>
      </w:r>
      <w:r w:rsidRPr="00CB2C86">
        <w:t xml:space="preserve"> мы также будем увеличивать п</w:t>
      </w:r>
      <w:r w:rsidRPr="00CB2C86">
        <w:t>о</w:t>
      </w:r>
      <w:r w:rsidRPr="00CB2C86">
        <w:t>мощь наших медико-социальных служб, чтобы усилить защиту пациентов, н</w:t>
      </w:r>
      <w:r w:rsidRPr="00CB2C86">
        <w:t>у</w:t>
      </w:r>
      <w:r w:rsidRPr="00CB2C86">
        <w:t>ждающихся в дорогостоящих лекарствах и лечении.</w:t>
      </w:r>
    </w:p>
    <w:p w:rsidR="00F936A8" w:rsidRPr="00E2781B" w:rsidRDefault="00F936A8" w:rsidP="00F91733">
      <w:pPr>
        <w:pStyle w:val="H4GR"/>
        <w:tabs>
          <w:tab w:val="left" w:pos="1980"/>
          <w:tab w:val="left" w:pos="2520"/>
        </w:tabs>
        <w:spacing w:before="240"/>
        <w:ind w:left="1134" w:right="1179" w:hanging="1134"/>
      </w:pPr>
      <w:r w:rsidRPr="00E2781B">
        <w:tab/>
      </w:r>
      <w:r w:rsidRPr="00E2781B">
        <w:tab/>
        <w:t xml:space="preserve">Развитие территориальной </w:t>
      </w:r>
      <w:proofErr w:type="spellStart"/>
      <w:r w:rsidRPr="00E2781B">
        <w:t>пациент-ориентированной</w:t>
      </w:r>
      <w:proofErr w:type="spellEnd"/>
      <w:r w:rsidRPr="00E2781B">
        <w:t xml:space="preserve"> электронной системы обмена медицинскими картами в качестве основной инфрастру</w:t>
      </w:r>
      <w:r w:rsidRPr="00E2781B">
        <w:t>к</w:t>
      </w:r>
      <w:r w:rsidRPr="00E2781B">
        <w:t>туры реформы здравоохранения</w:t>
      </w:r>
    </w:p>
    <w:p w:rsidR="00F936A8" w:rsidRPr="00CB2C86" w:rsidRDefault="00F936A8" w:rsidP="00F91733">
      <w:pPr>
        <w:pStyle w:val="SingleTxtGR"/>
        <w:tabs>
          <w:tab w:val="clear" w:pos="1701"/>
          <w:tab w:val="clear" w:pos="2268"/>
          <w:tab w:val="left" w:pos="1980"/>
          <w:tab w:val="left" w:pos="2520"/>
        </w:tabs>
      </w:pPr>
      <w:r w:rsidRPr="00CB2C86">
        <w:t>12.52</w:t>
      </w:r>
      <w:r w:rsidRPr="00CB2C86">
        <w:tab/>
        <w:t>Для создания основной инфраструктуры реформирования системы здравоохранения правительство объединяет усилия с государственным и час</w:t>
      </w:r>
      <w:r w:rsidRPr="00CB2C86">
        <w:t>т</w:t>
      </w:r>
      <w:r w:rsidRPr="00CB2C86">
        <w:t xml:space="preserve">ным секторами медицинской помощи, поставщиками информационно-технологических услуг и заинтересованными сторонами в местной общине по развитию территориальной </w:t>
      </w:r>
      <w:proofErr w:type="spellStart"/>
      <w:r w:rsidRPr="00CB2C86">
        <w:t>пациент-ориентированной</w:t>
      </w:r>
      <w:proofErr w:type="spellEnd"/>
      <w:r w:rsidRPr="00CB2C86">
        <w:t xml:space="preserve"> электронной системы обмена медицинскими картами (ЭМК). В июле 2009</w:t>
      </w:r>
      <w:r w:rsidR="00B92291">
        <w:t> год</w:t>
      </w:r>
      <w:r w:rsidRPr="00CB2C86">
        <w:t>а для координации д</w:t>
      </w:r>
      <w:r w:rsidRPr="00CB2C86">
        <w:t>е</w:t>
      </w:r>
      <w:r w:rsidRPr="00CB2C86">
        <w:t>сятилетней программы развития ЭМК на базе систем и ноу-хау АБ при Бюро по вопросам продуктов питания и здравоохранения (БППЗ) было создано специ</w:t>
      </w:r>
      <w:r w:rsidRPr="00CB2C86">
        <w:t>а</w:t>
      </w:r>
      <w:r w:rsidRPr="00CB2C86">
        <w:t xml:space="preserve">лизированное управление. </w:t>
      </w:r>
    </w:p>
    <w:p w:rsidR="00F936A8" w:rsidRPr="00CB2C86" w:rsidRDefault="00F936A8" w:rsidP="00F91733">
      <w:pPr>
        <w:pStyle w:val="SingleTxtGR"/>
        <w:tabs>
          <w:tab w:val="clear" w:pos="1701"/>
          <w:tab w:val="clear" w:pos="2268"/>
          <w:tab w:val="left" w:pos="1980"/>
          <w:tab w:val="left" w:pos="2520"/>
        </w:tabs>
      </w:pPr>
      <w:r w:rsidRPr="00CB2C86">
        <w:t>12.53</w:t>
      </w:r>
      <w:r w:rsidRPr="00CB2C86">
        <w:tab/>
        <w:t>Задача системы ЭМК заключается в том, чтобы путем развития сист</w:t>
      </w:r>
      <w:r w:rsidRPr="00CB2C86">
        <w:t>е</w:t>
      </w:r>
      <w:r w:rsidRPr="00CB2C86">
        <w:t>мы обмена ЭМК, основанного на добровольном участии пациентов и поста</w:t>
      </w:r>
      <w:r w:rsidRPr="00CB2C86">
        <w:t>в</w:t>
      </w:r>
      <w:r w:rsidRPr="00CB2C86">
        <w:t>щиков медицинских услуг, гарантировать непрерывность медицинского обсл</w:t>
      </w:r>
      <w:r w:rsidRPr="00CB2C86">
        <w:t>у</w:t>
      </w:r>
      <w:r w:rsidRPr="00CB2C86">
        <w:t>живания, а также надежнее интегрировать в единое целое различные медици</w:t>
      </w:r>
      <w:r w:rsidRPr="00CB2C86">
        <w:t>н</w:t>
      </w:r>
      <w:r w:rsidRPr="00CB2C86">
        <w:t>ские услуги в интересах отдельных пациентов. Правительство твердо намерено осущес</w:t>
      </w:r>
      <w:r w:rsidRPr="00CB2C86">
        <w:t>т</w:t>
      </w:r>
      <w:r w:rsidRPr="00CB2C86">
        <w:t>вить первый этап развития такой системы обмена к 2013</w:t>
      </w:r>
      <w:r>
        <w:t>−</w:t>
      </w:r>
      <w:r w:rsidR="00E0491E">
        <w:t>20</w:t>
      </w:r>
      <w:r w:rsidRPr="00CB2C86">
        <w:t>14</w:t>
      </w:r>
      <w:r w:rsidR="00B92291">
        <w:t> год</w:t>
      </w:r>
      <w:r w:rsidRPr="00CB2C86">
        <w:t>у, объединив все государственные и частные госпитали и приняв меры для того, чтобы электронные медицинские/лечебно-диагностические системы и другие медици</w:t>
      </w:r>
      <w:r w:rsidRPr="00CB2C86">
        <w:t>н</w:t>
      </w:r>
      <w:r w:rsidRPr="00CB2C86">
        <w:t>ские информационные системы были доступны на рынке для частных врачей, клиник и других поставщиков медицинских услуг, соединенных с пла</w:t>
      </w:r>
      <w:r w:rsidRPr="00CB2C86">
        <w:t>т</w:t>
      </w:r>
      <w:r w:rsidRPr="00CB2C86">
        <w:t>формой обмена ЭМК. Перед решением вопроса о защите конфиденциальности персональных данных и безопасности правительство разработает правовую б</w:t>
      </w:r>
      <w:r w:rsidRPr="00CB2C86">
        <w:t>а</w:t>
      </w:r>
      <w:r w:rsidRPr="00CB2C86">
        <w:t>зу для системы обмена ЭМК.</w:t>
      </w:r>
    </w:p>
    <w:p w:rsidR="00F936A8" w:rsidRPr="00CB2C86" w:rsidRDefault="00F936A8" w:rsidP="00F91733">
      <w:pPr>
        <w:pStyle w:val="H23GR"/>
        <w:tabs>
          <w:tab w:val="left" w:pos="1980"/>
          <w:tab w:val="left" w:pos="2520"/>
        </w:tabs>
      </w:pPr>
      <w:r w:rsidRPr="00CB2C86">
        <w:tab/>
      </w:r>
      <w:r w:rsidRPr="00CB2C86">
        <w:tab/>
        <w:t>Традиционная китайская медицина</w:t>
      </w:r>
    </w:p>
    <w:p w:rsidR="00F936A8" w:rsidRPr="00CB2C86" w:rsidRDefault="00F936A8" w:rsidP="00F91733">
      <w:pPr>
        <w:pStyle w:val="SingleTxtGR"/>
        <w:tabs>
          <w:tab w:val="clear" w:pos="1701"/>
          <w:tab w:val="clear" w:pos="2268"/>
          <w:tab w:val="left" w:pos="1980"/>
          <w:tab w:val="left" w:pos="2520"/>
        </w:tabs>
      </w:pPr>
      <w:r w:rsidRPr="00CB2C86">
        <w:t>12.54</w:t>
      </w:r>
      <w:r w:rsidRPr="00CB2C86">
        <w:tab/>
        <w:t xml:space="preserve">Как уже упоминалось пункте 12.26 предыдущего доклада, Гонконг создал нормативную базу для регулирования практики традиционной китайской медицины, использования, торговли и изготовления традиционных лекарств, приняв Указ о традиционной китайской медицине </w:t>
      </w:r>
      <w:r>
        <w:t>(глава </w:t>
      </w:r>
      <w:r w:rsidRPr="00CB2C86">
        <w:t>549) и создав стату</w:t>
      </w:r>
      <w:r w:rsidRPr="00CB2C86">
        <w:t>т</w:t>
      </w:r>
      <w:r w:rsidRPr="00CB2C86">
        <w:t>ный Совет по традиционной китайской медицине Гонконга. Совет по традиц</w:t>
      </w:r>
      <w:r w:rsidRPr="00CB2C86">
        <w:t>и</w:t>
      </w:r>
      <w:r w:rsidRPr="00CB2C86">
        <w:t>онной китайской медицине поддерживается Комиссией практикующих врачей традиционной китайской медицины и Комиссией по лекарственным средствам традиционной китайской медицины, которые соответственно регулируют пра</w:t>
      </w:r>
      <w:r w:rsidRPr="00CB2C86">
        <w:t>к</w:t>
      </w:r>
      <w:r w:rsidRPr="00CB2C86">
        <w:t>тику врачей традиционной китайской медицины, использование, торговлю и и</w:t>
      </w:r>
      <w:r w:rsidRPr="00CB2C86">
        <w:t>з</w:t>
      </w:r>
      <w:r w:rsidRPr="00CB2C86">
        <w:t>готовл</w:t>
      </w:r>
      <w:r w:rsidRPr="00CB2C86">
        <w:t>е</w:t>
      </w:r>
      <w:r w:rsidRPr="00CB2C86">
        <w:t>ние традиционных китайских лекарственных средств.</w:t>
      </w:r>
    </w:p>
    <w:p w:rsidR="00F936A8" w:rsidRPr="00E2781B" w:rsidRDefault="00F936A8" w:rsidP="00F91733">
      <w:pPr>
        <w:pStyle w:val="H4GR"/>
        <w:tabs>
          <w:tab w:val="left" w:pos="1980"/>
          <w:tab w:val="left" w:pos="2520"/>
        </w:tabs>
        <w:spacing w:before="240"/>
        <w:ind w:left="1134" w:right="1179" w:hanging="1134"/>
      </w:pPr>
      <w:r w:rsidRPr="00E2781B">
        <w:tab/>
      </w:r>
      <w:r w:rsidRPr="00E2781B">
        <w:tab/>
        <w:t>Регулирование практики врачей традиционной китайской медиц</w:t>
      </w:r>
      <w:r w:rsidRPr="00E2781B">
        <w:t>и</w:t>
      </w:r>
      <w:r w:rsidRPr="00E2781B">
        <w:t>ны</w:t>
      </w:r>
    </w:p>
    <w:p w:rsidR="00F936A8" w:rsidRPr="00CB2C86" w:rsidRDefault="00F936A8" w:rsidP="00F91733">
      <w:pPr>
        <w:pStyle w:val="SingleTxtGR"/>
        <w:tabs>
          <w:tab w:val="clear" w:pos="1701"/>
          <w:tab w:val="clear" w:pos="2268"/>
          <w:tab w:val="left" w:pos="1980"/>
          <w:tab w:val="left" w:pos="2520"/>
        </w:tabs>
      </w:pPr>
      <w:r w:rsidRPr="00CB2C86">
        <w:t>12.55</w:t>
      </w:r>
      <w:r w:rsidRPr="00CB2C86">
        <w:tab/>
        <w:t>Указ о традиционной китайской медицине устанавливает систему р</w:t>
      </w:r>
      <w:r w:rsidRPr="00CB2C86">
        <w:t>е</w:t>
      </w:r>
      <w:r w:rsidRPr="00CB2C86">
        <w:t>гулирования практики врачей традиционной китайской медицины. Эта система охватывает регистрацию, контроль и дисциплинарное воздействие, защищая права и здоровье пациентов, обеспечивает профессиональные нормы и повед</w:t>
      </w:r>
      <w:r w:rsidRPr="00CB2C86">
        <w:t>е</w:t>
      </w:r>
      <w:r w:rsidRPr="00CB2C86">
        <w:t xml:space="preserve">ние врачей традиционной китайской медицины, а следовательно, устанавливает законодательный профессиональный статус врачей традиционной китайской медицины в Гонконге. </w:t>
      </w:r>
    </w:p>
    <w:p w:rsidR="00F936A8" w:rsidRPr="00CB2C86" w:rsidRDefault="00F936A8" w:rsidP="00F91733">
      <w:pPr>
        <w:pStyle w:val="SingleTxtGR"/>
        <w:tabs>
          <w:tab w:val="clear" w:pos="1701"/>
          <w:tab w:val="clear" w:pos="2268"/>
          <w:tab w:val="left" w:pos="1980"/>
          <w:tab w:val="left" w:pos="2520"/>
        </w:tabs>
      </w:pPr>
      <w:r w:rsidRPr="00CB2C86">
        <w:t>12.56</w:t>
      </w:r>
      <w:r w:rsidRPr="00CB2C86">
        <w:tab/>
        <w:t>В соответствии с этой системой только те, кто сдал экзамен на пол</w:t>
      </w:r>
      <w:r w:rsidRPr="00CB2C86">
        <w:t>у</w:t>
      </w:r>
      <w:r w:rsidRPr="00CB2C86">
        <w:t>чение лицензии, имеют право зарегистрироваться как врачи традиционной к</w:t>
      </w:r>
      <w:r w:rsidRPr="00CB2C86">
        <w:t>и</w:t>
      </w:r>
      <w:r w:rsidRPr="00CB2C86">
        <w:t>тайской медицины. Чтобы зарегистрированные врачи традиционной китайской медиц</w:t>
      </w:r>
      <w:r w:rsidRPr="00CB2C86">
        <w:t>и</w:t>
      </w:r>
      <w:r w:rsidRPr="00CB2C86">
        <w:t>ны были в курсе последних профессиональных знаний, в соответствии с системой регистрации зарегистрированные врачи традиционной китайской м</w:t>
      </w:r>
      <w:r w:rsidRPr="00CB2C86">
        <w:t>е</w:t>
      </w:r>
      <w:r w:rsidRPr="00CB2C86">
        <w:t>дицины должны удовлетворять требованию о непрерывном образовании с</w:t>
      </w:r>
      <w:r w:rsidRPr="00CB2C86">
        <w:t>о</w:t>
      </w:r>
      <w:r w:rsidRPr="00CB2C86">
        <w:t>гласно Указу о традиционной китайской медицине перед тем, как будет возо</w:t>
      </w:r>
      <w:r w:rsidRPr="00CB2C86">
        <w:t>б</w:t>
      </w:r>
      <w:r w:rsidRPr="00CB2C86">
        <w:t xml:space="preserve">новлена их лицензия. </w:t>
      </w:r>
    </w:p>
    <w:p w:rsidR="00F936A8" w:rsidRPr="00CB2C86" w:rsidRDefault="00F936A8" w:rsidP="00F91733">
      <w:pPr>
        <w:pStyle w:val="SingleTxtGR"/>
        <w:tabs>
          <w:tab w:val="clear" w:pos="1701"/>
          <w:tab w:val="clear" w:pos="2268"/>
          <w:tab w:val="left" w:pos="1980"/>
          <w:tab w:val="left" w:pos="2520"/>
        </w:tabs>
      </w:pPr>
      <w:r w:rsidRPr="00CB2C86">
        <w:t>12.57</w:t>
      </w:r>
      <w:r w:rsidRPr="00CB2C86">
        <w:tab/>
        <w:t>Комиссия врачей традиционной китайской медицины также составила Кодекс практики врачей традиционной китайской медицины с целью устан</w:t>
      </w:r>
      <w:r w:rsidRPr="00CB2C86">
        <w:t>о</w:t>
      </w:r>
      <w:r w:rsidRPr="00CB2C86">
        <w:t>вить стандарт профессиональной практики и этики врачей традиционной к</w:t>
      </w:r>
      <w:r w:rsidRPr="00CB2C86">
        <w:t>и</w:t>
      </w:r>
      <w:r w:rsidRPr="00CB2C86">
        <w:t xml:space="preserve">тайской медицины. </w:t>
      </w:r>
    </w:p>
    <w:p w:rsidR="00F936A8" w:rsidRPr="00CB2C86" w:rsidRDefault="00F936A8" w:rsidP="00F91733">
      <w:pPr>
        <w:pStyle w:val="SingleTxtGR"/>
        <w:tabs>
          <w:tab w:val="clear" w:pos="1701"/>
          <w:tab w:val="clear" w:pos="2268"/>
          <w:tab w:val="left" w:pos="1980"/>
          <w:tab w:val="left" w:pos="2520"/>
        </w:tabs>
      </w:pPr>
      <w:r w:rsidRPr="00CB2C86">
        <w:t>12.58</w:t>
      </w:r>
      <w:r w:rsidRPr="00CB2C86">
        <w:tab/>
        <w:t>По состоянию на конец ноября 2009</w:t>
      </w:r>
      <w:r w:rsidR="00B92291">
        <w:t> год</w:t>
      </w:r>
      <w:r w:rsidRPr="00CB2C86">
        <w:t>а в Гонконге практиковал</w:t>
      </w:r>
      <w:r w:rsidR="00E0491E">
        <w:t>и</w:t>
      </w:r>
      <w:r w:rsidRPr="00CB2C86">
        <w:t xml:space="preserve"> около 6</w:t>
      </w:r>
      <w:r w:rsidR="00E0491E">
        <w:t> </w:t>
      </w:r>
      <w:r w:rsidRPr="00CB2C86">
        <w:t>100 зарегистрированных врачей традиционной китайской медицины.</w:t>
      </w:r>
    </w:p>
    <w:p w:rsidR="00F936A8" w:rsidRPr="00E2781B" w:rsidRDefault="00F936A8" w:rsidP="00F91733">
      <w:pPr>
        <w:pStyle w:val="H4GR"/>
        <w:tabs>
          <w:tab w:val="left" w:pos="1980"/>
          <w:tab w:val="left" w:pos="2520"/>
        </w:tabs>
        <w:spacing w:before="240"/>
        <w:ind w:left="1134" w:right="1179" w:hanging="1134"/>
      </w:pPr>
      <w:r w:rsidRPr="00E2781B">
        <w:tab/>
      </w:r>
      <w:r w:rsidRPr="00E2781B">
        <w:tab/>
        <w:t>Регулирование лекарств традиционной китайской медицины</w:t>
      </w:r>
    </w:p>
    <w:p w:rsidR="00F936A8" w:rsidRPr="00CB2C86" w:rsidRDefault="00F936A8" w:rsidP="00F91733">
      <w:pPr>
        <w:pStyle w:val="SingleTxtGR"/>
        <w:tabs>
          <w:tab w:val="clear" w:pos="1701"/>
          <w:tab w:val="clear" w:pos="2268"/>
          <w:tab w:val="left" w:pos="1980"/>
          <w:tab w:val="left" w:pos="2520"/>
        </w:tabs>
      </w:pPr>
      <w:r w:rsidRPr="00CB2C86">
        <w:t>12.59</w:t>
      </w:r>
      <w:r w:rsidRPr="00CB2C86">
        <w:tab/>
        <w:t>Как уже сообщалось в пункте 12.29 предыдущего доклада, Гонконг учредил систему регулирования лекарственных средств традиционной кита</w:t>
      </w:r>
      <w:r w:rsidRPr="00CB2C86">
        <w:t>й</w:t>
      </w:r>
      <w:r w:rsidRPr="00CB2C86">
        <w:t>ской медицины. Система регулирования традиционных китайских лекарстве</w:t>
      </w:r>
      <w:r w:rsidRPr="00CB2C86">
        <w:t>н</w:t>
      </w:r>
      <w:r w:rsidRPr="00CB2C86">
        <w:t>ных средств охватывает четыре аспекта, включая лицензирование торговцев традиционными китайскими лекарствами, регистрацию запатентованных тр</w:t>
      </w:r>
      <w:r w:rsidRPr="00CB2C86">
        <w:t>а</w:t>
      </w:r>
      <w:r w:rsidRPr="00CB2C86">
        <w:t>дицио</w:t>
      </w:r>
      <w:r w:rsidRPr="00CB2C86">
        <w:t>н</w:t>
      </w:r>
      <w:r w:rsidRPr="00CB2C86">
        <w:t>ных китайских лекарственных средств, их импортный и экспортный контроль и мониторинг безопасности этих китайских лекарств.</w:t>
      </w:r>
    </w:p>
    <w:p w:rsidR="00F936A8" w:rsidRPr="00CB2C86" w:rsidRDefault="00F936A8" w:rsidP="00F91733">
      <w:pPr>
        <w:pStyle w:val="SingleTxtGR"/>
        <w:tabs>
          <w:tab w:val="clear" w:pos="1701"/>
          <w:tab w:val="clear" w:pos="2268"/>
          <w:tab w:val="left" w:pos="1980"/>
          <w:tab w:val="left" w:pos="2520"/>
        </w:tabs>
      </w:pPr>
      <w:r w:rsidRPr="00CB2C86">
        <w:t>12.60</w:t>
      </w:r>
      <w:r w:rsidRPr="00CB2C86">
        <w:tab/>
        <w:t>Для лицензирования торговцев традиционными китайскими лекарс</w:t>
      </w:r>
      <w:r w:rsidRPr="00CB2C86">
        <w:t>т</w:t>
      </w:r>
      <w:r w:rsidRPr="00CB2C86">
        <w:t>вами, розничных и оптовых торговцев, производителей и оптовых торговцев растительными китайскими лекарствами, а также производителей и оптовых торговцев запатентованными традиционными китайскими лекарствами они должны обратиться за получением лицензий. Комиссия по лекарственным сре</w:t>
      </w:r>
      <w:r w:rsidRPr="00CB2C86">
        <w:t>д</w:t>
      </w:r>
      <w:r w:rsidRPr="00CB2C86">
        <w:t>ствам традиционной китайской медицины подготовила практическое руков</w:t>
      </w:r>
      <w:r w:rsidRPr="00CB2C86">
        <w:t>о</w:t>
      </w:r>
      <w:r w:rsidRPr="00CB2C86">
        <w:t>дство для каждой категории торговцев традиционными китайскими лекарств</w:t>
      </w:r>
      <w:r w:rsidRPr="00CB2C86">
        <w:t>а</w:t>
      </w:r>
      <w:r w:rsidRPr="00CB2C86">
        <w:t>ми. Все лицензированные торговцы традиционными китайскими лекарствами должны соблюдать соответствующее законодательство и руководящие профе</w:t>
      </w:r>
      <w:r w:rsidRPr="00CB2C86">
        <w:t>с</w:t>
      </w:r>
      <w:r w:rsidRPr="00CB2C86">
        <w:t>сиональные принципы. Комиссия по лекарственным средствам традиционной китайской медицины уполномочена принимать меры дисциплинарного возде</w:t>
      </w:r>
      <w:r w:rsidRPr="00CB2C86">
        <w:t>й</w:t>
      </w:r>
      <w:r w:rsidRPr="00CB2C86">
        <w:t>ствия против торговцев, которые нарушают  руководящие профессиональные принципы.</w:t>
      </w:r>
    </w:p>
    <w:p w:rsidR="00F936A8" w:rsidRPr="00CB2C86" w:rsidRDefault="00F936A8" w:rsidP="00F91733">
      <w:pPr>
        <w:pStyle w:val="SingleTxtGR"/>
        <w:tabs>
          <w:tab w:val="clear" w:pos="1701"/>
          <w:tab w:val="clear" w:pos="2268"/>
          <w:tab w:val="left" w:pos="1980"/>
          <w:tab w:val="left" w:pos="2520"/>
        </w:tabs>
      </w:pPr>
      <w:r w:rsidRPr="00CB2C86">
        <w:t>12.61</w:t>
      </w:r>
      <w:r w:rsidRPr="00CB2C86">
        <w:tab/>
        <w:t>По состоянию на конец ноября 2009</w:t>
      </w:r>
      <w:r w:rsidR="00B92291">
        <w:t> год</w:t>
      </w:r>
      <w:r w:rsidRPr="00CB2C86">
        <w:t>а Комиссия по лекарственным средствам традиционной китайской медицины выдала торговцам традицио</w:t>
      </w:r>
      <w:r w:rsidRPr="00CB2C86">
        <w:t>н</w:t>
      </w:r>
      <w:r w:rsidRPr="00CB2C86">
        <w:t>ными китайскими лекарствами около 7 300 лицензий.</w:t>
      </w:r>
    </w:p>
    <w:p w:rsidR="00F936A8" w:rsidRPr="00CB2C86" w:rsidRDefault="00F936A8" w:rsidP="00F91733">
      <w:pPr>
        <w:pStyle w:val="SingleTxtGR"/>
        <w:tabs>
          <w:tab w:val="clear" w:pos="1701"/>
          <w:tab w:val="clear" w:pos="2268"/>
          <w:tab w:val="left" w:pos="1980"/>
          <w:tab w:val="left" w:pos="2520"/>
        </w:tabs>
      </w:pPr>
      <w:r w:rsidRPr="00CB2C86">
        <w:t>12.62</w:t>
      </w:r>
      <w:r w:rsidRPr="00CB2C86">
        <w:tab/>
        <w:t>Согласно Указу о традиционной китайской медицине все запатент</w:t>
      </w:r>
      <w:r w:rsidRPr="00CB2C86">
        <w:t>о</w:t>
      </w:r>
      <w:r w:rsidRPr="00CB2C86">
        <w:t>ванные традиционные китайские лекарственные средства должны прежде рег</w:t>
      </w:r>
      <w:r w:rsidRPr="00CB2C86">
        <w:t>и</w:t>
      </w:r>
      <w:r w:rsidRPr="00CB2C86">
        <w:t>стрироваться перед продажей или производством в Гонконге. Предполагается, что соответствующие разделы вступят в силу в 2010</w:t>
      </w:r>
      <w:r w:rsidR="00B92291">
        <w:t> год</w:t>
      </w:r>
      <w:r w:rsidRPr="00CB2C86">
        <w:t>у. По состоянию на к</w:t>
      </w:r>
      <w:r w:rsidRPr="00CB2C86">
        <w:t>о</w:t>
      </w:r>
      <w:r w:rsidRPr="00CB2C86">
        <w:t>нец ноября 2009</w:t>
      </w:r>
      <w:r w:rsidR="00B92291">
        <w:t> год</w:t>
      </w:r>
      <w:r w:rsidRPr="00CB2C86">
        <w:t>а Комиссия по лекарственным средствам традиционной к</w:t>
      </w:r>
      <w:r w:rsidRPr="00CB2C86">
        <w:t>и</w:t>
      </w:r>
      <w:r w:rsidRPr="00CB2C86">
        <w:t>тайской медицины получила примерно 16 500 заявлений о регистрации зап</w:t>
      </w:r>
      <w:r w:rsidRPr="00CB2C86">
        <w:t>а</w:t>
      </w:r>
      <w:r w:rsidRPr="00CB2C86">
        <w:t>тентованных традиционных китайских лекарств.</w:t>
      </w:r>
    </w:p>
    <w:p w:rsidR="00F936A8" w:rsidRPr="00CB2C86" w:rsidRDefault="00F936A8" w:rsidP="00F91733">
      <w:pPr>
        <w:pStyle w:val="SingleTxtGR"/>
        <w:tabs>
          <w:tab w:val="clear" w:pos="1701"/>
          <w:tab w:val="clear" w:pos="2268"/>
          <w:tab w:val="left" w:pos="1980"/>
          <w:tab w:val="left" w:pos="2520"/>
        </w:tabs>
      </w:pPr>
      <w:r w:rsidRPr="00CB2C86">
        <w:t>12.63</w:t>
      </w:r>
      <w:r w:rsidRPr="00CB2C86">
        <w:tab/>
        <w:t>С января 2008</w:t>
      </w:r>
      <w:r w:rsidR="00B92291">
        <w:t> год</w:t>
      </w:r>
      <w:r w:rsidRPr="00CB2C86">
        <w:t>а заявки на импорт или экспорт 36 китайских раст</w:t>
      </w:r>
      <w:r w:rsidRPr="00CB2C86">
        <w:t>и</w:t>
      </w:r>
      <w:r w:rsidRPr="00CB2C86">
        <w:t>тельных лекарственных средств и запатентованных лекарств традиционной к</w:t>
      </w:r>
      <w:r w:rsidRPr="00CB2C86">
        <w:t>и</w:t>
      </w:r>
      <w:r w:rsidRPr="00CB2C86">
        <w:t>тайской медицины в соответствии с Указом о традиционной китайской медиц</w:t>
      </w:r>
      <w:r w:rsidRPr="00CB2C86">
        <w:t>и</w:t>
      </w:r>
      <w:r w:rsidRPr="00CB2C86">
        <w:t>не должны направляться в ДЗ. Любое лицо, импортирующее или экспортиру</w:t>
      </w:r>
      <w:r w:rsidRPr="00CB2C86">
        <w:t>ю</w:t>
      </w:r>
      <w:r w:rsidRPr="00CB2C86">
        <w:t>щее без лицензии упомянутые выше лекарства</w:t>
      </w:r>
      <w:r w:rsidR="00993DAD">
        <w:t>,</w:t>
      </w:r>
      <w:r w:rsidRPr="00CB2C86">
        <w:t xml:space="preserve"> может в соответствии с Указом об импорте и экспорте совершить правонарушение.</w:t>
      </w:r>
    </w:p>
    <w:p w:rsidR="00F936A8" w:rsidRPr="00CB2C86" w:rsidRDefault="00F936A8" w:rsidP="00F91733">
      <w:pPr>
        <w:pStyle w:val="SingleTxtGR"/>
        <w:tabs>
          <w:tab w:val="clear" w:pos="1701"/>
          <w:tab w:val="clear" w:pos="2268"/>
          <w:tab w:val="left" w:pos="1980"/>
          <w:tab w:val="left" w:pos="2520"/>
        </w:tabs>
      </w:pPr>
      <w:r w:rsidRPr="00CB2C86">
        <w:t>12.64</w:t>
      </w:r>
      <w:r w:rsidRPr="00CB2C86">
        <w:tab/>
        <w:t>Чтобы оградить здоровье населения, ДЗ следит за безопасностью и к</w:t>
      </w:r>
      <w:r w:rsidRPr="00CB2C86">
        <w:t>а</w:t>
      </w:r>
      <w:r w:rsidRPr="00CB2C86">
        <w:t>чеством традиционных китайских растительных лекарственных средств и зап</w:t>
      </w:r>
      <w:r w:rsidRPr="00CB2C86">
        <w:t>а</w:t>
      </w:r>
      <w:r w:rsidRPr="00CB2C86">
        <w:t>тентованных лекарств традиционной китайской медицины, продающихся на рынке. Медицинский персонал обязан уведомлять о случаях, когда применение таких лекарств повлекло вредные последствия, а ДЗ должен расследовать такие эпизоды и соответственно принимать надлежащие профилактические и ко</w:t>
      </w:r>
      <w:r w:rsidRPr="00CB2C86">
        <w:t>н</w:t>
      </w:r>
      <w:r w:rsidRPr="00CB2C86">
        <w:t>трольные меры для защиты здоровья населения.</w:t>
      </w:r>
    </w:p>
    <w:p w:rsidR="00F936A8" w:rsidRPr="00CB2C86" w:rsidRDefault="00F936A8" w:rsidP="00F91733">
      <w:pPr>
        <w:pStyle w:val="SingleTxtGR"/>
        <w:tabs>
          <w:tab w:val="clear" w:pos="1701"/>
          <w:tab w:val="clear" w:pos="2268"/>
          <w:tab w:val="left" w:pos="1980"/>
          <w:tab w:val="left" w:pos="2520"/>
        </w:tabs>
      </w:pPr>
      <w:r w:rsidRPr="00CB2C86">
        <w:t>12.65</w:t>
      </w:r>
      <w:r w:rsidRPr="00CB2C86">
        <w:tab/>
        <w:t>Как уже упоминалось в пункте 12.29 предыдущего доклада, ДЗ разр</w:t>
      </w:r>
      <w:r w:rsidRPr="00CB2C86">
        <w:t>а</w:t>
      </w:r>
      <w:r w:rsidRPr="00CB2C86">
        <w:t>батывает эталонные китайские фармакологические стандарты. Проект гонкон</w:t>
      </w:r>
      <w:r w:rsidRPr="00CB2C86">
        <w:t>г</w:t>
      </w:r>
      <w:r w:rsidRPr="00CB2C86">
        <w:t>ских китайских фармакологических стандартов был запущен в 2001</w:t>
      </w:r>
      <w:r w:rsidR="00B92291">
        <w:t> год</w:t>
      </w:r>
      <w:r w:rsidRPr="00CB2C86">
        <w:t>у с ц</w:t>
      </w:r>
      <w:r w:rsidRPr="00CB2C86">
        <w:t>е</w:t>
      </w:r>
      <w:r w:rsidRPr="00CB2C86">
        <w:t>лью установить эталонные стандарты безопасности и качества широко испол</w:t>
      </w:r>
      <w:r w:rsidRPr="00CB2C86">
        <w:t>ь</w:t>
      </w:r>
      <w:r w:rsidRPr="00CB2C86">
        <w:t>зуемых в Гонконге традиционных китайских лекарств. Уже завершены этапы исследования стандарта 60 традиционных китайских лекарственных средств. Соответственно в 2005 и  2008</w:t>
      </w:r>
      <w:r w:rsidR="00B92291">
        <w:t> год</w:t>
      </w:r>
      <w:r w:rsidRPr="00CB2C86">
        <w:t>ах были опубликованы стандарты восьми л</w:t>
      </w:r>
      <w:r w:rsidRPr="00CB2C86">
        <w:t>е</w:t>
      </w:r>
      <w:r w:rsidRPr="00CB2C86">
        <w:t xml:space="preserve">карств этапа </w:t>
      </w:r>
      <w:r w:rsidRPr="00CB2C86">
        <w:rPr>
          <w:lang w:val="en-US"/>
        </w:rPr>
        <w:t>I</w:t>
      </w:r>
      <w:r w:rsidRPr="00CB2C86">
        <w:t xml:space="preserve"> проекта и 24 лекарственных средств этапа </w:t>
      </w:r>
      <w:r w:rsidRPr="00CB2C86">
        <w:rPr>
          <w:lang w:val="en-US"/>
        </w:rPr>
        <w:t>II</w:t>
      </w:r>
      <w:r w:rsidRPr="00CB2C86">
        <w:t xml:space="preserve"> проекта. Стандарты еще 28 лекарств этапа </w:t>
      </w:r>
      <w:r w:rsidRPr="00CB2C86">
        <w:rPr>
          <w:lang w:val="en-GB"/>
        </w:rPr>
        <w:t>III</w:t>
      </w:r>
      <w:r w:rsidRPr="00CB2C86">
        <w:t xml:space="preserve"> будут опубликованы в начале 2010</w:t>
      </w:r>
      <w:r w:rsidR="00B92291">
        <w:t> год</w:t>
      </w:r>
      <w:r w:rsidRPr="00CB2C86">
        <w:t>а. К 2012</w:t>
      </w:r>
      <w:r w:rsidR="00B92291">
        <w:t> год</w:t>
      </w:r>
      <w:r w:rsidRPr="00CB2C86">
        <w:t>у стандарты на традиционные китайские фармакологические средства будут ра</w:t>
      </w:r>
      <w:r w:rsidRPr="00CB2C86">
        <w:t>с</w:t>
      </w:r>
      <w:r w:rsidRPr="00CB2C86">
        <w:t>пространены примерно на 200 широко используемых в Гонконге китайских ра</w:t>
      </w:r>
      <w:r w:rsidRPr="00CB2C86">
        <w:t>с</w:t>
      </w:r>
      <w:r w:rsidRPr="00CB2C86">
        <w:t>тительных лекарств.</w:t>
      </w:r>
    </w:p>
    <w:p w:rsidR="00F936A8" w:rsidRPr="00E2781B" w:rsidRDefault="00F936A8" w:rsidP="00F91733">
      <w:pPr>
        <w:pStyle w:val="H4GR"/>
        <w:tabs>
          <w:tab w:val="left" w:pos="1980"/>
          <w:tab w:val="left" w:pos="2520"/>
        </w:tabs>
        <w:spacing w:before="240"/>
        <w:ind w:left="1134" w:right="1179" w:hanging="1134"/>
      </w:pPr>
      <w:r w:rsidRPr="00E2781B">
        <w:tab/>
      </w:r>
      <w:r w:rsidRPr="00E2781B">
        <w:tab/>
        <w:t>Организованная подготовка врачей традиционной китайской м</w:t>
      </w:r>
      <w:r w:rsidRPr="00E2781B">
        <w:t>е</w:t>
      </w:r>
      <w:r w:rsidRPr="00E2781B">
        <w:t>дицины</w:t>
      </w:r>
    </w:p>
    <w:p w:rsidR="00F936A8" w:rsidRPr="00CB2C86" w:rsidRDefault="00F936A8" w:rsidP="00F91733">
      <w:pPr>
        <w:pStyle w:val="SingleTxtGR"/>
        <w:tabs>
          <w:tab w:val="clear" w:pos="1701"/>
          <w:tab w:val="clear" w:pos="2268"/>
          <w:tab w:val="left" w:pos="1980"/>
          <w:tab w:val="left" w:pos="2520"/>
        </w:tabs>
      </w:pPr>
      <w:r w:rsidRPr="00CB2C86">
        <w:t>12.66</w:t>
      </w:r>
      <w:r w:rsidRPr="00CB2C86">
        <w:tab/>
        <w:t>В дополнение к положению, упомянутому в пункте 12.30 предыдущего доклада, амбулаторную помощь традиционной китайской медицины оказывают три университета, которые также имеют дневной факультет и аспирантуру тр</w:t>
      </w:r>
      <w:r w:rsidRPr="00CB2C86">
        <w:t>а</w:t>
      </w:r>
      <w:r w:rsidRPr="00CB2C86">
        <w:t xml:space="preserve">диционной китайской медицины. </w:t>
      </w:r>
    </w:p>
    <w:p w:rsidR="00F936A8" w:rsidRPr="00E2781B" w:rsidRDefault="00F936A8" w:rsidP="00F91733">
      <w:pPr>
        <w:pStyle w:val="H4GR"/>
        <w:tabs>
          <w:tab w:val="left" w:pos="1980"/>
          <w:tab w:val="left" w:pos="2520"/>
        </w:tabs>
        <w:spacing w:before="240"/>
        <w:ind w:left="1134" w:right="1179" w:hanging="1134"/>
      </w:pPr>
      <w:r w:rsidRPr="00E2781B">
        <w:tab/>
      </w:r>
      <w:r w:rsidRPr="00E2781B">
        <w:tab/>
        <w:t xml:space="preserve">Амбулаторная помощь врачей традиционной китайской медицины </w:t>
      </w:r>
    </w:p>
    <w:p w:rsidR="00F936A8" w:rsidRPr="00CB2C86" w:rsidRDefault="00F936A8" w:rsidP="00F91733">
      <w:pPr>
        <w:pStyle w:val="SingleTxtGR"/>
        <w:tabs>
          <w:tab w:val="clear" w:pos="1701"/>
          <w:tab w:val="clear" w:pos="2268"/>
          <w:tab w:val="left" w:pos="1980"/>
          <w:tab w:val="left" w:pos="2520"/>
        </w:tabs>
      </w:pPr>
      <w:r w:rsidRPr="00CB2C86">
        <w:t>12.67</w:t>
      </w:r>
      <w:r w:rsidRPr="00CB2C86">
        <w:tab/>
        <w:t>Мы начали вводить амбулаторную помощь врачей традиционной к</w:t>
      </w:r>
      <w:r w:rsidRPr="00CB2C86">
        <w:t>и</w:t>
      </w:r>
      <w:r w:rsidRPr="00CB2C86">
        <w:t>тайской медицины в государственном секторе в декабре 2003</w:t>
      </w:r>
      <w:r w:rsidR="00B92291">
        <w:t> год</w:t>
      </w:r>
      <w:r w:rsidRPr="00CB2C86">
        <w:t>а. Наш план заключается в том, чтобы создать в каждом из 18 округов территории госуда</w:t>
      </w:r>
      <w:r w:rsidRPr="00CB2C86">
        <w:t>р</w:t>
      </w:r>
      <w:r w:rsidRPr="00CB2C86">
        <w:t>ственную клинику традиционной китайской медицины (КТКМ). К началу 2010</w:t>
      </w:r>
      <w:r w:rsidR="00B92291">
        <w:t> год</w:t>
      </w:r>
      <w:r w:rsidRPr="00CB2C86">
        <w:t>а мы открыли 14 клиник традиционной китайской медицины. В пр</w:t>
      </w:r>
      <w:r w:rsidRPr="00CB2C86">
        <w:t>о</w:t>
      </w:r>
      <w:r w:rsidRPr="00CB2C86">
        <w:t>цессе подготовки находятся планы учреждения остальных КТКМ. Целями у</w:t>
      </w:r>
      <w:r w:rsidRPr="00CB2C86">
        <w:t>ч</w:t>
      </w:r>
      <w:r w:rsidRPr="00CB2C86">
        <w:t>реждения государственных КТКМ являются:</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a</w:t>
      </w:r>
      <w:proofErr w:type="spellEnd"/>
      <w:r>
        <w:t>)</w:t>
      </w:r>
      <w:r w:rsidRPr="00CB2C86">
        <w:tab/>
        <w:t>с помощью клинических исследований развивать научно обо</w:t>
      </w:r>
      <w:r w:rsidRPr="00CB2C86">
        <w:t>с</w:t>
      </w:r>
      <w:r w:rsidRPr="00CB2C86">
        <w:t xml:space="preserve">нованную практику традиционной китайской медицины; </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b</w:t>
      </w:r>
      <w:proofErr w:type="spellEnd"/>
      <w:r>
        <w:t>)</w:t>
      </w:r>
      <w:r w:rsidRPr="00CB2C86">
        <w:tab/>
        <w:t>систематизировать базу знаний традиционной китайской мед</w:t>
      </w:r>
      <w:r w:rsidRPr="00CB2C86">
        <w:t>и</w:t>
      </w:r>
      <w:r w:rsidRPr="00CB2C86">
        <w:t xml:space="preserve">цины; </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c</w:t>
      </w:r>
      <w:proofErr w:type="spellEnd"/>
      <w:r>
        <w:t>)</w:t>
      </w:r>
      <w:r w:rsidRPr="00CB2C86">
        <w:tab/>
        <w:t>разработать модель обучения традиционной китайской медиц</w:t>
      </w:r>
      <w:r w:rsidRPr="00CB2C86">
        <w:t>и</w:t>
      </w:r>
      <w:r w:rsidRPr="00CB2C86">
        <w:t xml:space="preserve">не; </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d</w:t>
      </w:r>
      <w:proofErr w:type="spellEnd"/>
      <w:r>
        <w:t>)</w:t>
      </w:r>
      <w:r w:rsidRPr="00CB2C86">
        <w:tab/>
        <w:t>разработать стандарты практики традиционной китайской мед</w:t>
      </w:r>
      <w:r w:rsidRPr="00CB2C86">
        <w:t>и</w:t>
      </w:r>
      <w:r w:rsidRPr="00CB2C86">
        <w:t>цины; и</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e</w:t>
      </w:r>
      <w:proofErr w:type="spellEnd"/>
      <w:r>
        <w:t>)</w:t>
      </w:r>
      <w:r w:rsidRPr="00CB2C86">
        <w:tab/>
        <w:t>разработать модели взаимодействия западной и китайской мед</w:t>
      </w:r>
      <w:r w:rsidRPr="00CB2C86">
        <w:t>и</w:t>
      </w:r>
      <w:r w:rsidRPr="00CB2C86">
        <w:t>цины.</w:t>
      </w:r>
    </w:p>
    <w:p w:rsidR="00F936A8" w:rsidRPr="00CB2C86" w:rsidRDefault="00F936A8" w:rsidP="00F91733">
      <w:pPr>
        <w:pStyle w:val="H23GR"/>
        <w:tabs>
          <w:tab w:val="left" w:pos="1980"/>
          <w:tab w:val="left" w:pos="2520"/>
        </w:tabs>
      </w:pPr>
      <w:r w:rsidRPr="00CB2C86">
        <w:tab/>
      </w:r>
      <w:r w:rsidRPr="00CB2C86">
        <w:tab/>
        <w:t>Борьба с инфекционными болезнями</w:t>
      </w:r>
    </w:p>
    <w:p w:rsidR="00F936A8" w:rsidRPr="00CB2C86" w:rsidRDefault="00F936A8" w:rsidP="00F91733">
      <w:pPr>
        <w:pStyle w:val="SingleTxtGR"/>
        <w:tabs>
          <w:tab w:val="clear" w:pos="1701"/>
          <w:tab w:val="clear" w:pos="2268"/>
          <w:tab w:val="left" w:pos="1980"/>
          <w:tab w:val="left" w:pos="2520"/>
        </w:tabs>
      </w:pPr>
      <w:r w:rsidRPr="00CB2C86">
        <w:t>12.68</w:t>
      </w:r>
      <w:r w:rsidRPr="00CB2C86">
        <w:tab/>
        <w:t>В целом положение остается таким же, как оно описано в пун</w:t>
      </w:r>
      <w:r w:rsidRPr="00CB2C86">
        <w:t>к</w:t>
      </w:r>
      <w:r w:rsidRPr="00CB2C86">
        <w:t>тах</w:t>
      </w:r>
      <w:r w:rsidR="00993DAD">
        <w:t> </w:t>
      </w:r>
      <w:r w:rsidRPr="00CB2C86">
        <w:t>12.6</w:t>
      </w:r>
      <w:r>
        <w:t>−</w:t>
      </w:r>
      <w:r w:rsidRPr="00CB2C86">
        <w:t>12.7 предыдущего доклада, т.е. мы продолжаем сохранять прочно у</w:t>
      </w:r>
      <w:r w:rsidRPr="00CB2C86">
        <w:t>с</w:t>
      </w:r>
      <w:r w:rsidRPr="00CB2C86">
        <w:t>тоявшуюся и эффективную систему мониторинга инфекционных болезней. 14</w:t>
      </w:r>
      <w:r w:rsidR="00993DAD">
        <w:t> </w:t>
      </w:r>
      <w:r w:rsidRPr="00CB2C86">
        <w:t>июля 2008</w:t>
      </w:r>
      <w:r w:rsidR="00B92291">
        <w:t> год</w:t>
      </w:r>
      <w:r w:rsidRPr="00CB2C86">
        <w:t xml:space="preserve">а в силу вступил Указ о профилактике и борьбе с болезнями </w:t>
      </w:r>
      <w:r>
        <w:t>(глава </w:t>
      </w:r>
      <w:r w:rsidRPr="00CB2C86">
        <w:t xml:space="preserve">599) и его вспомогательные нормативные акты, заменившие собой Указ о карантине и профилактике болезней </w:t>
      </w:r>
      <w:r>
        <w:t>(глава </w:t>
      </w:r>
      <w:r w:rsidRPr="00CB2C86">
        <w:t>141). Новый указ заложил законод</w:t>
      </w:r>
      <w:r w:rsidRPr="00CB2C86">
        <w:t>а</w:t>
      </w:r>
      <w:r w:rsidRPr="00CB2C86">
        <w:t>тельную базу наряду с развитием общего механизма по борьбе с инфекционн</w:t>
      </w:r>
      <w:r w:rsidRPr="00CB2C86">
        <w:t>ы</w:t>
      </w:r>
      <w:r w:rsidRPr="00CB2C86">
        <w:t>ми болезнями и в соответствии с Международными медико-санитарными пр</w:t>
      </w:r>
      <w:r w:rsidRPr="00CB2C86">
        <w:t>а</w:t>
      </w:r>
      <w:r w:rsidRPr="00CB2C86">
        <w:t>вилами (2005</w:t>
      </w:r>
      <w:r w:rsidR="00B92291">
        <w:t> год</w:t>
      </w:r>
      <w:r w:rsidRPr="00CB2C86">
        <w:t>). Как и в соответствии с предыдущим указом врачи обязаны уведомлять директора Департамента здравоохранения о случаях заболеваний, упом</w:t>
      </w:r>
      <w:r w:rsidRPr="00CB2C86">
        <w:t>я</w:t>
      </w:r>
      <w:r w:rsidRPr="00CB2C86">
        <w:t>нутых в первом Списке. Кроме того, ДЗ проводит мониторинг тенденций развития инфекционных заболеваний, имеющих большое эпидемиологическое значение, в частности таких</w:t>
      </w:r>
      <w:r>
        <w:t xml:space="preserve"> как</w:t>
      </w:r>
      <w:r w:rsidRPr="00CB2C86">
        <w:t xml:space="preserve"> гриппоподобные заболевания, заболевание ки</w:t>
      </w:r>
      <w:r w:rsidRPr="00CB2C86">
        <w:t>с</w:t>
      </w:r>
      <w:r w:rsidRPr="00CB2C86">
        <w:t xml:space="preserve">тей, стоп и полости рта, острые </w:t>
      </w:r>
      <w:proofErr w:type="spellStart"/>
      <w:r w:rsidRPr="00CB2C86">
        <w:t>диарейные</w:t>
      </w:r>
      <w:proofErr w:type="spellEnd"/>
      <w:r w:rsidRPr="00CB2C86">
        <w:t xml:space="preserve"> заболевания и острый конъюнкт</w:t>
      </w:r>
      <w:r w:rsidRPr="00CB2C86">
        <w:t>и</w:t>
      </w:r>
      <w:r w:rsidRPr="00CB2C86">
        <w:t>вит, используя различные контрольные системы эпидемиологического надзора на базе государственных амбулаторных клиник и кабинетов врачей общей пра</w:t>
      </w:r>
      <w:r w:rsidRPr="00CB2C86">
        <w:t>к</w:t>
      </w:r>
      <w:r w:rsidRPr="00CB2C86">
        <w:t>тики, врачей традиционной китайской медицины, детских учреждений, детских садов и домов престарелых. Управление медицинских лабораторий обществе</w:t>
      </w:r>
      <w:r w:rsidRPr="00CB2C86">
        <w:t>н</w:t>
      </w:r>
      <w:r w:rsidRPr="00CB2C86">
        <w:t>ного здравоохранения Центра охраны здоровья также проводит лабораторную диагн</w:t>
      </w:r>
      <w:r w:rsidRPr="00CB2C86">
        <w:t>о</w:t>
      </w:r>
      <w:r w:rsidRPr="00CB2C86">
        <w:t>стику в целях эпидемиологического надзора и борьбы с болезнями.</w:t>
      </w:r>
    </w:p>
    <w:p w:rsidR="00F936A8" w:rsidRPr="00CB2C86" w:rsidRDefault="00F936A8" w:rsidP="00F91733">
      <w:pPr>
        <w:pStyle w:val="SingleTxtGR"/>
        <w:tabs>
          <w:tab w:val="clear" w:pos="1701"/>
          <w:tab w:val="clear" w:pos="2268"/>
          <w:tab w:val="left" w:pos="1980"/>
          <w:tab w:val="left" w:pos="2520"/>
        </w:tabs>
      </w:pPr>
      <w:r w:rsidRPr="00CB2C86">
        <w:t>12.69</w:t>
      </w:r>
      <w:r w:rsidRPr="00CB2C86">
        <w:tab/>
        <w:t>ДЗ продолжает тесно сотрудничать с ВОЗ и центрами борьбы с и</w:t>
      </w:r>
      <w:r w:rsidRPr="00CB2C86">
        <w:t>н</w:t>
      </w:r>
      <w:r w:rsidRPr="00CB2C86">
        <w:t>фекционными болезнями соседних и других стран. Такое сотрудничество включает оперативный обмен информацией, передачу экспертных знаний, по</w:t>
      </w:r>
      <w:r w:rsidRPr="00CB2C86">
        <w:t>д</w:t>
      </w:r>
      <w:r w:rsidRPr="00CB2C86">
        <w:t>держку и содействие.</w:t>
      </w:r>
    </w:p>
    <w:p w:rsidR="00F936A8" w:rsidRPr="00E2781B" w:rsidRDefault="00F936A8" w:rsidP="00F91733">
      <w:pPr>
        <w:pStyle w:val="H4GR"/>
        <w:tabs>
          <w:tab w:val="left" w:pos="1980"/>
          <w:tab w:val="left" w:pos="2520"/>
        </w:tabs>
        <w:spacing w:before="240"/>
        <w:ind w:left="1134" w:right="1179" w:hanging="1134"/>
      </w:pPr>
      <w:r w:rsidRPr="00E2781B">
        <w:tab/>
      </w:r>
      <w:r w:rsidRPr="00E2781B">
        <w:tab/>
        <w:t>Пандемия гриппа A (H1N1) 2009</w:t>
      </w:r>
      <w:r w:rsidR="00B92291">
        <w:t> год</w:t>
      </w:r>
      <w:r w:rsidRPr="00E2781B">
        <w:t>а (свиной грипп человека)</w:t>
      </w:r>
    </w:p>
    <w:p w:rsidR="00F936A8" w:rsidRPr="00CB2C86" w:rsidRDefault="00F936A8" w:rsidP="00F91733">
      <w:pPr>
        <w:pStyle w:val="SingleTxtGR"/>
        <w:tabs>
          <w:tab w:val="clear" w:pos="1701"/>
          <w:tab w:val="clear" w:pos="2268"/>
          <w:tab w:val="left" w:pos="1980"/>
          <w:tab w:val="left" w:pos="2520"/>
        </w:tabs>
      </w:pPr>
      <w:r w:rsidRPr="00CB2C86">
        <w:t>12.70</w:t>
      </w:r>
      <w:r w:rsidRPr="00CB2C86">
        <w:tab/>
        <w:t xml:space="preserve">Первый случай гриппа </w:t>
      </w:r>
      <w:r w:rsidRPr="00CB2C86">
        <w:rPr>
          <w:lang w:val="en-GB"/>
        </w:rPr>
        <w:t>A</w:t>
      </w:r>
      <w:r w:rsidRPr="00CB2C86">
        <w:t xml:space="preserve"> (</w:t>
      </w:r>
      <w:r w:rsidRPr="00CB2C86">
        <w:rPr>
          <w:lang w:val="en-GB"/>
        </w:rPr>
        <w:t>H</w:t>
      </w:r>
      <w:r w:rsidRPr="00CB2C86">
        <w:t>1</w:t>
      </w:r>
      <w:r w:rsidRPr="00CB2C86">
        <w:rPr>
          <w:lang w:val="en-GB"/>
        </w:rPr>
        <w:t>N</w:t>
      </w:r>
      <w:r w:rsidRPr="00CB2C86">
        <w:t>1) был зарегистрирован в Гонконге 1 мая 2009</w:t>
      </w:r>
      <w:r w:rsidR="00B92291">
        <w:t> год</w:t>
      </w:r>
      <w:r w:rsidRPr="00CB2C86">
        <w:t>а. Опираясь на опыт, приобретенный в борьбе и профилактике з</w:t>
      </w:r>
      <w:r w:rsidRPr="00CB2C86">
        <w:t>а</w:t>
      </w:r>
      <w:r w:rsidRPr="00CB2C86">
        <w:t>регистрированных случаев</w:t>
      </w:r>
      <w:r w:rsidR="00993DAD">
        <w:t>,</w:t>
      </w:r>
      <w:r w:rsidRPr="00CB2C86">
        <w:t xml:space="preserve"> и новейшие научные данные, правительство разр</w:t>
      </w:r>
      <w:r w:rsidRPr="00CB2C86">
        <w:t>а</w:t>
      </w:r>
      <w:r w:rsidRPr="00CB2C86">
        <w:t>ботало  стратегию профилактики и борьбы с этой болезней.</w:t>
      </w:r>
    </w:p>
    <w:p w:rsidR="00F936A8" w:rsidRPr="00CB2C86" w:rsidRDefault="00F936A8" w:rsidP="00F91733">
      <w:pPr>
        <w:pStyle w:val="SingleTxtGR"/>
        <w:tabs>
          <w:tab w:val="clear" w:pos="1701"/>
          <w:tab w:val="clear" w:pos="2268"/>
          <w:tab w:val="left" w:pos="1980"/>
          <w:tab w:val="left" w:pos="2520"/>
        </w:tabs>
      </w:pPr>
      <w:r w:rsidRPr="00CB2C86">
        <w:t>12.71</w:t>
      </w:r>
      <w:r w:rsidRPr="00CB2C86">
        <w:tab/>
        <w:t xml:space="preserve">Во главу угла стратегии профилактики и борьбы с пандемией гриппа </w:t>
      </w:r>
      <w:r w:rsidRPr="00CB2C86">
        <w:rPr>
          <w:lang w:val="en-GB"/>
        </w:rPr>
        <w:t>A</w:t>
      </w:r>
      <w:r w:rsidRPr="00CB2C86">
        <w:t xml:space="preserve"> (</w:t>
      </w:r>
      <w:r w:rsidRPr="00CB2C86">
        <w:rPr>
          <w:lang w:val="en-GB"/>
        </w:rPr>
        <w:t>H</w:t>
      </w:r>
      <w:r w:rsidRPr="00CB2C86">
        <w:t>1</w:t>
      </w:r>
      <w:r w:rsidRPr="00CB2C86">
        <w:rPr>
          <w:lang w:val="en-GB"/>
        </w:rPr>
        <w:t>N</w:t>
      </w:r>
      <w:r w:rsidRPr="00CB2C86">
        <w:t>1) в 2009 поставлено следующее:</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a</w:t>
      </w:r>
      <w:proofErr w:type="spellEnd"/>
      <w:r>
        <w:t>)</w:t>
      </w:r>
      <w:r w:rsidRPr="00CB2C86">
        <w:tab/>
        <w:t>усиление надзора и борьбы с болезнью в обществе;</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b</w:t>
      </w:r>
      <w:proofErr w:type="spellEnd"/>
      <w:r>
        <w:t>)</w:t>
      </w:r>
      <w:r w:rsidRPr="00CB2C86">
        <w:tab/>
        <w:t>активизация ответных мер в госпиталях и клиниках и расшир</w:t>
      </w:r>
      <w:r w:rsidRPr="00CB2C86">
        <w:t>е</w:t>
      </w:r>
      <w:r w:rsidRPr="00CB2C86">
        <w:t>ние их потенциала;</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c</w:t>
      </w:r>
      <w:proofErr w:type="spellEnd"/>
      <w:r>
        <w:t>)</w:t>
      </w:r>
      <w:r w:rsidRPr="00CB2C86">
        <w:tab/>
        <w:t>мобилизация общества на активизацию усилий по профилактике болезни;</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d</w:t>
      </w:r>
      <w:proofErr w:type="spellEnd"/>
      <w:r>
        <w:t>)</w:t>
      </w:r>
      <w:r w:rsidRPr="00CB2C86">
        <w:tab/>
        <w:t>сохранение открытости информации; и</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e</w:t>
      </w:r>
      <w:proofErr w:type="spellEnd"/>
      <w:r>
        <w:t>)</w:t>
      </w:r>
      <w:r w:rsidRPr="00CB2C86">
        <w:tab/>
        <w:t>укрепление сотрудничества с ВОЗ, санитарно-эпидемиологическими властями материкового Китая и других стран.</w:t>
      </w:r>
    </w:p>
    <w:p w:rsidR="00F936A8" w:rsidRPr="00CB2C86" w:rsidRDefault="00F936A8" w:rsidP="00F91733">
      <w:pPr>
        <w:pStyle w:val="SingleTxtGR"/>
        <w:tabs>
          <w:tab w:val="clear" w:pos="1701"/>
          <w:tab w:val="clear" w:pos="2268"/>
          <w:tab w:val="left" w:pos="1980"/>
          <w:tab w:val="left" w:pos="2520"/>
        </w:tabs>
      </w:pPr>
      <w:r w:rsidRPr="00CB2C86">
        <w:t>12.72</w:t>
      </w:r>
      <w:r w:rsidRPr="00CB2C86">
        <w:tab/>
        <w:t>Чтобы защитить здоровье населения, с 21 декабря 2009</w:t>
      </w:r>
      <w:r w:rsidR="00B92291">
        <w:t> год</w:t>
      </w:r>
      <w:r w:rsidRPr="00CB2C86">
        <w:t>а прав</w:t>
      </w:r>
      <w:r w:rsidRPr="00CB2C86">
        <w:t>и</w:t>
      </w:r>
      <w:r w:rsidRPr="00CB2C86">
        <w:t xml:space="preserve">тельство приступило к реализации программ вакцинации, чтобы предоставить бесплатную/субсидированную вакцину против гриппа </w:t>
      </w:r>
      <w:r w:rsidRPr="00CB2C86">
        <w:rPr>
          <w:lang w:val="en-GB"/>
        </w:rPr>
        <w:t>A</w:t>
      </w:r>
      <w:r w:rsidRPr="00CB2C86">
        <w:t xml:space="preserve"> (</w:t>
      </w:r>
      <w:r w:rsidRPr="00CB2C86">
        <w:rPr>
          <w:lang w:val="en-GB"/>
        </w:rPr>
        <w:t>H</w:t>
      </w:r>
      <w:r w:rsidRPr="00CB2C86">
        <w:t>1</w:t>
      </w:r>
      <w:r w:rsidRPr="00CB2C86">
        <w:rPr>
          <w:lang w:val="en-GB"/>
        </w:rPr>
        <w:t>N</w:t>
      </w:r>
      <w:r w:rsidRPr="00CB2C86">
        <w:t>1) адресной гру</w:t>
      </w:r>
      <w:r w:rsidRPr="00CB2C86">
        <w:t>п</w:t>
      </w:r>
      <w:r w:rsidRPr="00CB2C86">
        <w:t>пе, включая медицинский персонал, лицам с хроническими заболеваниями и беременным женщинам, детям в возрасте от 6 месяцев до 6 лет, престарелым людям в возрасте 65 лет и старше, а также свиноводам и работникам, занятых забоем свиней.</w:t>
      </w:r>
    </w:p>
    <w:p w:rsidR="00F936A8" w:rsidRPr="00CB2C86" w:rsidRDefault="00F936A8" w:rsidP="00F91733">
      <w:pPr>
        <w:pStyle w:val="SingleTxtGR"/>
        <w:tabs>
          <w:tab w:val="clear" w:pos="1701"/>
          <w:tab w:val="clear" w:pos="2268"/>
          <w:tab w:val="left" w:pos="1980"/>
          <w:tab w:val="left" w:pos="2520"/>
        </w:tabs>
      </w:pPr>
      <w:r w:rsidRPr="00CB2C86">
        <w:t>12.73</w:t>
      </w:r>
      <w:r w:rsidRPr="00CB2C86">
        <w:tab/>
        <w:t>Правительство внимательно следит за развитием общемировой и м</w:t>
      </w:r>
      <w:r w:rsidRPr="00CB2C86">
        <w:t>е</w:t>
      </w:r>
      <w:r w:rsidRPr="00CB2C86">
        <w:t>стной ситуации, а также последней информацией ВОЗ о пандемии гриппа, чт</w:t>
      </w:r>
      <w:r w:rsidRPr="00CB2C86">
        <w:t>о</w:t>
      </w:r>
      <w:r w:rsidRPr="00CB2C86">
        <w:t>бы обеспечить принятие необходимых мер для охраны здоровья населения Го</w:t>
      </w:r>
      <w:r w:rsidRPr="00CB2C86">
        <w:t>н</w:t>
      </w:r>
      <w:r w:rsidRPr="00CB2C86">
        <w:t>конга.</w:t>
      </w:r>
    </w:p>
    <w:p w:rsidR="00F936A8" w:rsidRPr="00E2781B" w:rsidRDefault="00F936A8" w:rsidP="00F91733">
      <w:pPr>
        <w:pStyle w:val="H4GR"/>
        <w:tabs>
          <w:tab w:val="left" w:pos="1980"/>
          <w:tab w:val="left" w:pos="2520"/>
        </w:tabs>
        <w:spacing w:before="240"/>
        <w:ind w:left="1134" w:right="1179" w:hanging="1134"/>
      </w:pPr>
      <w:r w:rsidRPr="00E2781B">
        <w:tab/>
      </w:r>
      <w:r w:rsidRPr="00E2781B">
        <w:tab/>
        <w:t xml:space="preserve">Птичий грипп </w:t>
      </w:r>
    </w:p>
    <w:p w:rsidR="00F936A8" w:rsidRPr="00CB2C86" w:rsidRDefault="00F936A8" w:rsidP="00F91733">
      <w:pPr>
        <w:pStyle w:val="SingleTxtGR"/>
        <w:tabs>
          <w:tab w:val="clear" w:pos="1701"/>
          <w:tab w:val="clear" w:pos="2268"/>
          <w:tab w:val="left" w:pos="1980"/>
          <w:tab w:val="left" w:pos="2520"/>
        </w:tabs>
      </w:pPr>
      <w:r w:rsidRPr="00CB2C86">
        <w:t>12.74</w:t>
      </w:r>
      <w:r w:rsidRPr="00CB2C86">
        <w:tab/>
        <w:t>В пункте 12.10 предыдущего доклада мы информировали Комитет о вспышках птичьего гриппа (</w:t>
      </w:r>
      <w:r w:rsidRPr="00CB2C86">
        <w:rPr>
          <w:lang w:val="en-GB"/>
        </w:rPr>
        <w:t>AI</w:t>
      </w:r>
      <w:r w:rsidRPr="00CB2C86">
        <w:t>), отмеченных среди домашней птицы в 2001 и 2002</w:t>
      </w:r>
      <w:r w:rsidR="00B92291">
        <w:t> год</w:t>
      </w:r>
      <w:r w:rsidRPr="00CB2C86">
        <w:t xml:space="preserve">ах, и последующих строгих мерах контроля, принятых на различных уровнях для предотвращения повторной инфекции </w:t>
      </w:r>
      <w:r w:rsidRPr="00CB2C86">
        <w:rPr>
          <w:lang w:val="en-GB"/>
        </w:rPr>
        <w:t>H</w:t>
      </w:r>
      <w:r w:rsidRPr="00CB2C86">
        <w:t>5</w:t>
      </w:r>
      <w:r w:rsidRPr="00CB2C86">
        <w:rPr>
          <w:lang w:val="en-GB"/>
        </w:rPr>
        <w:t>N</w:t>
      </w:r>
      <w:r w:rsidRPr="00CB2C86">
        <w:t>1 среди домашней пт</w:t>
      </w:r>
      <w:r w:rsidRPr="00CB2C86">
        <w:t>и</w:t>
      </w:r>
      <w:r w:rsidRPr="00CB2C86">
        <w:t>цы и передачи инфекции людям. С 1998</w:t>
      </w:r>
      <w:r w:rsidR="00B92291">
        <w:t> год</w:t>
      </w:r>
      <w:r w:rsidRPr="00CB2C86">
        <w:t>а правительство осуществляет ко</w:t>
      </w:r>
      <w:r w:rsidRPr="00CB2C86">
        <w:t>м</w:t>
      </w:r>
      <w:r w:rsidRPr="00CB2C86">
        <w:t>плексные программы санитарно-эпидемиологического надзора как над мес</w:t>
      </w:r>
      <w:r w:rsidRPr="00CB2C86">
        <w:t>т</w:t>
      </w:r>
      <w:r w:rsidRPr="00CB2C86">
        <w:t>ным поголовьем домашней птицы, так и импортируемой птицей. С конца 2002</w:t>
      </w:r>
      <w:r w:rsidR="00B92291">
        <w:t> год</w:t>
      </w:r>
      <w:r w:rsidRPr="00CB2C86">
        <w:t>а программы санитарно-эпидемиологического надзора были распр</w:t>
      </w:r>
      <w:r w:rsidRPr="00CB2C86">
        <w:t>о</w:t>
      </w:r>
      <w:r w:rsidRPr="00CB2C86">
        <w:t>странены на диких птиц, диких птиц, содержащихся в неволе в рекреационных парках, и продающихся на рынке комнатных птиц. С октября 2005</w:t>
      </w:r>
      <w:r w:rsidR="00B92291">
        <w:t> год</w:t>
      </w:r>
      <w:r w:rsidRPr="00CB2C86">
        <w:t>а прав</w:t>
      </w:r>
      <w:r w:rsidRPr="00CB2C86">
        <w:t>и</w:t>
      </w:r>
      <w:r w:rsidRPr="00CB2C86">
        <w:t xml:space="preserve">тельство в рамках программы надзора ввело в действие службу отлова больных и сбора мертвых птиц.  </w:t>
      </w:r>
    </w:p>
    <w:p w:rsidR="00F936A8" w:rsidRPr="00CB2C86" w:rsidRDefault="00F936A8" w:rsidP="00F91733">
      <w:pPr>
        <w:pStyle w:val="SingleTxtGR"/>
        <w:tabs>
          <w:tab w:val="clear" w:pos="1701"/>
          <w:tab w:val="clear" w:pos="2268"/>
          <w:tab w:val="left" w:pos="1980"/>
          <w:tab w:val="left" w:pos="2520"/>
        </w:tabs>
      </w:pPr>
      <w:r w:rsidRPr="00CB2C86">
        <w:t>12.75</w:t>
      </w:r>
      <w:r w:rsidRPr="00CB2C86">
        <w:tab/>
        <w:t>С 1998</w:t>
      </w:r>
      <w:r w:rsidR="00B92291">
        <w:t> год</w:t>
      </w:r>
      <w:r w:rsidRPr="00CB2C86">
        <w:t xml:space="preserve">а не было зарегистрировано ни одного случая заражения людей гриппом </w:t>
      </w:r>
      <w:r w:rsidRPr="00CB2C86">
        <w:rPr>
          <w:lang w:val="en-GB"/>
        </w:rPr>
        <w:t>AI</w:t>
      </w:r>
      <w:r w:rsidRPr="00CB2C86">
        <w:t xml:space="preserve"> и его вспышек среди товарных бройлеров в период между началом 2003</w:t>
      </w:r>
      <w:r w:rsidR="00B92291">
        <w:t> год</w:t>
      </w:r>
      <w:r w:rsidRPr="00CB2C86">
        <w:t>а и началом 2008</w:t>
      </w:r>
      <w:r w:rsidR="00B92291">
        <w:t> год</w:t>
      </w:r>
      <w:r w:rsidRPr="00CB2C86">
        <w:t>а. В июне 2008</w:t>
      </w:r>
      <w:r w:rsidR="00B92291">
        <w:t> год</w:t>
      </w:r>
      <w:r w:rsidRPr="00CB2C86">
        <w:t xml:space="preserve">а вирус </w:t>
      </w:r>
      <w:r w:rsidRPr="00CB2C86">
        <w:rPr>
          <w:lang w:val="en-GB"/>
        </w:rPr>
        <w:t>H</w:t>
      </w:r>
      <w:r w:rsidRPr="00CB2C86">
        <w:t>5</w:t>
      </w:r>
      <w:r w:rsidRPr="00CB2C86">
        <w:rPr>
          <w:lang w:val="en-GB"/>
        </w:rPr>
        <w:t>N</w:t>
      </w:r>
      <w:r w:rsidRPr="00CB2C86">
        <w:t xml:space="preserve">1 </w:t>
      </w:r>
      <w:r w:rsidRPr="00CB2C86">
        <w:rPr>
          <w:lang w:val="en-GB"/>
        </w:rPr>
        <w:t>AI</w:t>
      </w:r>
      <w:r w:rsidRPr="00CB2C86">
        <w:t xml:space="preserve"> был обнаружен в экологических мазках, взятых на четырех местных розничных рынках. Чтобы свести к минимуму риск, который представляет </w:t>
      </w:r>
      <w:r w:rsidRPr="00CB2C86">
        <w:rPr>
          <w:lang w:val="en-GB"/>
        </w:rPr>
        <w:t>AI</w:t>
      </w:r>
      <w:r w:rsidRPr="00CB2C86">
        <w:t xml:space="preserve"> для здоровья населения, особенно на уровне розничной торговли, правительство приняло н</w:t>
      </w:r>
      <w:r w:rsidRPr="00CB2C86">
        <w:t>о</w:t>
      </w:r>
      <w:r w:rsidRPr="00CB2C86">
        <w:t>вые и усиленные меры на всех звеньях цепочки поставок. К ним относятся з</w:t>
      </w:r>
      <w:r w:rsidRPr="00CB2C86">
        <w:t>а</w:t>
      </w:r>
      <w:r w:rsidRPr="00CB2C86">
        <w:t>конодател</w:t>
      </w:r>
      <w:r w:rsidRPr="00CB2C86">
        <w:t>ь</w:t>
      </w:r>
      <w:r w:rsidRPr="00CB2C86">
        <w:t>ный запрет на содержание в ночное время живой птицы в магазинах розничной торговли, а также внедрение системы выкупа предприятий торговли живой птицей, которая существенно сократила количество владельцев птиц</w:t>
      </w:r>
      <w:r w:rsidRPr="00CB2C86">
        <w:t>е</w:t>
      </w:r>
      <w:r w:rsidRPr="00CB2C86">
        <w:t>водческих ферм, предприятий оптовой торговли, перевозчиков и хозяев пре</w:t>
      </w:r>
      <w:r w:rsidRPr="00CB2C86">
        <w:t>д</w:t>
      </w:r>
      <w:r w:rsidRPr="00CB2C86">
        <w:t>приятий розничной торговли в Гонконге. В декабре 2008</w:t>
      </w:r>
      <w:r w:rsidR="00B92291">
        <w:t> год</w:t>
      </w:r>
      <w:r w:rsidRPr="00CB2C86">
        <w:t xml:space="preserve">а произошла еще одна вспышка </w:t>
      </w:r>
      <w:r w:rsidRPr="00CB2C86">
        <w:rPr>
          <w:lang w:val="en-GB"/>
        </w:rPr>
        <w:t>AI</w:t>
      </w:r>
      <w:r w:rsidRPr="00CB2C86">
        <w:t xml:space="preserve"> на одной из местных птицеводческих ферм, которая повлекла за собой дальнейшее ужесточение требований </w:t>
      </w:r>
      <w:proofErr w:type="spellStart"/>
      <w:r w:rsidRPr="00CB2C86">
        <w:t>биобезопасности</w:t>
      </w:r>
      <w:proofErr w:type="spellEnd"/>
      <w:r w:rsidRPr="00CB2C86">
        <w:t xml:space="preserve"> на птицеводч</w:t>
      </w:r>
      <w:r w:rsidRPr="00CB2C86">
        <w:t>е</w:t>
      </w:r>
      <w:r w:rsidRPr="00CB2C86">
        <w:t>ских фермах.</w:t>
      </w:r>
    </w:p>
    <w:p w:rsidR="00F936A8" w:rsidRPr="00CB2C86" w:rsidRDefault="00F936A8" w:rsidP="00F91733">
      <w:pPr>
        <w:pStyle w:val="SingleTxtGR"/>
        <w:tabs>
          <w:tab w:val="clear" w:pos="1701"/>
          <w:tab w:val="clear" w:pos="2268"/>
          <w:tab w:val="left" w:pos="1980"/>
          <w:tab w:val="left" w:pos="2520"/>
        </w:tabs>
      </w:pPr>
      <w:r w:rsidRPr="00CB2C86">
        <w:t>12.76</w:t>
      </w:r>
      <w:r w:rsidRPr="00CB2C86">
        <w:tab/>
        <w:t>Надзор за гриппом среди людей был усилен в сети клиник, госпиталей и лабораторий в государственном и частном секторах. Меры, принятые за п</w:t>
      </w:r>
      <w:r w:rsidRPr="00CB2C86">
        <w:t>о</w:t>
      </w:r>
      <w:r w:rsidRPr="00CB2C86">
        <w:t>следние</w:t>
      </w:r>
      <w:r w:rsidR="00B92291">
        <w:t> год</w:t>
      </w:r>
      <w:r w:rsidRPr="00CB2C86">
        <w:t>ы в Гонконге для сокращения риска заражения людей от домашней птицы, перечислены в Приложении 12</w:t>
      </w:r>
      <w:r w:rsidRPr="00CB2C86">
        <w:rPr>
          <w:lang w:val="en-GB"/>
        </w:rPr>
        <w:t>A</w:t>
      </w:r>
      <w:r w:rsidRPr="00CB2C86">
        <w:t>.</w:t>
      </w:r>
    </w:p>
    <w:p w:rsidR="00F936A8" w:rsidRPr="00E2781B" w:rsidRDefault="00F936A8" w:rsidP="00F91733">
      <w:pPr>
        <w:pStyle w:val="H4GR"/>
        <w:tabs>
          <w:tab w:val="left" w:pos="1980"/>
          <w:tab w:val="left" w:pos="2520"/>
        </w:tabs>
        <w:spacing w:before="240"/>
        <w:ind w:left="1134" w:right="1179" w:hanging="1134"/>
      </w:pPr>
      <w:r w:rsidRPr="00E2781B">
        <w:tab/>
      </w:r>
      <w:r w:rsidRPr="00E2781B">
        <w:tab/>
        <w:t>Кишечные инфекции и трансмиссивные болезни</w:t>
      </w:r>
    </w:p>
    <w:p w:rsidR="00F936A8" w:rsidRPr="00CB2C86" w:rsidRDefault="00F936A8" w:rsidP="00F91733">
      <w:pPr>
        <w:pStyle w:val="SingleTxtGR"/>
        <w:tabs>
          <w:tab w:val="clear" w:pos="1701"/>
          <w:tab w:val="clear" w:pos="2268"/>
          <w:tab w:val="left" w:pos="1980"/>
          <w:tab w:val="left" w:pos="2520"/>
        </w:tabs>
        <w:spacing w:line="220" w:lineRule="atLeast"/>
      </w:pPr>
      <w:r w:rsidRPr="00CB2C86">
        <w:t>12.77</w:t>
      </w:r>
      <w:r w:rsidRPr="00CB2C86">
        <w:tab/>
        <w:t>Благодаря улучшению гигиены продуктов питания, воды и окружа</w:t>
      </w:r>
      <w:r w:rsidRPr="00CB2C86">
        <w:t>ю</w:t>
      </w:r>
      <w:r w:rsidRPr="00CB2C86">
        <w:t>щей среды в Гонконге заболеваемость такими кишечными заболеваниями, как гепатит А, бактериальная дизентерия и холера за последние десятилетия сущ</w:t>
      </w:r>
      <w:r w:rsidRPr="00CB2C86">
        <w:t>е</w:t>
      </w:r>
      <w:r w:rsidRPr="00CB2C86">
        <w:t>ственно сократилась. Для борьбы с различными переносчиками инфекций были приложены совместные усилия всеми слоями общества. С 1998</w:t>
      </w:r>
      <w:r w:rsidR="00B92291">
        <w:t> год</w:t>
      </w:r>
      <w:r w:rsidRPr="00CB2C86">
        <w:t>а и 2003</w:t>
      </w:r>
      <w:r w:rsidR="00B92291">
        <w:t> год</w:t>
      </w:r>
      <w:r w:rsidRPr="00CB2C86">
        <w:t>а соответственно в Гонконге не было зарегистрировано ни одного случая местн</w:t>
      </w:r>
      <w:r w:rsidRPr="00CB2C86">
        <w:t>о</w:t>
      </w:r>
      <w:r w:rsidRPr="00CB2C86">
        <w:t>го заражения малярией и лихорадкой денге.</w:t>
      </w:r>
    </w:p>
    <w:p w:rsidR="00F936A8" w:rsidRPr="00E2781B" w:rsidRDefault="00F936A8" w:rsidP="00F91733">
      <w:pPr>
        <w:pStyle w:val="H4GR"/>
        <w:tabs>
          <w:tab w:val="left" w:pos="1980"/>
          <w:tab w:val="left" w:pos="2520"/>
        </w:tabs>
        <w:spacing w:before="240"/>
        <w:ind w:left="1134" w:right="1179" w:hanging="1134"/>
      </w:pPr>
      <w:r w:rsidRPr="00E2781B">
        <w:tab/>
      </w:r>
      <w:r w:rsidRPr="00E2781B">
        <w:tab/>
        <w:t>Программы иммунизации</w:t>
      </w:r>
    </w:p>
    <w:p w:rsidR="00F936A8" w:rsidRPr="00CB2C86" w:rsidRDefault="00F936A8" w:rsidP="00F91733">
      <w:pPr>
        <w:pStyle w:val="SingleTxtGR"/>
        <w:tabs>
          <w:tab w:val="clear" w:pos="1701"/>
          <w:tab w:val="clear" w:pos="2268"/>
          <w:tab w:val="left" w:pos="1980"/>
          <w:tab w:val="left" w:pos="2520"/>
        </w:tabs>
        <w:spacing w:line="220" w:lineRule="atLeast"/>
      </w:pPr>
      <w:r w:rsidRPr="00CB2C86">
        <w:t>12.78</w:t>
      </w:r>
      <w:r w:rsidRPr="00CB2C86">
        <w:tab/>
        <w:t>Чтобы усилить защиту маленьких детей, после 2007</w:t>
      </w:r>
      <w:r w:rsidR="00B92291">
        <w:t> год</w:t>
      </w:r>
      <w:r w:rsidRPr="00CB2C86">
        <w:t>а вместо це</w:t>
      </w:r>
      <w:r w:rsidRPr="00CB2C86">
        <w:t>л</w:t>
      </w:r>
      <w:r w:rsidRPr="00CB2C86">
        <w:t xml:space="preserve">люлярной </w:t>
      </w:r>
      <w:proofErr w:type="spellStart"/>
      <w:r w:rsidRPr="00CB2C86">
        <w:t>противококлюшной</w:t>
      </w:r>
      <w:proofErr w:type="spellEnd"/>
      <w:r w:rsidRPr="00CB2C86">
        <w:t xml:space="preserve"> вакцины и оральной полиомиелитной вакцины стали применяться </w:t>
      </w:r>
      <w:proofErr w:type="spellStart"/>
      <w:r w:rsidRPr="00CB2C86">
        <w:t>бесклеточная</w:t>
      </w:r>
      <w:proofErr w:type="spellEnd"/>
      <w:r w:rsidRPr="00CB2C86">
        <w:t xml:space="preserve"> </w:t>
      </w:r>
      <w:proofErr w:type="spellStart"/>
      <w:r w:rsidRPr="00CB2C86">
        <w:t>ацеллюлярная</w:t>
      </w:r>
      <w:proofErr w:type="spellEnd"/>
      <w:r w:rsidRPr="00CB2C86">
        <w:t xml:space="preserve"> </w:t>
      </w:r>
      <w:proofErr w:type="spellStart"/>
      <w:r w:rsidRPr="00CB2C86">
        <w:t>противококлюшная</w:t>
      </w:r>
      <w:proofErr w:type="spellEnd"/>
      <w:r w:rsidRPr="00CB2C86">
        <w:t xml:space="preserve"> вакцина и инактивированная вакцина против полиомиелита. Кроме того</w:t>
      </w:r>
      <w:r w:rsidR="00993DAD">
        <w:t>,</w:t>
      </w:r>
      <w:r w:rsidRPr="00CB2C86">
        <w:t xml:space="preserve"> после 2009</w:t>
      </w:r>
      <w:r w:rsidR="00B92291">
        <w:t> год</w:t>
      </w:r>
      <w:r w:rsidRPr="00CB2C86">
        <w:t>а в Программу иммунизации детей была включена конъюгированная пневмококк</w:t>
      </w:r>
      <w:r w:rsidRPr="00CB2C86">
        <w:t>о</w:t>
      </w:r>
      <w:r w:rsidRPr="00CB2C86">
        <w:t>вая вакцина. Чтобы не допускать осложнений после гриппа у престарелых, с 1998</w:t>
      </w:r>
      <w:r w:rsidR="00B92291">
        <w:t> год</w:t>
      </w:r>
      <w:r w:rsidRPr="00CB2C86">
        <w:t>а ДЗ ежегодно проводит бесплатную сезонную вакцинацию имеющих на это право престарелых людей. Правительство продлило срок действия Пр</w:t>
      </w:r>
      <w:r w:rsidRPr="00CB2C86">
        <w:t>о</w:t>
      </w:r>
      <w:r w:rsidRPr="00CB2C86">
        <w:t>граммы в 2009</w:t>
      </w:r>
      <w:r w:rsidR="00B92291">
        <w:t> год</w:t>
      </w:r>
      <w:r w:rsidRPr="00CB2C86">
        <w:t>у и переименовало ее в Государственную программу вакц</w:t>
      </w:r>
      <w:r w:rsidRPr="00CB2C86">
        <w:t>и</w:t>
      </w:r>
      <w:r w:rsidRPr="00CB2C86">
        <w:t>нации, в рамках которой проводится сезонная вакцинация от гриппа и пневм</w:t>
      </w:r>
      <w:r w:rsidRPr="00CB2C86">
        <w:t>о</w:t>
      </w:r>
      <w:r w:rsidRPr="00CB2C86">
        <w:t>кокковых инфекций имеющих на это право престарелых в возрасте 65 лет и старше.</w:t>
      </w:r>
    </w:p>
    <w:p w:rsidR="00F936A8" w:rsidRPr="00CB2C86" w:rsidRDefault="00F936A8" w:rsidP="00F91733">
      <w:pPr>
        <w:pStyle w:val="H23GR"/>
        <w:tabs>
          <w:tab w:val="left" w:pos="1980"/>
          <w:tab w:val="left" w:pos="2520"/>
        </w:tabs>
      </w:pPr>
      <w:r w:rsidRPr="00CB2C86">
        <w:tab/>
      </w:r>
      <w:r w:rsidRPr="00CB2C86">
        <w:tab/>
        <w:t>Профилактика и борьба с ВИЧ/</w:t>
      </w:r>
      <w:proofErr w:type="spellStart"/>
      <w:r w:rsidRPr="00CB2C86">
        <w:t>СПИДом</w:t>
      </w:r>
      <w:proofErr w:type="spellEnd"/>
    </w:p>
    <w:p w:rsidR="00F936A8" w:rsidRPr="00CB2C86" w:rsidRDefault="00F936A8" w:rsidP="00F91733">
      <w:pPr>
        <w:pStyle w:val="SingleTxtGR"/>
        <w:tabs>
          <w:tab w:val="clear" w:pos="1701"/>
          <w:tab w:val="clear" w:pos="2268"/>
          <w:tab w:val="left" w:pos="1980"/>
          <w:tab w:val="left" w:pos="2520"/>
        </w:tabs>
        <w:spacing w:line="220" w:lineRule="atLeast"/>
      </w:pPr>
      <w:r w:rsidRPr="00CB2C86">
        <w:t>12.79</w:t>
      </w:r>
      <w:r w:rsidRPr="00CB2C86">
        <w:tab/>
        <w:t>Профилактика, лечение и борьба с ВИЧ/</w:t>
      </w:r>
      <w:proofErr w:type="spellStart"/>
      <w:r w:rsidRPr="00CB2C86">
        <w:t>СПИДом</w:t>
      </w:r>
      <w:proofErr w:type="spellEnd"/>
      <w:r w:rsidRPr="00CB2C86">
        <w:t xml:space="preserve"> по-прежнему ост</w:t>
      </w:r>
      <w:r w:rsidRPr="00CB2C86">
        <w:t>а</w:t>
      </w:r>
      <w:r w:rsidRPr="00CB2C86">
        <w:t>ются первоочередной задачей. По состоянию на 31 декабря 2009</w:t>
      </w:r>
      <w:r w:rsidR="00B92291">
        <w:t> год</w:t>
      </w:r>
      <w:r w:rsidRPr="00CB2C86">
        <w:t>а в ДЗ было зарегистрировано 4 443 инфицированных ВИЧ, заразившихся в основном пол</w:t>
      </w:r>
      <w:r w:rsidRPr="00CB2C86">
        <w:t>о</w:t>
      </w:r>
      <w:r w:rsidRPr="00CB2C86">
        <w:t>вым путем. Из них у 1</w:t>
      </w:r>
      <w:r>
        <w:t> </w:t>
      </w:r>
      <w:r w:rsidRPr="00CB2C86">
        <w:t>106 инфицированных развился СПИД. По оценкам, в 2007</w:t>
      </w:r>
      <w:r w:rsidR="00B92291">
        <w:t> год</w:t>
      </w:r>
      <w:r w:rsidRPr="00CB2C86">
        <w:t>у 3</w:t>
      </w:r>
      <w:r>
        <w:t> </w:t>
      </w:r>
      <w:r w:rsidRPr="00CB2C86">
        <w:t>600</w:t>
      </w:r>
      <w:r>
        <w:t> </w:t>
      </w:r>
      <w:r w:rsidRPr="00CB2C86">
        <w:t>лиц в возрасте от 15 до 49 лет были инфицированы ВИЧ/</w:t>
      </w:r>
      <w:proofErr w:type="spellStart"/>
      <w:r w:rsidRPr="00CB2C86">
        <w:t>СПИДом</w:t>
      </w:r>
      <w:proofErr w:type="spellEnd"/>
      <w:r w:rsidRPr="004F0ED8">
        <w:rPr>
          <w:sz w:val="18"/>
          <w:szCs w:val="18"/>
          <w:vertAlign w:val="superscript"/>
          <w:lang w:val="en-GB"/>
        </w:rPr>
        <w:footnoteReference w:id="20"/>
      </w:r>
      <w:r>
        <w:t>.</w:t>
      </w:r>
    </w:p>
    <w:p w:rsidR="00F936A8" w:rsidRPr="00E2781B" w:rsidRDefault="00F936A8" w:rsidP="00F91733">
      <w:pPr>
        <w:pStyle w:val="H4GR"/>
        <w:tabs>
          <w:tab w:val="left" w:pos="1980"/>
          <w:tab w:val="left" w:pos="2520"/>
        </w:tabs>
        <w:spacing w:before="240"/>
        <w:ind w:left="1134" w:right="1179" w:hanging="1134"/>
      </w:pPr>
      <w:r w:rsidRPr="00E2781B">
        <w:tab/>
      </w:r>
      <w:r w:rsidRPr="00E2781B">
        <w:tab/>
        <w:t xml:space="preserve">Консультативный совет по проблеме </w:t>
      </w:r>
      <w:proofErr w:type="spellStart"/>
      <w:r w:rsidRPr="00E2781B">
        <w:t>СПИДа</w:t>
      </w:r>
      <w:proofErr w:type="spellEnd"/>
    </w:p>
    <w:p w:rsidR="00F936A8" w:rsidRPr="00CB2C86" w:rsidRDefault="00F936A8" w:rsidP="00F91733">
      <w:pPr>
        <w:pStyle w:val="SingleTxtGR"/>
        <w:tabs>
          <w:tab w:val="clear" w:pos="1701"/>
          <w:tab w:val="clear" w:pos="2268"/>
          <w:tab w:val="left" w:pos="1980"/>
          <w:tab w:val="left" w:pos="2520"/>
        </w:tabs>
      </w:pPr>
      <w:r w:rsidRPr="00CB2C86">
        <w:t>12.80</w:t>
      </w:r>
      <w:r w:rsidRPr="00CB2C86">
        <w:tab/>
        <w:t xml:space="preserve">Роль Консультативного комитета по проблеме </w:t>
      </w:r>
      <w:proofErr w:type="spellStart"/>
      <w:r w:rsidRPr="00CB2C86">
        <w:t>СПИДа</w:t>
      </w:r>
      <w:proofErr w:type="spellEnd"/>
      <w:r w:rsidRPr="00CB2C86">
        <w:t xml:space="preserve"> разъясняется в пункте 420 первоначального доклада. Обзор 1998</w:t>
      </w:r>
      <w:r w:rsidR="00B92291">
        <w:t> год</w:t>
      </w:r>
      <w:r w:rsidRPr="00CB2C86">
        <w:t>а, упомянутый в докладе, стал источником новых стратегических предложений, которые после этого н</w:t>
      </w:r>
      <w:r w:rsidRPr="00CB2C86">
        <w:t>е</w:t>
      </w:r>
      <w:r w:rsidRPr="00CB2C86">
        <w:t>однократно пересматривались и переоценивались, последний раз в 2006</w:t>
      </w:r>
      <w:r w:rsidR="00B92291">
        <w:t> год</w:t>
      </w:r>
      <w:r w:rsidRPr="00CB2C86">
        <w:t>у. Пересмотры 2006</w:t>
      </w:r>
      <w:r w:rsidR="00B92291">
        <w:t> год</w:t>
      </w:r>
      <w:r w:rsidRPr="00CB2C86">
        <w:t>а привели к учреждению стратегической программы на период 2007</w:t>
      </w:r>
      <w:r>
        <w:t>−</w:t>
      </w:r>
      <w:r w:rsidRPr="00CB2C86">
        <w:t>2011</w:t>
      </w:r>
      <w:r w:rsidR="00B92291">
        <w:t> год</w:t>
      </w:r>
      <w:r w:rsidRPr="00CB2C86">
        <w:t xml:space="preserve">ов. </w:t>
      </w:r>
    </w:p>
    <w:p w:rsidR="00F936A8" w:rsidRPr="00E2781B" w:rsidRDefault="00F936A8" w:rsidP="00F91733">
      <w:pPr>
        <w:pStyle w:val="H4GR"/>
        <w:tabs>
          <w:tab w:val="left" w:pos="1980"/>
          <w:tab w:val="left" w:pos="2520"/>
        </w:tabs>
        <w:spacing w:before="240"/>
        <w:ind w:left="1134" w:right="1179" w:hanging="1134"/>
      </w:pPr>
      <w:r w:rsidRPr="00E2781B">
        <w:tab/>
      </w:r>
      <w:r w:rsidRPr="00E2781B">
        <w:tab/>
        <w:t>Выявление и лечение</w:t>
      </w:r>
    </w:p>
    <w:p w:rsidR="00F936A8" w:rsidRPr="00CB2C86" w:rsidRDefault="00F936A8" w:rsidP="00F91733">
      <w:pPr>
        <w:pStyle w:val="SingleTxtGR"/>
        <w:tabs>
          <w:tab w:val="clear" w:pos="1701"/>
          <w:tab w:val="clear" w:pos="2268"/>
          <w:tab w:val="left" w:pos="1980"/>
          <w:tab w:val="left" w:pos="2520"/>
        </w:tabs>
      </w:pPr>
      <w:r w:rsidRPr="00CB2C86">
        <w:t>12.81</w:t>
      </w:r>
      <w:r w:rsidRPr="00CB2C86">
        <w:tab/>
        <w:t>В дополнение к сказанному в пункте 12.34 предыдущего доклада, по состоянию на 2009</w:t>
      </w:r>
      <w:r w:rsidR="00B92291">
        <w:t> год</w:t>
      </w:r>
      <w:r w:rsidRPr="00CB2C86">
        <w:t xml:space="preserve"> терапию против ВИЧ в Гонконге проходили около 2</w:t>
      </w:r>
      <w:r>
        <w:t> </w:t>
      </w:r>
      <w:r w:rsidRPr="00CB2C86">
        <w:t>500</w:t>
      </w:r>
      <w:r>
        <w:t> </w:t>
      </w:r>
      <w:r w:rsidRPr="00CB2C86">
        <w:t>пациентов.</w:t>
      </w:r>
    </w:p>
    <w:p w:rsidR="00F936A8" w:rsidRPr="00E2781B" w:rsidRDefault="00F936A8" w:rsidP="00F91733">
      <w:pPr>
        <w:pStyle w:val="H4GR"/>
        <w:tabs>
          <w:tab w:val="left" w:pos="1980"/>
          <w:tab w:val="left" w:pos="2520"/>
        </w:tabs>
        <w:spacing w:before="240"/>
        <w:ind w:left="1134" w:right="1179" w:hanging="1134"/>
      </w:pPr>
      <w:r w:rsidRPr="00E2781B">
        <w:tab/>
      </w:r>
      <w:r w:rsidRPr="00E2781B">
        <w:tab/>
        <w:t>Права инфицированных</w:t>
      </w:r>
    </w:p>
    <w:p w:rsidR="00F936A8" w:rsidRPr="00CB2C86" w:rsidRDefault="00F936A8" w:rsidP="00F91733">
      <w:pPr>
        <w:pStyle w:val="SingleTxtGR"/>
        <w:tabs>
          <w:tab w:val="clear" w:pos="1701"/>
          <w:tab w:val="clear" w:pos="2268"/>
          <w:tab w:val="left" w:pos="1980"/>
          <w:tab w:val="left" w:pos="2520"/>
        </w:tabs>
      </w:pPr>
      <w:r w:rsidRPr="00CB2C86">
        <w:t>12.82</w:t>
      </w:r>
      <w:r w:rsidRPr="00CB2C86">
        <w:tab/>
        <w:t>В основном положение остается таким же, как оно описано в пункте 422 первоначального доклада. Правительство обеспечивает бесплатное тест</w:t>
      </w:r>
      <w:r w:rsidRPr="00CB2C86">
        <w:t>и</w:t>
      </w:r>
      <w:r w:rsidRPr="00CB2C86">
        <w:t>рование на ВИЧ/СПИД и консультирование жителей, в отношении которых есть подозрение, что они инфицированы. К тому же консультации и лечение мес</w:t>
      </w:r>
      <w:r w:rsidRPr="00CB2C86">
        <w:t>т</w:t>
      </w:r>
      <w:r w:rsidRPr="00CB2C86">
        <w:t>ных жителей предоставляются по значительно субсидируемым тарифам. В</w:t>
      </w:r>
      <w:r>
        <w:t> </w:t>
      </w:r>
      <w:r w:rsidRPr="00CB2C86">
        <w:t>2009</w:t>
      </w:r>
      <w:r w:rsidR="00B92291">
        <w:t> год</w:t>
      </w:r>
      <w:r w:rsidRPr="00CB2C86">
        <w:t>у свыше 70% больных ВИЧ/</w:t>
      </w:r>
      <w:proofErr w:type="spellStart"/>
      <w:r w:rsidRPr="00CB2C86">
        <w:t>СПИДом</w:t>
      </w:r>
      <w:proofErr w:type="spellEnd"/>
      <w:r w:rsidRPr="00CB2C86">
        <w:t xml:space="preserve"> проходили терапию против ВИЧ в гос</w:t>
      </w:r>
      <w:r w:rsidRPr="00CB2C86">
        <w:t>у</w:t>
      </w:r>
      <w:r w:rsidRPr="00CB2C86">
        <w:t>дарственном секторе.</w:t>
      </w:r>
    </w:p>
    <w:p w:rsidR="00F936A8" w:rsidRPr="00E2781B" w:rsidRDefault="00F936A8" w:rsidP="00F91733">
      <w:pPr>
        <w:pStyle w:val="H4GR"/>
        <w:tabs>
          <w:tab w:val="left" w:pos="1980"/>
          <w:tab w:val="left" w:pos="2520"/>
        </w:tabs>
        <w:spacing w:before="240"/>
        <w:ind w:left="1134" w:right="1179" w:hanging="1134"/>
      </w:pPr>
      <w:r w:rsidRPr="00E2781B">
        <w:tab/>
      </w:r>
      <w:r w:rsidRPr="00E2781B">
        <w:tab/>
        <w:t>Мобилизация и просвещение населения на уровне общин</w:t>
      </w:r>
    </w:p>
    <w:p w:rsidR="00F936A8" w:rsidRPr="00CB2C86" w:rsidRDefault="00F936A8" w:rsidP="00F91733">
      <w:pPr>
        <w:pStyle w:val="SingleTxtGR"/>
        <w:tabs>
          <w:tab w:val="clear" w:pos="1701"/>
          <w:tab w:val="clear" w:pos="2268"/>
          <w:tab w:val="left" w:pos="1980"/>
          <w:tab w:val="left" w:pos="2520"/>
        </w:tabs>
      </w:pPr>
      <w:r w:rsidRPr="00CB2C86">
        <w:t>12.83</w:t>
      </w:r>
      <w:r w:rsidRPr="00CB2C86">
        <w:tab/>
        <w:t xml:space="preserve">Роль Целевого фонда по борьбе со </w:t>
      </w:r>
      <w:proofErr w:type="spellStart"/>
      <w:r w:rsidRPr="00CB2C86">
        <w:t>СПИДом</w:t>
      </w:r>
      <w:proofErr w:type="spellEnd"/>
      <w:r w:rsidRPr="00CB2C86">
        <w:t xml:space="preserve"> была разъяснена в пун</w:t>
      </w:r>
      <w:r w:rsidRPr="00CB2C86">
        <w:t>к</w:t>
      </w:r>
      <w:r w:rsidRPr="00CB2C86">
        <w:t>те</w:t>
      </w:r>
      <w:r>
        <w:t> </w:t>
      </w:r>
      <w:r w:rsidRPr="00CB2C86">
        <w:t>423 первоначального доклада. В ответ на местную эпидемию 1 декабря 2006</w:t>
      </w:r>
      <w:r w:rsidR="00B92291">
        <w:t> год</w:t>
      </w:r>
      <w:r w:rsidRPr="00CB2C86">
        <w:t>а был учрежден двухлетний Фонд специального проекта, предназн</w:t>
      </w:r>
      <w:r w:rsidRPr="00CB2C86">
        <w:t>а</w:t>
      </w:r>
      <w:r w:rsidRPr="00CB2C86">
        <w:t>ченный для профилактики ВИЧ среди мужчин, имеющих половые контакты с мужчинами. В мае 2008</w:t>
      </w:r>
      <w:r w:rsidR="00B92291">
        <w:t> год</w:t>
      </w:r>
      <w:r w:rsidRPr="00CB2C86">
        <w:t>а было объявлено о пересмотре финансовых руков</w:t>
      </w:r>
      <w:r w:rsidRPr="00CB2C86">
        <w:t>о</w:t>
      </w:r>
      <w:r w:rsidRPr="00CB2C86">
        <w:t>дящих принципов, чтобы увязать их с приоритетными областями, определе</w:t>
      </w:r>
      <w:r w:rsidRPr="00CB2C86">
        <w:t>н</w:t>
      </w:r>
      <w:r w:rsidRPr="00CB2C86">
        <w:t xml:space="preserve">ными Консультативным комитетом по проблеме </w:t>
      </w:r>
      <w:proofErr w:type="spellStart"/>
      <w:r w:rsidRPr="00CB2C86">
        <w:t>СПИДа</w:t>
      </w:r>
      <w:proofErr w:type="spellEnd"/>
      <w:r w:rsidRPr="00CB2C86">
        <w:t>. По состоянию на 31</w:t>
      </w:r>
      <w:r>
        <w:t> </w:t>
      </w:r>
      <w:r w:rsidRPr="00CB2C86">
        <w:t>марта 2008</w:t>
      </w:r>
      <w:r w:rsidR="00B92291">
        <w:t> год</w:t>
      </w:r>
      <w:r w:rsidRPr="00CB2C86">
        <w:t>а НПО получили от Фонда субсидии на общую сумму свыше 348,7</w:t>
      </w:r>
      <w:r w:rsidR="004F720A">
        <w:t> </w:t>
      </w:r>
      <w:r w:rsidR="00B63D5C">
        <w:t>млн. долларов.</w:t>
      </w:r>
      <w:r w:rsidRPr="00CB2C86">
        <w:t xml:space="preserve"> Они выделялись для покрытия расходов на более 800 пр</w:t>
      </w:r>
      <w:r w:rsidRPr="00CB2C86">
        <w:t>о</w:t>
      </w:r>
      <w:r w:rsidRPr="00CB2C86">
        <w:t>ектов, предназначенных для таких адресных групп, как мужчины, имеющие п</w:t>
      </w:r>
      <w:r w:rsidRPr="00CB2C86">
        <w:t>о</w:t>
      </w:r>
      <w:r w:rsidRPr="00CB2C86">
        <w:t>ловые контакты с мужчинами, молодежь, работники коммерческого секса и л</w:t>
      </w:r>
      <w:r w:rsidRPr="00CB2C86">
        <w:t>и</w:t>
      </w:r>
      <w:r w:rsidRPr="00CB2C86">
        <w:t xml:space="preserve">ца, пересекающие границу. Фонд выплачивает также безвозмездные пособия лицам, заразившимся при переливании зараженных продуктов крови. </w:t>
      </w:r>
      <w:proofErr w:type="spellStart"/>
      <w:r w:rsidRPr="00CB2C86">
        <w:t>Ред-Риббон-Центр</w:t>
      </w:r>
      <w:proofErr w:type="spellEnd"/>
      <w:r w:rsidRPr="00CB2C86">
        <w:t>, роль которого была также разъяснена пункте 423 первоначал</w:t>
      </w:r>
      <w:r w:rsidRPr="00CB2C86">
        <w:t>ь</w:t>
      </w:r>
      <w:r w:rsidRPr="00CB2C86">
        <w:t>ного до</w:t>
      </w:r>
      <w:r w:rsidRPr="00CB2C86">
        <w:t>к</w:t>
      </w:r>
      <w:r w:rsidRPr="00CB2C86">
        <w:t xml:space="preserve">лада, продолжает выполнять функцию Центра сотрудничества с ЮНЭЙДС по технической поддержке. </w:t>
      </w:r>
    </w:p>
    <w:p w:rsidR="00F936A8" w:rsidRPr="00CB2C86" w:rsidRDefault="00F936A8" w:rsidP="00F91733">
      <w:pPr>
        <w:pStyle w:val="H23GR"/>
        <w:tabs>
          <w:tab w:val="left" w:pos="1980"/>
          <w:tab w:val="left" w:pos="2520"/>
        </w:tabs>
      </w:pPr>
      <w:r w:rsidRPr="00CB2C86">
        <w:tab/>
      </w:r>
      <w:r w:rsidRPr="00CB2C86">
        <w:tab/>
        <w:t>Программа сексуального и репродуктивного здоровья</w:t>
      </w:r>
    </w:p>
    <w:p w:rsidR="00F936A8" w:rsidRPr="00CB2C86" w:rsidRDefault="00F936A8" w:rsidP="00F91733">
      <w:pPr>
        <w:pStyle w:val="SingleTxtGR"/>
        <w:tabs>
          <w:tab w:val="clear" w:pos="1701"/>
          <w:tab w:val="clear" w:pos="2268"/>
          <w:tab w:val="left" w:pos="1980"/>
          <w:tab w:val="left" w:pos="2520"/>
        </w:tabs>
      </w:pPr>
      <w:r w:rsidRPr="00CB2C86">
        <w:t>12.84</w:t>
      </w:r>
      <w:r w:rsidRPr="00CB2C86">
        <w:tab/>
        <w:t>ДЗ защищает сексуальное и репродуктивное здоровье путем предо</w:t>
      </w:r>
      <w:r w:rsidRPr="00CB2C86">
        <w:t>с</w:t>
      </w:r>
      <w:r w:rsidRPr="00CB2C86">
        <w:t>тавления профилактических и стимулирующих услуг, которые оказывают СОЗС, Служба здоровья учащихся, Специальная профилактическая программа и клиники социальной гигиены. Наш ответ на рекомендацию Комитета разраб</w:t>
      </w:r>
      <w:r w:rsidRPr="00CB2C86">
        <w:t>о</w:t>
      </w:r>
      <w:r w:rsidRPr="00CB2C86">
        <w:t>тать всеобъемлющую программу охраны сексуального и репродуктивного зд</w:t>
      </w:r>
      <w:r w:rsidRPr="00CB2C86">
        <w:t>о</w:t>
      </w:r>
      <w:r w:rsidRPr="00CB2C86">
        <w:t>ровья содержится в соответствующих пунктах.</w:t>
      </w:r>
    </w:p>
    <w:p w:rsidR="00F936A8" w:rsidRPr="00E2781B" w:rsidRDefault="00F936A8" w:rsidP="00F91733">
      <w:pPr>
        <w:pStyle w:val="H4GR"/>
        <w:tabs>
          <w:tab w:val="left" w:pos="1980"/>
          <w:tab w:val="left" w:pos="2520"/>
        </w:tabs>
        <w:spacing w:before="240"/>
        <w:ind w:left="1134" w:right="1179" w:hanging="1134"/>
      </w:pPr>
      <w:r w:rsidRPr="00E2781B">
        <w:tab/>
      </w:r>
      <w:r w:rsidRPr="00E2781B">
        <w:tab/>
        <w:t>Программы охраны сексуального и репродуктивного здоровья женщин</w:t>
      </w:r>
    </w:p>
    <w:p w:rsidR="00F936A8" w:rsidRPr="00CB2C86" w:rsidRDefault="00F936A8" w:rsidP="00F91733">
      <w:pPr>
        <w:pStyle w:val="SingleTxtGR"/>
        <w:tabs>
          <w:tab w:val="clear" w:pos="1701"/>
          <w:tab w:val="clear" w:pos="2268"/>
          <w:tab w:val="left" w:pos="1980"/>
          <w:tab w:val="left" w:pos="2520"/>
        </w:tabs>
      </w:pPr>
      <w:r w:rsidRPr="00CB2C86">
        <w:t>12.85</w:t>
      </w:r>
      <w:r w:rsidRPr="00CB2C86">
        <w:tab/>
        <w:t>СОЗС, как упоминалось в пункте 12.10, включает в себя программу охраны сексуального и репродуктивного здоровья. Женщины охватываются просветительскими программами в области сексуального и репродуктивного здоровья на различных этапах жизни. Акцент делается на безопасный секс, чтобы уменьшить возможность заражения болезнью, передаваемой половым путем, и заболевания раком шейки матки. СОЗС оказывает также консультац</w:t>
      </w:r>
      <w:r w:rsidRPr="00CB2C86">
        <w:t>и</w:t>
      </w:r>
      <w:r w:rsidRPr="00CB2C86">
        <w:t>онные и информационно-справочные услуги женщинам с сексуальными ра</w:t>
      </w:r>
      <w:r w:rsidRPr="00CB2C86">
        <w:t>с</w:t>
      </w:r>
      <w:r w:rsidRPr="00CB2C86">
        <w:t>стройств</w:t>
      </w:r>
      <w:r w:rsidRPr="00CB2C86">
        <w:t>а</w:t>
      </w:r>
      <w:r w:rsidRPr="00CB2C86">
        <w:t xml:space="preserve">ми. </w:t>
      </w:r>
    </w:p>
    <w:p w:rsidR="00F936A8" w:rsidRPr="00CB2C86" w:rsidRDefault="00F936A8" w:rsidP="00F91733">
      <w:pPr>
        <w:pStyle w:val="SingleTxtGR"/>
        <w:tabs>
          <w:tab w:val="clear" w:pos="1701"/>
          <w:tab w:val="clear" w:pos="2268"/>
          <w:tab w:val="left" w:pos="1980"/>
          <w:tab w:val="left" w:pos="2520"/>
        </w:tabs>
      </w:pPr>
      <w:r w:rsidRPr="00CB2C86">
        <w:t>12.86</w:t>
      </w:r>
      <w:r w:rsidRPr="00CB2C86">
        <w:tab/>
        <w:t>Услуги по планированию семьи оказываются женщинам репродукти</w:t>
      </w:r>
      <w:r w:rsidRPr="00CB2C86">
        <w:t>в</w:t>
      </w:r>
      <w:r w:rsidRPr="00CB2C86">
        <w:t>ного возраста в ЦОМД, чтобы они могли свободно и ответственно принимать решения о количестве детей и интервалах между рождениями. Соответству</w:t>
      </w:r>
      <w:r w:rsidRPr="00CB2C86">
        <w:t>ю</w:t>
      </w:r>
      <w:r w:rsidRPr="00CB2C86">
        <w:t>щие контрацептивные методы предписываются в зависимости от индивидуал</w:t>
      </w:r>
      <w:r w:rsidRPr="00CB2C86">
        <w:t>ь</w:t>
      </w:r>
      <w:r w:rsidRPr="00CB2C86">
        <w:t>ных потребностей. Соответствующие консультационные и информационно-справочные услуги оказываются женщинам, страдающим бесплодием или ж</w:t>
      </w:r>
      <w:r w:rsidRPr="00CB2C86">
        <w:t>е</w:t>
      </w:r>
      <w:r w:rsidRPr="00CB2C86">
        <w:t>лающим прервать нежелательную беременность, и женщинам, обратившимся с просьбой о стерилизации.</w:t>
      </w:r>
    </w:p>
    <w:p w:rsidR="00F936A8" w:rsidRPr="00CB2C86" w:rsidRDefault="00F936A8" w:rsidP="00F91733">
      <w:pPr>
        <w:pStyle w:val="SingleTxtGR"/>
        <w:tabs>
          <w:tab w:val="clear" w:pos="1701"/>
          <w:tab w:val="clear" w:pos="2268"/>
          <w:tab w:val="left" w:pos="1980"/>
          <w:tab w:val="left" w:pos="2520"/>
        </w:tabs>
      </w:pPr>
      <w:r w:rsidRPr="00CB2C86">
        <w:t>12.87</w:t>
      </w:r>
      <w:r w:rsidRPr="00CB2C86">
        <w:tab/>
        <w:t>В ЦОМД для беременных женщин реализуется комплексная програ</w:t>
      </w:r>
      <w:r w:rsidRPr="00CB2C86">
        <w:t>м</w:t>
      </w:r>
      <w:r w:rsidRPr="00CB2C86">
        <w:t>ма дородового совместного ухода во взаимодействии с акушерскими отдел</w:t>
      </w:r>
      <w:r w:rsidRPr="00CB2C86">
        <w:t>е</w:t>
      </w:r>
      <w:r w:rsidRPr="00CB2C86">
        <w:t>ниями государственных госпиталей, цель которой обеспечить ведение всего процесса беременности и родовспоможения. В послеродовой период матери также пр</w:t>
      </w:r>
      <w:r w:rsidRPr="00CB2C86">
        <w:t>о</w:t>
      </w:r>
      <w:r w:rsidRPr="00CB2C86">
        <w:t>ходят медицинские осмотры и получают консультации.</w:t>
      </w:r>
    </w:p>
    <w:p w:rsidR="00F936A8" w:rsidRPr="00CB2C86" w:rsidRDefault="00F936A8" w:rsidP="00F91733">
      <w:pPr>
        <w:pStyle w:val="SingleTxtGR"/>
        <w:tabs>
          <w:tab w:val="clear" w:pos="1701"/>
          <w:tab w:val="clear" w:pos="2268"/>
          <w:tab w:val="left" w:pos="1980"/>
          <w:tab w:val="left" w:pos="2520"/>
        </w:tabs>
      </w:pPr>
      <w:r w:rsidRPr="00CB2C86">
        <w:t>12.88</w:t>
      </w:r>
      <w:r w:rsidRPr="00CB2C86">
        <w:tab/>
        <w:t>Чтобы снизить заболеваемость и смертность от рака шейки матки, в марте 2004</w:t>
      </w:r>
      <w:r w:rsidR="00B92291">
        <w:t> год</w:t>
      </w:r>
      <w:r w:rsidRPr="00CB2C86">
        <w:t xml:space="preserve">а ДЗ во взаимодействии с профессиональными врачами начали в Гонконге </w:t>
      </w:r>
      <w:proofErr w:type="spellStart"/>
      <w:r w:rsidRPr="00CB2C86">
        <w:t>общетерриториальную</w:t>
      </w:r>
      <w:proofErr w:type="spellEnd"/>
      <w:r w:rsidRPr="00CB2C86">
        <w:t xml:space="preserve"> программу скрининга рака шейки матки, чт</w:t>
      </w:r>
      <w:r w:rsidRPr="00CB2C86">
        <w:t>о</w:t>
      </w:r>
      <w:r w:rsidRPr="00CB2C86">
        <w:t xml:space="preserve">бы побудить женщин регулярно сдавать мазки на </w:t>
      </w:r>
      <w:proofErr w:type="spellStart"/>
      <w:r w:rsidRPr="00CB2C86">
        <w:t>онкоцитологию</w:t>
      </w:r>
      <w:proofErr w:type="spellEnd"/>
      <w:r w:rsidRPr="00CB2C86">
        <w:t xml:space="preserve"> и облегчить им эту процедуру.</w:t>
      </w:r>
    </w:p>
    <w:p w:rsidR="00F936A8" w:rsidRPr="00E2781B" w:rsidRDefault="00F936A8" w:rsidP="00F91733">
      <w:pPr>
        <w:pStyle w:val="H4GR"/>
        <w:tabs>
          <w:tab w:val="left" w:pos="1980"/>
          <w:tab w:val="left" w:pos="2520"/>
        </w:tabs>
        <w:spacing w:before="240"/>
        <w:ind w:left="1134" w:right="1179" w:hanging="1134"/>
      </w:pPr>
      <w:r w:rsidRPr="00E2781B">
        <w:tab/>
      </w:r>
      <w:r w:rsidRPr="00E2781B">
        <w:tab/>
        <w:t>Половое воспитание в школах</w:t>
      </w:r>
    </w:p>
    <w:p w:rsidR="00F936A8" w:rsidRPr="00CB2C86" w:rsidRDefault="00F936A8" w:rsidP="00F91733">
      <w:pPr>
        <w:pStyle w:val="SingleTxtGR"/>
        <w:tabs>
          <w:tab w:val="clear" w:pos="1701"/>
          <w:tab w:val="clear" w:pos="2268"/>
          <w:tab w:val="left" w:pos="1980"/>
          <w:tab w:val="left" w:pos="2520"/>
        </w:tabs>
      </w:pPr>
      <w:r w:rsidRPr="00CB2C86">
        <w:t>12.89</w:t>
      </w:r>
      <w:r w:rsidRPr="00CB2C86">
        <w:tab/>
        <w:t>Половое воспитание (включая просвещение в области сексуального и репродуктивного здоровья) является неотъемлемым элементом школьной пр</w:t>
      </w:r>
      <w:r w:rsidRPr="00CB2C86">
        <w:t>о</w:t>
      </w:r>
      <w:r w:rsidRPr="00CB2C86">
        <w:t>граммы. Для продвижения полового воспитания в школах и развития целостной личности учащихся была разработана комплексная учебная программа, вкл</w:t>
      </w:r>
      <w:r w:rsidRPr="00CB2C86">
        <w:t>ю</w:t>
      </w:r>
      <w:r w:rsidRPr="00CB2C86">
        <w:t>чающая знания, навыки и установки. Учащимся прививаются приоритетные ценности, включая уважение к другим, ответственность и целеустремленность, чтобы они могли делать правильные морально-этические оценки, сталкиваясь с проблемами, вытекающими из полового созревания, и обсуждая проблемы се</w:t>
      </w:r>
      <w:r w:rsidRPr="00CB2C86">
        <w:t>к</w:t>
      </w:r>
      <w:r w:rsidRPr="00CB2C86">
        <w:t xml:space="preserve">суальности. </w:t>
      </w:r>
    </w:p>
    <w:p w:rsidR="00F936A8" w:rsidRPr="00CB2C86" w:rsidRDefault="00F936A8" w:rsidP="00F91733">
      <w:pPr>
        <w:pStyle w:val="SingleTxtGR"/>
        <w:tabs>
          <w:tab w:val="clear" w:pos="1701"/>
          <w:tab w:val="clear" w:pos="2268"/>
          <w:tab w:val="left" w:pos="1980"/>
          <w:tab w:val="left" w:pos="2520"/>
        </w:tabs>
      </w:pPr>
      <w:r w:rsidRPr="00CB2C86">
        <w:t>12.90</w:t>
      </w:r>
      <w:r w:rsidRPr="00CB2C86">
        <w:tab/>
        <w:t>Полов</w:t>
      </w:r>
      <w:r w:rsidR="00AA0C85">
        <w:t>о</w:t>
      </w:r>
      <w:r w:rsidRPr="00CB2C86">
        <w:t>е воспитание включается в различные ключевые учебные ку</w:t>
      </w:r>
      <w:r w:rsidRPr="00CB2C86">
        <w:t>р</w:t>
      </w:r>
      <w:r w:rsidRPr="00CB2C86">
        <w:t>сы и предметы школьных программ как начальной, так и средней школы. К с</w:t>
      </w:r>
      <w:r w:rsidRPr="00CB2C86">
        <w:t>о</w:t>
      </w:r>
      <w:r w:rsidRPr="00CB2C86">
        <w:t>ответствующим темам относятся защита тела, любовь и секс, методы контр</w:t>
      </w:r>
      <w:r w:rsidRPr="00CB2C86">
        <w:t>а</w:t>
      </w:r>
      <w:r w:rsidRPr="00CB2C86">
        <w:t xml:space="preserve">цепции, последствия половых отношений до брака и подготовка к </w:t>
      </w:r>
      <w:proofErr w:type="spellStart"/>
      <w:r w:rsidRPr="00CB2C86">
        <w:t>родительству</w:t>
      </w:r>
      <w:proofErr w:type="spellEnd"/>
      <w:r w:rsidRPr="00CB2C86">
        <w:t xml:space="preserve">. </w:t>
      </w:r>
    </w:p>
    <w:p w:rsidR="00F936A8" w:rsidRPr="00CB2C86" w:rsidRDefault="00F936A8" w:rsidP="00F91733">
      <w:pPr>
        <w:pStyle w:val="SingleTxtGR"/>
        <w:tabs>
          <w:tab w:val="clear" w:pos="1701"/>
          <w:tab w:val="clear" w:pos="2268"/>
          <w:tab w:val="left" w:pos="1980"/>
          <w:tab w:val="left" w:pos="2520"/>
        </w:tabs>
      </w:pPr>
      <w:r w:rsidRPr="00CB2C86">
        <w:t>12.91</w:t>
      </w:r>
      <w:r w:rsidRPr="00CB2C86">
        <w:tab/>
        <w:t>По мнению некоторых комментаторов, просвещение в области секс</w:t>
      </w:r>
      <w:r w:rsidRPr="00CB2C86">
        <w:t>у</w:t>
      </w:r>
      <w:r w:rsidRPr="00CB2C86">
        <w:t>ального и репродуктивного здоровья должно в обязательном порядке включат</w:t>
      </w:r>
      <w:r w:rsidRPr="00CB2C86">
        <w:t>ь</w:t>
      </w:r>
      <w:r w:rsidRPr="00CB2C86">
        <w:t>ся в школьную программу, быть всеобщим и не оставаться факультативным. Половое воспитание является неотъемлемой частью школьной программы. Учащимся предоставляются широкие возможности для изучения вопросов п</w:t>
      </w:r>
      <w:r w:rsidRPr="00CB2C86">
        <w:t>о</w:t>
      </w:r>
      <w:r w:rsidRPr="00CB2C86">
        <w:t>лового воспитания в рамках базовых предметов, в частности таких как общие вопросы в начальной школе и искусствоведение в средней школе, а также нра</w:t>
      </w:r>
      <w:r w:rsidRPr="00CB2C86">
        <w:t>в</w:t>
      </w:r>
      <w:r w:rsidRPr="00CB2C86">
        <w:t>ственное и гражданское обучение, как в начальных, так и средних школах.</w:t>
      </w:r>
    </w:p>
    <w:p w:rsidR="00F936A8" w:rsidRPr="00CB2C86" w:rsidRDefault="00F936A8" w:rsidP="00F91733">
      <w:pPr>
        <w:pStyle w:val="SingleTxtGR"/>
        <w:tabs>
          <w:tab w:val="clear" w:pos="1701"/>
          <w:tab w:val="clear" w:pos="2268"/>
          <w:tab w:val="left" w:pos="1980"/>
          <w:tab w:val="left" w:pos="2520"/>
        </w:tabs>
      </w:pPr>
      <w:r w:rsidRPr="00CB2C86">
        <w:t>12.92</w:t>
      </w:r>
      <w:r w:rsidRPr="00CB2C86">
        <w:tab/>
        <w:t>Некоторые комментаторы предложили предоставить детям возмо</w:t>
      </w:r>
      <w:r w:rsidRPr="00CB2C86">
        <w:t>ж</w:t>
      </w:r>
      <w:r w:rsidRPr="00CB2C86">
        <w:t>ность активно участвовать в составлении, преподавании и оценке таких пр</w:t>
      </w:r>
      <w:r w:rsidRPr="00CB2C86">
        <w:t>о</w:t>
      </w:r>
      <w:r w:rsidRPr="00CB2C86">
        <w:t>грамм. При составлении учебного плана по основным направлениям обучения и учебным предметам для различных заинтересованных сторон проводятся ко</w:t>
      </w:r>
      <w:r w:rsidRPr="00CB2C86">
        <w:t>н</w:t>
      </w:r>
      <w:r w:rsidRPr="00CB2C86">
        <w:t xml:space="preserve">сультационные семинары, встречи </w:t>
      </w:r>
      <w:proofErr w:type="spellStart"/>
      <w:r w:rsidRPr="00CB2C86">
        <w:t>фокус-групп</w:t>
      </w:r>
      <w:proofErr w:type="spellEnd"/>
      <w:r w:rsidRPr="00CB2C86">
        <w:t xml:space="preserve"> с целью выяснить их мнение и п</w:t>
      </w:r>
      <w:r w:rsidRPr="00CB2C86">
        <w:t>о</w:t>
      </w:r>
      <w:r w:rsidRPr="00CB2C86">
        <w:t xml:space="preserve">лучить их замечания. К тому же школы поощряются учитывать потребности своих учащихся при составлении образовательных программ для них. </w:t>
      </w:r>
    </w:p>
    <w:p w:rsidR="00F936A8" w:rsidRPr="00CB2C86" w:rsidRDefault="00F936A8" w:rsidP="00F91733">
      <w:pPr>
        <w:pStyle w:val="SingleTxtGR"/>
        <w:tabs>
          <w:tab w:val="clear" w:pos="1701"/>
          <w:tab w:val="clear" w:pos="2268"/>
          <w:tab w:val="left" w:pos="1980"/>
          <w:tab w:val="left" w:pos="2520"/>
        </w:tabs>
      </w:pPr>
      <w:r w:rsidRPr="00CB2C86">
        <w:t>12.93</w:t>
      </w:r>
      <w:r w:rsidRPr="00CB2C86">
        <w:tab/>
        <w:t>Помимо обучения в классных комнатах</w:t>
      </w:r>
      <w:r w:rsidR="00AA0C85">
        <w:t>,</w:t>
      </w:r>
      <w:r w:rsidRPr="00CB2C86">
        <w:t xml:space="preserve"> школы организуют также др</w:t>
      </w:r>
      <w:r w:rsidRPr="00CB2C86">
        <w:t>у</w:t>
      </w:r>
      <w:r w:rsidRPr="00CB2C86">
        <w:t xml:space="preserve">гие занятия школы жизни, </w:t>
      </w:r>
      <w:r w:rsidR="00254ACE">
        <w:t>в частности такие, как</w:t>
      </w:r>
      <w:r w:rsidRPr="00CB2C86">
        <w:t xml:space="preserve"> беседы, форумы, диспуты и поездки во время классных занятий и собраний, чтобы углубить знания уч</w:t>
      </w:r>
      <w:r w:rsidRPr="00CB2C86">
        <w:t>а</w:t>
      </w:r>
      <w:r w:rsidRPr="00CB2C86">
        <w:t>щихся о сексе и расширить их способность анализировать и судить о социал</w:t>
      </w:r>
      <w:r w:rsidRPr="00CB2C86">
        <w:t>ь</w:t>
      </w:r>
      <w:r w:rsidRPr="00CB2C86">
        <w:t>ных пр</w:t>
      </w:r>
      <w:r w:rsidRPr="00CB2C86">
        <w:t>о</w:t>
      </w:r>
      <w:r w:rsidRPr="00CB2C86">
        <w:t>блемах, связанных с сексом, с рациональных и ответственных позиций. Такие подходы соответствуют рекомендациям некоторых комментаторов, с</w:t>
      </w:r>
      <w:r w:rsidRPr="00CB2C86">
        <w:t>о</w:t>
      </w:r>
      <w:r w:rsidRPr="00CB2C86">
        <w:t>гласно к</w:t>
      </w:r>
      <w:r w:rsidRPr="00CB2C86">
        <w:t>о</w:t>
      </w:r>
      <w:r w:rsidRPr="00CB2C86">
        <w:t>торым следует основывать половое воспитание на примерах из жизни и жизненных ситуациях и делать это открыто. Согласно реформе школьной программы школам рекомендуется в процессе преподавания важных с ценнос</w:t>
      </w:r>
      <w:r w:rsidRPr="00CB2C86">
        <w:t>т</w:t>
      </w:r>
      <w:r w:rsidRPr="00CB2C86">
        <w:t>ной то</w:t>
      </w:r>
      <w:r w:rsidRPr="00CB2C86">
        <w:t>ч</w:t>
      </w:r>
      <w:r w:rsidRPr="00CB2C86">
        <w:t>ки зрения тем (таких, как половое воспитание) опираться на подлинный жи</w:t>
      </w:r>
      <w:r w:rsidRPr="00CB2C86">
        <w:t>з</w:t>
      </w:r>
      <w:r w:rsidRPr="00CB2C86">
        <w:t xml:space="preserve">ненный опыт и социальные вопросы. Школам рекомендуется предоставлять учащимся возможности для обсуждения этих вопросов под разными углами зрения. </w:t>
      </w:r>
    </w:p>
    <w:p w:rsidR="00F936A8" w:rsidRPr="00CB2C86" w:rsidRDefault="00F936A8" w:rsidP="00F91733">
      <w:pPr>
        <w:pStyle w:val="SingleTxtGR"/>
        <w:tabs>
          <w:tab w:val="clear" w:pos="1701"/>
          <w:tab w:val="clear" w:pos="2268"/>
          <w:tab w:val="left" w:pos="1980"/>
          <w:tab w:val="left" w:pos="2520"/>
        </w:tabs>
      </w:pPr>
      <w:r w:rsidRPr="00CB2C86">
        <w:t>12.94</w:t>
      </w:r>
      <w:r w:rsidRPr="00CB2C86">
        <w:tab/>
        <w:t>Некоторые комментаторы предложили повысить эффективность пед</w:t>
      </w:r>
      <w:r w:rsidRPr="00CB2C86">
        <w:t>а</w:t>
      </w:r>
      <w:r w:rsidRPr="00CB2C86">
        <w:t>гогического воздействия в процессе полового воспитания. БО устанавливает партнерские связи с различными организациями и заинтересованными стор</w:t>
      </w:r>
      <w:r w:rsidRPr="00CB2C86">
        <w:t>о</w:t>
      </w:r>
      <w:r w:rsidRPr="00CB2C86">
        <w:t>нами (например, врачами, педагогами полового воспитания, социальными р</w:t>
      </w:r>
      <w:r w:rsidRPr="00CB2C86">
        <w:t>а</w:t>
      </w:r>
      <w:r w:rsidRPr="00CB2C86">
        <w:t>ботниками и т.д.) с целью разработки программ повышения профессиональной квалификации учителей для углубления их знаний и навыков и повышения компетентности в деле продвижения полового воспитания. В качестве примера тематики таких программ повышения профессиональной квалификации учит</w:t>
      </w:r>
      <w:r w:rsidRPr="00CB2C86">
        <w:t>е</w:t>
      </w:r>
      <w:r w:rsidRPr="00CB2C86">
        <w:t>лей можно привести такие вопросы, как помощь учащимся правильно воспр</w:t>
      </w:r>
      <w:r w:rsidRPr="00CB2C86">
        <w:t>и</w:t>
      </w:r>
      <w:r w:rsidRPr="00CB2C86">
        <w:t>нимать половой импульс и порнографию, обсуждать и понимать последствия добрачных сексуальных отношений. Кроме того</w:t>
      </w:r>
      <w:r w:rsidR="00AA0C85">
        <w:t>,</w:t>
      </w:r>
      <w:r w:rsidRPr="00CB2C86">
        <w:t xml:space="preserve"> были созданы различные т</w:t>
      </w:r>
      <w:r w:rsidRPr="00CB2C86">
        <w:t>е</w:t>
      </w:r>
      <w:r w:rsidRPr="00CB2C86">
        <w:t xml:space="preserve">матические </w:t>
      </w:r>
      <w:proofErr w:type="spellStart"/>
      <w:r>
        <w:t>вебсайт</w:t>
      </w:r>
      <w:r w:rsidRPr="00CB2C86">
        <w:t>ы</w:t>
      </w:r>
      <w:proofErr w:type="spellEnd"/>
      <w:r w:rsidRPr="00CB2C86">
        <w:t xml:space="preserve"> и подготовлены учебные и методические материалы для учителей, преследующие цель поддержать реализацию полового воспитания в школах.</w:t>
      </w:r>
    </w:p>
    <w:p w:rsidR="00F936A8" w:rsidRPr="00CB2C86" w:rsidRDefault="00F936A8" w:rsidP="00F91733">
      <w:pPr>
        <w:pStyle w:val="SingleTxtGR"/>
        <w:tabs>
          <w:tab w:val="clear" w:pos="1701"/>
          <w:tab w:val="clear" w:pos="2268"/>
          <w:tab w:val="left" w:pos="1980"/>
          <w:tab w:val="left" w:pos="2520"/>
        </w:tabs>
      </w:pPr>
      <w:r w:rsidRPr="00CB2C86">
        <w:t>12.95</w:t>
      </w:r>
      <w:r w:rsidRPr="00CB2C86">
        <w:tab/>
        <w:t>Подведомственная ДЗ Служба здоровья учащихся организует также мероприятия в области медико-санитарного просвещения путем распростран</w:t>
      </w:r>
      <w:r w:rsidRPr="00CB2C86">
        <w:t>е</w:t>
      </w:r>
      <w:r w:rsidRPr="00CB2C86">
        <w:t>ния различных бюллетеней и брошюр по конкретной тематике среди учащихся о</w:t>
      </w:r>
      <w:r w:rsidRPr="00CB2C86">
        <w:t>п</w:t>
      </w:r>
      <w:r w:rsidRPr="00CB2C86">
        <w:t>ределенных ступеней начальной и средней школы и их родителей. К тому же Центры службы здоровья учащихся также организуют для учащихся начальной и средней школы и их родителей тематические беседы по вопросу о половом созревани</w:t>
      </w:r>
      <w:r w:rsidR="00AA0C85">
        <w:t>и</w:t>
      </w:r>
      <w:r w:rsidRPr="00CB2C86">
        <w:t>, преследующие цель объяснить им физиологические и психолог</w:t>
      </w:r>
      <w:r w:rsidRPr="00CB2C86">
        <w:t>и</w:t>
      </w:r>
      <w:r w:rsidRPr="00CB2C86">
        <w:t>ческие изменения и чувство тревоги, которое может возникнуть во время пол</w:t>
      </w:r>
      <w:r w:rsidRPr="00CB2C86">
        <w:t>о</w:t>
      </w:r>
      <w:r w:rsidRPr="00CB2C86">
        <w:t>вого созревания.</w:t>
      </w:r>
    </w:p>
    <w:p w:rsidR="00F936A8" w:rsidRPr="00CB2C86" w:rsidRDefault="00F936A8" w:rsidP="00F91733">
      <w:pPr>
        <w:pStyle w:val="SingleTxtGR"/>
        <w:tabs>
          <w:tab w:val="clear" w:pos="1701"/>
          <w:tab w:val="clear" w:pos="2268"/>
          <w:tab w:val="left" w:pos="1980"/>
          <w:tab w:val="left" w:pos="2520"/>
        </w:tabs>
      </w:pPr>
      <w:r w:rsidRPr="00CB2C86">
        <w:t>12.96</w:t>
      </w:r>
      <w:r w:rsidRPr="00CB2C86">
        <w:tab/>
        <w:t>В рамках Программы охраны здоровья подростков для учащихся 1</w:t>
      </w:r>
      <w:r>
        <w:t>−</w:t>
      </w:r>
      <w:r w:rsidRPr="00CB2C86">
        <w:t>7 ступеней средней школы на школьной основе организуются семинары по пол</w:t>
      </w:r>
      <w:r w:rsidRPr="00CB2C86">
        <w:t>о</w:t>
      </w:r>
      <w:r w:rsidRPr="00CB2C86">
        <w:t>вому воспитанию. Тематика этих семинаров включает такие темы, как после</w:t>
      </w:r>
      <w:r w:rsidRPr="00CB2C86">
        <w:t>д</w:t>
      </w:r>
      <w:r w:rsidRPr="00CB2C86">
        <w:t>ствия добрачного секса, знания способов контрацепции и их ограничения, пр</w:t>
      </w:r>
      <w:r w:rsidRPr="00CB2C86">
        <w:t>а</w:t>
      </w:r>
      <w:r w:rsidRPr="00CB2C86">
        <w:t>вильное отношение к сексу, способы защиты от заболеваний, передающихся половым путем, и ВИЧ-инфекции и умение строить равные и уважительные, гармони</w:t>
      </w:r>
      <w:r w:rsidRPr="00CB2C86">
        <w:t>ч</w:t>
      </w:r>
      <w:r w:rsidRPr="00CB2C86">
        <w:t>ные отношения с представителями противоположного пола.</w:t>
      </w:r>
    </w:p>
    <w:p w:rsidR="00F936A8" w:rsidRPr="00E2781B" w:rsidRDefault="00F936A8" w:rsidP="00F91733">
      <w:pPr>
        <w:pStyle w:val="H4GR"/>
        <w:tabs>
          <w:tab w:val="left" w:pos="1980"/>
          <w:tab w:val="left" w:pos="2520"/>
        </w:tabs>
        <w:spacing w:before="240"/>
        <w:ind w:left="1134" w:right="1179" w:hanging="1134"/>
      </w:pPr>
      <w:r w:rsidRPr="00E2781B">
        <w:tab/>
      </w:r>
      <w:r w:rsidRPr="00E2781B">
        <w:tab/>
        <w:t>Профилактика ВИЧ/</w:t>
      </w:r>
      <w:proofErr w:type="spellStart"/>
      <w:r w:rsidRPr="00E2781B">
        <w:t>СПИДа</w:t>
      </w:r>
      <w:proofErr w:type="spellEnd"/>
    </w:p>
    <w:p w:rsidR="00F936A8" w:rsidRPr="00CB2C86" w:rsidRDefault="00F936A8" w:rsidP="00F91733">
      <w:pPr>
        <w:pStyle w:val="SingleTxtGR"/>
        <w:tabs>
          <w:tab w:val="clear" w:pos="1701"/>
          <w:tab w:val="clear" w:pos="2268"/>
          <w:tab w:val="left" w:pos="1980"/>
          <w:tab w:val="left" w:pos="2520"/>
        </w:tabs>
      </w:pPr>
      <w:r w:rsidRPr="00CB2C86">
        <w:t>12.97</w:t>
      </w:r>
      <w:r w:rsidRPr="00CB2C86">
        <w:tab/>
        <w:t>В рамках Специальной профилактической программы под эгидой ДЗ обучение в области сексуального здоровья осуществляется через проекты по содействию профилактике ВИЧ/</w:t>
      </w:r>
      <w:proofErr w:type="spellStart"/>
      <w:r w:rsidRPr="00CB2C86">
        <w:t>СПИДа</w:t>
      </w:r>
      <w:proofErr w:type="spellEnd"/>
      <w:r w:rsidRPr="00CB2C86">
        <w:t xml:space="preserve">, которые реализуются Центром </w:t>
      </w:r>
      <w:proofErr w:type="spellStart"/>
      <w:r w:rsidRPr="00CB2C86">
        <w:t>Ред-Риббон</w:t>
      </w:r>
      <w:proofErr w:type="spellEnd"/>
      <w:r w:rsidRPr="00CB2C86">
        <w:t xml:space="preserve"> или во взаимодействии с местными партнерами. Для распространения среди населения и его отдельных групп информации о профилактике ВИЧ/</w:t>
      </w:r>
      <w:proofErr w:type="spellStart"/>
      <w:r w:rsidRPr="00CB2C86">
        <w:t>СПИДа</w:t>
      </w:r>
      <w:proofErr w:type="spellEnd"/>
      <w:r w:rsidRPr="00CB2C86">
        <w:t xml:space="preserve"> и передающихся половым путем заболеваний широко использую</w:t>
      </w:r>
      <w:r w:rsidRPr="00CB2C86">
        <w:t>т</w:t>
      </w:r>
      <w:r w:rsidRPr="00CB2C86">
        <w:t xml:space="preserve">ся публичные телевизионные и </w:t>
      </w:r>
      <w:proofErr w:type="spellStart"/>
      <w:r w:rsidRPr="00CB2C86">
        <w:t>радиообъявления</w:t>
      </w:r>
      <w:proofErr w:type="spellEnd"/>
      <w:r w:rsidRPr="00CB2C86">
        <w:t>, афиши, брошюры, передви</w:t>
      </w:r>
      <w:r w:rsidRPr="00CB2C86">
        <w:t>ж</w:t>
      </w:r>
      <w:r w:rsidRPr="00CB2C86">
        <w:t>ные выставки и периодические издания, ряд горячих линий на различных яз</w:t>
      </w:r>
      <w:r w:rsidRPr="00CB2C86">
        <w:t>ы</w:t>
      </w:r>
      <w:r w:rsidRPr="00CB2C86">
        <w:t xml:space="preserve">ках и предназначенные для разных адресных групп (например, </w:t>
      </w:r>
      <w:r>
        <w:t>"</w:t>
      </w:r>
      <w:r w:rsidRPr="00CB2C86">
        <w:rPr>
          <w:lang w:val="en-GB"/>
        </w:rPr>
        <w:t>Dr</w:t>
      </w:r>
      <w:r w:rsidRPr="00CB2C86">
        <w:t xml:space="preserve"> </w:t>
      </w:r>
      <w:r w:rsidRPr="00CB2C86">
        <w:rPr>
          <w:lang w:val="en-GB"/>
        </w:rPr>
        <w:t>Sex</w:t>
      </w:r>
      <w:r w:rsidRPr="00CB2C86">
        <w:t xml:space="preserve"> </w:t>
      </w:r>
      <w:r w:rsidRPr="00CB2C86">
        <w:rPr>
          <w:lang w:val="en-GB"/>
        </w:rPr>
        <w:t>Ho</w:t>
      </w:r>
      <w:r w:rsidRPr="00CB2C86">
        <w:rPr>
          <w:lang w:val="en-GB"/>
        </w:rPr>
        <w:t>t</w:t>
      </w:r>
      <w:r w:rsidRPr="00CB2C86">
        <w:rPr>
          <w:lang w:val="en-GB"/>
        </w:rPr>
        <w:t>line</w:t>
      </w:r>
      <w:r w:rsidRPr="00CB2C86">
        <w:t xml:space="preserve"> 2337</w:t>
      </w:r>
      <w:r w:rsidR="00E269FE">
        <w:t> </w:t>
      </w:r>
      <w:r w:rsidRPr="00CB2C86">
        <w:t>2121</w:t>
      </w:r>
      <w:r>
        <w:t>"</w:t>
      </w:r>
      <w:r w:rsidRPr="00CB2C86">
        <w:t xml:space="preserve">) и </w:t>
      </w:r>
      <w:proofErr w:type="spellStart"/>
      <w:r>
        <w:t>вебсайт</w:t>
      </w:r>
      <w:r w:rsidRPr="00CB2C86">
        <w:t>ы</w:t>
      </w:r>
      <w:proofErr w:type="spellEnd"/>
      <w:r w:rsidRPr="00CB2C86">
        <w:t xml:space="preserve"> (например, </w:t>
      </w:r>
      <w:r w:rsidRPr="00CB2C86">
        <w:rPr>
          <w:lang w:val="en-GB"/>
        </w:rPr>
        <w:t>the</w:t>
      </w:r>
      <w:r w:rsidRPr="00CB2C86">
        <w:t xml:space="preserve"> </w:t>
      </w:r>
      <w:r w:rsidRPr="00CB2C86">
        <w:rPr>
          <w:lang w:val="en-GB"/>
        </w:rPr>
        <w:t>AIDS</w:t>
      </w:r>
      <w:r w:rsidRPr="00CB2C86">
        <w:t xml:space="preserve"> </w:t>
      </w:r>
      <w:r w:rsidRPr="00CB2C86">
        <w:rPr>
          <w:lang w:val="en-GB"/>
        </w:rPr>
        <w:t>Hotline</w:t>
      </w:r>
      <w:r w:rsidRPr="00CB2C86">
        <w:t xml:space="preserve"> </w:t>
      </w:r>
      <w:r w:rsidRPr="00CB2C86">
        <w:rPr>
          <w:lang w:val="en-GB"/>
        </w:rPr>
        <w:t>Website</w:t>
      </w:r>
      <w:r w:rsidRPr="00CB2C86">
        <w:t xml:space="preserve"> </w:t>
      </w:r>
      <w:r w:rsidRPr="00CB2C86">
        <w:rPr>
          <w:lang w:val="en-GB"/>
        </w:rPr>
        <w:t>www</w:t>
      </w:r>
      <w:r w:rsidRPr="00CB2C86">
        <w:t>.27802211.</w:t>
      </w:r>
      <w:r w:rsidRPr="00CB2C86">
        <w:rPr>
          <w:lang w:val="en-GB"/>
        </w:rPr>
        <w:t>com</w:t>
      </w:r>
      <w:r w:rsidR="00AA0C85">
        <w:t>,</w:t>
      </w:r>
      <w:r w:rsidRPr="00CB2C86">
        <w:t xml:space="preserve"> запущенный Центром </w:t>
      </w:r>
      <w:proofErr w:type="spellStart"/>
      <w:r w:rsidRPr="00CB2C86">
        <w:t>Ред-Риббон</w:t>
      </w:r>
      <w:proofErr w:type="spellEnd"/>
      <w:r w:rsidRPr="00CB2C86">
        <w:t>). В 2008</w:t>
      </w:r>
      <w:r w:rsidR="00B92291">
        <w:t> год</w:t>
      </w:r>
      <w:r w:rsidRPr="00CB2C86">
        <w:t>у Специал</w:t>
      </w:r>
      <w:r w:rsidRPr="00CB2C86">
        <w:t>ь</w:t>
      </w:r>
      <w:r w:rsidRPr="00CB2C86">
        <w:t xml:space="preserve">ная профилактическая программа провела 230 просветительских мероприятий по профилактике </w:t>
      </w:r>
      <w:proofErr w:type="spellStart"/>
      <w:r w:rsidRPr="00CB2C86">
        <w:t>СПИДа</w:t>
      </w:r>
      <w:proofErr w:type="spellEnd"/>
      <w:r w:rsidRPr="00CB2C86">
        <w:t>, в которых приняло участие в общей сложности 80</w:t>
      </w:r>
      <w:r>
        <w:t> </w:t>
      </w:r>
      <w:r w:rsidRPr="00CB2C86">
        <w:t>878</w:t>
      </w:r>
      <w:r>
        <w:t> </w:t>
      </w:r>
      <w:r w:rsidRPr="00CB2C86">
        <w:t>человек, и ра</w:t>
      </w:r>
      <w:r w:rsidRPr="00CB2C86">
        <w:t>с</w:t>
      </w:r>
      <w:r w:rsidRPr="00CB2C86">
        <w:t>пространила среди населения 582</w:t>
      </w:r>
      <w:r>
        <w:t> </w:t>
      </w:r>
      <w:r w:rsidRPr="00CB2C86">
        <w:t xml:space="preserve">841 просветительских и пропагандистских материалов. В частности, </w:t>
      </w:r>
      <w:r w:rsidRPr="00CB2C86">
        <w:rPr>
          <w:lang w:val="en-GB"/>
        </w:rPr>
        <w:t>Dr</w:t>
      </w:r>
      <w:r w:rsidRPr="00CB2C86">
        <w:t xml:space="preserve"> </w:t>
      </w:r>
      <w:r w:rsidRPr="00CB2C86">
        <w:rPr>
          <w:lang w:val="en-GB"/>
        </w:rPr>
        <w:t>Sex</w:t>
      </w:r>
      <w:r w:rsidRPr="00CB2C86">
        <w:t xml:space="preserve"> </w:t>
      </w:r>
      <w:r w:rsidRPr="00CB2C86">
        <w:rPr>
          <w:lang w:val="en-GB"/>
        </w:rPr>
        <w:t>Hotline</w:t>
      </w:r>
      <w:r w:rsidRPr="00CB2C86">
        <w:t xml:space="preserve"> содержит общую информацию о сп</w:t>
      </w:r>
      <w:r w:rsidRPr="00CB2C86">
        <w:t>о</w:t>
      </w:r>
      <w:r w:rsidRPr="00CB2C86">
        <w:t>собах контрацепции, хотя использование презервативов обычно пропагандируется как средство защиты от ВИЧ и заболеваний, пер</w:t>
      </w:r>
      <w:r w:rsidRPr="00CB2C86">
        <w:t>е</w:t>
      </w:r>
      <w:r w:rsidRPr="00CB2C86">
        <w:t>дающихся половым путем (ЗППП).</w:t>
      </w:r>
    </w:p>
    <w:p w:rsidR="00F936A8" w:rsidRPr="00CB2C86" w:rsidRDefault="00F936A8" w:rsidP="00F91733">
      <w:pPr>
        <w:pStyle w:val="SingleTxtGR"/>
        <w:tabs>
          <w:tab w:val="clear" w:pos="1701"/>
          <w:tab w:val="clear" w:pos="2268"/>
          <w:tab w:val="left" w:pos="1980"/>
          <w:tab w:val="left" w:pos="2520"/>
        </w:tabs>
      </w:pPr>
      <w:r w:rsidRPr="00CB2C86">
        <w:t>12.98</w:t>
      </w:r>
      <w:r w:rsidRPr="00CB2C86">
        <w:tab/>
        <w:t xml:space="preserve">В дополнение к прямому планированию мероприятий Центр </w:t>
      </w:r>
      <w:proofErr w:type="spellStart"/>
      <w:r w:rsidRPr="00CB2C86">
        <w:t>Ред-Риббон</w:t>
      </w:r>
      <w:proofErr w:type="spellEnd"/>
      <w:r w:rsidRPr="00CB2C86">
        <w:t xml:space="preserve"> также сотрудничает со школами и местными организациями по пр</w:t>
      </w:r>
      <w:r w:rsidRPr="00CB2C86">
        <w:t>о</w:t>
      </w:r>
      <w:r w:rsidRPr="00CB2C86">
        <w:t>движению многочисленных мероприятий. Например, Программа финансиров</w:t>
      </w:r>
      <w:r w:rsidRPr="00CB2C86">
        <w:t>а</w:t>
      </w:r>
      <w:r w:rsidRPr="00CB2C86">
        <w:t xml:space="preserve">ния просвещения по </w:t>
      </w:r>
      <w:proofErr w:type="spellStart"/>
      <w:r w:rsidRPr="00CB2C86">
        <w:t>СПИДу</w:t>
      </w:r>
      <w:proofErr w:type="spellEnd"/>
      <w:r w:rsidRPr="00CB2C86">
        <w:t xml:space="preserve"> </w:t>
      </w:r>
      <w:proofErr w:type="spellStart"/>
      <w:r w:rsidRPr="00CB2C86">
        <w:t>Ред</w:t>
      </w:r>
      <w:proofErr w:type="spellEnd"/>
      <w:r w:rsidRPr="00CB2C86">
        <w:t xml:space="preserve"> </w:t>
      </w:r>
      <w:proofErr w:type="spellStart"/>
      <w:r w:rsidRPr="00CB2C86">
        <w:t>Риббон</w:t>
      </w:r>
      <w:proofErr w:type="spellEnd"/>
      <w:r w:rsidRPr="00CB2C86">
        <w:t xml:space="preserve"> в действии обеспечивает финансир</w:t>
      </w:r>
      <w:r w:rsidRPr="00CB2C86">
        <w:t>о</w:t>
      </w:r>
      <w:r w:rsidRPr="00CB2C86">
        <w:t>вание и техническую поддержку местным организациям, чтобы они могли ос</w:t>
      </w:r>
      <w:r w:rsidRPr="00CB2C86">
        <w:t>у</w:t>
      </w:r>
      <w:r w:rsidRPr="00CB2C86">
        <w:t>ществлять просветительские мероприятия по ВИЧ/</w:t>
      </w:r>
      <w:proofErr w:type="spellStart"/>
      <w:r w:rsidRPr="00CB2C86">
        <w:t>СПИДу</w:t>
      </w:r>
      <w:proofErr w:type="spellEnd"/>
      <w:r w:rsidRPr="00CB2C86">
        <w:t xml:space="preserve"> среди соответс</w:t>
      </w:r>
      <w:r w:rsidRPr="00CB2C86">
        <w:t>т</w:t>
      </w:r>
      <w:r w:rsidRPr="00CB2C86">
        <w:t>вующих групп населения. За поддержкой могут обращаться различные учре</w:t>
      </w:r>
      <w:r w:rsidRPr="00CB2C86">
        <w:t>ж</w:t>
      </w:r>
      <w:r w:rsidRPr="00CB2C86">
        <w:t>дения, включая школы, общественные социальные организации, центры пр</w:t>
      </w:r>
      <w:r w:rsidRPr="00CB2C86">
        <w:t>е</w:t>
      </w:r>
      <w:r w:rsidRPr="00CB2C86">
        <w:t>старелых, центры женщин, негосударственные группы социальных работников, центры молодежи, группы комплексного социального обслуживания детей и молодежи и асс</w:t>
      </w:r>
      <w:r w:rsidRPr="00CB2C86">
        <w:t>о</w:t>
      </w:r>
      <w:r w:rsidRPr="00CB2C86">
        <w:t xml:space="preserve">циации социальной взаимопомощи. Мероприятие </w:t>
      </w:r>
      <w:r w:rsidR="00AA0C85">
        <w:t>"</w:t>
      </w:r>
      <w:proofErr w:type="spellStart"/>
      <w:r w:rsidRPr="00CB2C86">
        <w:t>Ред</w:t>
      </w:r>
      <w:proofErr w:type="spellEnd"/>
      <w:r w:rsidRPr="00CB2C86">
        <w:t xml:space="preserve"> </w:t>
      </w:r>
      <w:proofErr w:type="spellStart"/>
      <w:r w:rsidRPr="00CB2C86">
        <w:t>Риббон</w:t>
      </w:r>
      <w:proofErr w:type="spellEnd"/>
      <w:r w:rsidRPr="00CB2C86">
        <w:t xml:space="preserve"> 100</w:t>
      </w:r>
      <w:r w:rsidR="00AA0C85">
        <w:t>"</w:t>
      </w:r>
      <w:r w:rsidRPr="00CB2C86">
        <w:t xml:space="preserve"> углубляет знания участников о ВИЧ/</w:t>
      </w:r>
      <w:proofErr w:type="spellStart"/>
      <w:r w:rsidRPr="00CB2C86">
        <w:t>СПИДе</w:t>
      </w:r>
      <w:proofErr w:type="spellEnd"/>
      <w:r w:rsidRPr="00CB2C86">
        <w:t>, а также стимулирует проф</w:t>
      </w:r>
      <w:r w:rsidRPr="00CB2C86">
        <w:t>и</w:t>
      </w:r>
      <w:r w:rsidRPr="00CB2C86">
        <w:t>лактику и лечение ВИЧ/</w:t>
      </w:r>
      <w:proofErr w:type="spellStart"/>
      <w:r w:rsidRPr="00CB2C86">
        <w:t>СПИДа</w:t>
      </w:r>
      <w:proofErr w:type="spellEnd"/>
      <w:r w:rsidRPr="00CB2C86">
        <w:t xml:space="preserve"> в Гонконге путем бесед, интерактивных мер</w:t>
      </w:r>
      <w:r w:rsidRPr="00CB2C86">
        <w:t>о</w:t>
      </w:r>
      <w:r w:rsidRPr="00CB2C86">
        <w:t>приятий и игр.</w:t>
      </w:r>
    </w:p>
    <w:p w:rsidR="00F936A8" w:rsidRPr="00E2781B" w:rsidRDefault="00F936A8" w:rsidP="00F91733">
      <w:pPr>
        <w:pStyle w:val="H4GR"/>
        <w:tabs>
          <w:tab w:val="left" w:pos="1980"/>
          <w:tab w:val="left" w:pos="2520"/>
        </w:tabs>
        <w:spacing w:before="240"/>
        <w:ind w:left="1134" w:right="1179" w:hanging="1134"/>
      </w:pPr>
      <w:r w:rsidRPr="00E2781B">
        <w:tab/>
      </w:r>
      <w:r w:rsidRPr="00E2781B">
        <w:tab/>
        <w:t>Профилактика заболеваний, передающихся половым путем</w:t>
      </w:r>
    </w:p>
    <w:p w:rsidR="00F936A8" w:rsidRPr="00CB2C86" w:rsidRDefault="00F936A8" w:rsidP="00F91733">
      <w:pPr>
        <w:pStyle w:val="SingleTxtGR"/>
        <w:tabs>
          <w:tab w:val="clear" w:pos="1701"/>
          <w:tab w:val="clear" w:pos="2268"/>
          <w:tab w:val="left" w:pos="1980"/>
          <w:tab w:val="left" w:pos="2520"/>
        </w:tabs>
      </w:pPr>
      <w:r w:rsidRPr="00CB2C86">
        <w:t>12.99</w:t>
      </w:r>
      <w:r w:rsidRPr="00CB2C86">
        <w:tab/>
        <w:t>Восемь клиник/центров социальной гигиены, подведомственных ДЗ, дают бесплатные консультации и оказывают клинические услуги больным ЗППП, пропагандируют использование презервативов, занимаются отслежив</w:t>
      </w:r>
      <w:r w:rsidRPr="00CB2C86">
        <w:t>а</w:t>
      </w:r>
      <w:r w:rsidRPr="00CB2C86">
        <w:t xml:space="preserve">нием лиц, имеющих контакты с инфицированными, и больных лиц, а также проводят осмотры на предмет выявления и лечение ЗППП. Они также проводят каждые </w:t>
      </w:r>
      <w:proofErr w:type="spellStart"/>
      <w:r w:rsidRPr="00CB2C86">
        <w:t>две</w:t>
      </w:r>
      <w:r w:rsidR="00122DDF">
        <w:t>−</w:t>
      </w:r>
      <w:r w:rsidRPr="00CB2C86">
        <w:t>три</w:t>
      </w:r>
      <w:proofErr w:type="spellEnd"/>
      <w:r w:rsidRPr="00CB2C86">
        <w:t xml:space="preserve"> недели осмотр работниц коммерческого секса.</w:t>
      </w:r>
    </w:p>
    <w:p w:rsidR="00F936A8" w:rsidRPr="00CB2C86" w:rsidRDefault="00F936A8" w:rsidP="00F91733">
      <w:pPr>
        <w:pStyle w:val="SingleTxtGR"/>
        <w:tabs>
          <w:tab w:val="clear" w:pos="1701"/>
          <w:tab w:val="clear" w:pos="2268"/>
          <w:tab w:val="left" w:pos="1980"/>
          <w:tab w:val="left" w:pos="2520"/>
        </w:tabs>
      </w:pPr>
      <w:r w:rsidRPr="00CB2C86">
        <w:t>12.100</w:t>
      </w:r>
      <w:r w:rsidRPr="00CB2C86">
        <w:tab/>
        <w:t>Для просвещения населения с целью сдержать распространение ЗППП в клиниках, во время мероприятий по линии социальной работы и придоро</w:t>
      </w:r>
      <w:r w:rsidRPr="00CB2C86">
        <w:t>ж</w:t>
      </w:r>
      <w:r w:rsidRPr="00CB2C86">
        <w:t>ных выставках населению раздаются информационные бюллетени. Эти брош</w:t>
      </w:r>
      <w:r w:rsidRPr="00CB2C86">
        <w:t>ю</w:t>
      </w:r>
      <w:r w:rsidRPr="00CB2C86">
        <w:t xml:space="preserve">ры размещаются также в Интернете. </w:t>
      </w:r>
    </w:p>
    <w:p w:rsidR="00F936A8" w:rsidRPr="00CB2C86" w:rsidRDefault="00F936A8" w:rsidP="00F91733">
      <w:pPr>
        <w:pStyle w:val="SingleTxtGR"/>
        <w:tabs>
          <w:tab w:val="clear" w:pos="1701"/>
          <w:tab w:val="clear" w:pos="2268"/>
          <w:tab w:val="left" w:pos="1980"/>
          <w:tab w:val="left" w:pos="2520"/>
        </w:tabs>
      </w:pPr>
      <w:r w:rsidRPr="00CB2C86">
        <w:t>12.101</w:t>
      </w:r>
      <w:r w:rsidRPr="00CB2C86">
        <w:tab/>
        <w:t>Служба социальной гигиены Центра охраны здоровья, подведомс</w:t>
      </w:r>
      <w:r w:rsidRPr="00CB2C86">
        <w:t>т</w:t>
      </w:r>
      <w:r w:rsidRPr="00CB2C86">
        <w:t>венного ДЗ, организует профессиональную подготовку медико-санитарного персонала, чтобы установить ориентир для всех работников здравоохранения, которые занимаются лечением ЗППП, и сохранить наивысший профессионал</w:t>
      </w:r>
      <w:r w:rsidRPr="00CB2C86">
        <w:t>ь</w:t>
      </w:r>
      <w:r w:rsidRPr="00CB2C86">
        <w:t xml:space="preserve">ный стандарт лечения ЗППП. К тому же регулярно обновляется и рассылается врачам частного сектора руководство по стандартному лечению ЗППП. </w:t>
      </w:r>
    </w:p>
    <w:p w:rsidR="00F936A8" w:rsidRPr="00CB2C86" w:rsidRDefault="00F936A8" w:rsidP="00F91733">
      <w:pPr>
        <w:pStyle w:val="SingleTxtGR"/>
        <w:tabs>
          <w:tab w:val="clear" w:pos="1701"/>
          <w:tab w:val="clear" w:pos="2268"/>
          <w:tab w:val="left" w:pos="1980"/>
          <w:tab w:val="left" w:pos="2520"/>
        </w:tabs>
      </w:pPr>
      <w:r w:rsidRPr="00CB2C86">
        <w:t>12.102</w:t>
      </w:r>
      <w:r w:rsidRPr="00CB2C86">
        <w:tab/>
        <w:t>В последние</w:t>
      </w:r>
      <w:r w:rsidR="00B92291">
        <w:t> год</w:t>
      </w:r>
      <w:r w:rsidRPr="00CB2C86">
        <w:t>ы на Центр также возлагалась обязанность планир</w:t>
      </w:r>
      <w:r w:rsidRPr="00CB2C86">
        <w:t>о</w:t>
      </w:r>
      <w:r w:rsidRPr="00CB2C86">
        <w:t>вания, разработки и проведени</w:t>
      </w:r>
      <w:r w:rsidR="00E269FE">
        <w:t>я</w:t>
      </w:r>
      <w:r w:rsidRPr="00CB2C86">
        <w:t xml:space="preserve"> различных надзорных и обзорных программ с целью изучения распространенности и клинической картины ЗППП в общес</w:t>
      </w:r>
      <w:r w:rsidRPr="00CB2C86">
        <w:t>т</w:t>
      </w:r>
      <w:r w:rsidRPr="00CB2C86">
        <w:t>ве путем определения магистрального направления деятельности и концентр</w:t>
      </w:r>
      <w:r w:rsidRPr="00CB2C86">
        <w:t>а</w:t>
      </w:r>
      <w:r w:rsidRPr="00CB2C86">
        <w:t xml:space="preserve">ции усилий ДЗ на определенных группах, имея </w:t>
      </w:r>
      <w:r w:rsidR="00E56A49">
        <w:t>в виду</w:t>
      </w:r>
      <w:r w:rsidRPr="00CB2C86">
        <w:t xml:space="preserve"> решение проблем ЗППП/</w:t>
      </w:r>
      <w:proofErr w:type="spellStart"/>
      <w:r w:rsidRPr="00CB2C86">
        <w:t>СПИДа</w:t>
      </w:r>
      <w:proofErr w:type="spellEnd"/>
      <w:r w:rsidRPr="00CB2C86">
        <w:t xml:space="preserve"> в обществе. Для консультирования по исследованиям, каса</w:t>
      </w:r>
      <w:r w:rsidRPr="00CB2C86">
        <w:t>ю</w:t>
      </w:r>
      <w:r w:rsidRPr="00CB2C86">
        <w:t xml:space="preserve">щимся ЗППП и </w:t>
      </w:r>
      <w:proofErr w:type="spellStart"/>
      <w:r w:rsidRPr="00CB2C86">
        <w:t>СПИДа</w:t>
      </w:r>
      <w:proofErr w:type="spellEnd"/>
      <w:r w:rsidR="00E269FE">
        <w:t>,</w:t>
      </w:r>
      <w:r w:rsidRPr="00CB2C86">
        <w:t xml:space="preserve"> при Центре охраны здоровья был учрежден научный комитет по ЗППП и ВИЧ/</w:t>
      </w:r>
      <w:proofErr w:type="spellStart"/>
      <w:r w:rsidRPr="00CB2C86">
        <w:t>СПИДу</w:t>
      </w:r>
      <w:proofErr w:type="spellEnd"/>
      <w:r w:rsidRPr="00CB2C86">
        <w:t xml:space="preserve">. </w:t>
      </w:r>
    </w:p>
    <w:p w:rsidR="00F936A8" w:rsidRPr="00E2781B" w:rsidRDefault="00F936A8" w:rsidP="00F91733">
      <w:pPr>
        <w:pStyle w:val="H4GR"/>
        <w:tabs>
          <w:tab w:val="left" w:pos="1980"/>
          <w:tab w:val="left" w:pos="2520"/>
        </w:tabs>
        <w:spacing w:before="240"/>
        <w:ind w:left="1134" w:right="1179" w:hanging="1134"/>
      </w:pPr>
      <w:r w:rsidRPr="00E2781B">
        <w:tab/>
      </w:r>
      <w:r w:rsidRPr="00E2781B">
        <w:tab/>
        <w:t>Ассоциация планирования семьи Гонконга</w:t>
      </w:r>
    </w:p>
    <w:p w:rsidR="00F936A8" w:rsidRPr="00CB2C86" w:rsidRDefault="00F936A8" w:rsidP="00F91733">
      <w:pPr>
        <w:pStyle w:val="SingleTxtGR"/>
        <w:tabs>
          <w:tab w:val="clear" w:pos="1701"/>
          <w:tab w:val="clear" w:pos="2268"/>
          <w:tab w:val="left" w:pos="1980"/>
          <w:tab w:val="left" w:pos="2520"/>
        </w:tabs>
      </w:pPr>
      <w:r w:rsidRPr="00CB2C86">
        <w:t>12.103</w:t>
      </w:r>
      <w:r w:rsidRPr="00CB2C86">
        <w:tab/>
        <w:t>Помимо государственных департаментов</w:t>
      </w:r>
      <w:r w:rsidR="00E269FE">
        <w:t>,</w:t>
      </w:r>
      <w:r w:rsidRPr="00CB2C86">
        <w:t xml:space="preserve"> пропагандой и укрепл</w:t>
      </w:r>
      <w:r w:rsidRPr="00CB2C86">
        <w:t>е</w:t>
      </w:r>
      <w:r w:rsidRPr="00CB2C86">
        <w:t>нием сексуального и репродуктивного здоровья занимается также Ассоциация пл</w:t>
      </w:r>
      <w:r w:rsidRPr="00CB2C86">
        <w:t>а</w:t>
      </w:r>
      <w:r w:rsidRPr="00CB2C86">
        <w:t>нирования семьи Гонконга (организация, субсидируемая государством), к</w:t>
      </w:r>
      <w:r w:rsidRPr="00CB2C86">
        <w:t>о</w:t>
      </w:r>
      <w:r w:rsidRPr="00CB2C86">
        <w:t>торая предоставляет соответствующую информацию, занимается просвещением и оказывает соответствующие услуги в обществе. Охват ее деятельности включ</w:t>
      </w:r>
      <w:r w:rsidRPr="00CB2C86">
        <w:t>а</w:t>
      </w:r>
      <w:r w:rsidRPr="00CB2C86">
        <w:t xml:space="preserve">ет в себя услугу по контролю за рождаемостью, </w:t>
      </w:r>
      <w:proofErr w:type="spellStart"/>
      <w:r w:rsidRPr="00CB2C86">
        <w:t>вазэктомию</w:t>
      </w:r>
      <w:proofErr w:type="spellEnd"/>
      <w:r w:rsidRPr="00CB2C86">
        <w:t>, прерывание бер</w:t>
      </w:r>
      <w:r w:rsidRPr="00CB2C86">
        <w:t>е</w:t>
      </w:r>
      <w:r w:rsidRPr="00CB2C86">
        <w:t>менности, услуги молодежи, программы укрепления здоровья мужчин и же</w:t>
      </w:r>
      <w:r w:rsidRPr="00CB2C86">
        <w:t>н</w:t>
      </w:r>
      <w:r w:rsidRPr="00CB2C86">
        <w:t xml:space="preserve">щин, восстановление репродуктивной функции, </w:t>
      </w:r>
      <w:proofErr w:type="spellStart"/>
      <w:r w:rsidRPr="00CB2C86">
        <w:t>сексотерапия</w:t>
      </w:r>
      <w:proofErr w:type="spellEnd"/>
      <w:r w:rsidRPr="00CB2C86">
        <w:t xml:space="preserve"> и консультиров</w:t>
      </w:r>
      <w:r w:rsidRPr="00CB2C86">
        <w:t>а</w:t>
      </w:r>
      <w:r w:rsidRPr="00CB2C86">
        <w:t>ние.</w:t>
      </w:r>
    </w:p>
    <w:p w:rsidR="00F936A8" w:rsidRPr="00CB2C86" w:rsidRDefault="00F936A8" w:rsidP="00F91733">
      <w:pPr>
        <w:pStyle w:val="H1GR"/>
        <w:tabs>
          <w:tab w:val="left" w:pos="1980"/>
          <w:tab w:val="left" w:pos="2520"/>
        </w:tabs>
      </w:pPr>
      <w:r w:rsidRPr="00CB2C86">
        <w:tab/>
      </w:r>
      <w:r w:rsidRPr="00CB2C86">
        <w:tab/>
        <w:t>Профилактика злоупотребления алкоголем</w:t>
      </w:r>
    </w:p>
    <w:p w:rsidR="00F936A8" w:rsidRPr="00CB2C86" w:rsidRDefault="00F936A8" w:rsidP="00F91733">
      <w:pPr>
        <w:pStyle w:val="H23GR"/>
        <w:tabs>
          <w:tab w:val="left" w:pos="1980"/>
          <w:tab w:val="left" w:pos="2520"/>
        </w:tabs>
      </w:pPr>
      <w:r w:rsidRPr="00CB2C86">
        <w:tab/>
      </w:r>
      <w:r w:rsidRPr="00CB2C86">
        <w:tab/>
        <w:t>Местная ситуация со злоупотреблением алкоголем</w:t>
      </w:r>
    </w:p>
    <w:p w:rsidR="00F936A8" w:rsidRPr="00CB2C86" w:rsidRDefault="00F936A8" w:rsidP="00F91733">
      <w:pPr>
        <w:pStyle w:val="SingleTxtGR"/>
        <w:tabs>
          <w:tab w:val="clear" w:pos="1701"/>
          <w:tab w:val="clear" w:pos="2268"/>
          <w:tab w:val="left" w:pos="1980"/>
          <w:tab w:val="left" w:pos="2520"/>
        </w:tabs>
      </w:pPr>
      <w:r w:rsidRPr="00CB2C86">
        <w:t>12.104</w:t>
      </w:r>
      <w:r w:rsidRPr="00CB2C86">
        <w:tab/>
        <w:t>С 2004</w:t>
      </w:r>
      <w:r w:rsidR="00B92291">
        <w:t> год</w:t>
      </w:r>
      <w:r w:rsidRPr="00CB2C86">
        <w:t>а ДЗ ежегодно отслеживает тенденцию потребления алког</w:t>
      </w:r>
      <w:r w:rsidRPr="00CB2C86">
        <w:t>о</w:t>
      </w:r>
      <w:r w:rsidRPr="00CB2C86">
        <w:t>ля с помощью Системы надзора за поведенческими факторами риска. С</w:t>
      </w:r>
      <w:r w:rsidRPr="00CB2C86">
        <w:t>о</w:t>
      </w:r>
      <w:r w:rsidRPr="00CB2C86">
        <w:t>гласно этой Системе у 8</w:t>
      </w:r>
      <w:r>
        <w:t>,</w:t>
      </w:r>
      <w:r w:rsidRPr="00CB2C86">
        <w:t>4% опрошенных в 2009</w:t>
      </w:r>
      <w:r w:rsidR="00B92291">
        <w:t> год</w:t>
      </w:r>
      <w:r w:rsidRPr="00CB2C86">
        <w:t>у жителей были периоды неум</w:t>
      </w:r>
      <w:r w:rsidRPr="00CB2C86">
        <w:t>е</w:t>
      </w:r>
      <w:r w:rsidRPr="00CB2C86">
        <w:t>ренного потребления алкоголя, которое определяется как зарегистрированное потребление не менее пяти банок/стаканов алкоголя один раз в месяц, предш</w:t>
      </w:r>
      <w:r w:rsidRPr="00CB2C86">
        <w:t>е</w:t>
      </w:r>
      <w:r w:rsidRPr="00CB2C86">
        <w:t>ствующий исследованию. Возрастная группа, характеризующаяся на</w:t>
      </w:r>
      <w:r w:rsidRPr="00CB2C86">
        <w:t>и</w:t>
      </w:r>
      <w:r w:rsidRPr="00CB2C86">
        <w:t>большим неумеренным потреблением алкоголя для обоих полов, находилась в интервале 25</w:t>
      </w:r>
      <w:r>
        <w:t>−</w:t>
      </w:r>
      <w:r w:rsidRPr="00CB2C86">
        <w:t>34 лет.</w:t>
      </w:r>
    </w:p>
    <w:p w:rsidR="00F936A8" w:rsidRPr="00CB2C86" w:rsidRDefault="00F936A8" w:rsidP="00F91733">
      <w:pPr>
        <w:pStyle w:val="SingleTxtGR"/>
        <w:tabs>
          <w:tab w:val="clear" w:pos="1701"/>
          <w:tab w:val="clear" w:pos="2268"/>
          <w:tab w:val="left" w:pos="1980"/>
          <w:tab w:val="left" w:pos="2520"/>
        </w:tabs>
      </w:pPr>
      <w:r w:rsidRPr="00CB2C86">
        <w:t>12.105</w:t>
      </w:r>
      <w:r w:rsidRPr="00CB2C86">
        <w:tab/>
        <w:t>ДЗ также регистрирует количество смертей, вызванных алкоголем, и случаев госпитализации в связи с потреблением алкоголя, причем эти цифры не изменяются. В 2008</w:t>
      </w:r>
      <w:r w:rsidR="00B92291">
        <w:t> год</w:t>
      </w:r>
      <w:r w:rsidRPr="00CB2C86">
        <w:t>у было зарегистрировано 2 422 случа</w:t>
      </w:r>
      <w:r w:rsidR="00E269FE">
        <w:t>я</w:t>
      </w:r>
      <w:r w:rsidRPr="00CB2C86">
        <w:t xml:space="preserve"> госпитализ</w:t>
      </w:r>
      <w:r w:rsidRPr="00CB2C86">
        <w:t>а</w:t>
      </w:r>
      <w:r w:rsidRPr="00CB2C86">
        <w:t>ции в государственные и частные госпитали, в которых при выписке диагноз был св</w:t>
      </w:r>
      <w:r w:rsidRPr="00CB2C86">
        <w:t>я</w:t>
      </w:r>
      <w:r w:rsidRPr="00CB2C86">
        <w:t>зан с алкоголем. На психические и поведенческие нарушения, вызванные п</w:t>
      </w:r>
      <w:r w:rsidRPr="00CB2C86">
        <w:t>о</w:t>
      </w:r>
      <w:r w:rsidRPr="00CB2C86">
        <w:t>треблением алкоголя, приходится (73</w:t>
      </w:r>
      <w:r>
        <w:t>,</w:t>
      </w:r>
      <w:r w:rsidRPr="00CB2C86">
        <w:t>4%) большинство таких госпитализ</w:t>
      </w:r>
      <w:r w:rsidRPr="00CB2C86">
        <w:t>а</w:t>
      </w:r>
      <w:r w:rsidRPr="00CB2C86">
        <w:t>ций. Другой основной причиной госпитализации является алкогольная болезнь п</w:t>
      </w:r>
      <w:r w:rsidRPr="00CB2C86">
        <w:t>е</w:t>
      </w:r>
      <w:r w:rsidRPr="00CB2C86">
        <w:t>чени (26</w:t>
      </w:r>
      <w:r>
        <w:t>,</w:t>
      </w:r>
      <w:r w:rsidRPr="00CB2C86">
        <w:t>5%). От этого явления страдают больше мужчины, чем женщины, а в 2008</w:t>
      </w:r>
      <w:r w:rsidR="00B92291">
        <w:t> год</w:t>
      </w:r>
      <w:r w:rsidRPr="00CB2C86">
        <w:t>у на мужчин в возрасте 45 лет и старше приходилось 79</w:t>
      </w:r>
      <w:r>
        <w:t>,</w:t>
      </w:r>
      <w:r w:rsidRPr="00CB2C86">
        <w:t>7% всех зар</w:t>
      </w:r>
      <w:r w:rsidRPr="00CB2C86">
        <w:t>е</w:t>
      </w:r>
      <w:r w:rsidRPr="00CB2C86">
        <w:t>гистрированных местных смертей от алкоголя. Смерти от алкоголя с</w:t>
      </w:r>
      <w:r w:rsidRPr="00CB2C86">
        <w:t>о</w:t>
      </w:r>
      <w:r w:rsidRPr="00CB2C86">
        <w:t>ставляют 0</w:t>
      </w:r>
      <w:r>
        <w:t>,</w:t>
      </w:r>
      <w:r w:rsidRPr="00CB2C86">
        <w:t>2% местных зарегистрированных смертей (в 2008</w:t>
      </w:r>
      <w:r w:rsidR="00B92291">
        <w:t> год</w:t>
      </w:r>
      <w:r w:rsidRPr="00CB2C86">
        <w:t>у 69 из 41</w:t>
      </w:r>
      <w:r>
        <w:t> </w:t>
      </w:r>
      <w:r w:rsidRPr="00CB2C86">
        <w:t>530).</w:t>
      </w:r>
    </w:p>
    <w:p w:rsidR="00F936A8" w:rsidRPr="00CB2C86" w:rsidRDefault="00F936A8" w:rsidP="00F91733">
      <w:pPr>
        <w:pStyle w:val="H23GR"/>
        <w:tabs>
          <w:tab w:val="left" w:pos="1980"/>
          <w:tab w:val="left" w:pos="2520"/>
        </w:tabs>
      </w:pPr>
      <w:r w:rsidRPr="00CB2C86">
        <w:tab/>
      </w:r>
      <w:r w:rsidRPr="00CB2C86">
        <w:tab/>
        <w:t>Существующие меры вмешательства по предупреждению и борьбе с неумеренным потреблением алкоголя и его вредными последс</w:t>
      </w:r>
      <w:r w:rsidRPr="00CB2C86">
        <w:t>т</w:t>
      </w:r>
      <w:r w:rsidRPr="00CB2C86">
        <w:t>виями</w:t>
      </w:r>
    </w:p>
    <w:p w:rsidR="00F936A8" w:rsidRPr="00CB2C86" w:rsidRDefault="00F936A8" w:rsidP="00E269FE">
      <w:pPr>
        <w:pStyle w:val="SingleTxtGR"/>
        <w:keepLines/>
        <w:tabs>
          <w:tab w:val="clear" w:pos="1701"/>
          <w:tab w:val="clear" w:pos="2268"/>
          <w:tab w:val="left" w:pos="1980"/>
          <w:tab w:val="left" w:pos="2520"/>
        </w:tabs>
      </w:pPr>
      <w:r w:rsidRPr="00CB2C86">
        <w:t>12.106</w:t>
      </w:r>
      <w:r w:rsidRPr="00CB2C86">
        <w:tab/>
        <w:t>В Гонконге действуют ограничения и правила по борьбе с неумере</w:t>
      </w:r>
      <w:r w:rsidRPr="00CB2C86">
        <w:t>н</w:t>
      </w:r>
      <w:r w:rsidRPr="00CB2C86">
        <w:t>ным потреблением алкоголя и его вредными последствиями. Лицо совершает правонарушение, если оно управляет или пытается управлять автомобилем</w:t>
      </w:r>
      <w:r w:rsidR="00E35299">
        <w:t>,</w:t>
      </w:r>
      <w:r w:rsidRPr="00CB2C86">
        <w:t xml:space="preserve"> или находится в автомобиле на любой дороге, когда содержание алкоголя в его д</w:t>
      </w:r>
      <w:r w:rsidRPr="00CB2C86">
        <w:t>ы</w:t>
      </w:r>
      <w:r w:rsidRPr="00CB2C86">
        <w:t>хании, крови или моче превышает установленную норму. С 9 февраля 2009</w:t>
      </w:r>
      <w:r w:rsidR="00B92291">
        <w:t> год</w:t>
      </w:r>
      <w:r w:rsidRPr="00CB2C86">
        <w:t xml:space="preserve">а проводятся выборочные проверки на содержание алкоголя с помощью </w:t>
      </w:r>
      <w:proofErr w:type="spellStart"/>
      <w:r w:rsidRPr="00CB2C86">
        <w:t>алкот</w:t>
      </w:r>
      <w:r w:rsidRPr="00CB2C86">
        <w:t>е</w:t>
      </w:r>
      <w:r w:rsidRPr="00CB2C86">
        <w:t>ст</w:t>
      </w:r>
      <w:r w:rsidR="00E269FE">
        <w:t>е</w:t>
      </w:r>
      <w:r w:rsidRPr="00CB2C86">
        <w:t>ров</w:t>
      </w:r>
      <w:proofErr w:type="spellEnd"/>
      <w:r w:rsidRPr="00CB2C86">
        <w:t>, а переодетые в штатское полицейские могут потребовать от лица, кот</w:t>
      </w:r>
      <w:r w:rsidRPr="00CB2C86">
        <w:t>о</w:t>
      </w:r>
      <w:r w:rsidRPr="00CB2C86">
        <w:t>рое управляет или пытается управлять автомобилем на любой дороге пройти проверку на содержани</w:t>
      </w:r>
      <w:r w:rsidR="00E269FE">
        <w:t>е</w:t>
      </w:r>
      <w:r w:rsidRPr="00CB2C86">
        <w:t xml:space="preserve"> алкоголя без всякого на то разумного подозрения.</w:t>
      </w:r>
    </w:p>
    <w:p w:rsidR="00F936A8" w:rsidRPr="00CB2C86" w:rsidRDefault="00F936A8" w:rsidP="00F91733">
      <w:pPr>
        <w:pStyle w:val="SingleTxtGR"/>
        <w:tabs>
          <w:tab w:val="clear" w:pos="1701"/>
          <w:tab w:val="clear" w:pos="2268"/>
          <w:tab w:val="left" w:pos="1980"/>
          <w:tab w:val="left" w:pos="2520"/>
        </w:tabs>
      </w:pPr>
      <w:r w:rsidRPr="00CB2C86">
        <w:t>12.107</w:t>
      </w:r>
      <w:r w:rsidRPr="00CB2C86">
        <w:tab/>
        <w:t>Уровень осведомленности общественности о вреде неумеренного п</w:t>
      </w:r>
      <w:r w:rsidRPr="00CB2C86">
        <w:t>о</w:t>
      </w:r>
      <w:r w:rsidRPr="00CB2C86">
        <w:t>требления алкоголя повышается путем публичного просвещения. ДЗ предо</w:t>
      </w:r>
      <w:r w:rsidRPr="00CB2C86">
        <w:t>с</w:t>
      </w:r>
      <w:r w:rsidRPr="00CB2C86">
        <w:t xml:space="preserve">тавляет населению медицинскую информацию в виде печатных материалов, круглосуточных просветительских горячих линий, </w:t>
      </w:r>
      <w:proofErr w:type="spellStart"/>
      <w:r>
        <w:t>вебсайт</w:t>
      </w:r>
      <w:r w:rsidRPr="00CB2C86">
        <w:t>ов</w:t>
      </w:r>
      <w:proofErr w:type="spellEnd"/>
      <w:r w:rsidRPr="00CB2C86">
        <w:t xml:space="preserve"> и электронных и</w:t>
      </w:r>
      <w:r w:rsidRPr="00CB2C86">
        <w:t>з</w:t>
      </w:r>
      <w:r w:rsidRPr="00CB2C86">
        <w:t>даний, информирующих население о необходимости предупреждения злоупо</w:t>
      </w:r>
      <w:r w:rsidRPr="00CB2C86">
        <w:t>т</w:t>
      </w:r>
      <w:r w:rsidRPr="00CB2C86">
        <w:t>ребления алкоголем. Департамент транспорта, Совет по безопасности дорожн</w:t>
      </w:r>
      <w:r w:rsidRPr="00CB2C86">
        <w:t>о</w:t>
      </w:r>
      <w:r w:rsidRPr="00CB2C86">
        <w:t xml:space="preserve">го движения и </w:t>
      </w:r>
      <w:r w:rsidR="00E35299" w:rsidRPr="00CB2C86">
        <w:t xml:space="preserve">полиция </w:t>
      </w:r>
      <w:r w:rsidRPr="00CB2C86">
        <w:t>делают публичные заявления с целью предупрежд</w:t>
      </w:r>
      <w:r w:rsidRPr="00CB2C86">
        <w:t>е</w:t>
      </w:r>
      <w:r w:rsidRPr="00CB2C86">
        <w:t>ния пьянства за рулем, которые транслируются по телевидению и радио. На ре</w:t>
      </w:r>
      <w:r w:rsidRPr="00CB2C86">
        <w:t>к</w:t>
      </w:r>
      <w:r w:rsidRPr="00CB2C86">
        <w:t>ламных растяжках и щитах содержатся соответствующие надписи, напом</w:t>
      </w:r>
      <w:r w:rsidRPr="00CB2C86">
        <w:t>и</w:t>
      </w:r>
      <w:r w:rsidRPr="00CB2C86">
        <w:t>нающие населению о недопустимости управления автомобилем в состоянии а</w:t>
      </w:r>
      <w:r w:rsidRPr="00CB2C86">
        <w:t>л</w:t>
      </w:r>
      <w:r w:rsidRPr="00CB2C86">
        <w:t>когольного опьянения. НПО также обеспечивают жителей медицинскими пр</w:t>
      </w:r>
      <w:r w:rsidRPr="00CB2C86">
        <w:t>о</w:t>
      </w:r>
      <w:r w:rsidRPr="00CB2C86">
        <w:t>светительскими материалами и сообщают телефоны горячей линии.</w:t>
      </w:r>
    </w:p>
    <w:p w:rsidR="00F936A8" w:rsidRPr="00CB2C86" w:rsidRDefault="00F936A8" w:rsidP="00F91733">
      <w:pPr>
        <w:pStyle w:val="SingleTxtGR"/>
        <w:tabs>
          <w:tab w:val="clear" w:pos="1701"/>
          <w:tab w:val="clear" w:pos="2268"/>
          <w:tab w:val="left" w:pos="1980"/>
          <w:tab w:val="left" w:pos="2520"/>
        </w:tabs>
      </w:pPr>
      <w:r w:rsidRPr="00CB2C86">
        <w:t>12.108</w:t>
      </w:r>
      <w:r w:rsidRPr="00CB2C86">
        <w:tab/>
        <w:t>Лечебные, консультационные и реабилитационные услуги оказываю</w:t>
      </w:r>
      <w:r w:rsidRPr="00CB2C86">
        <w:t>т</w:t>
      </w:r>
      <w:r w:rsidRPr="00CB2C86">
        <w:t>ся людям, страдающим алкогольной зависимостью, госпиталями и нарколог</w:t>
      </w:r>
      <w:r w:rsidRPr="00CB2C86">
        <w:t>и</w:t>
      </w:r>
      <w:r w:rsidRPr="00CB2C86">
        <w:t xml:space="preserve">ческими клиниками и НПО, в том числе организацией </w:t>
      </w:r>
      <w:r w:rsidR="00E35299">
        <w:t>"</w:t>
      </w:r>
      <w:r w:rsidRPr="00CB2C86">
        <w:t>Анонимные алкогол</w:t>
      </w:r>
      <w:r w:rsidRPr="00CB2C86">
        <w:t>и</w:t>
      </w:r>
      <w:r w:rsidRPr="00CB2C86">
        <w:t>ки</w:t>
      </w:r>
      <w:r w:rsidR="00E35299">
        <w:t>"</w:t>
      </w:r>
      <w:r w:rsidRPr="00CB2C86">
        <w:t>.</w:t>
      </w:r>
    </w:p>
    <w:p w:rsidR="00F936A8" w:rsidRPr="00CB2C86" w:rsidRDefault="00F936A8" w:rsidP="00F91733">
      <w:pPr>
        <w:pStyle w:val="H23GR"/>
        <w:tabs>
          <w:tab w:val="left" w:pos="1980"/>
          <w:tab w:val="left" w:pos="2520"/>
        </w:tabs>
      </w:pPr>
      <w:r w:rsidRPr="00CB2C86">
        <w:tab/>
      </w:r>
      <w:r w:rsidRPr="00CB2C86">
        <w:tab/>
        <w:t>План на будущее</w:t>
      </w:r>
    </w:p>
    <w:p w:rsidR="00F936A8" w:rsidRPr="00CB2C86" w:rsidRDefault="00F936A8" w:rsidP="00F91733">
      <w:pPr>
        <w:pStyle w:val="SingleTxtGR"/>
        <w:tabs>
          <w:tab w:val="clear" w:pos="1701"/>
          <w:tab w:val="clear" w:pos="2268"/>
          <w:tab w:val="left" w:pos="1980"/>
          <w:tab w:val="left" w:pos="2520"/>
        </w:tabs>
      </w:pPr>
      <w:r w:rsidRPr="00CB2C86">
        <w:t>12.109</w:t>
      </w:r>
      <w:r w:rsidRPr="00CB2C86">
        <w:tab/>
        <w:t>Злоупотребление алкоголем является одним из приоритетных напра</w:t>
      </w:r>
      <w:r w:rsidRPr="00CB2C86">
        <w:t>в</w:t>
      </w:r>
      <w:r w:rsidRPr="00CB2C86">
        <w:t xml:space="preserve">лений действий, изложенных в документе </w:t>
      </w:r>
      <w:r>
        <w:t>"</w:t>
      </w:r>
      <w:r w:rsidRPr="00CB2C86">
        <w:t>Укрепление здоровья в Гонконге: Стратегические рамки по предупреждению и борьбе с неинфекционными б</w:t>
      </w:r>
      <w:r w:rsidRPr="00CB2C86">
        <w:t>о</w:t>
      </w:r>
      <w:r w:rsidRPr="00CB2C86">
        <w:t>лезнями (НИБ)</w:t>
      </w:r>
      <w:r>
        <w:t>"</w:t>
      </w:r>
      <w:r w:rsidRPr="004F0ED8">
        <w:rPr>
          <w:sz w:val="18"/>
          <w:szCs w:val="18"/>
          <w:vertAlign w:val="superscript"/>
          <w:lang w:val="en-GB"/>
        </w:rPr>
        <w:footnoteReference w:id="21"/>
      </w:r>
      <w:r>
        <w:t>.</w:t>
      </w:r>
      <w:r w:rsidRPr="00CB2C86">
        <w:t xml:space="preserve"> Под эгидой Руководящего комитета по предупреждению и борьбе с НИБ для обсуждения и вынесения рекомендаций в отношении дейс</w:t>
      </w:r>
      <w:r w:rsidRPr="00CB2C86">
        <w:t>т</w:t>
      </w:r>
      <w:r w:rsidRPr="00CB2C86">
        <w:t>вий по пропаганде разумного потребления алкоголя и снижения его вредных последствий, а также разработки целевых показателей и планов действий была сформирована Рабочая группа по травматизму и злоупотреблению алкоголем.</w:t>
      </w:r>
    </w:p>
    <w:p w:rsidR="00F936A8" w:rsidRPr="00CB2C86" w:rsidRDefault="00F936A8" w:rsidP="00F91733">
      <w:pPr>
        <w:pStyle w:val="H1GR"/>
        <w:tabs>
          <w:tab w:val="left" w:pos="1980"/>
          <w:tab w:val="left" w:pos="2520"/>
        </w:tabs>
      </w:pPr>
      <w:r w:rsidRPr="00CB2C86">
        <w:tab/>
      </w:r>
      <w:r w:rsidRPr="00CB2C86">
        <w:tab/>
        <w:t xml:space="preserve">Борьба с </w:t>
      </w:r>
      <w:proofErr w:type="spellStart"/>
      <w:r w:rsidRPr="00CB2C86">
        <w:t>табакокурением</w:t>
      </w:r>
      <w:proofErr w:type="spellEnd"/>
    </w:p>
    <w:p w:rsidR="00F936A8" w:rsidRPr="00CB2C86" w:rsidRDefault="00F936A8" w:rsidP="00F91733">
      <w:pPr>
        <w:pStyle w:val="SingleTxtGR"/>
        <w:tabs>
          <w:tab w:val="clear" w:pos="1701"/>
          <w:tab w:val="clear" w:pos="2268"/>
          <w:tab w:val="left" w:pos="1980"/>
          <w:tab w:val="left" w:pos="2520"/>
        </w:tabs>
      </w:pPr>
      <w:r w:rsidRPr="00CB2C86">
        <w:t>12.110</w:t>
      </w:r>
      <w:r w:rsidRPr="00CB2C86">
        <w:tab/>
        <w:t xml:space="preserve">Политика правительства заключается именно в том, чтобы ввести в действие меры по борьбе с </w:t>
      </w:r>
      <w:proofErr w:type="spellStart"/>
      <w:r w:rsidRPr="00CB2C86">
        <w:t>табакокурением</w:t>
      </w:r>
      <w:proofErr w:type="spellEnd"/>
      <w:r w:rsidRPr="00CB2C86">
        <w:t xml:space="preserve"> в соответствии с общемировыми тенденциями, пожеланиями общественности и Рамочной конвенцией ВОЗ по борьбе против табака (РКБТ). Правительство САРГ применяет постепенный и многосторонний подход, охватывающий законодательство, налогообложение, пропаганду, просвещение, обеспечение соблюдения и программы борьбы с пр</w:t>
      </w:r>
      <w:r w:rsidRPr="00CB2C86">
        <w:t>и</w:t>
      </w:r>
      <w:r w:rsidRPr="00CB2C86">
        <w:t>вычкой курения, чтобы сдержать потребление табака и максимально защитить граждан от пассивного курения. Благодаря принятым в предшествующие дес</w:t>
      </w:r>
      <w:r w:rsidRPr="00CB2C86">
        <w:t>я</w:t>
      </w:r>
      <w:r w:rsidRPr="00CB2C86">
        <w:t>тилетия мерам количество курильщиков в Гонконге сокращается. Согласно т</w:t>
      </w:r>
      <w:r w:rsidRPr="00CB2C86">
        <w:t>е</w:t>
      </w:r>
      <w:r w:rsidRPr="00CB2C86">
        <w:t>матическому опросу домашних хозяйств, проведенному Департаментом пер</w:t>
      </w:r>
      <w:r w:rsidRPr="00CB2C86">
        <w:t>е</w:t>
      </w:r>
      <w:r w:rsidRPr="00CB2C86">
        <w:t>писей и статистики в 2007</w:t>
      </w:r>
      <w:r>
        <w:t>−</w:t>
      </w:r>
      <w:r w:rsidRPr="00CB2C86">
        <w:t>2008</w:t>
      </w:r>
      <w:r w:rsidR="00B92291">
        <w:t> год</w:t>
      </w:r>
      <w:r w:rsidRPr="00CB2C86">
        <w:t>ах, 11,8% жителей Гонконга в возрасте 15</w:t>
      </w:r>
      <w:r>
        <w:t> </w:t>
      </w:r>
      <w:r w:rsidRPr="00CB2C86">
        <w:t>лет и старше курили ежедневно по сравнению с 14% в 2005</w:t>
      </w:r>
      <w:r w:rsidR="00B92291">
        <w:t> год</w:t>
      </w:r>
      <w:r w:rsidRPr="00CB2C86">
        <w:t xml:space="preserve">у. </w:t>
      </w:r>
    </w:p>
    <w:p w:rsidR="00F936A8" w:rsidRPr="00CB2C86" w:rsidRDefault="00F936A8" w:rsidP="00F91733">
      <w:pPr>
        <w:pStyle w:val="SingleTxtGR"/>
        <w:tabs>
          <w:tab w:val="clear" w:pos="1701"/>
          <w:tab w:val="clear" w:pos="2268"/>
          <w:tab w:val="left" w:pos="1980"/>
          <w:tab w:val="left" w:pos="2520"/>
        </w:tabs>
      </w:pPr>
      <w:r w:rsidRPr="00CB2C86">
        <w:t>12.111</w:t>
      </w:r>
      <w:r w:rsidRPr="00CB2C86">
        <w:tab/>
        <w:t>Чтобы сократить количество курильщиков, в последние несколько лет правительство приняло ряд законодательных мер. В соответствии с измене</w:t>
      </w:r>
      <w:r w:rsidRPr="00CB2C86">
        <w:t>н</w:t>
      </w:r>
      <w:r w:rsidRPr="00CB2C86">
        <w:t xml:space="preserve">ным Указом о борьбе с курением (общественное здравоохранение) </w:t>
      </w:r>
      <w:r>
        <w:t>(гл</w:t>
      </w:r>
      <w:r>
        <w:t>а</w:t>
      </w:r>
      <w:r>
        <w:t>ва </w:t>
      </w:r>
      <w:r w:rsidRPr="00CB2C86">
        <w:t>371) с 1 января 2007</w:t>
      </w:r>
      <w:r w:rsidR="00B92291">
        <w:t> год</w:t>
      </w:r>
      <w:r w:rsidRPr="00CB2C86">
        <w:t>а курение было запрещено в ресторанах, на рабочих местах и в общественных местах, а также в некоторых зонах на открытом воздухе, в ч</w:t>
      </w:r>
      <w:r w:rsidRPr="00CB2C86">
        <w:t>а</w:t>
      </w:r>
      <w:r w:rsidRPr="00CB2C86">
        <w:t>стности пляжах и парках отдыха. Начиная с июля 2009</w:t>
      </w:r>
      <w:r w:rsidR="00B92291">
        <w:t> год</w:t>
      </w:r>
      <w:r w:rsidRPr="00CB2C86">
        <w:t>а запрет на курение был распространен на все бары, клубы, ночные клубы, бани, масса</w:t>
      </w:r>
      <w:r w:rsidRPr="00CB2C86">
        <w:t>ж</w:t>
      </w:r>
      <w:r w:rsidRPr="00CB2C86">
        <w:t xml:space="preserve">ные салоны и помещения для игры в </w:t>
      </w:r>
      <w:proofErr w:type="spellStart"/>
      <w:r w:rsidRPr="00CB2C86">
        <w:t>маджонг</w:t>
      </w:r>
      <w:proofErr w:type="spellEnd"/>
      <w:r w:rsidRPr="00CB2C86">
        <w:t xml:space="preserve"> и </w:t>
      </w:r>
      <w:proofErr w:type="spellStart"/>
      <w:r w:rsidRPr="00CB2C86">
        <w:t>тинькау</w:t>
      </w:r>
      <w:proofErr w:type="spellEnd"/>
      <w:r w:rsidRPr="00CB2C86">
        <w:t>. С 1 сентября 2009</w:t>
      </w:r>
      <w:r w:rsidR="00B92291">
        <w:t> год</w:t>
      </w:r>
      <w:r w:rsidRPr="00CB2C86">
        <w:t>а курение также запрещается на транспортных публичных пересадочных станциях, и в 2010</w:t>
      </w:r>
      <w:r w:rsidR="00B92291">
        <w:t> год</w:t>
      </w:r>
      <w:r w:rsidRPr="00CB2C86">
        <w:t>у планируется запретить курение на открытых пересадочных ста</w:t>
      </w:r>
      <w:r w:rsidRPr="00CB2C86">
        <w:t>н</w:t>
      </w:r>
      <w:r w:rsidRPr="00CB2C86">
        <w:t>циях. Чтобы усилить соблюдение запрета на курение, с сентября 2009</w:t>
      </w:r>
      <w:r w:rsidR="00B92291">
        <w:t> год</w:t>
      </w:r>
      <w:r w:rsidRPr="00CB2C86">
        <w:t>а за его н</w:t>
      </w:r>
      <w:r w:rsidRPr="00CB2C86">
        <w:t>а</w:t>
      </w:r>
      <w:r w:rsidRPr="00CB2C86">
        <w:t>рушение берется фиксированный штраф в размере 1</w:t>
      </w:r>
      <w:r>
        <w:t> </w:t>
      </w:r>
      <w:r w:rsidRPr="00CB2C86">
        <w:t>500 долларов. Кроме того, за исключением временного разрешения уличным торговцам на рекламу таба</w:t>
      </w:r>
      <w:r w:rsidRPr="00CB2C86">
        <w:t>ч</w:t>
      </w:r>
      <w:r w:rsidRPr="00CB2C86">
        <w:t>ных изделий, истекающего 1 ноября 2009</w:t>
      </w:r>
      <w:r w:rsidR="00B92291">
        <w:t> год</w:t>
      </w:r>
      <w:r w:rsidRPr="00CB2C86">
        <w:t>а, любая реклама табака теперь полностью запрещена.</w:t>
      </w:r>
    </w:p>
    <w:p w:rsidR="00F936A8" w:rsidRPr="00CB2C86" w:rsidRDefault="00F936A8" w:rsidP="00F91733">
      <w:pPr>
        <w:pStyle w:val="SingleTxtGR"/>
        <w:tabs>
          <w:tab w:val="clear" w:pos="1701"/>
          <w:tab w:val="clear" w:pos="2268"/>
          <w:tab w:val="left" w:pos="1980"/>
          <w:tab w:val="left" w:pos="2520"/>
        </w:tabs>
      </w:pPr>
      <w:r w:rsidRPr="00CB2C86">
        <w:t>12.112</w:t>
      </w:r>
      <w:r w:rsidRPr="00CB2C86">
        <w:tab/>
        <w:t>Статья 6 РКБТ ВОЗ обязывает Стороны Конвенции принять нал</w:t>
      </w:r>
      <w:r w:rsidRPr="00CB2C86">
        <w:t>о</w:t>
      </w:r>
      <w:r w:rsidRPr="00CB2C86">
        <w:t>говые и ценовые меры для сокращения спроса на табак. После небольшого повыш</w:t>
      </w:r>
      <w:r w:rsidRPr="00CB2C86">
        <w:t>е</w:t>
      </w:r>
      <w:r w:rsidRPr="00CB2C86">
        <w:t>ния пошлины на табачные изделия в размере 5% в 2001</w:t>
      </w:r>
      <w:r>
        <w:t>−</w:t>
      </w:r>
      <w:r w:rsidRPr="00CB2C86">
        <w:t>2002</w:t>
      </w:r>
      <w:r w:rsidR="00B92291">
        <w:t> год</w:t>
      </w:r>
      <w:r w:rsidR="00E35299">
        <w:t>ах</w:t>
      </w:r>
      <w:r w:rsidRPr="00CB2C86">
        <w:t xml:space="preserve"> правител</w:t>
      </w:r>
      <w:r w:rsidRPr="00CB2C86">
        <w:t>ь</w:t>
      </w:r>
      <w:r w:rsidRPr="00CB2C86">
        <w:t>ство в 2009</w:t>
      </w:r>
      <w:r>
        <w:t>−</w:t>
      </w:r>
      <w:r w:rsidRPr="00CB2C86">
        <w:t>2010</w:t>
      </w:r>
      <w:r w:rsidR="00B92291">
        <w:t> год</w:t>
      </w:r>
      <w:r w:rsidR="00E35299">
        <w:t>ах</w:t>
      </w:r>
      <w:r w:rsidRPr="00CB2C86">
        <w:t xml:space="preserve"> увеличило ее </w:t>
      </w:r>
      <w:r w:rsidR="00E35299">
        <w:t xml:space="preserve">на </w:t>
      </w:r>
      <w:r w:rsidRPr="00CB2C86">
        <w:t>50%. Цель состоит в том, чтобы еще больше сократить количество курильщиков и убедить их отказаться от курения. В настоящее время пошлина на табачные изделия составляет в Гонконге пр</w:t>
      </w:r>
      <w:r w:rsidRPr="00CB2C86">
        <w:t>и</w:t>
      </w:r>
      <w:r w:rsidRPr="00CB2C86">
        <w:t>мерно 65% розничной цены на сигареты.</w:t>
      </w:r>
    </w:p>
    <w:p w:rsidR="00F936A8" w:rsidRPr="00CB2C86" w:rsidRDefault="00F936A8" w:rsidP="00F91733">
      <w:pPr>
        <w:pStyle w:val="SingleTxtGR"/>
        <w:tabs>
          <w:tab w:val="clear" w:pos="1701"/>
          <w:tab w:val="clear" w:pos="2268"/>
          <w:tab w:val="left" w:pos="1980"/>
          <w:tab w:val="left" w:pos="2520"/>
        </w:tabs>
      </w:pPr>
      <w:r w:rsidRPr="00CB2C86">
        <w:t>12.113</w:t>
      </w:r>
      <w:r w:rsidRPr="00CB2C86">
        <w:tab/>
        <w:t>В 1987</w:t>
      </w:r>
      <w:r w:rsidR="00B92291">
        <w:t> год</w:t>
      </w:r>
      <w:r w:rsidRPr="00CB2C86">
        <w:t>у правительство учредило НПО Совет по борьбе с кур</w:t>
      </w:r>
      <w:r w:rsidRPr="00CB2C86">
        <w:t>е</w:t>
      </w:r>
      <w:r w:rsidRPr="00CB2C86">
        <w:t>нием и здоровому образу жизни Гонконга (СБКЗОЖ), призванный давать ему рек</w:t>
      </w:r>
      <w:r w:rsidRPr="00CB2C86">
        <w:t>о</w:t>
      </w:r>
      <w:r w:rsidRPr="00CB2C86">
        <w:t>мендации относительно его антитабачной политики. На СБКЗОЖ также возл</w:t>
      </w:r>
      <w:r w:rsidRPr="00CB2C86">
        <w:t>о</w:t>
      </w:r>
      <w:r w:rsidRPr="00CB2C86">
        <w:t>жена задача по сбору и распространению информации о табачной завис</w:t>
      </w:r>
      <w:r w:rsidRPr="00CB2C86">
        <w:t>и</w:t>
      </w:r>
      <w:r w:rsidRPr="00CB2C86">
        <w:t xml:space="preserve">мости и ее вредных последствиях с целью сокращения числа курильщиков в Гонконге. Большинство пропагандистских программ СБКЗОЖ адресованы молодежи и подросткам, чтобы убедить их сказать </w:t>
      </w:r>
      <w:r>
        <w:t>"</w:t>
      </w:r>
      <w:r w:rsidRPr="00CB2C86">
        <w:t>нет</w:t>
      </w:r>
      <w:r>
        <w:t>"</w:t>
      </w:r>
      <w:r w:rsidRPr="00CB2C86">
        <w:t xml:space="preserve"> курению и активно отстаивать св</w:t>
      </w:r>
      <w:r w:rsidRPr="00CB2C86">
        <w:t>о</w:t>
      </w:r>
      <w:r w:rsidRPr="00CB2C86">
        <w:t>бодную от курения среду.</w:t>
      </w:r>
    </w:p>
    <w:p w:rsidR="00F936A8" w:rsidRPr="00CB2C86" w:rsidRDefault="00F936A8" w:rsidP="00F91733">
      <w:pPr>
        <w:pStyle w:val="SingleTxtGR"/>
        <w:tabs>
          <w:tab w:val="clear" w:pos="1701"/>
          <w:tab w:val="clear" w:pos="2268"/>
          <w:tab w:val="left" w:pos="1980"/>
          <w:tab w:val="left" w:pos="2520"/>
        </w:tabs>
      </w:pPr>
      <w:r w:rsidRPr="00CB2C86">
        <w:t>12.114</w:t>
      </w:r>
      <w:r w:rsidRPr="00CB2C86">
        <w:tab/>
        <w:t>Чтобы активизировать и скоординировать усилия правительства по борьбе с курением, в феврале 2001</w:t>
      </w:r>
      <w:r w:rsidR="00B92291">
        <w:t> год</w:t>
      </w:r>
      <w:r w:rsidRPr="00CB2C86">
        <w:t>а в соответствии с Указом о борьбе с к</w:t>
      </w:r>
      <w:r w:rsidRPr="00CB2C86">
        <w:t>у</w:t>
      </w:r>
      <w:r w:rsidRPr="00CB2C86">
        <w:t>рением (общественное здравоохранение) было создано Бюро по борьбе с кур</w:t>
      </w:r>
      <w:r w:rsidRPr="00CB2C86">
        <w:t>е</w:t>
      </w:r>
      <w:r w:rsidRPr="00CB2C86">
        <w:t xml:space="preserve">нием ДЗ, которое выполняет функции одного из главных органов </w:t>
      </w:r>
      <w:proofErr w:type="spellStart"/>
      <w:r w:rsidRPr="00CB2C86">
        <w:t>правоприм</w:t>
      </w:r>
      <w:r w:rsidRPr="00CB2C86">
        <w:t>е</w:t>
      </w:r>
      <w:r w:rsidRPr="00CB2C86">
        <w:t>нения</w:t>
      </w:r>
      <w:proofErr w:type="spellEnd"/>
      <w:r w:rsidRPr="00CB2C86">
        <w:t>.</w:t>
      </w:r>
    </w:p>
    <w:p w:rsidR="00F936A8" w:rsidRPr="00CB2C86" w:rsidRDefault="00F936A8" w:rsidP="00E35299">
      <w:pPr>
        <w:pStyle w:val="SingleTxtGR"/>
        <w:keepLines/>
        <w:tabs>
          <w:tab w:val="clear" w:pos="1701"/>
          <w:tab w:val="clear" w:pos="2268"/>
          <w:tab w:val="left" w:pos="1980"/>
          <w:tab w:val="left" w:pos="2520"/>
        </w:tabs>
      </w:pPr>
      <w:r w:rsidRPr="00CB2C86">
        <w:t>12.115</w:t>
      </w:r>
      <w:r w:rsidRPr="00CB2C86">
        <w:tab/>
        <w:t>Услуги, помогающие отказаться от курения, оказывают ДЗ, АБ и НПО. Программы борьбы с курением в Гонконге охватывают широкий ряд деятельн</w:t>
      </w:r>
      <w:r w:rsidRPr="00CB2C86">
        <w:t>о</w:t>
      </w:r>
      <w:r w:rsidRPr="00CB2C86">
        <w:t>сти и услуг, включая услуги по отказу от курения, просвещение насел</w:t>
      </w:r>
      <w:r w:rsidRPr="00CB2C86">
        <w:t>е</w:t>
      </w:r>
      <w:r w:rsidRPr="00CB2C86">
        <w:t>ния, профессиональную подготовку работников сферы здравоохранения и исслед</w:t>
      </w:r>
      <w:r w:rsidRPr="00CB2C86">
        <w:t>о</w:t>
      </w:r>
      <w:r w:rsidRPr="00CB2C86">
        <w:t>вательские проекты.</w:t>
      </w:r>
    </w:p>
    <w:p w:rsidR="00F936A8" w:rsidRPr="00CB2C86" w:rsidRDefault="00F936A8" w:rsidP="00F91733">
      <w:pPr>
        <w:pStyle w:val="H1GR"/>
        <w:tabs>
          <w:tab w:val="left" w:pos="1980"/>
          <w:tab w:val="left" w:pos="2520"/>
        </w:tabs>
      </w:pPr>
      <w:r w:rsidRPr="00CB2C86">
        <w:tab/>
      </w:r>
      <w:r w:rsidRPr="00CB2C86">
        <w:tab/>
        <w:t>Борьба с наркоманией</w:t>
      </w:r>
    </w:p>
    <w:p w:rsidR="00F936A8" w:rsidRPr="00CB2C86" w:rsidRDefault="00F936A8" w:rsidP="00F91733">
      <w:pPr>
        <w:pStyle w:val="H23GR"/>
        <w:tabs>
          <w:tab w:val="left" w:pos="1980"/>
          <w:tab w:val="left" w:pos="2520"/>
        </w:tabs>
      </w:pPr>
      <w:r w:rsidRPr="00CB2C86">
        <w:tab/>
      </w:r>
      <w:r w:rsidRPr="00CB2C86">
        <w:tab/>
        <w:t>Растущая тенденция</w:t>
      </w:r>
    </w:p>
    <w:p w:rsidR="00F936A8" w:rsidRPr="00CB2C86" w:rsidRDefault="00F936A8" w:rsidP="00F91733">
      <w:pPr>
        <w:pStyle w:val="SingleTxtGR"/>
        <w:tabs>
          <w:tab w:val="clear" w:pos="1701"/>
          <w:tab w:val="clear" w:pos="2268"/>
          <w:tab w:val="left" w:pos="1980"/>
          <w:tab w:val="left" w:pos="2520"/>
        </w:tabs>
      </w:pPr>
      <w:r w:rsidRPr="00CB2C86">
        <w:t>12.116</w:t>
      </w:r>
      <w:r w:rsidRPr="00CB2C86">
        <w:tab/>
        <w:t>Тенденция к уменьшению случаев употребления наркотиков среди м</w:t>
      </w:r>
      <w:r w:rsidRPr="00CB2C86">
        <w:t>о</w:t>
      </w:r>
      <w:r w:rsidRPr="00CB2C86">
        <w:t>лодых людей (в возрасте младше 18 лет), которую мы отмечали в пункте</w:t>
      </w:r>
      <w:r>
        <w:t> </w:t>
      </w:r>
      <w:r w:rsidRPr="00CB2C86">
        <w:t>10.56 предыдущего доклада, сохранялась до 2005</w:t>
      </w:r>
      <w:r w:rsidR="00B92291">
        <w:t> год</w:t>
      </w:r>
      <w:r w:rsidRPr="00CB2C86">
        <w:t>а: с 3,33 случаев на тысячу м</w:t>
      </w:r>
      <w:r w:rsidRPr="00CB2C86">
        <w:t>о</w:t>
      </w:r>
      <w:r w:rsidRPr="00CB2C86">
        <w:t>лодых людей в возрасте от 11 до 17 лет в 2000</w:t>
      </w:r>
      <w:r w:rsidR="00B92291">
        <w:t> год</w:t>
      </w:r>
      <w:r w:rsidRPr="00CB2C86">
        <w:t>у до 1,68 случаев в 2004</w:t>
      </w:r>
      <w:r w:rsidR="00B92291">
        <w:t> год</w:t>
      </w:r>
      <w:r w:rsidRPr="00CB2C86">
        <w:t>у. Количество новых зарегистрированных случаев сократилось с 1</w:t>
      </w:r>
      <w:r w:rsidR="00E35299">
        <w:t> </w:t>
      </w:r>
      <w:r w:rsidRPr="00CB2C86">
        <w:t>581 в 2000</w:t>
      </w:r>
      <w:r w:rsidR="00B92291">
        <w:t> год</w:t>
      </w:r>
      <w:r w:rsidRPr="00CB2C86">
        <w:t>у до 735 в 2004</w:t>
      </w:r>
      <w:r w:rsidR="00B92291">
        <w:t> год</w:t>
      </w:r>
      <w:r w:rsidRPr="00CB2C86">
        <w:t>у. Однако в 2005</w:t>
      </w:r>
      <w:r w:rsidR="00B92291">
        <w:t> год</w:t>
      </w:r>
      <w:r w:rsidRPr="00CB2C86">
        <w:t>у эта тенденция поменялась на против</w:t>
      </w:r>
      <w:r w:rsidRPr="00CB2C86">
        <w:t>о</w:t>
      </w:r>
      <w:r w:rsidRPr="00CB2C86">
        <w:t>положную: количество зарегистрированных случаев выросло с 1,96 на тысячу человек в 2005</w:t>
      </w:r>
      <w:r w:rsidR="00B92291">
        <w:t> год</w:t>
      </w:r>
      <w:r w:rsidRPr="00CB2C86">
        <w:t>у до 2,22 в 2006</w:t>
      </w:r>
      <w:r w:rsidR="00B92291">
        <w:t> год</w:t>
      </w:r>
      <w:r w:rsidRPr="00CB2C86">
        <w:t>у и затем до 2,77 в 2007</w:t>
      </w:r>
      <w:r w:rsidR="00B92291">
        <w:t> год</w:t>
      </w:r>
      <w:r w:rsidRPr="00CB2C86">
        <w:t>у и 3,19 в 2008</w:t>
      </w:r>
      <w:r w:rsidR="00B92291">
        <w:t> год</w:t>
      </w:r>
      <w:r w:rsidRPr="00CB2C86">
        <w:t>у, а затем уменьшилось до 3,17 в 2009</w:t>
      </w:r>
      <w:r w:rsidR="00B92291">
        <w:t> год</w:t>
      </w:r>
      <w:r w:rsidRPr="00CB2C86">
        <w:t>у</w:t>
      </w:r>
      <w:r w:rsidRPr="004F0ED8">
        <w:rPr>
          <w:sz w:val="18"/>
          <w:szCs w:val="18"/>
          <w:vertAlign w:val="superscript"/>
          <w:lang w:val="en-GB"/>
        </w:rPr>
        <w:footnoteReference w:id="22"/>
      </w:r>
      <w:r>
        <w:t>.</w:t>
      </w:r>
      <w:r w:rsidRPr="00CB2C86">
        <w:t xml:space="preserve"> Аналогичным образом количество новых зарегистрированных случаев выросло с 1</w:t>
      </w:r>
      <w:r w:rsidR="0030360E">
        <w:t> </w:t>
      </w:r>
      <w:r w:rsidRPr="00CB2C86">
        <w:t>028 в 2005</w:t>
      </w:r>
      <w:r w:rsidR="00B92291">
        <w:t> год</w:t>
      </w:r>
      <w:r w:rsidRPr="00CB2C86">
        <w:t>у до 1</w:t>
      </w:r>
      <w:r w:rsidR="0030360E">
        <w:t> </w:t>
      </w:r>
      <w:r w:rsidRPr="00CB2C86">
        <w:t>397 в 2008</w:t>
      </w:r>
      <w:r w:rsidR="00B92291">
        <w:t> год</w:t>
      </w:r>
      <w:r w:rsidRPr="00CB2C86">
        <w:t>у, а затем вновь уменьшилось до 1</w:t>
      </w:r>
      <w:r w:rsidR="0030360E">
        <w:t> </w:t>
      </w:r>
      <w:r w:rsidRPr="00CB2C86">
        <w:t>335 в 2009</w:t>
      </w:r>
      <w:r w:rsidR="00B92291">
        <w:t> год</w:t>
      </w:r>
      <w:r w:rsidRPr="00CB2C86">
        <w:t xml:space="preserve">у. </w:t>
      </w:r>
    </w:p>
    <w:p w:rsidR="00F936A8" w:rsidRPr="00CB2C86" w:rsidRDefault="00F936A8" w:rsidP="00F91733">
      <w:pPr>
        <w:pStyle w:val="H23GR"/>
        <w:tabs>
          <w:tab w:val="left" w:pos="1980"/>
          <w:tab w:val="left" w:pos="2520"/>
        </w:tabs>
      </w:pPr>
      <w:r w:rsidRPr="00CB2C86">
        <w:tab/>
      </w:r>
      <w:r w:rsidRPr="00CB2C86">
        <w:tab/>
        <w:t>Социальный портрет молодых людей, злоупотребляющих на</w:t>
      </w:r>
      <w:r w:rsidRPr="00CB2C86">
        <w:t>р</w:t>
      </w:r>
      <w:r w:rsidRPr="00CB2C86">
        <w:t>котиками</w:t>
      </w:r>
    </w:p>
    <w:p w:rsidR="00F936A8" w:rsidRPr="00CB2C86" w:rsidRDefault="00F936A8" w:rsidP="00F91733">
      <w:pPr>
        <w:pStyle w:val="SingleTxtGR"/>
        <w:tabs>
          <w:tab w:val="clear" w:pos="1701"/>
          <w:tab w:val="clear" w:pos="2268"/>
          <w:tab w:val="left" w:pos="1980"/>
          <w:tab w:val="left" w:pos="2520"/>
        </w:tabs>
      </w:pPr>
      <w:r w:rsidRPr="00CB2C86">
        <w:t>12.117</w:t>
      </w:r>
      <w:r w:rsidRPr="00CB2C86">
        <w:tab/>
        <w:t>В пункте 10.57 предыдущего доклада мы сообщали, что в 2002</w:t>
      </w:r>
      <w:r w:rsidR="00B92291">
        <w:t> год</w:t>
      </w:r>
      <w:r w:rsidRPr="00CB2C86">
        <w:t>у было зарегистрировано примерно 1</w:t>
      </w:r>
      <w:r w:rsidR="006104D3">
        <w:t> </w:t>
      </w:r>
      <w:r w:rsidRPr="00CB2C86">
        <w:t>518 молодых людей, потребляющих нарк</w:t>
      </w:r>
      <w:r w:rsidRPr="00CB2C86">
        <w:t>о</w:t>
      </w:r>
      <w:r w:rsidRPr="00CB2C86">
        <w:t>тики (в возрасте моложе 18 лет), средний возраст которых составлял 16 лет. В</w:t>
      </w:r>
      <w:r>
        <w:t> </w:t>
      </w:r>
      <w:r w:rsidRPr="00CB2C86">
        <w:t>2009</w:t>
      </w:r>
      <w:r w:rsidR="00B92291">
        <w:t> год</w:t>
      </w:r>
      <w:r w:rsidRPr="00CB2C86">
        <w:t>у при том, что средний возраст оставался без изменений, было зар</w:t>
      </w:r>
      <w:r w:rsidRPr="00CB2C86">
        <w:t>е</w:t>
      </w:r>
      <w:r w:rsidRPr="00CB2C86">
        <w:t>гистрировано 1</w:t>
      </w:r>
      <w:r w:rsidR="006104D3">
        <w:t> </w:t>
      </w:r>
      <w:r w:rsidRPr="00CB2C86">
        <w:t xml:space="preserve">797 молодых наркоманов. Большинство из них злоупотребляли психотропными веществами: 84,7% принимали </w:t>
      </w:r>
      <w:proofErr w:type="spellStart"/>
      <w:r w:rsidRPr="00CB2C86">
        <w:t>кетамин</w:t>
      </w:r>
      <w:proofErr w:type="spellEnd"/>
      <w:r w:rsidRPr="00CB2C86">
        <w:t xml:space="preserve">, 19,1% принимали </w:t>
      </w:r>
      <w:proofErr w:type="spellStart"/>
      <w:r w:rsidRPr="00CB2C86">
        <w:t>м</w:t>
      </w:r>
      <w:r w:rsidRPr="00CB2C86">
        <w:t>е</w:t>
      </w:r>
      <w:r w:rsidRPr="00CB2C86">
        <w:t>тамфетамин</w:t>
      </w:r>
      <w:proofErr w:type="spellEnd"/>
      <w:r w:rsidRPr="00CB2C86">
        <w:t xml:space="preserve"> (</w:t>
      </w:r>
      <w:r>
        <w:t>"</w:t>
      </w:r>
      <w:r w:rsidRPr="00CB2C86">
        <w:t>лед</w:t>
      </w:r>
      <w:r>
        <w:t>"</w:t>
      </w:r>
      <w:r w:rsidRPr="00CB2C86">
        <w:t>), 14,2%</w:t>
      </w:r>
      <w:r>
        <w:t xml:space="preserve"> − </w:t>
      </w:r>
      <w:r w:rsidRPr="00CB2C86">
        <w:rPr>
          <w:lang w:val="en-GB"/>
        </w:rPr>
        <w:t>MDMA</w:t>
      </w:r>
      <w:r w:rsidRPr="00CB2C86">
        <w:t xml:space="preserve"> (</w:t>
      </w:r>
      <w:r>
        <w:t>"</w:t>
      </w:r>
      <w:proofErr w:type="spellStart"/>
      <w:r w:rsidRPr="00CB2C86">
        <w:t>экстази</w:t>
      </w:r>
      <w:proofErr w:type="spellEnd"/>
      <w:r>
        <w:t>"</w:t>
      </w:r>
      <w:r w:rsidRPr="00CB2C86">
        <w:t xml:space="preserve">) и 6,8% курили марихуану. 58,9% принадлежали к мужскому полу. 37,6% имели судимость, 22,1% работали и 49,5% учились. </w:t>
      </w:r>
    </w:p>
    <w:p w:rsidR="00F936A8" w:rsidRPr="00CB2C86" w:rsidRDefault="00F936A8" w:rsidP="00F91733">
      <w:pPr>
        <w:pStyle w:val="SingleTxtGR"/>
        <w:tabs>
          <w:tab w:val="clear" w:pos="1701"/>
          <w:tab w:val="clear" w:pos="2268"/>
          <w:tab w:val="left" w:pos="1980"/>
          <w:tab w:val="left" w:pos="2520"/>
        </w:tabs>
      </w:pPr>
      <w:r w:rsidRPr="00CB2C86">
        <w:t>12.118</w:t>
      </w:r>
      <w:r w:rsidRPr="00CB2C86">
        <w:tab/>
        <w:t>Новые случаи во многом повторяют общую тенденцию. Средний во</w:t>
      </w:r>
      <w:r w:rsidRPr="00CB2C86">
        <w:t>з</w:t>
      </w:r>
      <w:r w:rsidRPr="00CB2C86">
        <w:t xml:space="preserve">раст составлял 15,4 лет. </w:t>
      </w:r>
      <w:proofErr w:type="spellStart"/>
      <w:r w:rsidRPr="00CB2C86">
        <w:t>Кетамин</w:t>
      </w:r>
      <w:proofErr w:type="spellEnd"/>
      <w:r w:rsidRPr="00CB2C86">
        <w:t xml:space="preserve"> был самым востребованным наркотиком (82%), за которым следовали </w:t>
      </w:r>
      <w:proofErr w:type="spellStart"/>
      <w:r w:rsidRPr="00CB2C86">
        <w:t>метамфетамин</w:t>
      </w:r>
      <w:proofErr w:type="spellEnd"/>
      <w:r w:rsidRPr="00CB2C86">
        <w:t xml:space="preserve"> (</w:t>
      </w:r>
      <w:r>
        <w:t>"</w:t>
      </w:r>
      <w:r w:rsidRPr="00CB2C86">
        <w:t>лед</w:t>
      </w:r>
      <w:r>
        <w:t>"</w:t>
      </w:r>
      <w:r w:rsidRPr="00CB2C86">
        <w:t xml:space="preserve">) (19,9%), </w:t>
      </w:r>
      <w:r>
        <w:t>"</w:t>
      </w:r>
      <w:proofErr w:type="spellStart"/>
      <w:r w:rsidRPr="00CB2C86">
        <w:t>экстази</w:t>
      </w:r>
      <w:proofErr w:type="spellEnd"/>
      <w:r>
        <w:t>"</w:t>
      </w:r>
      <w:r w:rsidRPr="00CB2C86">
        <w:t xml:space="preserve"> (14,3%) и марихуана. 57,2% были мужского пола. 34,8% имели судимость и 20,3% раб</w:t>
      </w:r>
      <w:r w:rsidRPr="00CB2C86">
        <w:t>о</w:t>
      </w:r>
      <w:r w:rsidRPr="00CB2C86">
        <w:t xml:space="preserve">тали. Свыше 99% имели, по меньшей мере, среднее образование. </w:t>
      </w:r>
    </w:p>
    <w:p w:rsidR="00F936A8" w:rsidRPr="00CB2C86" w:rsidRDefault="00F936A8" w:rsidP="00F91733">
      <w:pPr>
        <w:pStyle w:val="H23GR"/>
        <w:tabs>
          <w:tab w:val="left" w:pos="1980"/>
          <w:tab w:val="left" w:pos="2520"/>
        </w:tabs>
      </w:pPr>
      <w:r w:rsidRPr="00CB2C86">
        <w:tab/>
      </w:r>
      <w:r w:rsidRPr="00CB2C86">
        <w:tab/>
        <w:t>Ответные действия правительства</w:t>
      </w:r>
    </w:p>
    <w:p w:rsidR="00F936A8" w:rsidRPr="00CB2C86" w:rsidRDefault="00F936A8" w:rsidP="00F91733">
      <w:pPr>
        <w:pStyle w:val="SingleTxtGR"/>
        <w:tabs>
          <w:tab w:val="clear" w:pos="1701"/>
          <w:tab w:val="clear" w:pos="2268"/>
          <w:tab w:val="left" w:pos="1980"/>
          <w:tab w:val="left" w:pos="2520"/>
        </w:tabs>
      </w:pPr>
      <w:r w:rsidRPr="00CB2C86">
        <w:t>12.119</w:t>
      </w:r>
      <w:r w:rsidRPr="00CB2C86">
        <w:tab/>
        <w:t>Как объяснялось в пункте 10.59 предыдущего доклада, в борьбе с на</w:t>
      </w:r>
      <w:r w:rsidRPr="00CB2C86">
        <w:t>р</w:t>
      </w:r>
      <w:r w:rsidRPr="00CB2C86">
        <w:t>команией мы используем пятикомпонентный подход. Чтобы остановить те</w:t>
      </w:r>
      <w:r w:rsidRPr="00CB2C86">
        <w:t>н</w:t>
      </w:r>
      <w:r w:rsidRPr="00CB2C86">
        <w:t>денцию к росту наркомании среди молодежи, в октябре 2007</w:t>
      </w:r>
      <w:r w:rsidR="00B92291">
        <w:t> год</w:t>
      </w:r>
      <w:r w:rsidRPr="00CB2C86">
        <w:t>а была создана межведомственная Целевая группа высокого уровня по проблеме наркомании среди молодежи (Целевая группа) под председательством Секретаря юстиции. В ноябре 2008</w:t>
      </w:r>
      <w:r w:rsidR="00B92291">
        <w:t> год</w:t>
      </w:r>
      <w:r w:rsidRPr="00CB2C86">
        <w:t>а Целевая группа опубликовала свой доклад, в котором были сделаны 70 рекомендаций, основанных на комплексном пятикомпонентном подходе и призванных создать для молодежи любящее и безопасное окружение. В июле 2009</w:t>
      </w:r>
      <w:r w:rsidR="00B92291">
        <w:t> год</w:t>
      </w:r>
      <w:r w:rsidRPr="00CB2C86">
        <w:t>а глава исполнительной власти объявил о дальнейшей актив</w:t>
      </w:r>
      <w:r w:rsidRPr="00CB2C86">
        <w:t>и</w:t>
      </w:r>
      <w:r w:rsidRPr="00CB2C86">
        <w:t>зации кампании по борьбе с наркотиками по пяти направлениям, а именно: м</w:t>
      </w:r>
      <w:r w:rsidRPr="00CB2C86">
        <w:t>о</w:t>
      </w:r>
      <w:r w:rsidRPr="00CB2C86">
        <w:t>билизация общества, общественная поддержка, тестирование на наркотики, л</w:t>
      </w:r>
      <w:r w:rsidRPr="00CB2C86">
        <w:t>е</w:t>
      </w:r>
      <w:r w:rsidRPr="00CB2C86">
        <w:t xml:space="preserve">чение и реабилитация и </w:t>
      </w:r>
      <w:proofErr w:type="spellStart"/>
      <w:r w:rsidRPr="00CB2C86">
        <w:t>правоприменение</w:t>
      </w:r>
      <w:proofErr w:type="spellEnd"/>
      <w:r w:rsidRPr="00CB2C86">
        <w:t>. Для энергичной реализации разли</w:t>
      </w:r>
      <w:r w:rsidRPr="00CB2C86">
        <w:t>ч</w:t>
      </w:r>
      <w:r w:rsidRPr="00CB2C86">
        <w:t>ных мер государственные бюро, департаменты и местные заинтересованные стороны приложили скоординированные усилия.</w:t>
      </w:r>
    </w:p>
    <w:p w:rsidR="00F936A8" w:rsidRPr="00CB2C86" w:rsidRDefault="00F936A8" w:rsidP="00F91733">
      <w:pPr>
        <w:pStyle w:val="H23GR"/>
        <w:tabs>
          <w:tab w:val="left" w:pos="1980"/>
          <w:tab w:val="left" w:pos="2520"/>
        </w:tabs>
      </w:pPr>
      <w:r w:rsidRPr="00CB2C86">
        <w:tab/>
      </w:r>
      <w:r w:rsidRPr="00CB2C86">
        <w:tab/>
        <w:t xml:space="preserve">Законодательство и </w:t>
      </w:r>
      <w:proofErr w:type="spellStart"/>
      <w:r w:rsidRPr="00CB2C86">
        <w:t>правоприменение</w:t>
      </w:r>
      <w:proofErr w:type="spellEnd"/>
    </w:p>
    <w:p w:rsidR="00F936A8" w:rsidRPr="00CB2C86" w:rsidRDefault="00F936A8" w:rsidP="00F91733">
      <w:pPr>
        <w:pStyle w:val="SingleTxtGR"/>
        <w:tabs>
          <w:tab w:val="clear" w:pos="1701"/>
          <w:tab w:val="clear" w:pos="2268"/>
          <w:tab w:val="left" w:pos="1980"/>
          <w:tab w:val="left" w:pos="2520"/>
        </w:tabs>
      </w:pPr>
      <w:r w:rsidRPr="00CB2C86">
        <w:t>12.120</w:t>
      </w:r>
      <w:r w:rsidRPr="00CB2C86">
        <w:tab/>
        <w:t>Законодательные меры остаются такими же, как они разъяснены в пунктах 10.60 и 10.61 предыдущего доклада. Мы продолжаем проводить рег</w:t>
      </w:r>
      <w:r w:rsidRPr="00CB2C86">
        <w:t>у</w:t>
      </w:r>
      <w:r w:rsidRPr="00CB2C86">
        <w:t>лярный обзор этих законов и принимать энергичные правоприменительные м</w:t>
      </w:r>
      <w:r w:rsidRPr="00CB2C86">
        <w:t>е</w:t>
      </w:r>
      <w:r w:rsidRPr="00CB2C86">
        <w:t xml:space="preserve">ры. </w:t>
      </w:r>
    </w:p>
    <w:p w:rsidR="00F936A8" w:rsidRPr="00CB2C86" w:rsidRDefault="00F936A8" w:rsidP="00F91733">
      <w:pPr>
        <w:pStyle w:val="SingleTxtGR"/>
        <w:tabs>
          <w:tab w:val="clear" w:pos="1701"/>
          <w:tab w:val="clear" w:pos="2268"/>
          <w:tab w:val="left" w:pos="1980"/>
          <w:tab w:val="left" w:pos="2520"/>
        </w:tabs>
      </w:pPr>
      <w:r w:rsidRPr="00CB2C86">
        <w:t>12.121</w:t>
      </w:r>
      <w:r w:rsidRPr="00CB2C86">
        <w:tab/>
        <w:t>В 2008</w:t>
      </w:r>
      <w:r w:rsidR="00B92291">
        <w:t> год</w:t>
      </w:r>
      <w:r w:rsidRPr="00CB2C86">
        <w:t>у для оказания помощи школам в борьбе с наркотиками б</w:t>
      </w:r>
      <w:r w:rsidRPr="00CB2C86">
        <w:t>ы</w:t>
      </w:r>
      <w:r w:rsidRPr="00CB2C86">
        <w:t>ли созданы 27 школьных полицейских постов связи. Составляются планы со</w:t>
      </w:r>
      <w:r w:rsidRPr="00CB2C86">
        <w:t>з</w:t>
      </w:r>
      <w:r w:rsidRPr="00CB2C86">
        <w:t>дать еще девять постов в 2010</w:t>
      </w:r>
      <w:r>
        <w:t>−</w:t>
      </w:r>
      <w:r w:rsidRPr="00CB2C86">
        <w:t>2011</w:t>
      </w:r>
      <w:r w:rsidR="00B92291">
        <w:t> год</w:t>
      </w:r>
      <w:r w:rsidRPr="00CB2C86">
        <w:t>у, доведя общее количество полице</w:t>
      </w:r>
      <w:r w:rsidRPr="00CB2C86">
        <w:t>й</w:t>
      </w:r>
      <w:r w:rsidRPr="00CB2C86">
        <w:t>ских офицеров связи до 94 человек. Для более эффективного обмена информ</w:t>
      </w:r>
      <w:r w:rsidRPr="00CB2C86">
        <w:t>а</w:t>
      </w:r>
      <w:r w:rsidRPr="00CB2C86">
        <w:t>цией между школами, Полицией и БО были также усилены каналы связи. В</w:t>
      </w:r>
      <w:r>
        <w:t> </w:t>
      </w:r>
      <w:r w:rsidRPr="00CB2C86">
        <w:t>2008</w:t>
      </w:r>
      <w:r w:rsidR="00B92291">
        <w:t> год</w:t>
      </w:r>
      <w:r w:rsidRPr="00CB2C86">
        <w:t>у Полиция создала специализированную группу по контролю Инте</w:t>
      </w:r>
      <w:r w:rsidRPr="00CB2C86">
        <w:t>р</w:t>
      </w:r>
      <w:r w:rsidRPr="00CB2C86">
        <w:t xml:space="preserve">нета для борьбы с преступлениями в сфере наркотиков. </w:t>
      </w:r>
    </w:p>
    <w:p w:rsidR="00F936A8" w:rsidRPr="00CB2C86" w:rsidRDefault="00F936A8" w:rsidP="00F91733">
      <w:pPr>
        <w:pStyle w:val="SingleTxtGR"/>
        <w:tabs>
          <w:tab w:val="clear" w:pos="1701"/>
          <w:tab w:val="clear" w:pos="2268"/>
          <w:tab w:val="left" w:pos="1980"/>
          <w:tab w:val="left" w:pos="2520"/>
        </w:tabs>
      </w:pPr>
      <w:r w:rsidRPr="00CB2C86">
        <w:t>12.122</w:t>
      </w:r>
      <w:r w:rsidRPr="00CB2C86">
        <w:tab/>
        <w:t>Чтобы сократить предложение наркотиков, правоохранительные орг</w:t>
      </w:r>
      <w:r w:rsidRPr="00CB2C86">
        <w:t>а</w:t>
      </w:r>
      <w:r w:rsidRPr="00CB2C86">
        <w:t>ны Гонконга активизируют обмен оперативной информацией со своими колл</w:t>
      </w:r>
      <w:r w:rsidRPr="00CB2C86">
        <w:t>е</w:t>
      </w:r>
      <w:r w:rsidRPr="00CB2C86">
        <w:t>гами в материковом Китае и проводят операции по борьбе с наркотиками. Кр</w:t>
      </w:r>
      <w:r w:rsidRPr="00CB2C86">
        <w:t>о</w:t>
      </w:r>
      <w:r w:rsidRPr="00CB2C86">
        <w:t>ме того</w:t>
      </w:r>
      <w:r w:rsidR="006515C8">
        <w:t>,</w:t>
      </w:r>
      <w:r w:rsidRPr="00CB2C86">
        <w:t xml:space="preserve"> для борьбы с трансграничной наркоманией Полиция обсудила со сво</w:t>
      </w:r>
      <w:r w:rsidRPr="00CB2C86">
        <w:t>и</w:t>
      </w:r>
      <w:r w:rsidRPr="00CB2C86">
        <w:t>ми коллегами в материковом Китае механизмы обмена информацией о м</w:t>
      </w:r>
      <w:r w:rsidRPr="00CB2C86">
        <w:t>о</w:t>
      </w:r>
      <w:r w:rsidRPr="00CB2C86">
        <w:t>лодых жителях Гонконга, задержанных за злоупотреблением наркотиками в материк</w:t>
      </w:r>
      <w:r w:rsidRPr="00CB2C86">
        <w:t>о</w:t>
      </w:r>
      <w:r w:rsidRPr="00CB2C86">
        <w:t>вой части. Чтобы оказать сдерживающее воздействие, власти материковой ча</w:t>
      </w:r>
      <w:r w:rsidRPr="00CB2C86">
        <w:t>с</w:t>
      </w:r>
      <w:r w:rsidRPr="00CB2C86">
        <w:t>ти проводили рейды по притонам, которые могут посещать лица, злоупотре</w:t>
      </w:r>
      <w:r w:rsidRPr="00CB2C86">
        <w:t>б</w:t>
      </w:r>
      <w:r w:rsidRPr="00CB2C86">
        <w:t>ляющие наркотиками. Таможенные органы увеличили количество служебных собак и количество полицейских, переодетых в гражданскую одежду в пунктах пограничного контроля. Кроме того, в праздничные дни в пунктах пограничн</w:t>
      </w:r>
      <w:r w:rsidRPr="00CB2C86">
        <w:t>о</w:t>
      </w:r>
      <w:r w:rsidRPr="00CB2C86">
        <w:t>го контроля усиливаются пропагандистские меры по борьбе с нарк</w:t>
      </w:r>
      <w:r w:rsidRPr="00CB2C86">
        <w:t>о</w:t>
      </w:r>
      <w:r w:rsidRPr="00CB2C86">
        <w:t>тиками.</w:t>
      </w:r>
    </w:p>
    <w:p w:rsidR="00F936A8" w:rsidRPr="00CB2C86" w:rsidRDefault="00F936A8" w:rsidP="00F91733">
      <w:pPr>
        <w:pStyle w:val="H23GR"/>
        <w:tabs>
          <w:tab w:val="left" w:pos="1980"/>
          <w:tab w:val="left" w:pos="2520"/>
        </w:tabs>
      </w:pPr>
      <w:r w:rsidRPr="00CB2C86">
        <w:tab/>
      </w:r>
      <w:r w:rsidRPr="00CB2C86">
        <w:tab/>
        <w:t>Внешнее сотрудничество</w:t>
      </w:r>
    </w:p>
    <w:p w:rsidR="00F936A8" w:rsidRPr="00CB2C86" w:rsidRDefault="00F936A8" w:rsidP="00F91733">
      <w:pPr>
        <w:pStyle w:val="SingleTxtGR"/>
        <w:tabs>
          <w:tab w:val="clear" w:pos="1701"/>
          <w:tab w:val="clear" w:pos="2268"/>
          <w:tab w:val="left" w:pos="1980"/>
          <w:tab w:val="left" w:pos="2520"/>
        </w:tabs>
      </w:pPr>
      <w:r w:rsidRPr="00CB2C86">
        <w:t>12.123</w:t>
      </w:r>
      <w:r w:rsidRPr="00CB2C86">
        <w:tab/>
        <w:t>Наше участие в соответствующих международных организациях ост</w:t>
      </w:r>
      <w:r w:rsidRPr="00CB2C86">
        <w:t>а</w:t>
      </w:r>
      <w:r w:rsidRPr="00CB2C86">
        <w:t>ется таким же, как оно описано в пункте 10.62 предыдущего доклада. В н</w:t>
      </w:r>
      <w:r w:rsidRPr="00CB2C86">
        <w:t>а</w:t>
      </w:r>
      <w:r w:rsidRPr="00CB2C86">
        <w:t xml:space="preserve">стоящее время </w:t>
      </w:r>
      <w:proofErr w:type="spellStart"/>
      <w:r w:rsidRPr="00CB2C86">
        <w:t>кетамин</w:t>
      </w:r>
      <w:proofErr w:type="spellEnd"/>
      <w:r w:rsidRPr="00CB2C86">
        <w:t xml:space="preserve"> является самым массовым наркотиком, которым зл</w:t>
      </w:r>
      <w:r w:rsidRPr="00CB2C86">
        <w:t>о</w:t>
      </w:r>
      <w:r w:rsidRPr="00CB2C86">
        <w:t>употребляют молодые люди, хотя он не подлежит контролю в соответствии с тремя международными конвенциями по борьбе с наркотиками. Гонконг вносит свой вклад в процесс обзора, проводимого Комитетом экспертов ВОЗ по лека</w:t>
      </w:r>
      <w:r w:rsidRPr="00CB2C86">
        <w:t>р</w:t>
      </w:r>
      <w:r w:rsidRPr="00CB2C86">
        <w:t>ственной зависимости по вопросу, следует ли ужесточать международный ко</w:t>
      </w:r>
      <w:r w:rsidRPr="00CB2C86">
        <w:t>н</w:t>
      </w:r>
      <w:r w:rsidRPr="00CB2C86">
        <w:t xml:space="preserve">троль над </w:t>
      </w:r>
      <w:proofErr w:type="spellStart"/>
      <w:r w:rsidRPr="00CB2C86">
        <w:t>кетамином</w:t>
      </w:r>
      <w:proofErr w:type="spellEnd"/>
      <w:r w:rsidRPr="00CB2C86">
        <w:t xml:space="preserve">. Мы представили информацию о серьезном вреде </w:t>
      </w:r>
      <w:proofErr w:type="spellStart"/>
      <w:r w:rsidRPr="00CB2C86">
        <w:t>кетам</w:t>
      </w:r>
      <w:r w:rsidRPr="00CB2C86">
        <w:t>и</w:t>
      </w:r>
      <w:r w:rsidRPr="00CB2C86">
        <w:t>на</w:t>
      </w:r>
      <w:proofErr w:type="spellEnd"/>
      <w:r w:rsidRPr="00CB2C86">
        <w:t xml:space="preserve"> и его массовом потреблении в Гонконге.</w:t>
      </w:r>
    </w:p>
    <w:p w:rsidR="00F936A8" w:rsidRPr="00CB2C86" w:rsidRDefault="00F936A8" w:rsidP="00F91733">
      <w:pPr>
        <w:pStyle w:val="SingleTxtGR"/>
        <w:tabs>
          <w:tab w:val="clear" w:pos="1701"/>
          <w:tab w:val="clear" w:pos="2268"/>
          <w:tab w:val="left" w:pos="1980"/>
          <w:tab w:val="left" w:pos="2520"/>
        </w:tabs>
      </w:pPr>
      <w:r w:rsidRPr="00CB2C86">
        <w:t>12.124</w:t>
      </w:r>
      <w:r w:rsidRPr="00CB2C86">
        <w:tab/>
        <w:t>САРГ также тесно сотрудничает со своими соседями, особенно с пр</w:t>
      </w:r>
      <w:r w:rsidRPr="00CB2C86">
        <w:t>о</w:t>
      </w:r>
      <w:r w:rsidRPr="00CB2C86">
        <w:t xml:space="preserve">винцией </w:t>
      </w:r>
      <w:proofErr w:type="spellStart"/>
      <w:r w:rsidRPr="00CB2C86">
        <w:t>Гуандун</w:t>
      </w:r>
      <w:proofErr w:type="spellEnd"/>
      <w:r w:rsidRPr="00CB2C86">
        <w:t xml:space="preserve"> и Макао, по вопросу об уровнях </w:t>
      </w:r>
      <w:proofErr w:type="spellStart"/>
      <w:r w:rsidRPr="00CB2C86">
        <w:t>правоприменения</w:t>
      </w:r>
      <w:proofErr w:type="spellEnd"/>
      <w:r w:rsidRPr="00CB2C86">
        <w:t xml:space="preserve"> и форм</w:t>
      </w:r>
      <w:r w:rsidRPr="00CB2C86">
        <w:t>у</w:t>
      </w:r>
      <w:r w:rsidRPr="00CB2C86">
        <w:t xml:space="preserve">лировании политики. </w:t>
      </w:r>
    </w:p>
    <w:p w:rsidR="00F936A8" w:rsidRPr="00CB2C86" w:rsidRDefault="00F936A8" w:rsidP="00F91733">
      <w:pPr>
        <w:pStyle w:val="H23GR"/>
        <w:tabs>
          <w:tab w:val="left" w:pos="1980"/>
          <w:tab w:val="left" w:pos="2520"/>
        </w:tabs>
      </w:pPr>
      <w:r w:rsidRPr="00CB2C86">
        <w:tab/>
      </w:r>
      <w:r w:rsidRPr="00CB2C86">
        <w:tab/>
        <w:t>Превентивное просвещение и информационно-пропагандистская деятельность</w:t>
      </w:r>
    </w:p>
    <w:p w:rsidR="00F936A8" w:rsidRPr="00CB2C86" w:rsidRDefault="00F936A8" w:rsidP="006515C8">
      <w:pPr>
        <w:pStyle w:val="SingleTxtGR"/>
        <w:keepLines/>
        <w:tabs>
          <w:tab w:val="clear" w:pos="1701"/>
          <w:tab w:val="clear" w:pos="2268"/>
          <w:tab w:val="left" w:pos="1980"/>
          <w:tab w:val="left" w:pos="2520"/>
        </w:tabs>
      </w:pPr>
      <w:r w:rsidRPr="00CB2C86">
        <w:t>12.125</w:t>
      </w:r>
      <w:r w:rsidRPr="00CB2C86">
        <w:tab/>
        <w:t>Наша работа в этой области продолжается в том же ключе, в каком она была разъяснена в пункте 10.63 предыдущего доклада. Для противодействия набирающей темп тенденции в сторону увеличения количества молодых людей, злоупотребляющих психотропными веществами, в июне 2008</w:t>
      </w:r>
      <w:r w:rsidR="00B92291">
        <w:t> год</w:t>
      </w:r>
      <w:r w:rsidRPr="00CB2C86">
        <w:t xml:space="preserve">а была начата двухлетняя территориальная кампания под лозунгом </w:t>
      </w:r>
      <w:r>
        <w:t>"</w:t>
      </w:r>
      <w:r w:rsidRPr="00CB2C86">
        <w:t>Нет наркотикам. Без с</w:t>
      </w:r>
      <w:r w:rsidRPr="00CB2C86">
        <w:t>о</w:t>
      </w:r>
      <w:r w:rsidRPr="00CB2C86">
        <w:t>жалений. Не сейчас. И никогда</w:t>
      </w:r>
      <w:r>
        <w:t>"</w:t>
      </w:r>
      <w:r w:rsidRPr="00CB2C86">
        <w:t>. Главная информационно-пропагандистская кампания, дополненная усилиями общества на окружном уровне при более ста программах борьбы с наркотиками, преследовала цель с</w:t>
      </w:r>
      <w:r w:rsidRPr="00CB2C86">
        <w:t>о</w:t>
      </w:r>
      <w:r w:rsidRPr="00CB2C86">
        <w:t>действовать созданию в обществе атмосферы, свободной от наркотиков. К др</w:t>
      </w:r>
      <w:r w:rsidRPr="00CB2C86">
        <w:t>у</w:t>
      </w:r>
      <w:r w:rsidRPr="00CB2C86">
        <w:t xml:space="preserve">гим новым инициативам относятся начало программы </w:t>
      </w:r>
      <w:r>
        <w:t>"</w:t>
      </w:r>
      <w:r w:rsidRPr="00CB2C86">
        <w:t>Строители пути</w:t>
      </w:r>
      <w:r>
        <w:t>"</w:t>
      </w:r>
      <w:r w:rsidRPr="00CB2C86">
        <w:t>, которая мобилизовала разли</w:t>
      </w:r>
      <w:r w:rsidRPr="00CB2C86">
        <w:t>ч</w:t>
      </w:r>
      <w:r w:rsidRPr="00CB2C86">
        <w:t xml:space="preserve">ные слои общества для создания внимательного и безопасного окружения для молодежи, и организацию по принципу одного окна </w:t>
      </w:r>
      <w:proofErr w:type="spellStart"/>
      <w:r w:rsidRPr="00CB2C86">
        <w:t>антинаркотического</w:t>
      </w:r>
      <w:proofErr w:type="spellEnd"/>
      <w:r w:rsidRPr="00CB2C86">
        <w:t xml:space="preserve"> </w:t>
      </w:r>
      <w:proofErr w:type="spellStart"/>
      <w:r>
        <w:t>ве</w:t>
      </w:r>
      <w:r>
        <w:t>б</w:t>
      </w:r>
      <w:r>
        <w:t>портал</w:t>
      </w:r>
      <w:r w:rsidRPr="00CB2C86">
        <w:t>а</w:t>
      </w:r>
      <w:proofErr w:type="spellEnd"/>
      <w:r w:rsidRPr="00CB2C86">
        <w:t>, предназначенного для молодежи, родителей и наркологов. Не прекр</w:t>
      </w:r>
      <w:r w:rsidRPr="00CB2C86">
        <w:t>а</w:t>
      </w:r>
      <w:r w:rsidRPr="00CB2C86">
        <w:t>щались усилия, направленные на использование наркологического информац</w:t>
      </w:r>
      <w:r w:rsidRPr="00CB2C86">
        <w:t>и</w:t>
      </w:r>
      <w:r w:rsidRPr="00CB2C86">
        <w:t>онного центра Жокейского клуба Гонконга, специально построенного для этой цели выставочного центра, посвященного профилактике наркомании в Гонко</w:t>
      </w:r>
      <w:r w:rsidRPr="00CB2C86">
        <w:t>н</w:t>
      </w:r>
      <w:r w:rsidRPr="00CB2C86">
        <w:t>ге. С момента его открытия в июне 2004</w:t>
      </w:r>
      <w:r w:rsidR="00B92291">
        <w:t> год</w:t>
      </w:r>
      <w:r w:rsidRPr="00CB2C86">
        <w:t>а Центр посетили 180 000 учащи</w:t>
      </w:r>
      <w:r w:rsidRPr="00CB2C86">
        <w:t>х</w:t>
      </w:r>
      <w:r w:rsidRPr="00CB2C86">
        <w:t>ся, родителей, преподавателей, представителей НПО и о</w:t>
      </w:r>
      <w:r w:rsidRPr="00CB2C86">
        <w:t>б</w:t>
      </w:r>
      <w:r w:rsidRPr="00CB2C86">
        <w:t xml:space="preserve">щественности. </w:t>
      </w:r>
    </w:p>
    <w:p w:rsidR="00F936A8" w:rsidRPr="00CB2C86" w:rsidRDefault="00F936A8" w:rsidP="00F91733">
      <w:pPr>
        <w:pStyle w:val="H23GR"/>
        <w:tabs>
          <w:tab w:val="left" w:pos="1980"/>
          <w:tab w:val="left" w:pos="2520"/>
        </w:tabs>
      </w:pPr>
      <w:r w:rsidRPr="00CB2C86">
        <w:tab/>
      </w:r>
      <w:r w:rsidRPr="00CB2C86">
        <w:tab/>
        <w:t>Школы</w:t>
      </w:r>
    </w:p>
    <w:p w:rsidR="00F936A8" w:rsidRPr="00CB2C86" w:rsidRDefault="00F936A8" w:rsidP="00F91733">
      <w:pPr>
        <w:pStyle w:val="SingleTxtGR"/>
        <w:tabs>
          <w:tab w:val="clear" w:pos="1701"/>
          <w:tab w:val="clear" w:pos="2268"/>
          <w:tab w:val="left" w:pos="1980"/>
          <w:tab w:val="left" w:pos="2520"/>
        </w:tabs>
      </w:pPr>
      <w:r w:rsidRPr="00CB2C86">
        <w:t>12.126</w:t>
      </w:r>
      <w:r w:rsidRPr="00CB2C86">
        <w:tab/>
        <w:t>Школы находятся на переднем крае нашей борьбы со злоупотреблен</w:t>
      </w:r>
      <w:r w:rsidRPr="00CB2C86">
        <w:t>и</w:t>
      </w:r>
      <w:r w:rsidRPr="00CB2C86">
        <w:t xml:space="preserve">ем наркотиками. Наши программы по-прежнему выполняются в том же ключе, в каком это изложено в пунктах 10.64 и 10.65 предыдущего доклада. </w:t>
      </w:r>
      <w:proofErr w:type="spellStart"/>
      <w:r w:rsidRPr="00CB2C86">
        <w:t>Антина</w:t>
      </w:r>
      <w:r w:rsidRPr="00CB2C86">
        <w:t>р</w:t>
      </w:r>
      <w:r w:rsidRPr="00CB2C86">
        <w:t>котическое</w:t>
      </w:r>
      <w:proofErr w:type="spellEnd"/>
      <w:r w:rsidRPr="00CB2C86">
        <w:t xml:space="preserve"> просвещение остается составной частью школьной программы на различных ключевых этапах обучения, а соответствующие темы включаются в основные предметы всех ступеней начальной и средней школы. Программы </w:t>
      </w:r>
      <w:proofErr w:type="spellStart"/>
      <w:r w:rsidRPr="00CB2C86">
        <w:t>а</w:t>
      </w:r>
      <w:r w:rsidRPr="00CB2C86">
        <w:t>н</w:t>
      </w:r>
      <w:r w:rsidRPr="00CB2C86">
        <w:t>тинаркотического</w:t>
      </w:r>
      <w:proofErr w:type="spellEnd"/>
      <w:r w:rsidRPr="00CB2C86">
        <w:t xml:space="preserve"> просвещения для школьников были дополнены планами, о</w:t>
      </w:r>
      <w:r w:rsidRPr="00CB2C86">
        <w:t>х</w:t>
      </w:r>
      <w:r w:rsidRPr="00CB2C86">
        <w:t xml:space="preserve">ватывающими 80% всех учащихся высших ступеней местных начальных школ и 70% учащихся международных школ. </w:t>
      </w:r>
    </w:p>
    <w:p w:rsidR="00F936A8" w:rsidRPr="00CB2C86" w:rsidRDefault="00F936A8" w:rsidP="00F91733">
      <w:pPr>
        <w:pStyle w:val="SingleTxtGR"/>
        <w:tabs>
          <w:tab w:val="clear" w:pos="1701"/>
          <w:tab w:val="clear" w:pos="2268"/>
          <w:tab w:val="left" w:pos="1980"/>
          <w:tab w:val="left" w:pos="2520"/>
        </w:tabs>
      </w:pPr>
      <w:r w:rsidRPr="00CB2C86">
        <w:t>12.127</w:t>
      </w:r>
      <w:r w:rsidRPr="00CB2C86">
        <w:tab/>
        <w:t>Новые инициативы включают в себя содействие интернационал</w:t>
      </w:r>
      <w:r w:rsidRPr="00CB2C86">
        <w:t>и</w:t>
      </w:r>
      <w:r w:rsidRPr="00CB2C86">
        <w:t xml:space="preserve">зации здоровой школьной политики с </w:t>
      </w:r>
      <w:proofErr w:type="spellStart"/>
      <w:r w:rsidRPr="00CB2C86">
        <w:t>антинаркотическим</w:t>
      </w:r>
      <w:proofErr w:type="spellEnd"/>
      <w:r w:rsidRPr="00CB2C86">
        <w:t xml:space="preserve"> элементом. С</w:t>
      </w:r>
      <w:r>
        <w:t> </w:t>
      </w:r>
      <w:r w:rsidRPr="00CB2C86">
        <w:t>2008/09</w:t>
      </w:r>
      <w:r>
        <w:t> </w:t>
      </w:r>
      <w:r w:rsidRPr="00CB2C86">
        <w:t>учебного</w:t>
      </w:r>
      <w:r w:rsidR="00B92291">
        <w:t> год</w:t>
      </w:r>
      <w:r w:rsidRPr="00CB2C86">
        <w:t>а увеличивается помощь школам, включая спланирова</w:t>
      </w:r>
      <w:r w:rsidRPr="00CB2C86">
        <w:t>н</w:t>
      </w:r>
      <w:r w:rsidRPr="00CB2C86">
        <w:t>ную профессиональную подготовку для учителей и ключевого школьного пе</w:t>
      </w:r>
      <w:r w:rsidRPr="00CB2C86">
        <w:t>р</w:t>
      </w:r>
      <w:r w:rsidRPr="00CB2C86">
        <w:t xml:space="preserve">сонала с целью упрочения их навыков в построении профилактического </w:t>
      </w:r>
      <w:proofErr w:type="spellStart"/>
      <w:r w:rsidRPr="00CB2C86">
        <w:t>ант</w:t>
      </w:r>
      <w:r w:rsidRPr="00CB2C86">
        <w:t>и</w:t>
      </w:r>
      <w:r w:rsidRPr="00CB2C86">
        <w:t>наркотического</w:t>
      </w:r>
      <w:proofErr w:type="spellEnd"/>
      <w:r w:rsidRPr="00CB2C86">
        <w:t xml:space="preserve"> образования и выявлении учащихся, попавших в группу ри</w:t>
      </w:r>
      <w:r w:rsidRPr="00CB2C86">
        <w:t>с</w:t>
      </w:r>
      <w:r w:rsidRPr="00CB2C86">
        <w:t>ка, чтобы оказывать им помощь. В марте 2010</w:t>
      </w:r>
      <w:r w:rsidR="00B92291">
        <w:t> год</w:t>
      </w:r>
      <w:r w:rsidRPr="00CB2C86">
        <w:t>а для школьного сектора был также ра</w:t>
      </w:r>
      <w:r w:rsidRPr="00CB2C86">
        <w:t>з</w:t>
      </w:r>
      <w:r w:rsidRPr="00CB2C86">
        <w:t xml:space="preserve">работан и официально выпущен комплект методических материалов. </w:t>
      </w:r>
    </w:p>
    <w:p w:rsidR="00F936A8" w:rsidRPr="00CB2C86" w:rsidRDefault="00F936A8" w:rsidP="00F91733">
      <w:pPr>
        <w:pStyle w:val="SingleTxtGR"/>
        <w:tabs>
          <w:tab w:val="clear" w:pos="1701"/>
          <w:tab w:val="clear" w:pos="2268"/>
          <w:tab w:val="left" w:pos="1980"/>
          <w:tab w:val="left" w:pos="2520"/>
        </w:tabs>
      </w:pPr>
      <w:r w:rsidRPr="00CB2C86">
        <w:t>12.128</w:t>
      </w:r>
      <w:r w:rsidRPr="00CB2C86">
        <w:tab/>
        <w:t>Важную роль в профилактике наркомании среди молодежи продолж</w:t>
      </w:r>
      <w:r w:rsidRPr="00CB2C86">
        <w:t>а</w:t>
      </w:r>
      <w:r w:rsidRPr="00CB2C86">
        <w:t>ет играть образование родителей. Мы разработали новый комплект методич</w:t>
      </w:r>
      <w:r w:rsidRPr="00CB2C86">
        <w:t>е</w:t>
      </w:r>
      <w:r w:rsidRPr="00CB2C86">
        <w:t xml:space="preserve">ских материалов, чтобы помочь школам и </w:t>
      </w:r>
      <w:proofErr w:type="spellStart"/>
      <w:r w:rsidRPr="00CB2C86">
        <w:t>родительско-учительским</w:t>
      </w:r>
      <w:proofErr w:type="spellEnd"/>
      <w:r w:rsidRPr="00CB2C86">
        <w:t xml:space="preserve"> ассоциац</w:t>
      </w:r>
      <w:r w:rsidRPr="00CB2C86">
        <w:t>и</w:t>
      </w:r>
      <w:r w:rsidRPr="00CB2C86">
        <w:t>ям планировать и реализовывать предназначенные для родителей программы борьбы с наркотиками. Было организовано более 90 семинаров для р</w:t>
      </w:r>
      <w:r w:rsidRPr="00CB2C86">
        <w:t>о</w:t>
      </w:r>
      <w:r w:rsidRPr="00CB2C86">
        <w:t>дителей.</w:t>
      </w:r>
    </w:p>
    <w:p w:rsidR="00F936A8" w:rsidRPr="00CB2C86" w:rsidRDefault="00F936A8" w:rsidP="00F91733">
      <w:pPr>
        <w:pStyle w:val="H23GR"/>
        <w:tabs>
          <w:tab w:val="left" w:pos="1980"/>
          <w:tab w:val="left" w:pos="2520"/>
        </w:tabs>
      </w:pPr>
      <w:r w:rsidRPr="00CB2C86">
        <w:tab/>
      </w:r>
      <w:r w:rsidRPr="00CB2C86">
        <w:tab/>
        <w:t>Исследования</w:t>
      </w:r>
    </w:p>
    <w:p w:rsidR="00F936A8" w:rsidRPr="00CB2C86" w:rsidRDefault="00F936A8" w:rsidP="00F91733">
      <w:pPr>
        <w:pStyle w:val="SingleTxtGR"/>
        <w:tabs>
          <w:tab w:val="clear" w:pos="1701"/>
          <w:tab w:val="clear" w:pos="2268"/>
          <w:tab w:val="left" w:pos="1980"/>
          <w:tab w:val="left" w:pos="2520"/>
        </w:tabs>
      </w:pPr>
      <w:r w:rsidRPr="00CB2C86">
        <w:t>12.129</w:t>
      </w:r>
      <w:r w:rsidRPr="00CB2C86">
        <w:tab/>
        <w:t>Как было разъяснено в пункте 286 первоначального доклада, исслед</w:t>
      </w:r>
      <w:r w:rsidRPr="00CB2C86">
        <w:t>о</w:t>
      </w:r>
      <w:r w:rsidRPr="00CB2C86">
        <w:t>вания в области наркотиков координировались подкомитетом Инициативного комитета по борьбе с наркотиками. В 2005</w:t>
      </w:r>
      <w:r w:rsidR="00B92291">
        <w:t> год</w:t>
      </w:r>
      <w:r w:rsidRPr="00CB2C86">
        <w:t>у его сменила Исследов</w:t>
      </w:r>
      <w:r w:rsidRPr="00CB2C86">
        <w:t>а</w:t>
      </w:r>
      <w:r w:rsidRPr="00CB2C86">
        <w:t xml:space="preserve">тельская консультативная группа (ИКГ). Обладая более гибкой </w:t>
      </w:r>
      <w:proofErr w:type="spellStart"/>
      <w:r w:rsidRPr="00CB2C86">
        <w:t>логистической</w:t>
      </w:r>
      <w:proofErr w:type="spellEnd"/>
      <w:r w:rsidRPr="00CB2C86">
        <w:t xml:space="preserve"> структ</w:t>
      </w:r>
      <w:r w:rsidRPr="00CB2C86">
        <w:t>у</w:t>
      </w:r>
      <w:r w:rsidRPr="00CB2C86">
        <w:t>рой и членским составом, ИКГ оказывает ценную направляющую п</w:t>
      </w:r>
      <w:r w:rsidRPr="00CB2C86">
        <w:t>о</w:t>
      </w:r>
      <w:r w:rsidRPr="00CB2C86">
        <w:t>мощь в формировании стратегии в области борьбы с наркотиками. Функция компьют</w:t>
      </w:r>
      <w:r w:rsidRPr="00CB2C86">
        <w:t>е</w:t>
      </w:r>
      <w:r w:rsidRPr="00CB2C86">
        <w:t>ризированного Центрального регистра случаев злоупотребления наркотиками (ЦРЗН) остается такой же, какой она описана в пункте 10.66 предыдущего до</w:t>
      </w:r>
      <w:r w:rsidRPr="00CB2C86">
        <w:t>к</w:t>
      </w:r>
      <w:r w:rsidRPr="00CB2C86">
        <w:t xml:space="preserve">лада. В 2008/09 </w:t>
      </w:r>
      <w:r w:rsidR="00A35E26">
        <w:t>учебном году</w:t>
      </w:r>
      <w:r w:rsidRPr="00CB2C86">
        <w:t xml:space="preserve"> для определения доли злоупотребляющих нарк</w:t>
      </w:r>
      <w:r w:rsidRPr="00CB2C86">
        <w:t>о</w:t>
      </w:r>
      <w:r w:rsidRPr="00CB2C86">
        <w:t>тиками школьников был проведен опрос, результаты которого были опублик</w:t>
      </w:r>
      <w:r w:rsidRPr="00CB2C86">
        <w:t>о</w:t>
      </w:r>
      <w:r w:rsidRPr="00CB2C86">
        <w:t>ваны в феврале 2010</w:t>
      </w:r>
      <w:r w:rsidR="00B92291">
        <w:t> год</w:t>
      </w:r>
      <w:r w:rsidRPr="00CB2C86">
        <w:t>а.</w:t>
      </w:r>
    </w:p>
    <w:p w:rsidR="00F936A8" w:rsidRPr="00CB2C86" w:rsidRDefault="00F936A8" w:rsidP="00F91733">
      <w:pPr>
        <w:pStyle w:val="H23GR"/>
        <w:tabs>
          <w:tab w:val="left" w:pos="1980"/>
          <w:tab w:val="left" w:pos="2520"/>
        </w:tabs>
      </w:pPr>
      <w:r w:rsidRPr="00CB2C86">
        <w:tab/>
      </w:r>
      <w:r w:rsidRPr="00CB2C86">
        <w:tab/>
        <w:t>Фонд борьбы с наркотиками</w:t>
      </w:r>
    </w:p>
    <w:p w:rsidR="00F936A8" w:rsidRPr="00CB2C86" w:rsidRDefault="00F936A8" w:rsidP="00F91733">
      <w:pPr>
        <w:pStyle w:val="SingleTxtGR"/>
        <w:tabs>
          <w:tab w:val="clear" w:pos="1701"/>
          <w:tab w:val="clear" w:pos="2268"/>
          <w:tab w:val="left" w:pos="1980"/>
          <w:tab w:val="left" w:pos="2520"/>
        </w:tabs>
      </w:pPr>
      <w:r w:rsidRPr="00CB2C86">
        <w:t>12.130</w:t>
      </w:r>
      <w:r w:rsidRPr="00CB2C86">
        <w:tab/>
        <w:t>Положение остается таким же, как оно описано в пункте 290 первон</w:t>
      </w:r>
      <w:r w:rsidRPr="00CB2C86">
        <w:t>а</w:t>
      </w:r>
      <w:r w:rsidRPr="00CB2C86">
        <w:t>чального доклада. В период между 2004 и 2009</w:t>
      </w:r>
      <w:r w:rsidR="00B92291">
        <w:t> год</w:t>
      </w:r>
      <w:r w:rsidRPr="00CB2C86">
        <w:t>ами Фонд борьбы с наркот</w:t>
      </w:r>
      <w:r w:rsidRPr="00CB2C86">
        <w:t>и</w:t>
      </w:r>
      <w:r w:rsidRPr="00CB2C86">
        <w:t>ками поддерживал 208 проектов, на которые было выделено в общей сло</w:t>
      </w:r>
      <w:r w:rsidRPr="00CB2C86">
        <w:t>ж</w:t>
      </w:r>
      <w:r w:rsidRPr="00CB2C86">
        <w:t>ности 99</w:t>
      </w:r>
      <w:r w:rsidR="004F720A">
        <w:t> </w:t>
      </w:r>
      <w:r w:rsidR="00B63D5C">
        <w:t>млн. долларов.</w:t>
      </w:r>
      <w:r w:rsidRPr="00CB2C86">
        <w:t xml:space="preserve"> Чтобы продемонстрировать решимость правительства и во</w:t>
      </w:r>
      <w:r w:rsidRPr="00CB2C86">
        <w:t>з</w:t>
      </w:r>
      <w:r w:rsidRPr="00CB2C86">
        <w:t>главить мобилизацию общества на борьбу с наркотиками, предлагается из бю</w:t>
      </w:r>
      <w:r w:rsidRPr="00CB2C86">
        <w:t>д</w:t>
      </w:r>
      <w:r w:rsidRPr="00CB2C86">
        <w:t>жета 2010/11</w:t>
      </w:r>
      <w:r w:rsidR="00B92291">
        <w:t> год</w:t>
      </w:r>
      <w:r w:rsidRPr="00CB2C86">
        <w:t>а выделить Фонду борьбы с наркотиками единовременную сумму в размере 3</w:t>
      </w:r>
      <w:r w:rsidR="004F720A">
        <w:t> </w:t>
      </w:r>
      <w:r w:rsidR="00B63D5C">
        <w:t>млрд. долларов.</w:t>
      </w:r>
    </w:p>
    <w:p w:rsidR="00F936A8" w:rsidRPr="001801D7" w:rsidRDefault="00F936A8" w:rsidP="00F91733">
      <w:pPr>
        <w:pStyle w:val="H23GR"/>
        <w:tabs>
          <w:tab w:val="left" w:pos="1980"/>
          <w:tab w:val="left" w:pos="2520"/>
        </w:tabs>
      </w:pPr>
      <w:r w:rsidRPr="001801D7">
        <w:tab/>
      </w:r>
      <w:r w:rsidRPr="001801D7">
        <w:tab/>
        <w:t>Лечение и реабилитация</w:t>
      </w:r>
    </w:p>
    <w:p w:rsidR="00F936A8" w:rsidRPr="00CB2C86" w:rsidRDefault="00F936A8" w:rsidP="00F91733">
      <w:pPr>
        <w:pStyle w:val="SingleTxtGR"/>
        <w:tabs>
          <w:tab w:val="clear" w:pos="1701"/>
          <w:tab w:val="clear" w:pos="2268"/>
          <w:tab w:val="left" w:pos="1980"/>
          <w:tab w:val="left" w:pos="2520"/>
        </w:tabs>
      </w:pPr>
      <w:r w:rsidRPr="00CB2C86">
        <w:t>12.131</w:t>
      </w:r>
      <w:r w:rsidRPr="00CB2C86">
        <w:tab/>
        <w:t>Гонконг продолжает применять многофункциональный подход к удо</w:t>
      </w:r>
      <w:r w:rsidRPr="00CB2C86">
        <w:t>в</w:t>
      </w:r>
      <w:r w:rsidRPr="00CB2C86">
        <w:t>летворению различных потребностей лиц, злоупотребляющих наркотиками, к</w:t>
      </w:r>
      <w:r w:rsidRPr="00CB2C86">
        <w:t>о</w:t>
      </w:r>
      <w:r w:rsidRPr="00CB2C86">
        <w:t>торый был упомянут в пунктах 294</w:t>
      </w:r>
      <w:r>
        <w:t>−</w:t>
      </w:r>
      <w:r w:rsidRPr="00CB2C86">
        <w:t>298 первоначального доклада и пун</w:t>
      </w:r>
      <w:r w:rsidRPr="00CB2C86">
        <w:t>к</w:t>
      </w:r>
      <w:r w:rsidRPr="00CB2C86">
        <w:t>тах 10.69</w:t>
      </w:r>
      <w:r>
        <w:t>−</w:t>
      </w:r>
      <w:r w:rsidRPr="00CB2C86">
        <w:t>10.71 предыдущего доклада. Программы включают в себя принудител</w:t>
      </w:r>
      <w:r w:rsidRPr="00CB2C86">
        <w:t>ь</w:t>
      </w:r>
      <w:r w:rsidRPr="00CB2C86">
        <w:t xml:space="preserve">ное лечение, проводимое ДИУ, добровольную заместительную терапию </w:t>
      </w:r>
      <w:proofErr w:type="spellStart"/>
      <w:r w:rsidRPr="00CB2C86">
        <w:t>мет</w:t>
      </w:r>
      <w:r w:rsidRPr="00CB2C86">
        <w:t>а</w:t>
      </w:r>
      <w:r w:rsidRPr="00CB2C86">
        <w:t>доном</w:t>
      </w:r>
      <w:proofErr w:type="spellEnd"/>
      <w:r w:rsidRPr="00CB2C86">
        <w:t xml:space="preserve"> в амбулаторных условиях, которую проводит ДЗ, наркологические кл</w:t>
      </w:r>
      <w:r w:rsidRPr="00CB2C86">
        <w:t>и</w:t>
      </w:r>
      <w:r w:rsidRPr="00CB2C86">
        <w:t>ники (НК), подведомственные АБ, консультационные центры для лиц, злоупо</w:t>
      </w:r>
      <w:r w:rsidRPr="00CB2C86">
        <w:t>т</w:t>
      </w:r>
      <w:r w:rsidRPr="00CB2C86">
        <w:t>ребляющих психотропными веществами (КЦЛЗПВ), программы добр</w:t>
      </w:r>
      <w:r w:rsidRPr="00CB2C86">
        <w:t>о</w:t>
      </w:r>
      <w:r w:rsidRPr="00CB2C86">
        <w:t>вольного стационарного лечения в центрах лечения и реабилитации наркоманов (ЦЛРН), функционирующих под эгидой НПО, и образовательные программы для мол</w:t>
      </w:r>
      <w:r w:rsidRPr="00CB2C86">
        <w:t>о</w:t>
      </w:r>
      <w:r w:rsidRPr="00CB2C86">
        <w:t>дых людей, злоупотребляющих наркотиками. Все услуги оказываются молодым наркоманам и другим нуждающимся взрослым людям. Лечебный и реабилит</w:t>
      </w:r>
      <w:r w:rsidRPr="00CB2C86">
        <w:t>а</w:t>
      </w:r>
      <w:r w:rsidRPr="00CB2C86">
        <w:t>ционный сектор также поддерживается такими общими услугами, как дополн</w:t>
      </w:r>
      <w:r w:rsidRPr="00CB2C86">
        <w:t>и</w:t>
      </w:r>
      <w:r w:rsidRPr="00CB2C86">
        <w:t>тельные социальные услуги, услуги школьных социальных работников и си</w:t>
      </w:r>
      <w:r w:rsidRPr="00CB2C86">
        <w:t>с</w:t>
      </w:r>
      <w:r w:rsidRPr="00CB2C86">
        <w:t>тема пробации.</w:t>
      </w:r>
    </w:p>
    <w:p w:rsidR="00F936A8" w:rsidRPr="00CB2C86" w:rsidRDefault="00F936A8" w:rsidP="00F91733">
      <w:pPr>
        <w:pStyle w:val="SingleTxtGR"/>
        <w:tabs>
          <w:tab w:val="clear" w:pos="1701"/>
          <w:tab w:val="clear" w:pos="2268"/>
          <w:tab w:val="left" w:pos="1980"/>
          <w:tab w:val="left" w:pos="2520"/>
        </w:tabs>
      </w:pPr>
      <w:r w:rsidRPr="00CB2C86">
        <w:t>12.132</w:t>
      </w:r>
      <w:r w:rsidRPr="00CB2C86">
        <w:tab/>
        <w:t>2 апреля 2009</w:t>
      </w:r>
      <w:r w:rsidR="00B92291">
        <w:t> год</w:t>
      </w:r>
      <w:r w:rsidRPr="00CB2C86">
        <w:t>а был опубликован пятый Трехлетний план леч</w:t>
      </w:r>
      <w:r w:rsidRPr="00CB2C86">
        <w:t>е</w:t>
      </w:r>
      <w:r w:rsidRPr="00CB2C86">
        <w:t>ния и реабилитации наркоманов (2009</w:t>
      </w:r>
      <w:r>
        <w:t>−</w:t>
      </w:r>
      <w:r w:rsidRPr="00CB2C86">
        <w:t>2011</w:t>
      </w:r>
      <w:r w:rsidR="00B92291">
        <w:t> год</w:t>
      </w:r>
      <w:r w:rsidRPr="00CB2C86">
        <w:t>ы). В докладе Целевой группы был разработан и развит целый ряд среднесрочных рекомендаций. Они вкл</w:t>
      </w:r>
      <w:r w:rsidRPr="00CB2C86">
        <w:t>ю</w:t>
      </w:r>
      <w:r w:rsidRPr="00CB2C86">
        <w:t>чают в себя создание модели сети на групповой основе, подготовку наркологов, пов</w:t>
      </w:r>
      <w:r w:rsidRPr="00CB2C86">
        <w:t>ы</w:t>
      </w:r>
      <w:r w:rsidRPr="00CB2C86">
        <w:t xml:space="preserve">шение веса элементов </w:t>
      </w:r>
      <w:proofErr w:type="spellStart"/>
      <w:r w:rsidRPr="00CB2C86">
        <w:t>реинтеграции</w:t>
      </w:r>
      <w:proofErr w:type="spellEnd"/>
      <w:r w:rsidRPr="00CB2C86">
        <w:t xml:space="preserve"> в программах лечения и реабилитации, п</w:t>
      </w:r>
      <w:r w:rsidRPr="00CB2C86">
        <w:t>о</w:t>
      </w:r>
      <w:r w:rsidRPr="00CB2C86">
        <w:t>вышение потенциала и качества различных программ и оптимизация р</w:t>
      </w:r>
      <w:r w:rsidRPr="00CB2C86">
        <w:t>е</w:t>
      </w:r>
      <w:r w:rsidRPr="00CB2C86">
        <w:t xml:space="preserve">сурсов. </w:t>
      </w:r>
    </w:p>
    <w:p w:rsidR="00F936A8" w:rsidRPr="00CB2C86" w:rsidRDefault="00F936A8" w:rsidP="00F91733">
      <w:pPr>
        <w:pStyle w:val="SingleTxtGR"/>
        <w:tabs>
          <w:tab w:val="clear" w:pos="1701"/>
          <w:tab w:val="clear" w:pos="2268"/>
          <w:tab w:val="left" w:pos="1980"/>
          <w:tab w:val="left" w:pos="2520"/>
        </w:tabs>
      </w:pPr>
      <w:r w:rsidRPr="00CB2C86">
        <w:t>12.133</w:t>
      </w:r>
      <w:r w:rsidRPr="00CB2C86">
        <w:tab/>
        <w:t>В 2008</w:t>
      </w:r>
      <w:r>
        <w:t>/</w:t>
      </w:r>
      <w:r w:rsidRPr="00CB2C86">
        <w:t>09</w:t>
      </w:r>
      <w:r w:rsidR="00B92291">
        <w:t> год</w:t>
      </w:r>
      <w:r w:rsidRPr="00CB2C86">
        <w:t>у правительство выделило дополнительные ресурсы в размере 26</w:t>
      </w:r>
      <w:r w:rsidR="004F720A">
        <w:t> </w:t>
      </w:r>
      <w:r w:rsidR="00B63D5C">
        <w:t>млн. долл.</w:t>
      </w:r>
      <w:r w:rsidRPr="00CB2C86">
        <w:t xml:space="preserve"> на адресную социальную помощь, социально-медицинскую работу и лечение в социальных учреждениях. Сюда включаются 101 дополнительн</w:t>
      </w:r>
      <w:r w:rsidR="006515C8">
        <w:t>ое</w:t>
      </w:r>
      <w:r w:rsidRPr="00CB2C86">
        <w:t xml:space="preserve"> субсидируем</w:t>
      </w:r>
      <w:r w:rsidR="006515C8">
        <w:t>ое</w:t>
      </w:r>
      <w:r w:rsidRPr="00CB2C86">
        <w:t xml:space="preserve"> мест</w:t>
      </w:r>
      <w:r w:rsidR="006515C8">
        <w:t>о</w:t>
      </w:r>
      <w:r w:rsidRPr="00CB2C86">
        <w:t xml:space="preserve"> в ЦЛРН, расширение социально-медицинских услуг в некоторых НК, открытие двух новых НК (в общей сло</w:t>
      </w:r>
      <w:r w:rsidRPr="00CB2C86">
        <w:t>ж</w:t>
      </w:r>
      <w:r w:rsidRPr="00CB2C86">
        <w:t>ности семь) и двух новых КЦЛЗПВ (в общей сложности семь) и дополнител</w:t>
      </w:r>
      <w:r w:rsidRPr="00CB2C86">
        <w:t>ь</w:t>
      </w:r>
      <w:r w:rsidRPr="00CB2C86">
        <w:t xml:space="preserve">ный персонал для 34 групп адресной социальной работы в Гонконге и пяти групп Общинной программы социального обслуживания. </w:t>
      </w:r>
    </w:p>
    <w:p w:rsidR="00F936A8" w:rsidRPr="00CB2C86" w:rsidRDefault="00F936A8" w:rsidP="00F91733">
      <w:pPr>
        <w:pStyle w:val="SingleTxtGR"/>
        <w:tabs>
          <w:tab w:val="clear" w:pos="1701"/>
          <w:tab w:val="clear" w:pos="2268"/>
          <w:tab w:val="left" w:pos="1980"/>
          <w:tab w:val="left" w:pos="2520"/>
        </w:tabs>
      </w:pPr>
      <w:r w:rsidRPr="00CB2C86">
        <w:t>12.134</w:t>
      </w:r>
      <w:r w:rsidRPr="00CB2C86">
        <w:tab/>
        <w:t>В 2009</w:t>
      </w:r>
      <w:r>
        <w:t>/</w:t>
      </w:r>
      <w:r w:rsidRPr="00CB2C86">
        <w:t>10</w:t>
      </w:r>
      <w:r w:rsidR="00B92291">
        <w:t> год</w:t>
      </w:r>
      <w:r w:rsidRPr="00CB2C86">
        <w:t>у правительство реализовало еще две рекомендации Ц</w:t>
      </w:r>
      <w:r w:rsidRPr="00CB2C86">
        <w:t>е</w:t>
      </w:r>
      <w:r w:rsidRPr="00CB2C86">
        <w:t>левой группы, выделив на это дополнительные ресурсы. Во-первых, чтобы расширить лечебное и реабилитационное обслуживание молодых людей, зл</w:t>
      </w:r>
      <w:r w:rsidRPr="00CB2C86">
        <w:t>о</w:t>
      </w:r>
      <w:r w:rsidRPr="00CB2C86">
        <w:t>употребляющих наркотиками, на оказание медицинских услуг, включая проц</w:t>
      </w:r>
      <w:r w:rsidRPr="00CB2C86">
        <w:t>е</w:t>
      </w:r>
      <w:r w:rsidRPr="00CB2C86">
        <w:t>дуры добровольного тестирования на наркотики в семи КЦЛЗПВ, было асси</w:t>
      </w:r>
      <w:r w:rsidRPr="00CB2C86">
        <w:t>г</w:t>
      </w:r>
      <w:r w:rsidRPr="00CB2C86">
        <w:t>новано 4,8</w:t>
      </w:r>
      <w:r w:rsidR="004F720A">
        <w:t> </w:t>
      </w:r>
      <w:r w:rsidR="00B63D5C">
        <w:t>млн. долларов.</w:t>
      </w:r>
      <w:r w:rsidRPr="00CB2C86">
        <w:t xml:space="preserve"> Во-вторых, на двухлетнюю экспериментальную пр</w:t>
      </w:r>
      <w:r w:rsidRPr="00CB2C86">
        <w:t>о</w:t>
      </w:r>
      <w:r w:rsidRPr="00CB2C86">
        <w:t>грамму, призванную обеспечить более целенаправленную, спланированную и интенсивную службу пробации для осужденных молодых правонарушителей, злоупотребляющих наркотиками, было выделено примерно 0,9</w:t>
      </w:r>
      <w:r w:rsidR="004F720A">
        <w:t> </w:t>
      </w:r>
      <w:r w:rsidR="00B63D5C">
        <w:t>млн. долларов.</w:t>
      </w:r>
      <w:r w:rsidRPr="00CB2C86">
        <w:t xml:space="preserve"> В 2009</w:t>
      </w:r>
      <w:r>
        <w:t>/</w:t>
      </w:r>
      <w:r w:rsidRPr="00CB2C86">
        <w:t>10</w:t>
      </w:r>
      <w:r w:rsidR="00B92291">
        <w:t> год</w:t>
      </w:r>
      <w:r w:rsidRPr="00CB2C86">
        <w:t>у АБ также выделила еще 13</w:t>
      </w:r>
      <w:r w:rsidR="004F720A">
        <w:t> </w:t>
      </w:r>
      <w:r w:rsidR="00B63D5C">
        <w:t>млн. долл.</w:t>
      </w:r>
      <w:r w:rsidRPr="00CB2C86">
        <w:t xml:space="preserve"> на дополнительные ко</w:t>
      </w:r>
      <w:r w:rsidRPr="00CB2C86">
        <w:t>н</w:t>
      </w:r>
      <w:r w:rsidRPr="00CB2C86">
        <w:t>сультации в семи НК, чтобы справиться с прогнозируемым увеличен</w:t>
      </w:r>
      <w:r w:rsidRPr="00CB2C86">
        <w:t>и</w:t>
      </w:r>
      <w:r w:rsidRPr="00CB2C86">
        <w:t xml:space="preserve">ем спроса на эти услуги. </w:t>
      </w:r>
    </w:p>
    <w:p w:rsidR="00F936A8" w:rsidRPr="00CB2C86" w:rsidRDefault="00F936A8" w:rsidP="00F91733">
      <w:pPr>
        <w:pStyle w:val="SingleTxtGR"/>
        <w:tabs>
          <w:tab w:val="clear" w:pos="1701"/>
          <w:tab w:val="clear" w:pos="2268"/>
          <w:tab w:val="left" w:pos="1980"/>
          <w:tab w:val="left" w:pos="2520"/>
        </w:tabs>
      </w:pPr>
      <w:r w:rsidRPr="00CB2C86">
        <w:t>12.135</w:t>
      </w:r>
      <w:r w:rsidRPr="00CB2C86">
        <w:tab/>
        <w:t>В бюджете 2010/11</w:t>
      </w:r>
      <w:r w:rsidR="00B92291">
        <w:t> год</w:t>
      </w:r>
      <w:r w:rsidRPr="00CB2C86">
        <w:t>а правительство предусмотрело ассигнование 41,5</w:t>
      </w:r>
      <w:r w:rsidR="004F720A">
        <w:t> </w:t>
      </w:r>
      <w:r w:rsidR="00B63D5C">
        <w:t>млн. долл.</w:t>
      </w:r>
      <w:r w:rsidRPr="00CB2C86">
        <w:t xml:space="preserve"> на открытие еще четырех КЦЛЗПВ (всего 11), чтобы увел</w:t>
      </w:r>
      <w:r w:rsidRPr="00CB2C86">
        <w:t>и</w:t>
      </w:r>
      <w:r w:rsidRPr="00CB2C86">
        <w:t>чить количество мест в ЦЛРН и увеличить персонал 16 групп адресной соц</w:t>
      </w:r>
      <w:r w:rsidRPr="00CB2C86">
        <w:t>и</w:t>
      </w:r>
      <w:r w:rsidRPr="00CB2C86">
        <w:t>альной помощи. АБ выделила также дополнительные финансовые ресурсы в размере 10</w:t>
      </w:r>
      <w:r w:rsidR="004F720A">
        <w:t> </w:t>
      </w:r>
      <w:r w:rsidR="00B63D5C">
        <w:t>млн. долл.</w:t>
      </w:r>
      <w:r w:rsidRPr="00CB2C86">
        <w:t xml:space="preserve"> на расширение услуг НК. </w:t>
      </w:r>
    </w:p>
    <w:p w:rsidR="00F936A8" w:rsidRPr="00CB2C86" w:rsidRDefault="00F936A8" w:rsidP="00F91733">
      <w:pPr>
        <w:pStyle w:val="SingleTxtGR"/>
        <w:tabs>
          <w:tab w:val="clear" w:pos="1701"/>
          <w:tab w:val="clear" w:pos="2268"/>
          <w:tab w:val="left" w:pos="1980"/>
          <w:tab w:val="left" w:pos="2520"/>
        </w:tabs>
      </w:pPr>
      <w:r w:rsidRPr="00CB2C86">
        <w:t>12.136</w:t>
      </w:r>
      <w:r w:rsidRPr="00CB2C86">
        <w:tab/>
        <w:t xml:space="preserve">В качестве неотъемлемой части расширенной </w:t>
      </w:r>
      <w:proofErr w:type="spellStart"/>
      <w:r w:rsidRPr="00CB2C86">
        <w:t>антинаркотической</w:t>
      </w:r>
      <w:proofErr w:type="spellEnd"/>
      <w:r w:rsidRPr="00CB2C86">
        <w:t xml:space="preserve"> ка</w:t>
      </w:r>
      <w:r w:rsidRPr="00CB2C86">
        <w:t>м</w:t>
      </w:r>
      <w:r w:rsidRPr="00CB2C86">
        <w:t>пании под руководством главы законодательной власти мы готовы обеспечить больший объем лечения и реабилитационных услуг молодым людям, злоупо</w:t>
      </w:r>
      <w:r w:rsidRPr="00CB2C86">
        <w:t>т</w:t>
      </w:r>
      <w:r w:rsidRPr="00CB2C86">
        <w:t>ребляющим наркотиками. В 2010</w:t>
      </w:r>
      <w:r w:rsidR="00B92291">
        <w:t> год</w:t>
      </w:r>
      <w:r w:rsidRPr="00CB2C86">
        <w:t>у мы намериваемся просить представить предложения о возможных новых и эффективных услугах.</w:t>
      </w:r>
    </w:p>
    <w:p w:rsidR="00F936A8" w:rsidRPr="001801D7" w:rsidRDefault="00F936A8" w:rsidP="00F91733">
      <w:pPr>
        <w:pStyle w:val="H23GR"/>
        <w:tabs>
          <w:tab w:val="left" w:pos="1980"/>
          <w:tab w:val="left" w:pos="2520"/>
        </w:tabs>
      </w:pPr>
      <w:r w:rsidRPr="001801D7">
        <w:tab/>
      </w:r>
      <w:r w:rsidRPr="001801D7">
        <w:tab/>
        <w:t>Тестирование на наркотики</w:t>
      </w:r>
    </w:p>
    <w:p w:rsidR="00F936A8" w:rsidRPr="00CB2C86" w:rsidRDefault="00F936A8" w:rsidP="00F91733">
      <w:pPr>
        <w:pStyle w:val="SingleTxtGR"/>
        <w:tabs>
          <w:tab w:val="clear" w:pos="1701"/>
          <w:tab w:val="clear" w:pos="2268"/>
          <w:tab w:val="left" w:pos="1980"/>
          <w:tab w:val="left" w:pos="2520"/>
        </w:tabs>
      </w:pPr>
      <w:r w:rsidRPr="00CB2C86">
        <w:t>12.137</w:t>
      </w:r>
      <w:r w:rsidRPr="00CB2C86">
        <w:tab/>
        <w:t>Учитывая тайный характер злоупотребления психотропными вещес</w:t>
      </w:r>
      <w:r w:rsidRPr="00CB2C86">
        <w:t>т</w:t>
      </w:r>
      <w:r w:rsidRPr="00CB2C86">
        <w:t>вами, Целевая группа внесла ряд предложений в отношении тестирования на наркотики,  на трех уровнях, пытаясь усилить профилактику и упростить ра</w:t>
      </w:r>
      <w:r w:rsidRPr="00CB2C86">
        <w:t>н</w:t>
      </w:r>
      <w:r w:rsidRPr="00CB2C86">
        <w:t>нее выявление наркозависимых молодых людей и обеспечить своевременное вмешательство. В октябре 2009</w:t>
      </w:r>
      <w:r w:rsidR="00B92291">
        <w:t> год</w:t>
      </w:r>
      <w:r w:rsidRPr="00CB2C86">
        <w:t>а КЦЛЗПВ начали оказывать услуги по те</w:t>
      </w:r>
      <w:r w:rsidRPr="00CB2C86">
        <w:t>с</w:t>
      </w:r>
      <w:r w:rsidRPr="00CB2C86">
        <w:t>тированию на наркотики в рамках расширенной медицинской помощи, чтобы помочь тем лицам, которые вызвались сделать это добровольно. На школьном уровне в декабре 2009</w:t>
      </w:r>
      <w:r w:rsidR="00B92291">
        <w:t> год</w:t>
      </w:r>
      <w:r w:rsidRPr="00CB2C86">
        <w:t>а 23 государственны</w:t>
      </w:r>
      <w:r w:rsidR="006515C8">
        <w:t>е</w:t>
      </w:r>
      <w:r w:rsidRPr="00CB2C86">
        <w:t xml:space="preserve"> школы в округе Тай По в 2009/10 </w:t>
      </w:r>
      <w:r w:rsidR="00A35E26">
        <w:t>учебном году</w:t>
      </w:r>
      <w:r w:rsidRPr="00CB2C86">
        <w:t xml:space="preserve"> приступили к реализации экспериментальной программы добровольного тестирования на наркотики, которая сопровождалась осущест</w:t>
      </w:r>
      <w:r w:rsidRPr="00CB2C86">
        <w:t>в</w:t>
      </w:r>
      <w:r w:rsidRPr="00CB2C86">
        <w:t>лением параллельного исследовательского проекта по оценке, совершенствов</w:t>
      </w:r>
      <w:r w:rsidRPr="00CB2C86">
        <w:t>а</w:t>
      </w:r>
      <w:r w:rsidRPr="00CB2C86">
        <w:t>нию и рассмотрению вопроса о распространении этой программы в более ш</w:t>
      </w:r>
      <w:r w:rsidRPr="00CB2C86">
        <w:t>и</w:t>
      </w:r>
      <w:r w:rsidRPr="00CB2C86">
        <w:t>роких масштабах на другие округа и школы. На общинном уровне в 2010</w:t>
      </w:r>
      <w:r w:rsidR="00B92291">
        <w:t> год</w:t>
      </w:r>
      <w:r w:rsidRPr="00CB2C86">
        <w:t>у планируется провести публичные консультации по вопросу об обязательном тестировании на наркотики.</w:t>
      </w:r>
    </w:p>
    <w:p w:rsidR="00F936A8" w:rsidRPr="00CB2C86" w:rsidRDefault="00F936A8" w:rsidP="00F91733">
      <w:pPr>
        <w:pStyle w:val="SingleTxtGR"/>
        <w:tabs>
          <w:tab w:val="clear" w:pos="1701"/>
          <w:tab w:val="clear" w:pos="2268"/>
          <w:tab w:val="left" w:pos="1980"/>
          <w:tab w:val="left" w:pos="2520"/>
        </w:tabs>
      </w:pPr>
      <w:r w:rsidRPr="00CB2C86">
        <w:t>12.138</w:t>
      </w:r>
      <w:r w:rsidRPr="00CB2C86">
        <w:tab/>
        <w:t>Мы отмечаем, что различные методики тестирования наркотиков я</w:t>
      </w:r>
      <w:r w:rsidRPr="00CB2C86">
        <w:t>в</w:t>
      </w:r>
      <w:r w:rsidRPr="00CB2C86">
        <w:t>ляются новыми для Гонконга, и некоторые комментаторы выразили обеспок</w:t>
      </w:r>
      <w:r w:rsidRPr="00CB2C86">
        <w:t>о</w:t>
      </w:r>
      <w:r w:rsidRPr="00CB2C86">
        <w:t>енность в связи с осуществимостью и эффективностью этих диагностических методов и призвали правительство применять их осмотрительно, особенно в школьных и обязательных программах. Мы подчеркнули, что цели этих пр</w:t>
      </w:r>
      <w:r w:rsidRPr="00CB2C86">
        <w:t>о</w:t>
      </w:r>
      <w:r w:rsidRPr="00CB2C86">
        <w:t>грамм заключаются не в том, чтобы облегчить преследование лиц, употре</w:t>
      </w:r>
      <w:r w:rsidRPr="00CB2C86">
        <w:t>б</w:t>
      </w:r>
      <w:r w:rsidRPr="00CB2C86">
        <w:t>ляющих наркотики, а увеличить возможности раннего вмешательства и реаб</w:t>
      </w:r>
      <w:r w:rsidRPr="00CB2C86">
        <w:t>и</w:t>
      </w:r>
      <w:r w:rsidRPr="00CB2C86">
        <w:t>литации. При формулировании и реализации предложений о программах тест</w:t>
      </w:r>
      <w:r w:rsidRPr="00CB2C86">
        <w:t>и</w:t>
      </w:r>
      <w:r w:rsidRPr="00CB2C86">
        <w:t>рования на наркотики правительство учитывало и будет в дальнейшем учит</w:t>
      </w:r>
      <w:r w:rsidRPr="00CB2C86">
        <w:t>ы</w:t>
      </w:r>
      <w:r w:rsidRPr="00CB2C86">
        <w:t>вать целый ряд факторов и консультироваться с заинтересованными сторонами по соответствующим вопросам. К ним относятся конфиденциальность частной жизни, права человека, воздействие предлагаемых программ на детей с учетом прав ребенка, закрепленных в Пакте, и отношения детей с родителями и преп</w:t>
      </w:r>
      <w:r w:rsidRPr="00CB2C86">
        <w:t>о</w:t>
      </w:r>
      <w:r w:rsidRPr="00CB2C86">
        <w:t xml:space="preserve">давателями. </w:t>
      </w:r>
    </w:p>
    <w:p w:rsidR="00F936A8" w:rsidRPr="00CB2C86" w:rsidRDefault="00F936A8" w:rsidP="006515C8">
      <w:pPr>
        <w:pStyle w:val="SingleTxtGR"/>
        <w:keepLines/>
        <w:tabs>
          <w:tab w:val="clear" w:pos="1701"/>
          <w:tab w:val="clear" w:pos="2268"/>
          <w:tab w:val="left" w:pos="1980"/>
          <w:tab w:val="left" w:pos="2520"/>
        </w:tabs>
      </w:pPr>
      <w:r w:rsidRPr="00CB2C86">
        <w:t>12.139</w:t>
      </w:r>
      <w:r w:rsidRPr="00CB2C86">
        <w:tab/>
        <w:t>Начиная с 2010</w:t>
      </w:r>
      <w:r w:rsidR="00B92291">
        <w:t> год</w:t>
      </w:r>
      <w:r w:rsidRPr="00CB2C86">
        <w:t>а Государственная лаборатория возглавила пр</w:t>
      </w:r>
      <w:r w:rsidRPr="00CB2C86">
        <w:t>о</w:t>
      </w:r>
      <w:r w:rsidRPr="00CB2C86">
        <w:t>цесс внедрения и осуществление в Гонконге экспериментальной программы у</w:t>
      </w:r>
      <w:r w:rsidRPr="00CB2C86">
        <w:t>с</w:t>
      </w:r>
      <w:r w:rsidRPr="00CB2C86">
        <w:t>луг по тестированию на наркотики по волосам с целью передачи в будущем этой те</w:t>
      </w:r>
      <w:r w:rsidRPr="00CB2C86">
        <w:t>х</w:t>
      </w:r>
      <w:r w:rsidRPr="00CB2C86">
        <w:t>нологии промышленности.</w:t>
      </w:r>
    </w:p>
    <w:p w:rsidR="00F936A8" w:rsidRPr="00CB2C86" w:rsidRDefault="00F936A8" w:rsidP="00F91733">
      <w:pPr>
        <w:pStyle w:val="H1GR"/>
        <w:tabs>
          <w:tab w:val="left" w:pos="1980"/>
          <w:tab w:val="left" w:pos="2520"/>
        </w:tabs>
      </w:pPr>
      <w:r w:rsidRPr="00CB2C86">
        <w:tab/>
      </w:r>
      <w:r w:rsidRPr="00CB2C86">
        <w:tab/>
        <w:t xml:space="preserve">Безопасность пищевых продуктов </w:t>
      </w:r>
    </w:p>
    <w:p w:rsidR="00F936A8" w:rsidRPr="001801D7" w:rsidRDefault="00F936A8" w:rsidP="00F91733">
      <w:pPr>
        <w:pStyle w:val="H23GR"/>
        <w:tabs>
          <w:tab w:val="left" w:pos="1980"/>
          <w:tab w:val="left" w:pos="2520"/>
        </w:tabs>
      </w:pPr>
      <w:r w:rsidRPr="001801D7">
        <w:tab/>
      </w:r>
      <w:r w:rsidRPr="001801D7">
        <w:tab/>
        <w:t>Институциональная основа</w:t>
      </w:r>
    </w:p>
    <w:p w:rsidR="00F936A8" w:rsidRPr="00CB2C86" w:rsidRDefault="00F936A8" w:rsidP="00F91733">
      <w:pPr>
        <w:pStyle w:val="SingleTxtGR"/>
        <w:tabs>
          <w:tab w:val="clear" w:pos="1701"/>
          <w:tab w:val="clear" w:pos="2268"/>
          <w:tab w:val="left" w:pos="1980"/>
          <w:tab w:val="left" w:pos="2520"/>
        </w:tabs>
      </w:pPr>
      <w:r w:rsidRPr="00CB2C86">
        <w:t>12.140</w:t>
      </w:r>
      <w:r w:rsidRPr="00CB2C86">
        <w:tab/>
        <w:t>В дополнение к созданию Департамента пищевой и экологической г</w:t>
      </w:r>
      <w:r w:rsidRPr="00CB2C86">
        <w:t>и</w:t>
      </w:r>
      <w:r w:rsidRPr="00CB2C86">
        <w:t>гиены (ДПЭГ), упомянутого в пункте 12.42 предыдущего доклада, для усил</w:t>
      </w:r>
      <w:r w:rsidRPr="00CB2C86">
        <w:t>е</w:t>
      </w:r>
      <w:r w:rsidRPr="00CB2C86">
        <w:t>ния регулирующих функций в области безопасности пищевых продуктов и вопл</w:t>
      </w:r>
      <w:r w:rsidRPr="00CB2C86">
        <w:t>о</w:t>
      </w:r>
      <w:r w:rsidRPr="00CB2C86">
        <w:t>щения в жизнь ожиданий населения в отношении повышения безопасности продуктов питания в мае 2006</w:t>
      </w:r>
      <w:r w:rsidR="00B92291">
        <w:t> год</w:t>
      </w:r>
      <w:r w:rsidRPr="00CB2C86">
        <w:t>а при ДПЭГ был учрежден Центр безопасн</w:t>
      </w:r>
      <w:r w:rsidRPr="00CB2C86">
        <w:t>о</w:t>
      </w:r>
      <w:r w:rsidRPr="00CB2C86">
        <w:t>сти пищевых продуктов (ЦБПП).</w:t>
      </w:r>
    </w:p>
    <w:p w:rsidR="00F936A8" w:rsidRPr="001801D7" w:rsidRDefault="00F936A8" w:rsidP="00F91733">
      <w:pPr>
        <w:pStyle w:val="H23GR"/>
        <w:tabs>
          <w:tab w:val="left" w:pos="1980"/>
          <w:tab w:val="left" w:pos="2520"/>
        </w:tabs>
      </w:pPr>
      <w:r w:rsidRPr="001801D7">
        <w:tab/>
      </w:r>
      <w:r w:rsidRPr="001801D7">
        <w:tab/>
        <w:t>Программы безопасности продуктов питания</w:t>
      </w:r>
    </w:p>
    <w:p w:rsidR="00F936A8" w:rsidRPr="00CB2C86" w:rsidRDefault="00F936A8" w:rsidP="00F91733">
      <w:pPr>
        <w:pStyle w:val="SingleTxtGR"/>
        <w:tabs>
          <w:tab w:val="clear" w:pos="1701"/>
          <w:tab w:val="clear" w:pos="2268"/>
          <w:tab w:val="left" w:pos="1980"/>
          <w:tab w:val="left" w:pos="2520"/>
        </w:tabs>
      </w:pPr>
      <w:r w:rsidRPr="00CB2C86">
        <w:t>12.141</w:t>
      </w:r>
      <w:r w:rsidRPr="00CB2C86">
        <w:tab/>
        <w:t>ЦБПП применяет предложенную ВОЗ методику анализа риска к</w:t>
      </w:r>
      <w:r w:rsidRPr="00CB2C86">
        <w:t>о</w:t>
      </w:r>
      <w:r w:rsidRPr="00CB2C86">
        <w:t>торая включают в себя оценку риска, управление риском и передачу информации о риске. Оценочное изучение риска и исследование опасностей, связанных с п</w:t>
      </w:r>
      <w:r w:rsidRPr="00CB2C86">
        <w:t>и</w:t>
      </w:r>
      <w:r w:rsidRPr="00CB2C86">
        <w:t>щевыми продуктами, которые имеют большое значение для здоровья нас</w:t>
      </w:r>
      <w:r w:rsidRPr="00CB2C86">
        <w:t>е</w:t>
      </w:r>
      <w:r w:rsidRPr="00CB2C86">
        <w:t>ления, проводятся на регулярной основе. В 2009</w:t>
      </w:r>
      <w:r w:rsidR="00B92291">
        <w:t> год</w:t>
      </w:r>
      <w:r w:rsidRPr="00CB2C86">
        <w:t>у для создания комплексной базы данных, предназначенной для оценки риска, связанного с пищевыми продукт</w:t>
      </w:r>
      <w:r w:rsidRPr="00CB2C86">
        <w:t>а</w:t>
      </w:r>
      <w:r w:rsidRPr="00CB2C86">
        <w:t xml:space="preserve">ми, мы завершили опрос населения о потреблении продуктов питания. </w:t>
      </w:r>
    </w:p>
    <w:p w:rsidR="00F936A8" w:rsidRPr="00CB2C86" w:rsidRDefault="00F936A8" w:rsidP="00F91733">
      <w:pPr>
        <w:pStyle w:val="SingleTxtGR"/>
        <w:tabs>
          <w:tab w:val="clear" w:pos="1701"/>
          <w:tab w:val="clear" w:pos="2268"/>
          <w:tab w:val="left" w:pos="1980"/>
          <w:tab w:val="left" w:pos="2520"/>
        </w:tabs>
      </w:pPr>
      <w:r w:rsidRPr="00CB2C86">
        <w:t>12.142</w:t>
      </w:r>
      <w:r w:rsidRPr="00CB2C86">
        <w:tab/>
        <w:t>Что касается передачи информации о риске, то для обеспечения без</w:t>
      </w:r>
      <w:r w:rsidRPr="00CB2C86">
        <w:t>о</w:t>
      </w:r>
      <w:r w:rsidRPr="00CB2C86">
        <w:t>пасности продуктов питания ЦБПП выступает за трехстороннее сотрудн</w:t>
      </w:r>
      <w:r w:rsidRPr="00CB2C86">
        <w:t>и</w:t>
      </w:r>
      <w:r w:rsidRPr="00CB2C86">
        <w:t>чество между правительством, торговцами продовольствием и населением. В</w:t>
      </w:r>
      <w:r>
        <w:t> </w:t>
      </w:r>
      <w:r w:rsidRPr="00CB2C86">
        <w:t>ходе ра</w:t>
      </w:r>
      <w:r w:rsidRPr="00CB2C86">
        <w:t>з</w:t>
      </w:r>
      <w:r w:rsidRPr="00CB2C86">
        <w:t>вития партнерских связей для учета мнений заинтересованных сторон в план</w:t>
      </w:r>
      <w:r w:rsidRPr="00CB2C86">
        <w:t>и</w:t>
      </w:r>
      <w:r w:rsidRPr="00CB2C86">
        <w:t>ровании информации и развития были созданы различные каналы, например торговые консультативные форумы и группа связи с потребителями. Информ</w:t>
      </w:r>
      <w:r w:rsidRPr="00CB2C86">
        <w:t>а</w:t>
      </w:r>
      <w:r w:rsidRPr="00CB2C86">
        <w:t>ция о безопасности пищевых продуктов также передается предприятиям то</w:t>
      </w:r>
      <w:r w:rsidRPr="00CB2C86">
        <w:t>р</w:t>
      </w:r>
      <w:r w:rsidRPr="00CB2C86">
        <w:t>говли и населению своевременно и эффективно через различные каналы, н</w:t>
      </w:r>
      <w:r w:rsidRPr="00CB2C86">
        <w:t>а</w:t>
      </w:r>
      <w:r w:rsidRPr="00CB2C86">
        <w:t xml:space="preserve">пример через электронные информационные системы, </w:t>
      </w:r>
      <w:proofErr w:type="spellStart"/>
      <w:r>
        <w:t>вебсайт</w:t>
      </w:r>
      <w:proofErr w:type="spellEnd"/>
      <w:r w:rsidRPr="00CB2C86">
        <w:t xml:space="preserve"> ЦБПП, брифи</w:t>
      </w:r>
      <w:r w:rsidRPr="00CB2C86">
        <w:t>н</w:t>
      </w:r>
      <w:r w:rsidRPr="00CB2C86">
        <w:t>ги, семинары, передвижные выставки и различные информационно-пропагандистские и просветительские материалы.</w:t>
      </w:r>
    </w:p>
    <w:p w:rsidR="00F936A8" w:rsidRPr="00CB2C86" w:rsidRDefault="00F936A8" w:rsidP="00F91733">
      <w:pPr>
        <w:pStyle w:val="SingleTxtGR"/>
        <w:tabs>
          <w:tab w:val="clear" w:pos="1701"/>
          <w:tab w:val="clear" w:pos="2268"/>
          <w:tab w:val="left" w:pos="1980"/>
          <w:tab w:val="left" w:pos="2520"/>
        </w:tabs>
      </w:pPr>
      <w:r w:rsidRPr="00CB2C86">
        <w:t>12.143</w:t>
      </w:r>
      <w:r w:rsidRPr="00CB2C86">
        <w:tab/>
        <w:t>Чтобы активизировать усилия общества в деле укрепления безопасн</w:t>
      </w:r>
      <w:r w:rsidRPr="00CB2C86">
        <w:t>о</w:t>
      </w:r>
      <w:r w:rsidRPr="00CB2C86">
        <w:t>сти пищевых продуктов, с 2008</w:t>
      </w:r>
      <w:r w:rsidR="00B92291">
        <w:t> год</w:t>
      </w:r>
      <w:r w:rsidRPr="00CB2C86">
        <w:t xml:space="preserve">а ЦБПП продвигает систему </w:t>
      </w:r>
      <w:r>
        <w:t>"</w:t>
      </w:r>
      <w:r w:rsidRPr="00CB2C86">
        <w:t>Пяти ключей к безопасности продуктов питания</w:t>
      </w:r>
      <w:r>
        <w:t>"</w:t>
      </w:r>
      <w:r w:rsidRPr="00CB2C86">
        <w:t xml:space="preserve">. </w:t>
      </w:r>
      <w:r>
        <w:t>"</w:t>
      </w:r>
      <w:r w:rsidRPr="00CB2C86">
        <w:t>Пять ключей</w:t>
      </w:r>
      <w:r>
        <w:t>"</w:t>
      </w:r>
      <w:r w:rsidRPr="00CB2C86">
        <w:t>, а именно</w:t>
      </w:r>
      <w:r w:rsidR="002A6C3D">
        <w:t>:</w:t>
      </w:r>
      <w:r w:rsidRPr="00CB2C86">
        <w:t xml:space="preserve"> выбор, санитария, разделение, приготовление и безопасный температурный режим, з</w:t>
      </w:r>
      <w:r w:rsidRPr="00CB2C86">
        <w:t>а</w:t>
      </w:r>
      <w:r w:rsidRPr="00CB2C86">
        <w:t>имствованы из рекомендаций ВОЗ по пищевой гигиене, направленных на предотвращение болезней, распространяющихся через продукты питания. Мы та</w:t>
      </w:r>
      <w:r w:rsidRPr="00CB2C86">
        <w:t>к</w:t>
      </w:r>
      <w:r w:rsidRPr="00CB2C86">
        <w:t>же соблюдаем Хартию безопасности пищевых продуктов и предлагаем представителям то</w:t>
      </w:r>
      <w:r w:rsidRPr="00CB2C86">
        <w:t>р</w:t>
      </w:r>
      <w:r w:rsidRPr="00CB2C86">
        <w:t xml:space="preserve">говли пищевыми продуктами подписать эту Хартию, чтобы присоединиться к нам в распространении рекомендаций, содержащихся в </w:t>
      </w:r>
      <w:r>
        <w:t>"</w:t>
      </w:r>
      <w:r w:rsidRPr="00CB2C86">
        <w:t>Пяти кл</w:t>
      </w:r>
      <w:r w:rsidRPr="00CB2C86">
        <w:t>ю</w:t>
      </w:r>
      <w:r w:rsidRPr="00CB2C86">
        <w:t>чах</w:t>
      </w:r>
      <w:r>
        <w:t>"</w:t>
      </w:r>
      <w:r w:rsidRPr="00CB2C86">
        <w:t xml:space="preserve">. </w:t>
      </w:r>
    </w:p>
    <w:p w:rsidR="00F936A8" w:rsidRPr="001801D7" w:rsidRDefault="00F936A8" w:rsidP="00F91733">
      <w:pPr>
        <w:pStyle w:val="H23GR"/>
        <w:tabs>
          <w:tab w:val="left" w:pos="1980"/>
          <w:tab w:val="left" w:pos="2520"/>
        </w:tabs>
      </w:pPr>
      <w:r w:rsidRPr="001801D7">
        <w:tab/>
      </w:r>
      <w:r w:rsidRPr="001801D7">
        <w:tab/>
        <w:t>Законодательные инициативы</w:t>
      </w:r>
    </w:p>
    <w:p w:rsidR="00F936A8" w:rsidRPr="00CB2C86" w:rsidRDefault="00F936A8" w:rsidP="00F91733">
      <w:pPr>
        <w:pStyle w:val="SingleTxtGR"/>
        <w:tabs>
          <w:tab w:val="clear" w:pos="1701"/>
          <w:tab w:val="clear" w:pos="2268"/>
          <w:tab w:val="left" w:pos="1980"/>
          <w:tab w:val="left" w:pos="2520"/>
        </w:tabs>
      </w:pPr>
      <w:r w:rsidRPr="00CB2C86">
        <w:t>12.144</w:t>
      </w:r>
      <w:r w:rsidRPr="00CB2C86">
        <w:tab/>
        <w:t>Учитывая местные условия и развитие международной обстановки, ЦБПП регулярно проводит обзоры законодательных положений, регулирующих стандарты на продукты питания и требования к их маркировке. Наша цель з</w:t>
      </w:r>
      <w:r w:rsidRPr="00CB2C86">
        <w:t>а</w:t>
      </w:r>
      <w:r w:rsidRPr="00CB2C86">
        <w:t>ключается в том, чтобы установить современные стандарты, которые способны защитить здоровье населения и гармонично соответствовать последним межд</w:t>
      </w:r>
      <w:r w:rsidRPr="00CB2C86">
        <w:t>у</w:t>
      </w:r>
      <w:r w:rsidRPr="00CB2C86">
        <w:t>народным тенденциям. После представления предыдущего доклада в 2003</w:t>
      </w:r>
      <w:r w:rsidR="00B92291">
        <w:t> год</w:t>
      </w:r>
      <w:r w:rsidRPr="00CB2C86">
        <w:t>у в 2008</w:t>
      </w:r>
      <w:r w:rsidR="00B92291">
        <w:t> год</w:t>
      </w:r>
      <w:r w:rsidRPr="00CB2C86">
        <w:t>у для гармонизации местных стандартов с международными был принят Регламент использования консервантов в продуктах питания (поправка) 2008</w:t>
      </w:r>
      <w:r w:rsidR="00B92291">
        <w:t> год</w:t>
      </w:r>
      <w:r w:rsidRPr="00CB2C86">
        <w:t>а. В 2008</w:t>
      </w:r>
      <w:r w:rsidR="00B92291">
        <w:t> год</w:t>
      </w:r>
      <w:r w:rsidRPr="00CB2C86">
        <w:t>у мы ввели в действие программу маркировки продуктов питания в отношении фасованных пищевых продуктов, приняв Регламент по продуктам питания и лекарствам 2008</w:t>
      </w:r>
      <w:r w:rsidR="00B92291">
        <w:t> год</w:t>
      </w:r>
      <w:r w:rsidRPr="00CB2C86">
        <w:t>а (состав и маркировка) (Поправка: Требования к маркировке пищевых продуктов и претензиям к качеству пищ</w:t>
      </w:r>
      <w:r w:rsidRPr="00CB2C86">
        <w:t>е</w:t>
      </w:r>
      <w:r w:rsidRPr="00CB2C86">
        <w:t>вых продуктов), который вступит в силу 1 июня 2010</w:t>
      </w:r>
      <w:r w:rsidR="00B92291">
        <w:t> год</w:t>
      </w:r>
      <w:r w:rsidRPr="00CB2C86">
        <w:t>а после двухлетнего льготного периода. Программа маркировки пищевых продуктов предписывает снабжать маркировкой все потребляемые пищевые продукты, на которой об</w:t>
      </w:r>
      <w:r w:rsidRPr="00CB2C86">
        <w:t>о</w:t>
      </w:r>
      <w:r w:rsidRPr="00CB2C86">
        <w:t>значаются энергетическая ценность продукта и содержание семи конкретных ингредиентов, а именно</w:t>
      </w:r>
      <w:r w:rsidR="002A6C3D">
        <w:t>:</w:t>
      </w:r>
      <w:r w:rsidRPr="00CB2C86">
        <w:t xml:space="preserve"> содержание белков, углеводов, общее содержание ж</w:t>
      </w:r>
      <w:r w:rsidRPr="00CB2C86">
        <w:t>и</w:t>
      </w:r>
      <w:r w:rsidRPr="00CB2C86">
        <w:t xml:space="preserve">ров, насыщенных жиров, </w:t>
      </w:r>
      <w:proofErr w:type="spellStart"/>
      <w:r w:rsidRPr="00CB2C86">
        <w:t>гидрогенизированных</w:t>
      </w:r>
      <w:proofErr w:type="spellEnd"/>
      <w:r w:rsidRPr="00CB2C86">
        <w:t xml:space="preserve"> жиров, натрия и сахаров, а та</w:t>
      </w:r>
      <w:r w:rsidRPr="00CB2C86">
        <w:t>к</w:t>
      </w:r>
      <w:r w:rsidRPr="00CB2C86">
        <w:t>же любого ингредиента, в отношении которого выдвигается претензия, и рег</w:t>
      </w:r>
      <w:r w:rsidRPr="00CB2C86">
        <w:t>у</w:t>
      </w:r>
      <w:r w:rsidRPr="00CB2C86">
        <w:t xml:space="preserve">лирует различные виды претензий в отношении пищевых продуктов. </w:t>
      </w:r>
    </w:p>
    <w:p w:rsidR="00F936A8" w:rsidRPr="00CB2C86" w:rsidRDefault="00F936A8" w:rsidP="00F91733">
      <w:pPr>
        <w:pStyle w:val="SingleTxtGR"/>
        <w:tabs>
          <w:tab w:val="clear" w:pos="1701"/>
          <w:tab w:val="clear" w:pos="2268"/>
          <w:tab w:val="left" w:pos="1980"/>
          <w:tab w:val="left" w:pos="2520"/>
        </w:tabs>
      </w:pPr>
      <w:r w:rsidRPr="00CB2C86">
        <w:t>12.145</w:t>
      </w:r>
      <w:r w:rsidRPr="00CB2C86">
        <w:tab/>
        <w:t>С 2007</w:t>
      </w:r>
      <w:r w:rsidR="00B92291">
        <w:t> год</w:t>
      </w:r>
      <w:r w:rsidRPr="00CB2C86">
        <w:t>а правительство разрабатывает законопроект о безопасн</w:t>
      </w:r>
      <w:r w:rsidRPr="00CB2C86">
        <w:t>о</w:t>
      </w:r>
      <w:r w:rsidRPr="00CB2C86">
        <w:t>сти пищевых продуктов, преследуя цель ужесточить законодательный ко</w:t>
      </w:r>
      <w:r w:rsidRPr="00CB2C86">
        <w:t>н</w:t>
      </w:r>
      <w:r w:rsidRPr="00CB2C86">
        <w:t>троль над безопасностью пищевых продуктов. Учитывая тревогу общества относ</w:t>
      </w:r>
      <w:r w:rsidRPr="00CB2C86">
        <w:t>и</w:t>
      </w:r>
      <w:r w:rsidRPr="00CB2C86">
        <w:t>тельно безопасности продуктов питания, мы ускорили разработку законод</w:t>
      </w:r>
      <w:r w:rsidRPr="00CB2C86">
        <w:t>а</w:t>
      </w:r>
      <w:r w:rsidRPr="00CB2C86">
        <w:t>тельства об отзыве некачественных продуктов и в 2009</w:t>
      </w:r>
      <w:r w:rsidR="00B92291">
        <w:t> год</w:t>
      </w:r>
      <w:r w:rsidRPr="00CB2C86">
        <w:t>у приняли закон, на основании которого власти могут отзывать сомнительные продукты питания и запрещать их продажу и импорт. С тех пор правительство продолжило работу над оставшимися предложениями к законопроекту о безопасности пищевых продуктов. В 2010</w:t>
      </w:r>
      <w:r w:rsidR="00B92291">
        <w:t> год</w:t>
      </w:r>
      <w:r w:rsidRPr="00CB2C86">
        <w:t>у законопроект был представлен ЗС. Он формирует новые инструменты обеспечения безопасности пищевых продуктов, включая обяз</w:t>
      </w:r>
      <w:r w:rsidRPr="00CB2C86">
        <w:t>а</w:t>
      </w:r>
      <w:r w:rsidRPr="00CB2C86">
        <w:t xml:space="preserve">тельную систему регистрации импортеров и продавцов пищевых продуктов, обязывает продавцов вести надлежащий учет всей цепочки движения пищевых продуктов, чтобы увеличить их </w:t>
      </w:r>
      <w:proofErr w:type="spellStart"/>
      <w:r w:rsidRPr="00CB2C86">
        <w:t>прослеживаемость</w:t>
      </w:r>
      <w:proofErr w:type="spellEnd"/>
      <w:r w:rsidRPr="00CB2C86">
        <w:t>, ужесточить контроль над импортом продовольствия</w:t>
      </w:r>
      <w:r w:rsidR="002A6C3D">
        <w:t>,</w:t>
      </w:r>
      <w:r w:rsidRPr="00CB2C86">
        <w:t xml:space="preserve"> и уполномочивает государственные власти издавать приказы, запрещающие импорт и поставки сомнительных пищевых продуктов и санкционировать отзыв таких продуктов. </w:t>
      </w:r>
    </w:p>
    <w:p w:rsidR="00F936A8" w:rsidRPr="001801D7" w:rsidRDefault="00F936A8" w:rsidP="00F91733">
      <w:pPr>
        <w:pStyle w:val="H1GR"/>
        <w:tabs>
          <w:tab w:val="left" w:pos="1980"/>
          <w:tab w:val="left" w:pos="2520"/>
        </w:tabs>
      </w:pPr>
      <w:r w:rsidRPr="001801D7">
        <w:tab/>
      </w:r>
      <w:r w:rsidRPr="001801D7">
        <w:tab/>
        <w:t>Обслуживание лиц с ограниченными возможностями</w:t>
      </w:r>
    </w:p>
    <w:p w:rsidR="00F936A8" w:rsidRPr="00CB2C86" w:rsidRDefault="00F936A8" w:rsidP="00F91733">
      <w:pPr>
        <w:pStyle w:val="SingleTxtGR"/>
        <w:tabs>
          <w:tab w:val="clear" w:pos="1701"/>
          <w:tab w:val="clear" w:pos="2268"/>
          <w:tab w:val="left" w:pos="1980"/>
          <w:tab w:val="left" w:pos="2520"/>
        </w:tabs>
      </w:pPr>
      <w:r w:rsidRPr="00CB2C86">
        <w:t>12.146</w:t>
      </w:r>
      <w:r w:rsidRPr="00CB2C86">
        <w:tab/>
        <w:t>ДСО и субсидируемые НПО продолжают  оказывать и наращивать реабилитационные и другие услуги ЛОВ, о чем упоминалось в пун</w:t>
      </w:r>
      <w:r w:rsidRPr="00CB2C86">
        <w:t>к</w:t>
      </w:r>
      <w:r w:rsidRPr="00CB2C86">
        <w:t>тах</w:t>
      </w:r>
      <w:r>
        <w:t> </w:t>
      </w:r>
      <w:r w:rsidRPr="00CB2C86">
        <w:t>12.46</w:t>
      </w:r>
      <w:r>
        <w:t>−</w:t>
      </w:r>
      <w:r w:rsidRPr="00CB2C86">
        <w:t>12.49 предыдущего доклада. По состоянию на 31 декабря 2009</w:t>
      </w:r>
      <w:r w:rsidR="00B92291">
        <w:t> год</w:t>
      </w:r>
      <w:r w:rsidRPr="00CB2C86">
        <w:t>а имелось:</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a</w:t>
      </w:r>
      <w:proofErr w:type="spellEnd"/>
      <w:r>
        <w:t>)</w:t>
      </w:r>
      <w:r w:rsidRPr="00CB2C86">
        <w:t xml:space="preserve"> </w:t>
      </w:r>
      <w:r w:rsidRPr="00CB2C86">
        <w:tab/>
        <w:t>5 590 мест в дошкольных учреждениях;</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b</w:t>
      </w:r>
      <w:proofErr w:type="spellEnd"/>
      <w:r>
        <w:t>)</w:t>
      </w:r>
      <w:r w:rsidRPr="00CB2C86">
        <w:t xml:space="preserve"> </w:t>
      </w:r>
      <w:r w:rsidRPr="00CB2C86">
        <w:tab/>
        <w:t>16 354 мест</w:t>
      </w:r>
      <w:r w:rsidR="002A6C3D">
        <w:t>а</w:t>
      </w:r>
      <w:r w:rsidRPr="00CB2C86">
        <w:t xml:space="preserve"> в центрах дневной подготовки и профессиональной реабилитации; и </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c</w:t>
      </w:r>
      <w:proofErr w:type="spellEnd"/>
      <w:r>
        <w:t>)</w:t>
      </w:r>
      <w:r w:rsidRPr="00CB2C86">
        <w:t xml:space="preserve"> </w:t>
      </w:r>
      <w:r w:rsidRPr="00CB2C86">
        <w:tab/>
        <w:t>11 098 мест в стационарных социальных учреждениях для лиц с различными формами инвалидности.</w:t>
      </w:r>
    </w:p>
    <w:p w:rsidR="00F936A8" w:rsidRPr="00CB2C86" w:rsidRDefault="00F936A8" w:rsidP="00F91733">
      <w:pPr>
        <w:pStyle w:val="H23GR"/>
        <w:tabs>
          <w:tab w:val="left" w:pos="1980"/>
          <w:tab w:val="left" w:pos="2520"/>
        </w:tabs>
      </w:pPr>
      <w:r w:rsidRPr="00CB2C86">
        <w:tab/>
      </w:r>
      <w:r w:rsidRPr="00CB2C86">
        <w:tab/>
        <w:t>Дошкольное обслуживание детей-инвалидов</w:t>
      </w:r>
    </w:p>
    <w:p w:rsidR="00F936A8" w:rsidRPr="00CB2C86" w:rsidRDefault="00F936A8" w:rsidP="00F91733">
      <w:pPr>
        <w:pStyle w:val="SingleTxtGR"/>
        <w:tabs>
          <w:tab w:val="clear" w:pos="1701"/>
          <w:tab w:val="clear" w:pos="2268"/>
          <w:tab w:val="left" w:pos="1980"/>
          <w:tab w:val="left" w:pos="2520"/>
        </w:tabs>
      </w:pPr>
      <w:r w:rsidRPr="00CB2C86">
        <w:t>12.147</w:t>
      </w:r>
      <w:r w:rsidRPr="00CB2C86">
        <w:tab/>
        <w:t>По состоянию на декабрь 2009</w:t>
      </w:r>
      <w:r w:rsidR="00B92291">
        <w:t> год</w:t>
      </w:r>
      <w:r w:rsidRPr="00CB2C86">
        <w:t>а в рамках комплексных программ имелось 1</w:t>
      </w:r>
      <w:r w:rsidR="002A6C3D">
        <w:t> </w:t>
      </w:r>
      <w:r w:rsidRPr="00CB2C86">
        <w:t>860 мест в обычных детских садах/центрах ухода за детьми, 1</w:t>
      </w:r>
      <w:r>
        <w:t> </w:t>
      </w:r>
      <w:r w:rsidRPr="00CB2C86">
        <w:t>544 места в специализированных центрах ухода за детьми (в том числе 110</w:t>
      </w:r>
      <w:r>
        <w:t> </w:t>
      </w:r>
      <w:r w:rsidRPr="00CB2C86">
        <w:t>мест в домах-интернатах) и 2</w:t>
      </w:r>
      <w:r w:rsidR="002A6C3D">
        <w:t> </w:t>
      </w:r>
      <w:r w:rsidRPr="00CB2C86">
        <w:t>186 мест в центрах раннего развития и подготовки для детей-инвалидов. К тому же, детям со слабой умственной отсталостью, кот</w:t>
      </w:r>
      <w:r w:rsidRPr="00CB2C86">
        <w:t>о</w:t>
      </w:r>
      <w:r w:rsidRPr="00CB2C86">
        <w:t>рым их семьи не могут обеспечить необходимый уход, в небольших группах семейного типа было предоставлено 56 мест.</w:t>
      </w:r>
    </w:p>
    <w:p w:rsidR="00F936A8" w:rsidRPr="001801D7" w:rsidRDefault="00F936A8" w:rsidP="00F91733">
      <w:pPr>
        <w:pStyle w:val="H23GR"/>
        <w:tabs>
          <w:tab w:val="left" w:pos="1980"/>
          <w:tab w:val="left" w:pos="2520"/>
        </w:tabs>
      </w:pPr>
      <w:r w:rsidRPr="001801D7">
        <w:tab/>
      </w:r>
      <w:r w:rsidRPr="001801D7">
        <w:tab/>
        <w:t>Услуги по социально-бытовой и профессиональной реабилит</w:t>
      </w:r>
      <w:r w:rsidRPr="001801D7">
        <w:t>а</w:t>
      </w:r>
      <w:r w:rsidRPr="001801D7">
        <w:t>ции</w:t>
      </w:r>
    </w:p>
    <w:p w:rsidR="00F936A8" w:rsidRPr="00CB2C86" w:rsidRDefault="00F936A8" w:rsidP="00F91733">
      <w:pPr>
        <w:pStyle w:val="SingleTxtGR"/>
        <w:tabs>
          <w:tab w:val="clear" w:pos="1701"/>
          <w:tab w:val="clear" w:pos="2268"/>
          <w:tab w:val="left" w:pos="1980"/>
          <w:tab w:val="left" w:pos="2520"/>
        </w:tabs>
      </w:pPr>
      <w:r w:rsidRPr="00CB2C86">
        <w:t>12.148</w:t>
      </w:r>
      <w:r w:rsidRPr="00CB2C86">
        <w:tab/>
        <w:t>В дополнение к сказанному в пунктах 12.47</w:t>
      </w:r>
      <w:r>
        <w:t>−</w:t>
      </w:r>
      <w:r w:rsidRPr="00CB2C86">
        <w:t>12.48 предыдущего до</w:t>
      </w:r>
      <w:r w:rsidRPr="00CB2C86">
        <w:t>к</w:t>
      </w:r>
      <w:r w:rsidRPr="00CB2C86">
        <w:t>лада по состоянию на декабрь 2009</w:t>
      </w:r>
      <w:r w:rsidR="00B92291">
        <w:t> год</w:t>
      </w:r>
      <w:r w:rsidRPr="00CB2C86">
        <w:t>а для ЛОВ было выделено 1</w:t>
      </w:r>
      <w:r>
        <w:t> </w:t>
      </w:r>
      <w:r w:rsidRPr="00CB2C86">
        <w:t>645 квот</w:t>
      </w:r>
      <w:r w:rsidRPr="00CB2C86">
        <w:t>и</w:t>
      </w:r>
      <w:r w:rsidRPr="00CB2C86">
        <w:t>руемых рабочих мест в условиях открытого рынка труда при соответству</w:t>
      </w:r>
      <w:r w:rsidRPr="00CB2C86">
        <w:t>ю</w:t>
      </w:r>
      <w:r w:rsidRPr="00CB2C86">
        <w:t>щей поддержке и помощи. Кроме того, для ЛОВ в рамках Программы професси</w:t>
      </w:r>
      <w:r w:rsidRPr="00CB2C86">
        <w:t>о</w:t>
      </w:r>
      <w:r w:rsidRPr="00CB2C86">
        <w:t>нальной подготовки для лиц с ограниченными возможностями без отрыва от производства было создано 432 рабочих мест, а для молодых людей с огран</w:t>
      </w:r>
      <w:r w:rsidRPr="00CB2C86">
        <w:t>и</w:t>
      </w:r>
      <w:r w:rsidRPr="00CB2C86">
        <w:t xml:space="preserve">ченными возможностями или ранними симптомами психического заболевания в рамках </w:t>
      </w:r>
      <w:r>
        <w:t>"</w:t>
      </w:r>
      <w:r w:rsidRPr="00CB2C86">
        <w:t>Программы профессиональной подготовки для молодых людей с огр</w:t>
      </w:r>
      <w:r w:rsidRPr="00CB2C86">
        <w:t>а</w:t>
      </w:r>
      <w:r w:rsidRPr="00CB2C86">
        <w:t xml:space="preserve">ниченными возможностями без отрыва от производства </w:t>
      </w:r>
      <w:r>
        <w:t>−</w:t>
      </w:r>
      <w:r w:rsidRPr="00CB2C86">
        <w:t xml:space="preserve"> </w:t>
      </w:r>
      <w:proofErr w:type="spellStart"/>
      <w:r w:rsidRPr="00CB2C86">
        <w:t>Санниуэй</w:t>
      </w:r>
      <w:proofErr w:type="spellEnd"/>
      <w:r>
        <w:t>"</w:t>
      </w:r>
      <w:r w:rsidRPr="00CB2C86">
        <w:t xml:space="preserve"> было в</w:t>
      </w:r>
      <w:r w:rsidRPr="00CB2C86">
        <w:t>ы</w:t>
      </w:r>
      <w:r w:rsidRPr="00CB2C86">
        <w:t>делено 311 мест с целью содействовать их трудоустройству. Те из них, кто еще был не готов конкурировать на открытом рынке труда, были устроены в масте</w:t>
      </w:r>
      <w:r w:rsidRPr="00CB2C86">
        <w:t>р</w:t>
      </w:r>
      <w:r w:rsidRPr="00CB2C86">
        <w:t>ские для инвалидов, в которых было создано 5</w:t>
      </w:r>
      <w:r>
        <w:t> </w:t>
      </w:r>
      <w:r w:rsidRPr="00CB2C86">
        <w:t>113 рабочих мест. К тому же, в центрах комплексной профессиональной подготовки было подготовлено 453</w:t>
      </w:r>
      <w:r>
        <w:t> </w:t>
      </w:r>
      <w:r w:rsidRPr="00CB2C86">
        <w:t>мест и в центрах комплексной профессиональной реабилитации еще 3</w:t>
      </w:r>
      <w:r>
        <w:t> </w:t>
      </w:r>
      <w:r w:rsidRPr="00CB2C86">
        <w:t>685</w:t>
      </w:r>
      <w:r>
        <w:t> </w:t>
      </w:r>
      <w:r w:rsidRPr="00CB2C86">
        <w:t>мест.</w:t>
      </w:r>
    </w:p>
    <w:p w:rsidR="00F936A8" w:rsidRPr="00CB2C86" w:rsidRDefault="00F936A8" w:rsidP="00F91733">
      <w:pPr>
        <w:pStyle w:val="SingleTxtGR"/>
        <w:tabs>
          <w:tab w:val="clear" w:pos="1701"/>
          <w:tab w:val="clear" w:pos="2268"/>
          <w:tab w:val="left" w:pos="1980"/>
          <w:tab w:val="left" w:pos="2520"/>
        </w:tabs>
      </w:pPr>
      <w:r w:rsidRPr="00CB2C86">
        <w:t>12.149</w:t>
      </w:r>
      <w:r w:rsidRPr="00CB2C86">
        <w:tab/>
        <w:t>С целью расширить возможности трудоустройства ЛОВ 23 НПО были выделены финансовые средства, чтобы они могли создать 57 малых предпр</w:t>
      </w:r>
      <w:r w:rsidRPr="00CB2C86">
        <w:t>и</w:t>
      </w:r>
      <w:r w:rsidRPr="00CB2C86">
        <w:t>ятий, которые смогли создать 476 рабочих мест для ЛОВ. Совместно с этим Управление по маркетинговым консультационным услугам (реабилитация) п</w:t>
      </w:r>
      <w:r w:rsidRPr="00CB2C86">
        <w:t>о</w:t>
      </w:r>
      <w:r w:rsidRPr="00CB2C86">
        <w:t>могало учреждениям профессиональной реабилитации в разработке их марк</w:t>
      </w:r>
      <w:r w:rsidRPr="00CB2C86">
        <w:t>е</w:t>
      </w:r>
      <w:r w:rsidRPr="00CB2C86">
        <w:t>тинговой и хозяйственной стратегий и услуг по содействию трудоустройству.</w:t>
      </w:r>
    </w:p>
    <w:p w:rsidR="00F936A8" w:rsidRPr="00CB2C86" w:rsidRDefault="00F936A8" w:rsidP="00F91733">
      <w:pPr>
        <w:pStyle w:val="SingleTxtGR"/>
        <w:tabs>
          <w:tab w:val="clear" w:pos="1701"/>
          <w:tab w:val="clear" w:pos="2268"/>
          <w:tab w:val="left" w:pos="1980"/>
          <w:tab w:val="left" w:pos="2520"/>
        </w:tabs>
      </w:pPr>
      <w:r w:rsidRPr="00CB2C86">
        <w:t>12.150</w:t>
      </w:r>
      <w:r w:rsidRPr="00CB2C86">
        <w:tab/>
        <w:t>Центры социально-бытовой реабилитации располагали 4</w:t>
      </w:r>
      <w:r>
        <w:t> </w:t>
      </w:r>
      <w:r w:rsidRPr="00CB2C86">
        <w:t>485 ме</w:t>
      </w:r>
      <w:r w:rsidRPr="00CB2C86">
        <w:t>с</w:t>
      </w:r>
      <w:r w:rsidRPr="00CB2C86">
        <w:t>тами, обеспечивая подготовку умственно отсталых лиц в формировании навыков с</w:t>
      </w:r>
      <w:r w:rsidRPr="00CB2C86">
        <w:t>а</w:t>
      </w:r>
      <w:r w:rsidRPr="00CB2C86">
        <w:t>мостоятельной жизнедеятельности. Чтобы помочь бывшим психически бол</w:t>
      </w:r>
      <w:r w:rsidRPr="00CB2C86">
        <w:t>ь</w:t>
      </w:r>
      <w:r w:rsidRPr="00CB2C86">
        <w:t>ным пациентам адаптироваться к нормальной повседневной жизни, в центрах подготовки и социально-бытовой реабилитации было создано в общей сложн</w:t>
      </w:r>
      <w:r w:rsidRPr="00CB2C86">
        <w:t>о</w:t>
      </w:r>
      <w:r w:rsidRPr="00CB2C86">
        <w:t>сти 230 мест.</w:t>
      </w:r>
    </w:p>
    <w:p w:rsidR="00F936A8" w:rsidRPr="001801D7" w:rsidRDefault="00F936A8" w:rsidP="00F91733">
      <w:pPr>
        <w:pStyle w:val="H23GR"/>
        <w:tabs>
          <w:tab w:val="left" w:pos="1980"/>
          <w:tab w:val="left" w:pos="2520"/>
        </w:tabs>
      </w:pPr>
      <w:r w:rsidRPr="001801D7">
        <w:tab/>
      </w:r>
      <w:r w:rsidRPr="001801D7">
        <w:tab/>
        <w:t>Обслуживание ЛОВ в стационарных социальных учреждениях</w:t>
      </w:r>
    </w:p>
    <w:p w:rsidR="00F936A8" w:rsidRPr="00CB2C86" w:rsidRDefault="00F936A8" w:rsidP="00F91733">
      <w:pPr>
        <w:pStyle w:val="SingleTxtGR"/>
        <w:tabs>
          <w:tab w:val="clear" w:pos="1701"/>
          <w:tab w:val="clear" w:pos="2268"/>
          <w:tab w:val="left" w:pos="1980"/>
          <w:tab w:val="left" w:pos="2520"/>
        </w:tabs>
      </w:pPr>
      <w:r w:rsidRPr="00CB2C86">
        <w:t>12.151</w:t>
      </w:r>
      <w:r w:rsidRPr="00CB2C86">
        <w:tab/>
        <w:t>По состоянию на декабрь 2009</w:t>
      </w:r>
      <w:r w:rsidR="00B92291">
        <w:t> год</w:t>
      </w:r>
      <w:r w:rsidRPr="00CB2C86">
        <w:t>а вместимость стационарных соц</w:t>
      </w:r>
      <w:r w:rsidRPr="00CB2C86">
        <w:t>и</w:t>
      </w:r>
      <w:r w:rsidRPr="00CB2C86">
        <w:t>альных учреждений, оказывающих услуги ЛОВ, которые неспособны жить с</w:t>
      </w:r>
      <w:r w:rsidRPr="00CB2C86">
        <w:t>а</w:t>
      </w:r>
      <w:r w:rsidRPr="00CB2C86">
        <w:t>мостоятельно в общине или которым их семьи не могут обеспечить необход</w:t>
      </w:r>
      <w:r w:rsidRPr="00CB2C86">
        <w:t>и</w:t>
      </w:r>
      <w:r w:rsidRPr="00CB2C86">
        <w:t xml:space="preserve">мый уход, составляла 11 098 мест. </w:t>
      </w:r>
    </w:p>
    <w:p w:rsidR="00F936A8" w:rsidRPr="00CB2C86" w:rsidRDefault="00F936A8" w:rsidP="00F91733">
      <w:pPr>
        <w:pStyle w:val="SingleTxtGR"/>
        <w:tabs>
          <w:tab w:val="clear" w:pos="1701"/>
          <w:tab w:val="clear" w:pos="2268"/>
          <w:tab w:val="left" w:pos="1980"/>
          <w:tab w:val="left" w:pos="2520"/>
        </w:tabs>
      </w:pPr>
      <w:r w:rsidRPr="00CB2C86">
        <w:t>12.152</w:t>
      </w:r>
      <w:r w:rsidRPr="00CB2C86">
        <w:tab/>
        <w:t>Для регулирования стандартов обслуживания ЛОВ в стационарных социальных учреждениях правительство готовит законопроект о домах-интернатах (для лиц с ограниченными возможностями) и планирует предст</w:t>
      </w:r>
      <w:r w:rsidRPr="00CB2C86">
        <w:t>а</w:t>
      </w:r>
      <w:r w:rsidRPr="00CB2C86">
        <w:t>вить его на рассмотрение ЗС в период законодательной сессии 2009/10</w:t>
      </w:r>
      <w:r w:rsidR="00B92291">
        <w:t> год</w:t>
      </w:r>
      <w:r w:rsidRPr="00CB2C86">
        <w:t xml:space="preserve">а для создания нормативной базы лицензирования таких домов-интернатов. </w:t>
      </w:r>
    </w:p>
    <w:p w:rsidR="00F936A8" w:rsidRPr="001801D7" w:rsidRDefault="00F936A8" w:rsidP="00F91733">
      <w:pPr>
        <w:pStyle w:val="H23GR"/>
        <w:tabs>
          <w:tab w:val="left" w:pos="1980"/>
          <w:tab w:val="left" w:pos="2520"/>
        </w:tabs>
      </w:pPr>
      <w:r w:rsidRPr="001801D7">
        <w:tab/>
      </w:r>
      <w:r w:rsidRPr="001801D7">
        <w:tab/>
        <w:t xml:space="preserve">Общественная социальная помощь ЛОВ </w:t>
      </w:r>
    </w:p>
    <w:p w:rsidR="00F936A8" w:rsidRPr="00CB2C86" w:rsidRDefault="00F936A8" w:rsidP="00F91733">
      <w:pPr>
        <w:pStyle w:val="SingleTxtGR"/>
        <w:tabs>
          <w:tab w:val="clear" w:pos="1701"/>
          <w:tab w:val="clear" w:pos="2268"/>
          <w:tab w:val="left" w:pos="1980"/>
          <w:tab w:val="left" w:pos="2520"/>
        </w:tabs>
      </w:pPr>
      <w:r w:rsidRPr="00CB2C86">
        <w:t>12.153</w:t>
      </w:r>
      <w:r w:rsidRPr="00CB2C86">
        <w:tab/>
        <w:t>ДСО и НПО оказывают нуждающимся ЛОВ услуги по их срочному размещению в стационарных социальных учреждениях, чтобы защитить их от опасностей, обусловленных отсутствием ухода или жилища. К адресной группе клиентов относятся лица с психическими или физическими недостатками в возрасте 15 лет и старше, у которы</w:t>
      </w:r>
      <w:r w:rsidR="002A6C3D">
        <w:t>х</w:t>
      </w:r>
      <w:r w:rsidRPr="00CB2C86">
        <w:t xml:space="preserve"> нет жилья или которые остро нуждаются в уходе. </w:t>
      </w:r>
    </w:p>
    <w:p w:rsidR="00F936A8" w:rsidRPr="00CB2C86" w:rsidRDefault="00F936A8" w:rsidP="00F91733">
      <w:pPr>
        <w:pStyle w:val="SingleTxtGR"/>
        <w:tabs>
          <w:tab w:val="clear" w:pos="1701"/>
          <w:tab w:val="clear" w:pos="2268"/>
          <w:tab w:val="left" w:pos="1980"/>
          <w:tab w:val="left" w:pos="2520"/>
        </w:tabs>
      </w:pPr>
      <w:r w:rsidRPr="00CB2C86">
        <w:t>12.154</w:t>
      </w:r>
      <w:r w:rsidRPr="00CB2C86">
        <w:tab/>
        <w:t xml:space="preserve">ДСО и НПО также оказывают общественные социальные услуги ЛОВ по реабилитации в центрах дневного пребывания, включая </w:t>
      </w:r>
      <w:proofErr w:type="spellStart"/>
      <w:r w:rsidRPr="00CB2C86">
        <w:t>парамедицинсие</w:t>
      </w:r>
      <w:proofErr w:type="spellEnd"/>
      <w:r w:rsidRPr="00CB2C86">
        <w:t xml:space="preserve"> и социально-психологические реабилитационные услуги с целью помочь им ув</w:t>
      </w:r>
      <w:r w:rsidRPr="00CB2C86">
        <w:t>е</w:t>
      </w:r>
      <w:r w:rsidRPr="00CB2C86">
        <w:t>личить их физические возможности и возможности самообслуживания, а также углубить их бытовые и социальные навыки. Чтобы повысить возможности чл</w:t>
      </w:r>
      <w:r w:rsidRPr="00CB2C86">
        <w:t>е</w:t>
      </w:r>
      <w:r w:rsidRPr="00CB2C86">
        <w:t>нов семьи/помощников ЛОВ по уходу и снять с них нагрузку, для них орган</w:t>
      </w:r>
      <w:r w:rsidRPr="00CB2C86">
        <w:t>и</w:t>
      </w:r>
      <w:r w:rsidRPr="00CB2C86">
        <w:t>зуются программы и учебные курсы, что тем самым улучает качество их жизни. В настоящее время функционируют четыре общественных Центра реабилит</w:t>
      </w:r>
      <w:r w:rsidRPr="00CB2C86">
        <w:t>а</w:t>
      </w:r>
      <w:r w:rsidRPr="00CB2C86">
        <w:t>ции дневного пребывания, которые оказывают услуги недавно выписанным п</w:t>
      </w:r>
      <w:r w:rsidRPr="00CB2C86">
        <w:t>а</w:t>
      </w:r>
      <w:r w:rsidRPr="00CB2C86">
        <w:t>циентам с неврологическими нарушениями или физическими недостатками. Кроме того, выписанным психически больным пациентам общественные дне</w:t>
      </w:r>
      <w:r w:rsidRPr="00CB2C86">
        <w:t>в</w:t>
      </w:r>
      <w:r w:rsidRPr="00CB2C86">
        <w:t>ные услуги по реабилитации оказывают пять Центров подготовки и трудовой терапии.</w:t>
      </w:r>
    </w:p>
    <w:p w:rsidR="00F936A8" w:rsidRPr="00CB2C86" w:rsidRDefault="00F936A8" w:rsidP="00F91733">
      <w:pPr>
        <w:pStyle w:val="H1GR"/>
        <w:tabs>
          <w:tab w:val="left" w:pos="1980"/>
          <w:tab w:val="left" w:pos="2520"/>
        </w:tabs>
      </w:pPr>
      <w:r w:rsidRPr="00CB2C86">
        <w:tab/>
      </w:r>
      <w:r w:rsidRPr="00CB2C86">
        <w:tab/>
        <w:t>Услуги лицам с нарушениями психического здоровья</w:t>
      </w:r>
    </w:p>
    <w:p w:rsidR="00F936A8" w:rsidRPr="001801D7" w:rsidRDefault="00F936A8" w:rsidP="00F91733">
      <w:pPr>
        <w:pStyle w:val="H23GR"/>
        <w:tabs>
          <w:tab w:val="left" w:pos="1980"/>
          <w:tab w:val="left" w:pos="2520"/>
        </w:tabs>
      </w:pPr>
      <w:r w:rsidRPr="001801D7">
        <w:tab/>
      </w:r>
      <w:r w:rsidRPr="001801D7">
        <w:tab/>
        <w:t>Политика</w:t>
      </w:r>
    </w:p>
    <w:p w:rsidR="00F936A8" w:rsidRPr="00CB2C86" w:rsidRDefault="00F936A8" w:rsidP="00F91733">
      <w:pPr>
        <w:pStyle w:val="SingleTxtGR"/>
        <w:tabs>
          <w:tab w:val="clear" w:pos="1701"/>
          <w:tab w:val="clear" w:pos="2268"/>
          <w:tab w:val="left" w:pos="1980"/>
          <w:tab w:val="left" w:pos="2520"/>
        </w:tabs>
      </w:pPr>
      <w:r w:rsidRPr="00CB2C86">
        <w:t>12.155</w:t>
      </w:r>
      <w:r w:rsidRPr="00CB2C86">
        <w:tab/>
        <w:t>Правительство твердо намерено укреплять психическое здоровье. Мы стремимся обеспечить непрерывное оказание нуждающимся всего комплекса психиатрической помощи, включая профилактику, раннее выявление, лечение, реабилитацию и общественную социальную помощь. Мы поощряем примен</w:t>
      </w:r>
      <w:r w:rsidRPr="00CB2C86">
        <w:t>е</w:t>
      </w:r>
      <w:r w:rsidRPr="00CB2C86">
        <w:t>ние междисциплинарного, межведомственного коллективного подхода, пресл</w:t>
      </w:r>
      <w:r w:rsidRPr="00CB2C86">
        <w:t>е</w:t>
      </w:r>
      <w:r w:rsidRPr="00CB2C86">
        <w:t>дуя цель удовлетворить потребностей психически больных пациентов на ко</w:t>
      </w:r>
      <w:r w:rsidRPr="00CB2C86">
        <w:t>м</w:t>
      </w:r>
      <w:r w:rsidRPr="00CB2C86">
        <w:t>плексной основе. В последние несколько лет ассигнования правительства на психиатрическую помощь каждый</w:t>
      </w:r>
      <w:r w:rsidR="00B92291">
        <w:t> год</w:t>
      </w:r>
      <w:r w:rsidRPr="00CB2C86">
        <w:t xml:space="preserve"> возрастали, а ежегодные расходы пр</w:t>
      </w:r>
      <w:r w:rsidRPr="00CB2C86">
        <w:t>е</w:t>
      </w:r>
      <w:r w:rsidRPr="00CB2C86">
        <w:t>вышали 3</w:t>
      </w:r>
      <w:r w:rsidR="004F720A">
        <w:t> </w:t>
      </w:r>
      <w:r w:rsidR="00B63D5C">
        <w:t>млрд. долларов.</w:t>
      </w:r>
      <w:r w:rsidRPr="00CB2C86">
        <w:t xml:space="preserve"> В 2008</w:t>
      </w:r>
      <w:r>
        <w:t>−</w:t>
      </w:r>
      <w:r w:rsidRPr="00CB2C86">
        <w:t>2009</w:t>
      </w:r>
      <w:r w:rsidR="00B92291">
        <w:t> год</w:t>
      </w:r>
      <w:r w:rsidRPr="00CB2C86">
        <w:t>у эти расходы составили 3,6</w:t>
      </w:r>
      <w:r w:rsidR="004F720A">
        <w:t> млрд.</w:t>
      </w:r>
      <w:r w:rsidRPr="00CB2C86">
        <w:t xml:space="preserve"> гонконгских долларов. Правительство проводит регулярный обзор существу</w:t>
      </w:r>
      <w:r w:rsidRPr="00CB2C86">
        <w:t>ю</w:t>
      </w:r>
      <w:r w:rsidRPr="00CB2C86">
        <w:t>щей системы психиатрической помощи через Рабочую группу по вопросам психиатрической помощи под председательством Секретаря по вопросам пр</w:t>
      </w:r>
      <w:r w:rsidRPr="00CB2C86">
        <w:t>о</w:t>
      </w:r>
      <w:r w:rsidRPr="00CB2C86">
        <w:t>довольствия и здравоохранения, чтобы в случае необходимости вносить ко</w:t>
      </w:r>
      <w:r w:rsidRPr="00CB2C86">
        <w:t>р</w:t>
      </w:r>
      <w:r w:rsidRPr="00CB2C86">
        <w:t>рективы или улучшать качество услуг. Членский состав Рабочей группы вкл</w:t>
      </w:r>
      <w:r w:rsidRPr="00CB2C86">
        <w:t>ю</w:t>
      </w:r>
      <w:r w:rsidRPr="00CB2C86">
        <w:t xml:space="preserve">чает представителей заинтересованных сторон, имеющих богатый опыт работы в секторе медицины, социального обеспечения и других секторах. </w:t>
      </w:r>
    </w:p>
    <w:p w:rsidR="00F936A8" w:rsidRPr="00CB2C86" w:rsidRDefault="00F936A8" w:rsidP="00F91733">
      <w:pPr>
        <w:pStyle w:val="SingleTxtGR"/>
        <w:tabs>
          <w:tab w:val="clear" w:pos="1701"/>
          <w:tab w:val="clear" w:pos="2268"/>
          <w:tab w:val="left" w:pos="1980"/>
          <w:tab w:val="left" w:pos="2520"/>
        </w:tabs>
      </w:pPr>
      <w:r w:rsidRPr="00CB2C86">
        <w:t>12.156</w:t>
      </w:r>
      <w:r w:rsidRPr="00CB2C86">
        <w:tab/>
        <w:t>Некоторые комментаторы вновь высказали просьбу учредить совет по проблемам психического здоровья. В настоящее время ответственность за к</w:t>
      </w:r>
      <w:r w:rsidRPr="00CB2C86">
        <w:t>о</w:t>
      </w:r>
      <w:r w:rsidRPr="00CB2C86">
        <w:t>ординацию мер и программ в области психического здоровья взяло на себя БППЗ. Оно тесно сотрудничает с Управлением труда и социального обеспеч</w:t>
      </w:r>
      <w:r w:rsidRPr="00CB2C86">
        <w:t>е</w:t>
      </w:r>
      <w:r w:rsidRPr="00CB2C86">
        <w:t>ния и координирует деятельность различных государственных департаментов и ведомств, включая АБ, ДЗ и ДСО, по осуществлению соответствующих мер. Мы стремимся предоставлять медицинскую и реабилитационную помощь п</w:t>
      </w:r>
      <w:r w:rsidRPr="00CB2C86">
        <w:t>а</w:t>
      </w:r>
      <w:r w:rsidRPr="00CB2C86">
        <w:t>циентам с психическими расстройствами на комплексной и междисциплина</w:t>
      </w:r>
      <w:r w:rsidRPr="00CB2C86">
        <w:t>р</w:t>
      </w:r>
      <w:r w:rsidRPr="00CB2C86">
        <w:t>ной основе. Кроме того, для постоянного обзора существующей системы пс</w:t>
      </w:r>
      <w:r w:rsidRPr="00CB2C86">
        <w:t>и</w:t>
      </w:r>
      <w:r w:rsidRPr="00CB2C86">
        <w:t>хиатрической помощи у нас есть межведомственный механизм, Рабочая группа по вопросам психиатрической помощи. Правительство учитывает мнения чл</w:t>
      </w:r>
      <w:r w:rsidRPr="00CB2C86">
        <w:t>е</w:t>
      </w:r>
      <w:r w:rsidRPr="00CB2C86">
        <w:t>нов Рабочей группы при внесении коррективов в существующую систему или при формулировании новых инициатив в области этой помощи. Существующая система функционирует слаженно, предоставляя скоординированную и ко</w:t>
      </w:r>
      <w:r w:rsidRPr="00CB2C86">
        <w:t>м</w:t>
      </w:r>
      <w:r w:rsidRPr="00CB2C86">
        <w:t>плексную помощь пациентам с нарушениями психики. БППЗ продолжит укре</w:t>
      </w:r>
      <w:r w:rsidRPr="00CB2C86">
        <w:t>п</w:t>
      </w:r>
      <w:r w:rsidRPr="00CB2C86">
        <w:t>лять свою координирующую роль в решении вопросов психического здоровья и тесно сотрудничать с различными департаментами и ведомствами в формул</w:t>
      </w:r>
      <w:r w:rsidRPr="00CB2C86">
        <w:t>и</w:t>
      </w:r>
      <w:r w:rsidRPr="00CB2C86">
        <w:t>ровании соответствующих политики и мер.</w:t>
      </w:r>
    </w:p>
    <w:p w:rsidR="00F936A8" w:rsidRPr="001801D7" w:rsidRDefault="00F936A8" w:rsidP="00F91733">
      <w:pPr>
        <w:pStyle w:val="H23GR"/>
        <w:tabs>
          <w:tab w:val="left" w:pos="1980"/>
          <w:tab w:val="left" w:pos="2520"/>
        </w:tabs>
      </w:pPr>
      <w:r w:rsidRPr="001801D7">
        <w:tab/>
      </w:r>
      <w:r w:rsidRPr="001801D7">
        <w:tab/>
        <w:t>Обслуживание и обеспечение лиц, выздор</w:t>
      </w:r>
      <w:r>
        <w:t xml:space="preserve">авливающих </w:t>
      </w:r>
      <w:r w:rsidRPr="001801D7">
        <w:t>после психических заболеваний</w:t>
      </w:r>
    </w:p>
    <w:p w:rsidR="00F936A8" w:rsidRPr="00CB2C86" w:rsidRDefault="00F936A8" w:rsidP="00F91733">
      <w:pPr>
        <w:pStyle w:val="SingleTxtGR"/>
        <w:tabs>
          <w:tab w:val="clear" w:pos="1701"/>
          <w:tab w:val="clear" w:pos="2268"/>
          <w:tab w:val="left" w:pos="1980"/>
          <w:tab w:val="left" w:pos="2520"/>
        </w:tabs>
      </w:pPr>
      <w:r w:rsidRPr="00CB2C86">
        <w:t>12.157</w:t>
      </w:r>
      <w:r w:rsidRPr="00CB2C86">
        <w:tab/>
        <w:t>Ранняя выписка пациентов, страдающих расстройствами психики, при стабилизации их психического состояния для прохождения дальнейшего леч</w:t>
      </w:r>
      <w:r w:rsidRPr="00CB2C86">
        <w:t>е</w:t>
      </w:r>
      <w:r w:rsidRPr="00CB2C86">
        <w:t>ния по месту жительства может содействовать их реабилитации и уменьшить возможность рецидивов болезни. Международная тенденция заключается именно в том, чтобы при лечении психических заболеваний делать акцент на психиатрической помощи по месту жительства и в амбулаторных условиях. Р</w:t>
      </w:r>
      <w:r w:rsidRPr="00CB2C86">
        <w:t>у</w:t>
      </w:r>
      <w:r w:rsidRPr="00CB2C86">
        <w:t>ководствуясь этими соображениями, АБ в последние</w:t>
      </w:r>
      <w:r w:rsidR="00B92291">
        <w:t> год</w:t>
      </w:r>
      <w:r w:rsidRPr="00CB2C86">
        <w:t xml:space="preserve">ы осуществляет ряд новых инициатив для укрепления местных психиатрических услуг, включая реализацию проекта </w:t>
      </w:r>
      <w:r>
        <w:t>"</w:t>
      </w:r>
      <w:r w:rsidRPr="00CB2C86">
        <w:t>Переход к интенсивному лечению и ранней реабилитации пациентов с хроническими психическими заболеваниями</w:t>
      </w:r>
      <w:r>
        <w:t>"</w:t>
      </w:r>
      <w:r w:rsidRPr="00CB2C86">
        <w:t xml:space="preserve"> (ЕКСИТЕРС), чтобы обеспечить реабилитацию пациентов, долгое время находящихся в психиатр</w:t>
      </w:r>
      <w:r w:rsidRPr="00CB2C86">
        <w:t>и</w:t>
      </w:r>
      <w:r w:rsidRPr="00CB2C86">
        <w:t xml:space="preserve">ческих стационарах, и содействовать их ранней выписке и </w:t>
      </w:r>
      <w:proofErr w:type="spellStart"/>
      <w:r w:rsidRPr="00CB2C86">
        <w:t>реинтеграции</w:t>
      </w:r>
      <w:proofErr w:type="spellEnd"/>
      <w:r w:rsidRPr="00CB2C86">
        <w:t xml:space="preserve"> в жизнь общества, а также запуску экспериментальных программ по поддержке после выписки из стационара часто помещаемым в него пациентам во исполн</w:t>
      </w:r>
      <w:r w:rsidRPr="00CB2C86">
        <w:t>е</w:t>
      </w:r>
      <w:r w:rsidRPr="00CB2C86">
        <w:t>ние Программы помощи выздоровлению с целью социально поддержать вып</w:t>
      </w:r>
      <w:r w:rsidRPr="00CB2C86">
        <w:t>и</w:t>
      </w:r>
      <w:r w:rsidRPr="00CB2C86">
        <w:t xml:space="preserve">санных нуждающихся психически больных пациентов и упрочить адресные </w:t>
      </w:r>
      <w:proofErr w:type="spellStart"/>
      <w:r w:rsidRPr="00CB2C86">
        <w:t>психогериатрические</w:t>
      </w:r>
      <w:proofErr w:type="spellEnd"/>
      <w:r w:rsidRPr="00CB2C86">
        <w:t xml:space="preserve"> службы. </w:t>
      </w:r>
    </w:p>
    <w:p w:rsidR="00F936A8" w:rsidRPr="00CB2C86" w:rsidRDefault="00F936A8" w:rsidP="00F91733">
      <w:pPr>
        <w:pStyle w:val="SingleTxtGR"/>
        <w:tabs>
          <w:tab w:val="clear" w:pos="1701"/>
          <w:tab w:val="clear" w:pos="2268"/>
          <w:tab w:val="left" w:pos="1980"/>
          <w:tab w:val="left" w:pos="2520"/>
        </w:tabs>
      </w:pPr>
      <w:r w:rsidRPr="00CB2C86">
        <w:t>12.158</w:t>
      </w:r>
      <w:r w:rsidRPr="00CB2C86">
        <w:tab/>
        <w:t>Чтобы еще больше укрепить службы психического здоровья, АБ в 2010</w:t>
      </w:r>
      <w:r>
        <w:t>−</w:t>
      </w:r>
      <w:r w:rsidRPr="00CB2C86">
        <w:t>2011</w:t>
      </w:r>
      <w:r w:rsidR="00B92291">
        <w:t> год</w:t>
      </w:r>
      <w:r w:rsidRPr="00CB2C86">
        <w:t>ах приступила к осуществлению двух новых инициатив, пр</w:t>
      </w:r>
      <w:r w:rsidRPr="00CB2C86">
        <w:t>и</w:t>
      </w:r>
      <w:r w:rsidRPr="00CB2C86">
        <w:t>званных помочь двум категориям этих пациентов. Что касается лиц с острыми психическими заболеваниями, то АБ будет осуществлять в отдельных округах экспериментальную программу ведения больных, нацеленную на оказание н</w:t>
      </w:r>
      <w:r w:rsidRPr="00CB2C86">
        <w:t>е</w:t>
      </w:r>
      <w:r w:rsidRPr="00CB2C86">
        <w:t>прерывной, индивидуализированной и интенсивной помощи этим больным по месту жительства. Для лиц, страдающих распространенными психическими расстройствами, АБ будет наращивать лечение путем предоставления более оперативных диагностических и лечебных услуг в психиатрических амбулато</w:t>
      </w:r>
      <w:r w:rsidRPr="00CB2C86">
        <w:t>р</w:t>
      </w:r>
      <w:r w:rsidRPr="00CB2C86">
        <w:t>ных клиниках и отделениях первичной медико-санитарной помощи.</w:t>
      </w:r>
    </w:p>
    <w:p w:rsidR="00F936A8" w:rsidRPr="00CB2C86" w:rsidRDefault="00F936A8" w:rsidP="00F91733">
      <w:pPr>
        <w:pStyle w:val="SingleTxtGR"/>
        <w:tabs>
          <w:tab w:val="clear" w:pos="1701"/>
          <w:tab w:val="clear" w:pos="2268"/>
          <w:tab w:val="left" w:pos="1980"/>
          <w:tab w:val="left" w:pos="2520"/>
        </w:tabs>
      </w:pPr>
      <w:r w:rsidRPr="00CB2C86">
        <w:t>12.159</w:t>
      </w:r>
      <w:r w:rsidRPr="00CB2C86">
        <w:tab/>
        <w:t>Чтобы укрепить службы помощи по месту жительства лицам с псих</w:t>
      </w:r>
      <w:r w:rsidRPr="00CB2C86">
        <w:t>и</w:t>
      </w:r>
      <w:r w:rsidRPr="00CB2C86">
        <w:t>ческими заболеваниями и их опекунам, правительство реорганизует сущес</w:t>
      </w:r>
      <w:r w:rsidRPr="00CB2C86">
        <w:t>т</w:t>
      </w:r>
      <w:r w:rsidRPr="00CB2C86">
        <w:t>вующую систему помощи лицам, страдающим психическими заболеваниями, по месту жительства, упомянутую в пункте 12.49 предыдущего доклада, и со</w:t>
      </w:r>
      <w:r w:rsidRPr="00CB2C86">
        <w:t>з</w:t>
      </w:r>
      <w:r w:rsidRPr="00CB2C86">
        <w:t>дало во всех 18 округах сеть Местных комплексных центров психического о</w:t>
      </w:r>
      <w:r w:rsidRPr="00CB2C86">
        <w:t>з</w:t>
      </w:r>
      <w:r w:rsidRPr="00CB2C86">
        <w:t xml:space="preserve">доровления, оказывающих универсальную комплексную и функциональную психиатрическую помощь жителям этих округов. </w:t>
      </w:r>
    </w:p>
    <w:p w:rsidR="00F936A8" w:rsidRPr="00CB2C86" w:rsidRDefault="00F936A8" w:rsidP="00F91733">
      <w:pPr>
        <w:pStyle w:val="SingleTxtGR"/>
        <w:tabs>
          <w:tab w:val="clear" w:pos="1701"/>
          <w:tab w:val="clear" w:pos="2268"/>
          <w:tab w:val="left" w:pos="1980"/>
          <w:tab w:val="left" w:pos="2520"/>
        </w:tabs>
      </w:pPr>
      <w:r w:rsidRPr="00CB2C86">
        <w:t>12.160</w:t>
      </w:r>
      <w:r w:rsidRPr="00CB2C86">
        <w:tab/>
        <w:t>Что касается оказания услуг в стационарных социальных учрежд</w:t>
      </w:r>
      <w:r w:rsidRPr="00CB2C86">
        <w:t>е</w:t>
      </w:r>
      <w:r w:rsidRPr="00CB2C86">
        <w:t>ниях лицам, выздор</w:t>
      </w:r>
      <w:r>
        <w:t xml:space="preserve">авливающим </w:t>
      </w:r>
      <w:r w:rsidRPr="00CB2C86">
        <w:t>после психического заболевания, то по состоянию на декабрь 2009</w:t>
      </w:r>
      <w:r w:rsidR="00B92291">
        <w:t> год</w:t>
      </w:r>
      <w:r w:rsidRPr="00CB2C86">
        <w:t>а в центре длительного пребывания им</w:t>
      </w:r>
      <w:r w:rsidRPr="00CB2C86">
        <w:t>е</w:t>
      </w:r>
      <w:r w:rsidRPr="00CB2C86">
        <w:t>лось 1</w:t>
      </w:r>
      <w:r w:rsidR="00812CCB">
        <w:t> </w:t>
      </w:r>
      <w:r w:rsidRPr="00CB2C86">
        <w:t>407 мест, 83</w:t>
      </w:r>
      <w:r w:rsidR="00812CCB">
        <w:t> </w:t>
      </w:r>
      <w:r w:rsidRPr="00CB2C86">
        <w:t>места в интернате-общежитии и 1</w:t>
      </w:r>
      <w:r w:rsidR="00812CCB">
        <w:t> </w:t>
      </w:r>
      <w:r w:rsidRPr="00CB2C86">
        <w:t>509 мест в реабилитационном центре. В</w:t>
      </w:r>
      <w:r w:rsidR="00812CCB">
        <w:t> </w:t>
      </w:r>
      <w:r w:rsidRPr="00CB2C86">
        <w:t>предстоящие три</w:t>
      </w:r>
      <w:r w:rsidR="00B92291">
        <w:t> год</w:t>
      </w:r>
      <w:r w:rsidRPr="00CB2C86">
        <w:t>а правительство намерено предоставлять дополнител</w:t>
      </w:r>
      <w:r w:rsidRPr="00CB2C86">
        <w:t>ь</w:t>
      </w:r>
      <w:r w:rsidRPr="00CB2C86">
        <w:t>ные субсидируемые места в социальных учреждениях для психически больных пациентов, в том числе 175 дополнительных мест в центре длительного преб</w:t>
      </w:r>
      <w:r w:rsidRPr="00CB2C86">
        <w:t>ы</w:t>
      </w:r>
      <w:r w:rsidRPr="00CB2C86">
        <w:t xml:space="preserve">вания и 40 мест в пансионате-общежитии. </w:t>
      </w:r>
    </w:p>
    <w:p w:rsidR="00F936A8" w:rsidRPr="00CB2C86" w:rsidRDefault="00F936A8" w:rsidP="00F91733">
      <w:pPr>
        <w:pStyle w:val="SingleTxtGR"/>
        <w:tabs>
          <w:tab w:val="clear" w:pos="1701"/>
          <w:tab w:val="clear" w:pos="2268"/>
          <w:tab w:val="left" w:pos="1980"/>
          <w:tab w:val="left" w:pos="2520"/>
        </w:tabs>
      </w:pPr>
      <w:r w:rsidRPr="00CB2C86">
        <w:t>12.161</w:t>
      </w:r>
      <w:r w:rsidRPr="00CB2C86">
        <w:tab/>
        <w:t>Медицинские социальные работники также оказывают психологич</w:t>
      </w:r>
      <w:r w:rsidRPr="00CB2C86">
        <w:t>е</w:t>
      </w:r>
      <w:r w:rsidRPr="00CB2C86">
        <w:t>ские просветительские и/или консультационные услуги лицам, выздор</w:t>
      </w:r>
      <w:r>
        <w:t>авл</w:t>
      </w:r>
      <w:r>
        <w:t>и</w:t>
      </w:r>
      <w:r>
        <w:t xml:space="preserve">вающим </w:t>
      </w:r>
      <w:r w:rsidRPr="00CB2C86">
        <w:t>после психических заболеваний, и их семьям. Эти услуги помогают им понимать большое значение психиатрического лечения и преодолеть психол</w:t>
      </w:r>
      <w:r w:rsidRPr="00CB2C86">
        <w:t>о</w:t>
      </w:r>
      <w:r w:rsidRPr="00CB2C86">
        <w:t>гические барьеры, вызванные дискриминацией. Кроме того, ДСО и АБ укре</w:t>
      </w:r>
      <w:r w:rsidRPr="00CB2C86">
        <w:t>п</w:t>
      </w:r>
      <w:r w:rsidRPr="00CB2C86">
        <w:t>ляют психическое здоровье населения с помощью таких местных пр</w:t>
      </w:r>
      <w:r w:rsidRPr="00CB2C86">
        <w:t>о</w:t>
      </w:r>
      <w:r w:rsidRPr="00CB2C86">
        <w:t>грамм, как Общинное звено психического здоровья и Общинный проект укрепления пс</w:t>
      </w:r>
      <w:r w:rsidRPr="00CB2C86">
        <w:t>и</w:t>
      </w:r>
      <w:r w:rsidRPr="00CB2C86">
        <w:t xml:space="preserve">хического здоровья детей и подростков. </w:t>
      </w:r>
    </w:p>
    <w:p w:rsidR="00F936A8" w:rsidRPr="001801D7" w:rsidRDefault="00F936A8" w:rsidP="00F91733">
      <w:pPr>
        <w:pStyle w:val="H23GR"/>
        <w:tabs>
          <w:tab w:val="left" w:pos="1980"/>
          <w:tab w:val="left" w:pos="2520"/>
        </w:tabs>
      </w:pPr>
      <w:r w:rsidRPr="001801D7">
        <w:tab/>
      </w:r>
      <w:r w:rsidRPr="001801D7">
        <w:tab/>
        <w:t>Психическое здоровье женщин</w:t>
      </w:r>
    </w:p>
    <w:p w:rsidR="00F936A8" w:rsidRPr="00CB2C86" w:rsidRDefault="00F936A8" w:rsidP="00F91733">
      <w:pPr>
        <w:pStyle w:val="SingleTxtGR"/>
        <w:tabs>
          <w:tab w:val="clear" w:pos="1701"/>
          <w:tab w:val="clear" w:pos="2268"/>
          <w:tab w:val="left" w:pos="1980"/>
          <w:tab w:val="left" w:pos="2520"/>
        </w:tabs>
      </w:pPr>
      <w:r w:rsidRPr="00CB2C86">
        <w:t>12.162</w:t>
      </w:r>
      <w:r w:rsidRPr="00CB2C86">
        <w:tab/>
        <w:t>Психическое здоровье женщин оказывает огромное воздействие на их семьи и благополучие их детей. Поэтому в случае психического заболевания женщин очень важную роль играют раннее выявление и вмешательство. Во</w:t>
      </w:r>
      <w:r>
        <w:t> </w:t>
      </w:r>
      <w:r w:rsidRPr="00CB2C86">
        <w:t>время дородового периода в ЦОМД выявляются женщины с нарушениями настроения или предполагаемым психическим заболеванием, чтобы в их планы дородового наблюдения своевременно включались поддерживающие услуги. Послеродовая депрессия (ПРД) является распространенным и серьезным ра</w:t>
      </w:r>
      <w:r w:rsidRPr="00CB2C86">
        <w:t>с</w:t>
      </w:r>
      <w:r w:rsidRPr="00CB2C86">
        <w:t>стройством, которым в Гонконге страдают после родов примерно 12% матерей. Медицинские сестры ЦОМД проходят специальную подготовку по определ</w:t>
      </w:r>
      <w:r w:rsidRPr="00CB2C86">
        <w:t>е</w:t>
      </w:r>
      <w:r w:rsidRPr="00CB2C86">
        <w:t>нию материей, подверженных ПРД, и оказанию им поддерживающих консул</w:t>
      </w:r>
      <w:r w:rsidRPr="00CB2C86">
        <w:t>ь</w:t>
      </w:r>
      <w:r w:rsidRPr="00CB2C86">
        <w:t>таций. В случае необходимости матери направляются в психиатрические отд</w:t>
      </w:r>
      <w:r w:rsidRPr="00CB2C86">
        <w:t>е</w:t>
      </w:r>
      <w:r w:rsidRPr="00CB2C86">
        <w:t>ления государственных больниц для последующей помощи или в Центры ко</w:t>
      </w:r>
      <w:r w:rsidRPr="00CB2C86">
        <w:t>м</w:t>
      </w:r>
      <w:r w:rsidRPr="00CB2C86">
        <w:t>плексного обслуживания семей, где они получают социальную помощь. После 2005</w:t>
      </w:r>
      <w:r w:rsidR="00B92291">
        <w:t> год</w:t>
      </w:r>
      <w:r w:rsidRPr="00CB2C86">
        <w:t>а в отдельных коммунах поэтапно создается СВРР. Используя ЦОМД как основную платформу, эта система обеспечивает раннее выявление разли</w:t>
      </w:r>
      <w:r w:rsidRPr="00CB2C86">
        <w:t>ч</w:t>
      </w:r>
      <w:r w:rsidRPr="00CB2C86">
        <w:t>ных потребностей находящихся в группе риска матерей, детей и их семей, чт</w:t>
      </w:r>
      <w:r w:rsidRPr="00CB2C86">
        <w:t>о</w:t>
      </w:r>
      <w:r w:rsidRPr="00CB2C86">
        <w:t>бы можно было оказать им своевременную помощь. Чтобы сделать психиатр</w:t>
      </w:r>
      <w:r w:rsidRPr="00CB2C86">
        <w:t>и</w:t>
      </w:r>
      <w:r w:rsidRPr="00CB2C86">
        <w:t>ческие услуги более доступными, ЦОМД совместно с СВРР располагают пр</w:t>
      </w:r>
      <w:r w:rsidRPr="00CB2C86">
        <w:t>и</w:t>
      </w:r>
      <w:r w:rsidRPr="00CB2C86">
        <w:t>ходящими психиатрическими сестрами и психиатрами государственных бол</w:t>
      </w:r>
      <w:r w:rsidRPr="00CB2C86">
        <w:t>ь</w:t>
      </w:r>
      <w:r w:rsidRPr="00CB2C86">
        <w:t>ниц, которые дают на местах консультации и оказывают специализированную помощь.</w:t>
      </w:r>
    </w:p>
    <w:p w:rsidR="00F936A8" w:rsidRPr="001801D7" w:rsidRDefault="00F936A8" w:rsidP="00F91733">
      <w:pPr>
        <w:pStyle w:val="H23GR"/>
        <w:tabs>
          <w:tab w:val="left" w:pos="1980"/>
          <w:tab w:val="left" w:pos="2520"/>
        </w:tabs>
      </w:pPr>
      <w:r w:rsidRPr="001801D7">
        <w:tab/>
      </w:r>
      <w:r w:rsidRPr="001801D7">
        <w:tab/>
        <w:t>Психическое здоровье детей</w:t>
      </w:r>
    </w:p>
    <w:p w:rsidR="00F936A8" w:rsidRPr="00CB2C86" w:rsidRDefault="00F936A8" w:rsidP="00F91733">
      <w:pPr>
        <w:pStyle w:val="SingleTxtGR"/>
        <w:tabs>
          <w:tab w:val="clear" w:pos="1701"/>
          <w:tab w:val="clear" w:pos="2268"/>
          <w:tab w:val="left" w:pos="1980"/>
          <w:tab w:val="left" w:pos="2520"/>
        </w:tabs>
      </w:pPr>
      <w:r w:rsidRPr="00CB2C86">
        <w:t>12.163</w:t>
      </w:r>
      <w:r w:rsidRPr="00CB2C86">
        <w:tab/>
        <w:t>По мнению некоторых комментаторов, для своевременного выя</w:t>
      </w:r>
      <w:r w:rsidRPr="00CB2C86">
        <w:t>в</w:t>
      </w:r>
      <w:r w:rsidRPr="00CB2C86">
        <w:t>ления и лечения нуждающихся детей недостаточно одних только детских психиатр</w:t>
      </w:r>
      <w:r w:rsidRPr="00CB2C86">
        <w:t>и</w:t>
      </w:r>
      <w:r w:rsidRPr="00CB2C86">
        <w:t>ческих услуг. С 2001</w:t>
      </w:r>
      <w:r>
        <w:t>−20</w:t>
      </w:r>
      <w:r w:rsidRPr="00CB2C86">
        <w:t>02</w:t>
      </w:r>
      <w:r w:rsidR="00B92291">
        <w:t> год</w:t>
      </w:r>
      <w:r>
        <w:t>ов</w:t>
      </w:r>
      <w:r w:rsidRPr="00CB2C86">
        <w:t xml:space="preserve"> АБ реализует программу Ранней диа</w:t>
      </w:r>
      <w:r w:rsidRPr="00CB2C86">
        <w:t>г</w:t>
      </w:r>
      <w:r w:rsidRPr="00CB2C86">
        <w:t>ностики и выявления молодых людей, страдающих психозом, преследующую цель ра</w:t>
      </w:r>
      <w:r w:rsidRPr="00CB2C86">
        <w:t>н</w:t>
      </w:r>
      <w:r w:rsidRPr="00CB2C86">
        <w:t>него выявления и лечения молодых людей, страдающих психозами. В</w:t>
      </w:r>
      <w:r>
        <w:t> </w:t>
      </w:r>
      <w:r w:rsidRPr="00CB2C86">
        <w:t>рамках этой программы в различных округах были созданы обслуживающие группы для лечения молодых людей с подозрением на психоз, чтобы сократить время между началом серьезного психического заболевания и лечением. В</w:t>
      </w:r>
      <w:r>
        <w:t> </w:t>
      </w:r>
      <w:r w:rsidRPr="00CB2C86">
        <w:t>2008</w:t>
      </w:r>
      <w:r>
        <w:t>−</w:t>
      </w:r>
      <w:r w:rsidRPr="00CB2C86">
        <w:t>2009</w:t>
      </w:r>
      <w:r w:rsidR="00B92291">
        <w:t> год</w:t>
      </w:r>
      <w:r>
        <w:t>ах</w:t>
      </w:r>
      <w:r w:rsidRPr="00CB2C86">
        <w:t xml:space="preserve"> оценку состояния здоровья прошли коло 1</w:t>
      </w:r>
      <w:r>
        <w:t> </w:t>
      </w:r>
      <w:r w:rsidRPr="00CB2C86">
        <w:t>000 молодых л</w:t>
      </w:r>
      <w:r w:rsidRPr="00CB2C86">
        <w:t>ю</w:t>
      </w:r>
      <w:r w:rsidRPr="00CB2C86">
        <w:t>дей с нарушениями психики, а 660 из них были диагностированы и напра</w:t>
      </w:r>
      <w:r w:rsidRPr="00CB2C86">
        <w:t>в</w:t>
      </w:r>
      <w:r w:rsidRPr="00CB2C86">
        <w:t xml:space="preserve">лены на лечение в рамках этой программы. </w:t>
      </w:r>
    </w:p>
    <w:p w:rsidR="00F936A8" w:rsidRPr="00CB2C86" w:rsidRDefault="00F936A8" w:rsidP="00F91733">
      <w:pPr>
        <w:pStyle w:val="SingleTxtGR"/>
        <w:tabs>
          <w:tab w:val="clear" w:pos="1701"/>
          <w:tab w:val="clear" w:pos="2268"/>
          <w:tab w:val="left" w:pos="1980"/>
          <w:tab w:val="left" w:pos="2520"/>
        </w:tabs>
      </w:pPr>
      <w:r w:rsidRPr="00CB2C86">
        <w:t>12.164</w:t>
      </w:r>
      <w:r w:rsidRPr="00CB2C86">
        <w:tab/>
        <w:t>Чтобы еще больше укрепить услуги по раннему выявлению детей с психическими нарушениями и своевременному вмешательству, АБ совместно с ДСО с 2005</w:t>
      </w:r>
      <w:r w:rsidR="00B92291">
        <w:t> год</w:t>
      </w:r>
      <w:r w:rsidRPr="00CB2C86">
        <w:t>а осуществляют Общинный проект укрепления психического здоровья детей и подростков. В июле 2009</w:t>
      </w:r>
      <w:r w:rsidR="00B92291">
        <w:t> год</w:t>
      </w:r>
      <w:r w:rsidRPr="00CB2C86">
        <w:t>а этот проект был полностью п</w:t>
      </w:r>
      <w:r w:rsidRPr="00CB2C86">
        <w:t>е</w:t>
      </w:r>
      <w:r w:rsidRPr="00CB2C86">
        <w:t>редан на реализацию АБ. В 2007</w:t>
      </w:r>
      <w:r>
        <w:t>−</w:t>
      </w:r>
      <w:r w:rsidRPr="00CB2C86">
        <w:t>2008 и 2008</w:t>
      </w:r>
      <w:r>
        <w:t>−</w:t>
      </w:r>
      <w:r w:rsidRPr="00CB2C86">
        <w:t>2009</w:t>
      </w:r>
      <w:r w:rsidR="00B92291">
        <w:t> год</w:t>
      </w:r>
      <w:r w:rsidRPr="00CB2C86">
        <w:t>ах в рамках проекта п</w:t>
      </w:r>
      <w:r w:rsidRPr="00CB2C86">
        <w:t>о</w:t>
      </w:r>
      <w:r w:rsidRPr="00CB2C86">
        <w:t>мощь была оказана в общей сложности в 259 и 194 случаях соответственно и было организовано 191 и 166 просветительских мероприятий в сфере психиа</w:t>
      </w:r>
      <w:r w:rsidRPr="00CB2C86">
        <w:t>т</w:t>
      </w:r>
      <w:r w:rsidRPr="00CB2C86">
        <w:t>рии и консультационных услуг. К тому же, по линии проекта устанавливаются связи с местными общественными организациями для оказания индивидуал</w:t>
      </w:r>
      <w:r w:rsidRPr="00CB2C86">
        <w:t>и</w:t>
      </w:r>
      <w:r w:rsidRPr="00CB2C86">
        <w:t>зированных реабилитационных услуг детям и подросткам, страдающим псих</w:t>
      </w:r>
      <w:r w:rsidRPr="00CB2C86">
        <w:t>и</w:t>
      </w:r>
      <w:r w:rsidRPr="00CB2C86">
        <w:t>ческими заболеваниями, а также организации для них подготовки и меропри</w:t>
      </w:r>
      <w:r w:rsidRPr="00CB2C86">
        <w:t>я</w:t>
      </w:r>
      <w:r w:rsidRPr="00CB2C86">
        <w:t>тий по их адаптации к повседневной жизни и формирования профессиональных навыков в условиях общины. Все это призвано помочь им преодолеть неблаг</w:t>
      </w:r>
      <w:r w:rsidRPr="00CB2C86">
        <w:t>о</w:t>
      </w:r>
      <w:r w:rsidRPr="00CB2C86">
        <w:t>приятное воздействие психических расстройств и добиться укрепления псих</w:t>
      </w:r>
      <w:r w:rsidRPr="00CB2C86">
        <w:t>и</w:t>
      </w:r>
      <w:r w:rsidRPr="00CB2C86">
        <w:t>ческого здоровья.</w:t>
      </w:r>
    </w:p>
    <w:p w:rsidR="00F936A8" w:rsidRPr="00CB2C86" w:rsidRDefault="00F936A8" w:rsidP="00F91733">
      <w:pPr>
        <w:pStyle w:val="SingleTxtGR"/>
        <w:tabs>
          <w:tab w:val="clear" w:pos="1701"/>
          <w:tab w:val="clear" w:pos="2268"/>
          <w:tab w:val="left" w:pos="1980"/>
          <w:tab w:val="left" w:pos="2520"/>
        </w:tabs>
      </w:pPr>
      <w:r w:rsidRPr="00CB2C86">
        <w:t>12.165</w:t>
      </w:r>
      <w:r w:rsidRPr="00CB2C86">
        <w:tab/>
        <w:t>В 2008</w:t>
      </w:r>
      <w:r>
        <w:t>/0</w:t>
      </w:r>
      <w:r w:rsidRPr="00CB2C86">
        <w:t>9</w:t>
      </w:r>
      <w:r w:rsidR="00B92291">
        <w:t> год</w:t>
      </w:r>
      <w:r w:rsidRPr="00CB2C86">
        <w:t>у, медианное время ожидания в очереди на срочную го</w:t>
      </w:r>
      <w:r w:rsidRPr="00CB2C86">
        <w:t>с</w:t>
      </w:r>
      <w:r w:rsidRPr="00CB2C86">
        <w:t>питализацию в специализированные психиатрические амбулаторные клиники составляло примерно одну неделю. С другой стороны, больные с острым пс</w:t>
      </w:r>
      <w:r w:rsidRPr="00CB2C86">
        <w:t>и</w:t>
      </w:r>
      <w:r w:rsidRPr="00CB2C86">
        <w:t>хопатологическим состоянием, нуждающиеся в срочном уходе, могут напра</w:t>
      </w:r>
      <w:r w:rsidRPr="00CB2C86">
        <w:t>в</w:t>
      </w:r>
      <w:r w:rsidRPr="00CB2C86">
        <w:t>ляться на лечение в эти больницы через отделения экстренной медицинской помощи. Мы будем продолжать тщательно отслеживать использование этих у</w:t>
      </w:r>
      <w:r w:rsidRPr="00CB2C86">
        <w:t>с</w:t>
      </w:r>
      <w:r w:rsidRPr="00CB2C86">
        <w:t xml:space="preserve">луг и вносить соответствующие коррективы или улучшать обслуживания по мере необходимости. </w:t>
      </w:r>
    </w:p>
    <w:p w:rsidR="00F936A8" w:rsidRPr="00CB2C86" w:rsidRDefault="00F936A8" w:rsidP="00F91733">
      <w:pPr>
        <w:pStyle w:val="H1GR"/>
        <w:tabs>
          <w:tab w:val="left" w:pos="1980"/>
          <w:tab w:val="left" w:pos="2520"/>
        </w:tabs>
      </w:pPr>
      <w:r w:rsidRPr="00CB2C86">
        <w:tab/>
      </w:r>
      <w:r w:rsidRPr="00CB2C86">
        <w:tab/>
        <w:t xml:space="preserve">Окружающая среда и промышленная гигиена </w:t>
      </w:r>
    </w:p>
    <w:p w:rsidR="00F936A8" w:rsidRPr="00CB2C86" w:rsidRDefault="00F936A8" w:rsidP="00F91733">
      <w:pPr>
        <w:pStyle w:val="SingleTxtGR"/>
        <w:tabs>
          <w:tab w:val="clear" w:pos="1701"/>
          <w:tab w:val="clear" w:pos="2268"/>
          <w:tab w:val="left" w:pos="1980"/>
          <w:tab w:val="left" w:pos="2520"/>
        </w:tabs>
      </w:pPr>
      <w:r w:rsidRPr="00CB2C86">
        <w:t>12.166</w:t>
      </w:r>
      <w:r w:rsidRPr="00CB2C86">
        <w:tab/>
        <w:t>Правительство твердо намерено улучшать экологическую жизне</w:t>
      </w:r>
      <w:r w:rsidRPr="00CB2C86">
        <w:t>н</w:t>
      </w:r>
      <w:r w:rsidRPr="00CB2C86">
        <w:t>ную среду в Гонконге. Путем улучшения качества воздуха и более эффективной оч</w:t>
      </w:r>
      <w:r w:rsidRPr="00CB2C86">
        <w:t>и</w:t>
      </w:r>
      <w:r w:rsidRPr="00CB2C86">
        <w:t>стки стоков, использования более чистых источников энергии и сокращения н</w:t>
      </w:r>
      <w:r w:rsidRPr="00CB2C86">
        <w:t>а</w:t>
      </w:r>
      <w:r w:rsidRPr="00CB2C86">
        <w:t>грузки по отходам мы добились значительного прогресса в решении некот</w:t>
      </w:r>
      <w:r w:rsidRPr="00CB2C86">
        <w:t>о</w:t>
      </w:r>
      <w:r w:rsidRPr="00CB2C86">
        <w:t>рых наших застарелых экологических проблем в самом их корне и смогли з</w:t>
      </w:r>
      <w:r w:rsidRPr="00CB2C86">
        <w:t>а</w:t>
      </w:r>
      <w:r w:rsidRPr="00CB2C86">
        <w:t>ложить основу для новых инициатив в ключевых политических областях, включая до</w:t>
      </w:r>
      <w:r w:rsidRPr="00CB2C86">
        <w:t>л</w:t>
      </w:r>
      <w:r w:rsidRPr="00CB2C86">
        <w:t>госрочное улучшение качества воздуха и ослабления последствий изменения климата.</w:t>
      </w:r>
    </w:p>
    <w:p w:rsidR="00F936A8" w:rsidRPr="00CB2C86" w:rsidRDefault="00F936A8" w:rsidP="00F91733">
      <w:pPr>
        <w:pStyle w:val="SingleTxtGR"/>
        <w:tabs>
          <w:tab w:val="clear" w:pos="1701"/>
          <w:tab w:val="clear" w:pos="2268"/>
          <w:tab w:val="left" w:pos="1980"/>
          <w:tab w:val="left" w:pos="2520"/>
        </w:tabs>
      </w:pPr>
      <w:r w:rsidRPr="00CB2C86">
        <w:t>12.167</w:t>
      </w:r>
      <w:r w:rsidRPr="00CB2C86">
        <w:tab/>
        <w:t>Положение с Управлением устойчивого развития (раньше назыв</w:t>
      </w:r>
      <w:r w:rsidRPr="00CB2C86">
        <w:t>а</w:t>
      </w:r>
      <w:r w:rsidRPr="00CB2C86">
        <w:t>лось Отделом устойчивого развития) и Системой устойчивой оценки остается таким же, как мы поясняли в пунктах 12.66 и 12.67 предыдущего доклада.</w:t>
      </w:r>
    </w:p>
    <w:p w:rsidR="00F936A8" w:rsidRPr="001801D7" w:rsidRDefault="00F936A8" w:rsidP="00F91733">
      <w:pPr>
        <w:pStyle w:val="H23GR"/>
        <w:tabs>
          <w:tab w:val="left" w:pos="1980"/>
          <w:tab w:val="left" w:pos="2520"/>
        </w:tabs>
      </w:pPr>
      <w:r w:rsidRPr="001801D7">
        <w:tab/>
      </w:r>
      <w:r w:rsidRPr="001801D7">
        <w:tab/>
        <w:t>Борьба с загрязнением вод</w:t>
      </w:r>
    </w:p>
    <w:p w:rsidR="00F936A8" w:rsidRPr="00CB2C86" w:rsidRDefault="00F936A8" w:rsidP="00F91733">
      <w:pPr>
        <w:pStyle w:val="H4GR"/>
        <w:tabs>
          <w:tab w:val="left" w:pos="1980"/>
          <w:tab w:val="left" w:pos="2520"/>
        </w:tabs>
        <w:spacing w:before="240"/>
        <w:ind w:left="1134" w:right="1179" w:hanging="1134"/>
      </w:pPr>
      <w:r w:rsidRPr="00CB2C86">
        <w:tab/>
      </w:r>
      <w:r w:rsidRPr="00CB2C86">
        <w:tab/>
        <w:t>Программа очистки акватории гавани</w:t>
      </w:r>
    </w:p>
    <w:p w:rsidR="00F936A8" w:rsidRPr="00CB2C86" w:rsidRDefault="00F936A8" w:rsidP="00F91733">
      <w:pPr>
        <w:pStyle w:val="SingleTxtGR"/>
        <w:tabs>
          <w:tab w:val="clear" w:pos="1701"/>
          <w:tab w:val="clear" w:pos="2268"/>
          <w:tab w:val="left" w:pos="1980"/>
          <w:tab w:val="left" w:pos="2520"/>
        </w:tabs>
      </w:pPr>
      <w:r w:rsidRPr="00CB2C86">
        <w:t>12.168</w:t>
      </w:r>
      <w:r w:rsidRPr="00CB2C86">
        <w:tab/>
        <w:t>В пункте 12.68 предыдущего доклада мы обязались провести испыт</w:t>
      </w:r>
      <w:r w:rsidRPr="00CB2C86">
        <w:t>а</w:t>
      </w:r>
      <w:r w:rsidRPr="00CB2C86">
        <w:t>ния и исследования для оценки рекомендаций в отношении оставшихся эт</w:t>
      </w:r>
      <w:r w:rsidRPr="00CB2C86">
        <w:t>а</w:t>
      </w:r>
      <w:r w:rsidRPr="00CB2C86">
        <w:t>пов Программы очистки акватории гавани после завершения этапа 1 этой програ</w:t>
      </w:r>
      <w:r w:rsidRPr="00CB2C86">
        <w:t>м</w:t>
      </w:r>
      <w:r w:rsidRPr="00CB2C86">
        <w:t xml:space="preserve">мы. Рекомендованный вариант после проведенных испытаний и исследований состоит в том, чтобы перевести все остающиеся в гавани стоки на остров </w:t>
      </w:r>
      <w:proofErr w:type="spellStart"/>
      <w:r w:rsidRPr="00CB2C86">
        <w:t>Ст</w:t>
      </w:r>
      <w:r w:rsidRPr="00CB2C86">
        <w:t>о</w:t>
      </w:r>
      <w:r w:rsidRPr="00CB2C86">
        <w:t>ункаттерс</w:t>
      </w:r>
      <w:proofErr w:type="spellEnd"/>
      <w:r w:rsidRPr="00CB2C86">
        <w:t xml:space="preserve"> для централизованной очистки. После консультаций с населением в отношении дальнейшего направления действий по этой программе в 2004</w:t>
      </w:r>
      <w:r w:rsidR="00B92291">
        <w:t> год</w:t>
      </w:r>
      <w:r w:rsidRPr="00CB2C86">
        <w:t>у в 2005</w:t>
      </w:r>
      <w:r w:rsidR="00B92291">
        <w:t> год</w:t>
      </w:r>
      <w:r w:rsidRPr="00CB2C86">
        <w:t>у мы решили осуществлять этап 2, разбив его на две фазы. В серед</w:t>
      </w:r>
      <w:r w:rsidRPr="00CB2C86">
        <w:t>и</w:t>
      </w:r>
      <w:r w:rsidRPr="00CB2C86">
        <w:t>не 2009</w:t>
      </w:r>
      <w:r w:rsidR="00B92291">
        <w:t> год</w:t>
      </w:r>
      <w:r w:rsidRPr="00CB2C86">
        <w:t>а мы начали сооружение системы перекачки стоков в рамках этапа 2А и планируем завершить работы по этапу 2 А к 2014</w:t>
      </w:r>
      <w:r w:rsidR="00B92291">
        <w:t> год</w:t>
      </w:r>
      <w:r w:rsidRPr="00CB2C86">
        <w:t>у. В</w:t>
      </w:r>
      <w:r>
        <w:t> </w:t>
      </w:r>
      <w:r w:rsidRPr="00CB2C86">
        <w:t>2010</w:t>
      </w:r>
      <w:r>
        <w:t>−</w:t>
      </w:r>
      <w:r w:rsidRPr="00CB2C86">
        <w:t>2011</w:t>
      </w:r>
      <w:r w:rsidR="00B92291">
        <w:t> год</w:t>
      </w:r>
      <w:r w:rsidRPr="00CB2C86">
        <w:t>у мы также осуществим обзор выполнения этапа 2 В програ</w:t>
      </w:r>
      <w:r w:rsidRPr="00CB2C86">
        <w:t>м</w:t>
      </w:r>
      <w:r w:rsidRPr="00CB2C86">
        <w:t xml:space="preserve">мы. </w:t>
      </w:r>
    </w:p>
    <w:p w:rsidR="00F936A8" w:rsidRPr="00AA5F3B" w:rsidRDefault="00F936A8" w:rsidP="00F91733">
      <w:pPr>
        <w:pStyle w:val="H4GR"/>
        <w:tabs>
          <w:tab w:val="left" w:pos="1980"/>
          <w:tab w:val="left" w:pos="2520"/>
        </w:tabs>
        <w:spacing w:before="240"/>
        <w:ind w:left="1134" w:right="1179" w:hanging="1134"/>
      </w:pPr>
      <w:r w:rsidRPr="00AA5F3B">
        <w:tab/>
      </w:r>
      <w:r w:rsidRPr="00AA5F3B">
        <w:tab/>
        <w:t>Качество воды на пляжах и качество морской воды</w:t>
      </w:r>
    </w:p>
    <w:p w:rsidR="00F936A8" w:rsidRPr="00CB2C86" w:rsidRDefault="00F936A8" w:rsidP="00F91733">
      <w:pPr>
        <w:pStyle w:val="SingleTxtGR"/>
        <w:tabs>
          <w:tab w:val="clear" w:pos="1701"/>
          <w:tab w:val="clear" w:pos="2268"/>
          <w:tab w:val="left" w:pos="1980"/>
          <w:tab w:val="left" w:pos="2520"/>
        </w:tabs>
      </w:pPr>
      <w:r w:rsidRPr="00CB2C86">
        <w:t>12.169</w:t>
      </w:r>
      <w:r w:rsidRPr="00CB2C86">
        <w:tab/>
        <w:t>Качество воды на многих пляжах улучшается благодаря последов</w:t>
      </w:r>
      <w:r w:rsidRPr="00CB2C86">
        <w:t>а</w:t>
      </w:r>
      <w:r w:rsidRPr="00CB2C86">
        <w:t>тельному внедрению и реконструкции местных систем очистки стоков. Качес</w:t>
      </w:r>
      <w:r w:rsidRPr="00CB2C86">
        <w:t>т</w:t>
      </w:r>
      <w:r w:rsidRPr="00CB2C86">
        <w:t>во воды на 41 официальном пляже в целом хорошего качества, причем вода на большинстве из них (свыше 90%) отвечала нормативам воды для купания. Пр</w:t>
      </w:r>
      <w:r w:rsidRPr="00CB2C86">
        <w:t>о</w:t>
      </w:r>
      <w:r w:rsidRPr="00CB2C86">
        <w:t>должаются работы по реконструкции сооружений для очистки канализацио</w:t>
      </w:r>
      <w:r w:rsidRPr="00CB2C86">
        <w:t>н</w:t>
      </w:r>
      <w:r w:rsidRPr="00CB2C86">
        <w:t>ных и других стоков (в том числе в рамках этапа 2А Программы очистки акв</w:t>
      </w:r>
      <w:r w:rsidRPr="00CB2C86">
        <w:t>а</w:t>
      </w:r>
      <w:r w:rsidRPr="00CB2C86">
        <w:t>тории гавани), преследующие цель улучшить качество воды на нескольких пляжах, которые считаются загрязненными. С 2007</w:t>
      </w:r>
      <w:r w:rsidR="00B92291">
        <w:t> год</w:t>
      </w:r>
      <w:r w:rsidRPr="00CB2C86">
        <w:t>а ни один из официал</w:t>
      </w:r>
      <w:r w:rsidRPr="00CB2C86">
        <w:t>ь</w:t>
      </w:r>
      <w:r w:rsidRPr="00CB2C86">
        <w:t>ных пляжей не попадал в категорию очень загрязненных пляжей.</w:t>
      </w:r>
    </w:p>
    <w:p w:rsidR="00F936A8" w:rsidRPr="00CB2C86" w:rsidRDefault="00F936A8" w:rsidP="00F91733">
      <w:pPr>
        <w:pStyle w:val="SingleTxtGR"/>
        <w:tabs>
          <w:tab w:val="clear" w:pos="1701"/>
          <w:tab w:val="clear" w:pos="2268"/>
          <w:tab w:val="left" w:pos="1980"/>
          <w:tab w:val="left" w:pos="2520"/>
        </w:tabs>
      </w:pPr>
      <w:r w:rsidRPr="00CB2C86">
        <w:t>12.170</w:t>
      </w:r>
      <w:r w:rsidRPr="00CB2C86">
        <w:tab/>
        <w:t xml:space="preserve">Положение, касающееся улучшения качества морской воды, остается таким же, каким мы описали его в пункт 12.70 предыдущего доклада. </w:t>
      </w:r>
    </w:p>
    <w:p w:rsidR="00F936A8" w:rsidRPr="001801D7" w:rsidRDefault="00F936A8" w:rsidP="00F91733">
      <w:pPr>
        <w:pStyle w:val="H23GR"/>
        <w:tabs>
          <w:tab w:val="left" w:pos="1980"/>
          <w:tab w:val="left" w:pos="2520"/>
        </w:tabs>
      </w:pPr>
      <w:r w:rsidRPr="001801D7">
        <w:tab/>
      </w:r>
      <w:r w:rsidRPr="001801D7">
        <w:tab/>
        <w:t>Удаление отходов</w:t>
      </w:r>
    </w:p>
    <w:p w:rsidR="00F936A8" w:rsidRPr="00AA5F3B" w:rsidRDefault="00F936A8" w:rsidP="00F91733">
      <w:pPr>
        <w:pStyle w:val="H4GR"/>
        <w:tabs>
          <w:tab w:val="left" w:pos="1980"/>
          <w:tab w:val="left" w:pos="2520"/>
        </w:tabs>
        <w:spacing w:before="240"/>
        <w:ind w:left="1134" w:right="1179" w:hanging="1134"/>
      </w:pPr>
      <w:r w:rsidRPr="00AA5F3B">
        <w:tab/>
      </w:r>
      <w:r w:rsidRPr="00AA5F3B">
        <w:tab/>
        <w:t>Удаление особых отходов</w:t>
      </w:r>
    </w:p>
    <w:p w:rsidR="00F936A8" w:rsidRPr="00CB2C86" w:rsidRDefault="00F936A8" w:rsidP="00F91733">
      <w:pPr>
        <w:pStyle w:val="SingleTxtGR"/>
        <w:tabs>
          <w:tab w:val="clear" w:pos="1701"/>
          <w:tab w:val="clear" w:pos="2268"/>
          <w:tab w:val="left" w:pos="1980"/>
          <w:tab w:val="left" w:pos="2520"/>
        </w:tabs>
      </w:pPr>
      <w:r w:rsidRPr="00CB2C86">
        <w:t>12.171</w:t>
      </w:r>
      <w:r w:rsidRPr="00CB2C86">
        <w:tab/>
        <w:t>Во исполнение Указа об удалении отходов (поправка) 2006</w:t>
      </w:r>
      <w:r w:rsidR="00B92291">
        <w:t> год</w:t>
      </w:r>
      <w:r w:rsidRPr="00CB2C86">
        <w:t>а мы г</w:t>
      </w:r>
      <w:r w:rsidRPr="00CB2C86">
        <w:t>о</w:t>
      </w:r>
      <w:r w:rsidRPr="00CB2C86">
        <w:t>товим соответствующие подзаконные акты с целью внедрить меры контроля над обращением, сбором и удалением медицинских отходов. Мы устанавливаем дополнительные мощности в Центре ликвидации химических отходов, чтобы он мог принимать и обрабатывать химические отходы, и совершенствуем си</w:t>
      </w:r>
      <w:r w:rsidRPr="00CB2C86">
        <w:t>с</w:t>
      </w:r>
      <w:r w:rsidRPr="00CB2C86">
        <w:t>тему борьбы с загрязнением воздуха для соблюдения последних нормативов Европейского союза по выбросам. В 2005</w:t>
      </w:r>
      <w:r w:rsidR="00B92291">
        <w:t> год</w:t>
      </w:r>
      <w:r w:rsidRPr="00CB2C86">
        <w:t>у было завершено технико-экономическое обоснование объекта по переработке скелетов животных. В н</w:t>
      </w:r>
      <w:r w:rsidRPr="00CB2C86">
        <w:t>а</w:t>
      </w:r>
      <w:r w:rsidRPr="00CB2C86">
        <w:t>стоящее время не планируется продолжать работы по этому проекту, поскольку нет срочной необходимости в таком объекте. Мы будем следить за развитием ситуации.</w:t>
      </w:r>
    </w:p>
    <w:p w:rsidR="00F936A8" w:rsidRPr="00AA5F3B" w:rsidRDefault="00F936A8" w:rsidP="00F91733">
      <w:pPr>
        <w:pStyle w:val="H4GR"/>
        <w:tabs>
          <w:tab w:val="left" w:pos="1980"/>
          <w:tab w:val="left" w:pos="2520"/>
        </w:tabs>
        <w:spacing w:before="240"/>
        <w:ind w:left="1134" w:right="1179" w:hanging="1134"/>
      </w:pPr>
      <w:r w:rsidRPr="00AA5F3B">
        <w:tab/>
      </w:r>
      <w:r w:rsidRPr="00AA5F3B">
        <w:tab/>
        <w:t>Сокращение объема образующихся отходов</w:t>
      </w:r>
    </w:p>
    <w:p w:rsidR="00F936A8" w:rsidRPr="00CB2C86" w:rsidRDefault="00F936A8" w:rsidP="00F91733">
      <w:pPr>
        <w:pStyle w:val="SingleTxtGR"/>
        <w:tabs>
          <w:tab w:val="clear" w:pos="1701"/>
          <w:tab w:val="clear" w:pos="2268"/>
          <w:tab w:val="left" w:pos="1980"/>
          <w:tab w:val="left" w:pos="2520"/>
        </w:tabs>
      </w:pPr>
      <w:r w:rsidRPr="00CB2C86">
        <w:t>12.172</w:t>
      </w:r>
      <w:r w:rsidRPr="00CB2C86">
        <w:tab/>
        <w:t>Опираясь на результаты Рамочного плана сокращения объема отх</w:t>
      </w:r>
      <w:r w:rsidRPr="00CB2C86">
        <w:t>о</w:t>
      </w:r>
      <w:r w:rsidRPr="00CB2C86">
        <w:t>дов (пункт 12.72 предыдущего доклада), в декабре 2005</w:t>
      </w:r>
      <w:r w:rsidR="00B92291">
        <w:t> год</w:t>
      </w:r>
      <w:r w:rsidRPr="00CB2C86">
        <w:t>а мы опубликовали Р</w:t>
      </w:r>
      <w:r w:rsidRPr="00CB2C86">
        <w:t>а</w:t>
      </w:r>
      <w:r w:rsidRPr="00CB2C86">
        <w:t>мочную концепцию удаления бытовых твердых отходов в Гонконге (2005</w:t>
      </w:r>
      <w:r>
        <w:t>−</w:t>
      </w:r>
      <w:r w:rsidRPr="00CB2C86">
        <w:t>2014</w:t>
      </w:r>
      <w:r w:rsidR="00391724">
        <w:t> годы</w:t>
      </w:r>
      <w:r w:rsidRPr="00CB2C86">
        <w:t>) (размещен</w:t>
      </w:r>
      <w:r w:rsidR="00391724">
        <w:t>о</w:t>
      </w:r>
      <w:r w:rsidRPr="00CB2C86">
        <w:t xml:space="preserve"> по адресу </w:t>
      </w:r>
      <w:hyperlink r:id="rId8" w:history="1">
        <w:r w:rsidRPr="00391724">
          <w:rPr>
            <w:rStyle w:val="Hyperlink"/>
            <w:u w:val="none"/>
            <w:lang w:val="en-GB"/>
          </w:rPr>
          <w:t>www</w:t>
        </w:r>
        <w:r w:rsidRPr="00391724">
          <w:rPr>
            <w:rStyle w:val="Hyperlink"/>
            <w:u w:val="none"/>
          </w:rPr>
          <w:t>.</w:t>
        </w:r>
        <w:proofErr w:type="spellStart"/>
        <w:r w:rsidRPr="00391724">
          <w:rPr>
            <w:rStyle w:val="Hyperlink"/>
            <w:u w:val="none"/>
            <w:lang w:val="en-GB"/>
          </w:rPr>
          <w:t>epd</w:t>
        </w:r>
        <w:proofErr w:type="spellEnd"/>
        <w:r w:rsidRPr="00391724">
          <w:rPr>
            <w:rStyle w:val="Hyperlink"/>
            <w:u w:val="none"/>
          </w:rPr>
          <w:t>.</w:t>
        </w:r>
        <w:proofErr w:type="spellStart"/>
        <w:r w:rsidRPr="00391724">
          <w:rPr>
            <w:rStyle w:val="Hyperlink"/>
            <w:u w:val="none"/>
            <w:lang w:val="en-GB"/>
          </w:rPr>
          <w:t>gov</w:t>
        </w:r>
        <w:proofErr w:type="spellEnd"/>
        <w:r w:rsidRPr="00391724">
          <w:rPr>
            <w:rStyle w:val="Hyperlink"/>
            <w:u w:val="none"/>
          </w:rPr>
          <w:t>.</w:t>
        </w:r>
        <w:proofErr w:type="spellStart"/>
        <w:r w:rsidRPr="00391724">
          <w:rPr>
            <w:rStyle w:val="Hyperlink"/>
            <w:u w:val="none"/>
            <w:lang w:val="en-GB"/>
          </w:rPr>
          <w:t>hk</w:t>
        </w:r>
        <w:proofErr w:type="spellEnd"/>
        <w:r w:rsidRPr="00391724">
          <w:rPr>
            <w:rStyle w:val="Hyperlink"/>
            <w:u w:val="none"/>
          </w:rPr>
          <w:t>/</w:t>
        </w:r>
        <w:proofErr w:type="spellStart"/>
        <w:r w:rsidRPr="00391724">
          <w:rPr>
            <w:rStyle w:val="Hyperlink"/>
            <w:u w:val="none"/>
            <w:lang w:val="en-GB"/>
          </w:rPr>
          <w:t>epd</w:t>
        </w:r>
        <w:proofErr w:type="spellEnd"/>
        <w:r w:rsidRPr="00391724">
          <w:rPr>
            <w:rStyle w:val="Hyperlink"/>
            <w:u w:val="none"/>
          </w:rPr>
          <w:t>/</w:t>
        </w:r>
        <w:proofErr w:type="spellStart"/>
        <w:r w:rsidRPr="00391724">
          <w:rPr>
            <w:rStyle w:val="Hyperlink"/>
            <w:u w:val="none"/>
            <w:lang w:val="en-GB"/>
          </w:rPr>
          <w:t>msw</w:t>
        </w:r>
        <w:proofErr w:type="spellEnd"/>
      </w:hyperlink>
      <w:r w:rsidRPr="00CB2C86">
        <w:t>), нацеленную на разработку стратегии и мер по решению проблемы бытовых твердых отходов на предстоящее десятилетие. Рамочная концепция предлагает эффективные экон</w:t>
      </w:r>
      <w:r w:rsidRPr="00CB2C86">
        <w:t>о</w:t>
      </w:r>
      <w:r w:rsidRPr="00CB2C86">
        <w:t>мические инструменты, которые могли бы создать стимулы для общества пер</w:t>
      </w:r>
      <w:r w:rsidRPr="00CB2C86">
        <w:t>е</w:t>
      </w:r>
      <w:r w:rsidRPr="00CB2C86">
        <w:t xml:space="preserve">рабатывать больше и отправлять в отходы меньше. Наша стратегия борьбы с отходами включает предотвращение образования отходов и сокращение их образования, повторное использование и переработку; и обработку и удаление </w:t>
      </w:r>
      <w:proofErr w:type="spellStart"/>
      <w:r w:rsidRPr="00CB2C86">
        <w:t>неперерабатываемых</w:t>
      </w:r>
      <w:proofErr w:type="spellEnd"/>
      <w:r w:rsidRPr="00CB2C86">
        <w:t xml:space="preserve"> отходов. Предотвращение образования отходов и их ут</w:t>
      </w:r>
      <w:r w:rsidRPr="00CB2C86">
        <w:t>и</w:t>
      </w:r>
      <w:r w:rsidRPr="00CB2C86">
        <w:t>лизация о</w:t>
      </w:r>
      <w:r w:rsidRPr="00CB2C86">
        <w:t>с</w:t>
      </w:r>
      <w:r w:rsidRPr="00CB2C86">
        <w:t>таются первоочередными областями.</w:t>
      </w:r>
    </w:p>
    <w:p w:rsidR="00F936A8" w:rsidRPr="001801D7" w:rsidRDefault="00F936A8" w:rsidP="00F91733">
      <w:pPr>
        <w:pStyle w:val="H23GR"/>
        <w:tabs>
          <w:tab w:val="left" w:pos="1980"/>
          <w:tab w:val="left" w:pos="2520"/>
        </w:tabs>
      </w:pPr>
      <w:r w:rsidRPr="001801D7">
        <w:tab/>
      </w:r>
      <w:r w:rsidRPr="001801D7">
        <w:tab/>
        <w:t>Борьба с загрязнением воздуха</w:t>
      </w:r>
    </w:p>
    <w:p w:rsidR="00F936A8" w:rsidRPr="00CB2C86" w:rsidRDefault="00F936A8" w:rsidP="00F91733">
      <w:pPr>
        <w:pStyle w:val="SingleTxtGR"/>
        <w:tabs>
          <w:tab w:val="clear" w:pos="1701"/>
          <w:tab w:val="clear" w:pos="2268"/>
          <w:tab w:val="left" w:pos="1980"/>
          <w:tab w:val="left" w:pos="2520"/>
        </w:tabs>
      </w:pPr>
      <w:r w:rsidRPr="00CB2C86">
        <w:t>12.173</w:t>
      </w:r>
      <w:r w:rsidRPr="00CB2C86">
        <w:tab/>
        <w:t>Правительство твердо намерено сотрудничать и продолжает тесно с</w:t>
      </w:r>
      <w:r w:rsidRPr="00CB2C86">
        <w:t>о</w:t>
      </w:r>
      <w:r w:rsidRPr="00CB2C86">
        <w:t>трудничать с общественностью в деле улучшения качества воздуха:</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a</w:t>
      </w:r>
      <w:proofErr w:type="spellEnd"/>
      <w:r>
        <w:t>)</w:t>
      </w:r>
      <w:r w:rsidRPr="00CB2C86">
        <w:tab/>
      </w:r>
      <w:r w:rsidR="00391724" w:rsidRPr="00CB2C86">
        <w:t xml:space="preserve">по </w:t>
      </w:r>
      <w:r w:rsidRPr="00CB2C86">
        <w:t>мере реализации комплексной программы сокращения в</w:t>
      </w:r>
      <w:r w:rsidRPr="00CB2C86">
        <w:t>ы</w:t>
      </w:r>
      <w:r w:rsidRPr="00CB2C86">
        <w:t>бросов (включая замену такси и микроавтобусов с дизельными двигателями а</w:t>
      </w:r>
      <w:r w:rsidRPr="00CB2C86">
        <w:t>в</w:t>
      </w:r>
      <w:r w:rsidRPr="00CB2C86">
        <w:t xml:space="preserve">томобилями на сжиженном нефтяном газе, соблюдение жестких </w:t>
      </w:r>
      <w:proofErr w:type="spellStart"/>
      <w:r w:rsidRPr="00CB2C86">
        <w:t>евростандартов</w:t>
      </w:r>
      <w:proofErr w:type="spellEnd"/>
      <w:r w:rsidRPr="00CB2C86">
        <w:t xml:space="preserve"> на автомобильные выбросы и использование топлива со сверхнизким содерж</w:t>
      </w:r>
      <w:r w:rsidRPr="00CB2C86">
        <w:t>а</w:t>
      </w:r>
      <w:r w:rsidRPr="00CB2C86">
        <w:t xml:space="preserve">нием серы, задержание на дорогах дымящих автомобилей и наложение крупных штрафов на их владельцев) </w:t>
      </w:r>
      <w:r w:rsidR="00262E99" w:rsidRPr="00CB2C86">
        <w:t xml:space="preserve">по сравнению </w:t>
      </w:r>
      <w:r w:rsidRPr="00CB2C86">
        <w:t>с 1999</w:t>
      </w:r>
      <w:r w:rsidR="00B92291">
        <w:t> год</w:t>
      </w:r>
      <w:r w:rsidRPr="00CB2C86">
        <w:t>ом на дорогах наблюдается уменьшение концентраций загрязняющих веществ. В качестве показателя мо</w:t>
      </w:r>
      <w:r w:rsidRPr="00CB2C86">
        <w:t>ж</w:t>
      </w:r>
      <w:r w:rsidRPr="00CB2C86">
        <w:t>но привести уровни вдыхаемых взвешенных частиц (ВВЧ), окислов азота (</w:t>
      </w:r>
      <w:proofErr w:type="spellStart"/>
      <w:r w:rsidRPr="00CB2C86">
        <w:rPr>
          <w:lang w:val="en-GB"/>
        </w:rPr>
        <w:t>NO</w:t>
      </w:r>
      <w:r w:rsidRPr="00AA5F3B">
        <w:rPr>
          <w:vertAlign w:val="subscript"/>
          <w:lang w:val="en-GB"/>
        </w:rPr>
        <w:t>x</w:t>
      </w:r>
      <w:proofErr w:type="spellEnd"/>
      <w:r w:rsidRPr="00CB2C86">
        <w:t>) и двуокиси серы (</w:t>
      </w:r>
      <w:r w:rsidRPr="00CB2C86">
        <w:rPr>
          <w:lang w:val="en-GB"/>
        </w:rPr>
        <w:t>SO</w:t>
      </w:r>
      <w:r w:rsidRPr="00AA5F3B">
        <w:rPr>
          <w:vertAlign w:val="subscript"/>
        </w:rPr>
        <w:t>2</w:t>
      </w:r>
      <w:r w:rsidRPr="00CB2C86">
        <w:t>), которые в 2009</w:t>
      </w:r>
      <w:r w:rsidR="00B92291">
        <w:t> год</w:t>
      </w:r>
      <w:r w:rsidRPr="00CB2C86">
        <w:t>у соответственно сократились на 33%, 31% и 48%. Количество дымящих автомобилей, замеченных на дорогах, также сократилось примерно на 80%; и</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b</w:t>
      </w:r>
      <w:proofErr w:type="spellEnd"/>
      <w:r>
        <w:t>)</w:t>
      </w:r>
      <w:r w:rsidRPr="00CB2C86">
        <w:tab/>
      </w:r>
      <w:r w:rsidR="00262E99" w:rsidRPr="00CB2C86">
        <w:t xml:space="preserve">как </w:t>
      </w:r>
      <w:r w:rsidRPr="00CB2C86">
        <w:t>уже упоминалось в пункте 12.76 предыдущего доклада, чт</w:t>
      </w:r>
      <w:r w:rsidRPr="00CB2C86">
        <w:t>о</w:t>
      </w:r>
      <w:r w:rsidRPr="00CB2C86">
        <w:t>бы улучшить качество воздуха в районе дельты Жемчужной реки, в апреле 2002</w:t>
      </w:r>
      <w:r w:rsidR="00B92291">
        <w:t> год</w:t>
      </w:r>
      <w:r w:rsidRPr="00CB2C86">
        <w:t xml:space="preserve">а мы достигли консенсуса с правительством провинции </w:t>
      </w:r>
      <w:proofErr w:type="spellStart"/>
      <w:r w:rsidRPr="00CB2C86">
        <w:t>Гуандун</w:t>
      </w:r>
      <w:proofErr w:type="spellEnd"/>
      <w:r w:rsidRPr="00CB2C86">
        <w:t xml:space="preserve"> о с</w:t>
      </w:r>
      <w:r w:rsidRPr="00CB2C86">
        <w:t>о</w:t>
      </w:r>
      <w:r w:rsidRPr="00CB2C86">
        <w:t>кращении к 2010</w:t>
      </w:r>
      <w:r w:rsidR="00B92291">
        <w:t> год</w:t>
      </w:r>
      <w:r w:rsidRPr="00CB2C86">
        <w:t>у выбросов четырех основных загрязнителей воздуха в р</w:t>
      </w:r>
      <w:r w:rsidRPr="00CB2C86">
        <w:t>е</w:t>
      </w:r>
      <w:r w:rsidRPr="00CB2C86">
        <w:t>гионе на 20</w:t>
      </w:r>
      <w:r>
        <w:t>−</w:t>
      </w:r>
      <w:r w:rsidRPr="00CB2C86">
        <w:t>55%, взяв за базисный</w:t>
      </w:r>
      <w:r w:rsidR="00B92291">
        <w:t> год</w:t>
      </w:r>
      <w:r w:rsidRPr="00CB2C86">
        <w:t xml:space="preserve"> 1997</w:t>
      </w:r>
      <w:r w:rsidR="00B92291">
        <w:t> год</w:t>
      </w:r>
      <w:r w:rsidRPr="00CB2C86">
        <w:t>. По состоянию на конец 2008</w:t>
      </w:r>
      <w:r w:rsidR="00B92291">
        <w:t> год</w:t>
      </w:r>
      <w:r w:rsidRPr="00CB2C86">
        <w:t>а местные выбросы из этих источников загрязнения уже сократились на 13</w:t>
      </w:r>
      <w:r>
        <w:t>−</w:t>
      </w:r>
      <w:r w:rsidRPr="00CB2C86">
        <w:t>54%.</w:t>
      </w:r>
    </w:p>
    <w:p w:rsidR="00F936A8" w:rsidRPr="00CB2C86" w:rsidRDefault="00F936A8" w:rsidP="00F91733">
      <w:pPr>
        <w:pStyle w:val="SingleTxtGR"/>
        <w:tabs>
          <w:tab w:val="clear" w:pos="1701"/>
          <w:tab w:val="clear" w:pos="2268"/>
          <w:tab w:val="left" w:pos="1980"/>
          <w:tab w:val="left" w:pos="2520"/>
        </w:tabs>
      </w:pPr>
      <w:r w:rsidRPr="00CB2C86">
        <w:t>12.174</w:t>
      </w:r>
      <w:r w:rsidRPr="00CB2C86">
        <w:tab/>
        <w:t>Кроме мер, отмеченных в пункте 12.74 предыдущего доклада, мы ре</w:t>
      </w:r>
      <w:r w:rsidRPr="00CB2C86">
        <w:t>а</w:t>
      </w:r>
      <w:r w:rsidRPr="00CB2C86">
        <w:t>лизуем следующие основные меры, направленные на дальнейшее сокращение выбросов:</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a</w:t>
      </w:r>
      <w:proofErr w:type="spellEnd"/>
      <w:r>
        <w:t>)</w:t>
      </w:r>
      <w:r w:rsidRPr="00CB2C86">
        <w:tab/>
        <w:t>электростанции являются крупнейшим местным источником з</w:t>
      </w:r>
      <w:r w:rsidRPr="00CB2C86">
        <w:t>а</w:t>
      </w:r>
      <w:r w:rsidRPr="00CB2C86">
        <w:t>грязнения воздуха. С 1997</w:t>
      </w:r>
      <w:r w:rsidR="00B92291">
        <w:t> год</w:t>
      </w:r>
      <w:r w:rsidRPr="00CB2C86">
        <w:t>а мы запрещаем введение в действие всех новых электростанций, работающих на угле, а в 2005</w:t>
      </w:r>
      <w:r w:rsidR="00B92291">
        <w:t> год</w:t>
      </w:r>
      <w:r w:rsidRPr="00CB2C86">
        <w:t>у установили предельные уровни выбросов для электростанций. Недавно мы увязали норму прибыли двух электрогенерирующих компаний с их экологическими показателями, ог</w:t>
      </w:r>
      <w:r w:rsidRPr="00CB2C86">
        <w:t>о</w:t>
      </w:r>
      <w:r w:rsidRPr="00CB2C86">
        <w:t>ворив в законодательном порядке предельные уровни выбросов для электр</w:t>
      </w:r>
      <w:r w:rsidRPr="00CB2C86">
        <w:t>о</w:t>
      </w:r>
      <w:r w:rsidRPr="00CB2C86">
        <w:t>станций на 2010</w:t>
      </w:r>
      <w:r w:rsidR="00B92291">
        <w:t> год</w:t>
      </w:r>
      <w:r w:rsidRPr="00CB2C86">
        <w:t xml:space="preserve"> и в последующий период, и подписали меморандум о взаимопонимании с Национальной энергетической администрацией централ</w:t>
      </w:r>
      <w:r w:rsidRPr="00CB2C86">
        <w:t>ь</w:t>
      </w:r>
      <w:r w:rsidRPr="00CB2C86">
        <w:t>ного правительства Китайской Народной Республики, чтобы увеличить испол</w:t>
      </w:r>
      <w:r w:rsidRPr="00CB2C86">
        <w:t>ь</w:t>
      </w:r>
      <w:r w:rsidRPr="00CB2C86">
        <w:t>зование природного газа для выработки электроэнергии. В сентябре 2009</w:t>
      </w:r>
      <w:r w:rsidR="00B92291">
        <w:t> год</w:t>
      </w:r>
      <w:r w:rsidRPr="00CB2C86">
        <w:t>а мы разреш</w:t>
      </w:r>
      <w:r w:rsidRPr="00CB2C86">
        <w:t>и</w:t>
      </w:r>
      <w:r w:rsidRPr="00CB2C86">
        <w:t xml:space="preserve">ли главному поставщику электроэнергии в Гонконге компании </w:t>
      </w:r>
      <w:r w:rsidRPr="00CB2C86">
        <w:rPr>
          <w:lang w:val="en-GB"/>
        </w:rPr>
        <w:t>CLP</w:t>
      </w:r>
      <w:r w:rsidRPr="00CB2C86">
        <w:t xml:space="preserve"> </w:t>
      </w:r>
      <w:r w:rsidRPr="00CB2C86">
        <w:rPr>
          <w:lang w:val="en-GB"/>
        </w:rPr>
        <w:t>Power</w:t>
      </w:r>
      <w:r w:rsidRPr="00CB2C86">
        <w:t xml:space="preserve"> </w:t>
      </w:r>
      <w:r w:rsidRPr="00CB2C86">
        <w:rPr>
          <w:lang w:val="en-GB"/>
        </w:rPr>
        <w:t>Hong</w:t>
      </w:r>
      <w:r w:rsidRPr="00CB2C86">
        <w:t xml:space="preserve"> </w:t>
      </w:r>
      <w:r w:rsidRPr="00CB2C86">
        <w:rPr>
          <w:lang w:val="en-GB"/>
        </w:rPr>
        <w:t>Kong</w:t>
      </w:r>
      <w:r w:rsidRPr="00CB2C86">
        <w:t xml:space="preserve"> </w:t>
      </w:r>
      <w:r w:rsidRPr="00CB2C86">
        <w:rPr>
          <w:lang w:val="en-GB"/>
        </w:rPr>
        <w:t>Limited</w:t>
      </w:r>
      <w:r w:rsidRPr="00CB2C86">
        <w:t xml:space="preserve"> продлить с мая 2014</w:t>
      </w:r>
      <w:r w:rsidR="00B92291">
        <w:t> год</w:t>
      </w:r>
      <w:r w:rsidRPr="00CB2C86">
        <w:t>а контракт на поставку эле</w:t>
      </w:r>
      <w:r w:rsidRPr="00CB2C86">
        <w:t>к</w:t>
      </w:r>
      <w:r w:rsidRPr="00CB2C86">
        <w:t>троэнергии АЭС из материкового Китая еще на 20 лет. Это гарантирует непр</w:t>
      </w:r>
      <w:r w:rsidRPr="00CB2C86">
        <w:t>е</w:t>
      </w:r>
      <w:r w:rsidRPr="00CB2C86">
        <w:t>рывную п</w:t>
      </w:r>
      <w:r w:rsidRPr="00CB2C86">
        <w:t>о</w:t>
      </w:r>
      <w:r w:rsidRPr="00CB2C86">
        <w:t>ставку чистой электроэнергии в Гонконг по разумным и доступным ценам;</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b</w:t>
      </w:r>
      <w:proofErr w:type="spellEnd"/>
      <w:r>
        <w:t>)</w:t>
      </w:r>
      <w:r w:rsidRPr="00CB2C86">
        <w:tab/>
        <w:t>чтобы еще больше сократить объемы выбросов в секторе тран</w:t>
      </w:r>
      <w:r w:rsidRPr="00CB2C86">
        <w:t>с</w:t>
      </w:r>
      <w:r w:rsidRPr="00CB2C86">
        <w:t>порта, мы реализуем целевую программу по замене устаревших дизельных гр</w:t>
      </w:r>
      <w:r w:rsidRPr="00CB2C86">
        <w:t>у</w:t>
      </w:r>
      <w:r w:rsidRPr="00CB2C86">
        <w:t>зовых автомобилей и предоставляем налоговые льготы, чтобы содействовать более широкому использованию экологически безопасных автомобилей и то</w:t>
      </w:r>
      <w:r w:rsidRPr="00CB2C86">
        <w:t>п</w:t>
      </w:r>
      <w:r w:rsidRPr="00CB2C86">
        <w:t>лив. Рассматриваются также меры для расширения использования электром</w:t>
      </w:r>
      <w:r w:rsidRPr="00CB2C86">
        <w:t>о</w:t>
      </w:r>
      <w:r w:rsidRPr="00CB2C86">
        <w:t xml:space="preserve">билей, запрета оставлять автомобили с работающим двигателем и выполнять нормативные требования к </w:t>
      </w:r>
      <w:proofErr w:type="spellStart"/>
      <w:r w:rsidRPr="00CB2C86">
        <w:t>биодизельному</w:t>
      </w:r>
      <w:proofErr w:type="spellEnd"/>
      <w:r w:rsidRPr="00CB2C86">
        <w:t xml:space="preserve"> топливу в качестве топлива для а</w:t>
      </w:r>
      <w:r w:rsidRPr="00CB2C86">
        <w:t>в</w:t>
      </w:r>
      <w:r w:rsidRPr="00CB2C86">
        <w:t xml:space="preserve">томобилей. Мы также изучаем меры по борьбе с выбросами из </w:t>
      </w:r>
      <w:proofErr w:type="spellStart"/>
      <w:r w:rsidRPr="00CB2C86">
        <w:t>внедорожных</w:t>
      </w:r>
      <w:proofErr w:type="spellEnd"/>
      <w:r w:rsidRPr="00CB2C86">
        <w:t xml:space="preserve"> мобил</w:t>
      </w:r>
      <w:r w:rsidRPr="00CB2C86">
        <w:t>ь</w:t>
      </w:r>
      <w:r w:rsidRPr="00CB2C86">
        <w:t>ных источников и местных паромов;</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c</w:t>
      </w:r>
      <w:proofErr w:type="spellEnd"/>
      <w:r>
        <w:t>)</w:t>
      </w:r>
      <w:r w:rsidRPr="00CB2C86">
        <w:tab/>
        <w:t>для борьбы с выбросами из других источников мы постановили, что во всех промышленных и коммерческих процессах должно использоваться дизельное топливо со сверх низким содержанием серы. Мы также установили нормативные пределы содержания летучих органических соединений в отдел</w:t>
      </w:r>
      <w:r w:rsidRPr="00CB2C86">
        <w:t>ь</w:t>
      </w:r>
      <w:r w:rsidRPr="00CB2C86">
        <w:t>ных продуктах (таких</w:t>
      </w:r>
      <w:r w:rsidR="006C4ED3">
        <w:t>,</w:t>
      </w:r>
      <w:r w:rsidRPr="00CB2C86">
        <w:t xml:space="preserve"> как краски и типографические краски) и с января 2010</w:t>
      </w:r>
      <w:r w:rsidR="00B92291">
        <w:t> год</w:t>
      </w:r>
      <w:r w:rsidRPr="00CB2C86">
        <w:t xml:space="preserve">а поэтапно запрещали импорт изделий, содержащих </w:t>
      </w:r>
      <w:proofErr w:type="spellStart"/>
      <w:r w:rsidRPr="00CB2C86">
        <w:t>фторхлоруглев</w:t>
      </w:r>
      <w:r w:rsidRPr="00CB2C86">
        <w:t>о</w:t>
      </w:r>
      <w:r w:rsidRPr="00CB2C86">
        <w:t>дороды</w:t>
      </w:r>
      <w:proofErr w:type="spellEnd"/>
      <w:r w:rsidRPr="00CB2C86">
        <w:t xml:space="preserve"> (в частности таких, как холодильная техника и кондиционеры). В то же время мы осуществляем программу, направленную на оказание помощи го</w:t>
      </w:r>
      <w:r w:rsidRPr="00CB2C86">
        <w:t>н</w:t>
      </w:r>
      <w:r w:rsidRPr="00CB2C86">
        <w:t>конгским компаниям в дельте Жемчужной реки по внедрению экологически б</w:t>
      </w:r>
      <w:r w:rsidRPr="00CB2C86">
        <w:t>о</w:t>
      </w:r>
      <w:r w:rsidRPr="00CB2C86">
        <w:t>лее чистых производственных технологий и процессов; и</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d</w:t>
      </w:r>
      <w:proofErr w:type="spellEnd"/>
      <w:r>
        <w:t>)</w:t>
      </w:r>
      <w:r w:rsidRPr="00CB2C86">
        <w:tab/>
        <w:t xml:space="preserve">повышение энергосбережения и </w:t>
      </w:r>
      <w:proofErr w:type="spellStart"/>
      <w:r w:rsidRPr="00CB2C86">
        <w:t>энергоэффективности</w:t>
      </w:r>
      <w:proofErr w:type="spellEnd"/>
      <w:r w:rsidRPr="00CB2C86">
        <w:t xml:space="preserve"> также с</w:t>
      </w:r>
      <w:r w:rsidRPr="00CB2C86">
        <w:t>о</w:t>
      </w:r>
      <w:r w:rsidRPr="00CB2C86">
        <w:t xml:space="preserve">ставляют главные направления нашей общей стратегии. Чтобы увеличить </w:t>
      </w:r>
      <w:proofErr w:type="spellStart"/>
      <w:r w:rsidRPr="00CB2C86">
        <w:t>эне</w:t>
      </w:r>
      <w:r w:rsidRPr="00CB2C86">
        <w:t>р</w:t>
      </w:r>
      <w:r w:rsidRPr="00CB2C86">
        <w:t>гоэффективность</w:t>
      </w:r>
      <w:proofErr w:type="spellEnd"/>
      <w:r w:rsidRPr="00CB2C86">
        <w:t xml:space="preserve"> зданий, мы представили на рассмотрение ЗС законопр</w:t>
      </w:r>
      <w:r w:rsidRPr="00CB2C86">
        <w:t>о</w:t>
      </w:r>
      <w:r w:rsidRPr="00CB2C86">
        <w:t xml:space="preserve">ект об их </w:t>
      </w:r>
      <w:proofErr w:type="spellStart"/>
      <w:r w:rsidRPr="00CB2C86">
        <w:t>энергоэффективности</w:t>
      </w:r>
      <w:proofErr w:type="spellEnd"/>
      <w:r w:rsidRPr="00CB2C86">
        <w:t>, чтобы обеспечить неукоснительное соблюдение но</w:t>
      </w:r>
      <w:r w:rsidRPr="00CB2C86">
        <w:t>р</w:t>
      </w:r>
      <w:r w:rsidRPr="00CB2C86">
        <w:t>мативов энергетической эффективности зданий. Мы также реализуем програ</w:t>
      </w:r>
      <w:r w:rsidRPr="00CB2C86">
        <w:t>м</w:t>
      </w:r>
      <w:r w:rsidRPr="00CB2C86">
        <w:t xml:space="preserve">мы финансирования </w:t>
      </w:r>
      <w:proofErr w:type="spellStart"/>
      <w:r w:rsidRPr="00CB2C86">
        <w:t>энергоэффективности</w:t>
      </w:r>
      <w:proofErr w:type="spellEnd"/>
      <w:r w:rsidRPr="00CB2C86">
        <w:t xml:space="preserve"> зданий, субсидируя их владельцев для проведения энергетических обследований </w:t>
      </w:r>
      <w:proofErr w:type="spellStart"/>
      <w:r w:rsidRPr="00CB2C86">
        <w:t>энергоэффективности</w:t>
      </w:r>
      <w:proofErr w:type="spellEnd"/>
      <w:r w:rsidRPr="00CB2C86">
        <w:t xml:space="preserve"> угля и проведения </w:t>
      </w:r>
      <w:proofErr w:type="spellStart"/>
      <w:r w:rsidRPr="00CB2C86">
        <w:t>энергосберегательных</w:t>
      </w:r>
      <w:proofErr w:type="spellEnd"/>
      <w:r w:rsidRPr="00CB2C86">
        <w:t xml:space="preserve"> проектов в зданиях, и планируем создать а рамках проекта Кай Так окружную систему охлаждения, обеспечив тем самым жителей </w:t>
      </w:r>
      <w:proofErr w:type="spellStart"/>
      <w:r w:rsidRPr="00CB2C86">
        <w:t>энергоэффективной</w:t>
      </w:r>
      <w:proofErr w:type="spellEnd"/>
      <w:r w:rsidRPr="00CB2C86">
        <w:t xml:space="preserve"> системой кондиционирования воздуха. К тому же, мы ввели в действие системы добровольной и обязательной энергетической маркировки электротехнических изделий, чтобы покупатели могли выбирать </w:t>
      </w:r>
      <w:proofErr w:type="spellStart"/>
      <w:r w:rsidRPr="00CB2C86">
        <w:t>энергоэффе</w:t>
      </w:r>
      <w:r w:rsidRPr="00CB2C86">
        <w:t>к</w:t>
      </w:r>
      <w:r w:rsidRPr="00CB2C86">
        <w:t>тивные</w:t>
      </w:r>
      <w:proofErr w:type="spellEnd"/>
      <w:r w:rsidRPr="00CB2C86">
        <w:t xml:space="preserve">  электроприборы.</w:t>
      </w:r>
    </w:p>
    <w:p w:rsidR="00F936A8" w:rsidRPr="00CB2C86" w:rsidRDefault="00F936A8" w:rsidP="00F91733">
      <w:pPr>
        <w:pStyle w:val="SingleTxtGR"/>
        <w:tabs>
          <w:tab w:val="clear" w:pos="1701"/>
          <w:tab w:val="clear" w:pos="2268"/>
          <w:tab w:val="left" w:pos="1980"/>
          <w:tab w:val="left" w:pos="2520"/>
        </w:tabs>
      </w:pPr>
      <w:r w:rsidRPr="00CB2C86">
        <w:t>12.175</w:t>
      </w:r>
      <w:r w:rsidRPr="00CB2C86">
        <w:tab/>
        <w:t xml:space="preserve">В то же время мы тесно сотрудничаем с нашей соседней провинцией </w:t>
      </w:r>
      <w:proofErr w:type="spellStart"/>
      <w:r w:rsidRPr="00CB2C86">
        <w:t>Гуандун</w:t>
      </w:r>
      <w:proofErr w:type="spellEnd"/>
      <w:r w:rsidRPr="00CB2C86">
        <w:t xml:space="preserve"> в деле улучшения качества воздуха в районе дельты Жемчужной р</w:t>
      </w:r>
      <w:r w:rsidRPr="00CB2C86">
        <w:t>е</w:t>
      </w:r>
      <w:r w:rsidRPr="00CB2C86">
        <w:t>ки и решения региональной проблемы смога. Мы также обсуждаем с правительс</w:t>
      </w:r>
      <w:r w:rsidRPr="00CB2C86">
        <w:t>т</w:t>
      </w:r>
      <w:r w:rsidRPr="00CB2C86">
        <w:t xml:space="preserve">вом провинции </w:t>
      </w:r>
      <w:proofErr w:type="spellStart"/>
      <w:r w:rsidRPr="00CB2C86">
        <w:t>Гуандун</w:t>
      </w:r>
      <w:proofErr w:type="spellEnd"/>
      <w:r w:rsidRPr="00CB2C86">
        <w:t xml:space="preserve"> вопрос о разработке стратегии по превращению Бол</w:t>
      </w:r>
      <w:r w:rsidRPr="00CB2C86">
        <w:t>ь</w:t>
      </w:r>
      <w:r w:rsidRPr="00CB2C86">
        <w:t>шого района дельты Жемчужной реки в экологическую зону с высоким качес</w:t>
      </w:r>
      <w:r w:rsidRPr="00CB2C86">
        <w:t>т</w:t>
      </w:r>
      <w:r w:rsidRPr="00CB2C86">
        <w:t>вом жизни. Улучшение качества воздуха в районе станет важной областью с</w:t>
      </w:r>
      <w:r w:rsidRPr="00CB2C86">
        <w:t>о</w:t>
      </w:r>
      <w:r w:rsidRPr="00CB2C86">
        <w:t>трудничества.</w:t>
      </w:r>
    </w:p>
    <w:p w:rsidR="00F936A8" w:rsidRPr="00CB2C86" w:rsidRDefault="00F936A8" w:rsidP="00F91733">
      <w:pPr>
        <w:pStyle w:val="SingleTxtGR"/>
        <w:tabs>
          <w:tab w:val="clear" w:pos="1701"/>
          <w:tab w:val="clear" w:pos="2268"/>
          <w:tab w:val="left" w:pos="1980"/>
          <w:tab w:val="left" w:pos="2520"/>
        </w:tabs>
      </w:pPr>
      <w:r w:rsidRPr="00CB2C86">
        <w:t>12.176</w:t>
      </w:r>
      <w:r w:rsidRPr="00CB2C86">
        <w:tab/>
        <w:t>Чтобы еще больше улучшить качество воздуха, в июне 2007</w:t>
      </w:r>
      <w:r w:rsidR="00B92291">
        <w:t> год</w:t>
      </w:r>
      <w:r w:rsidRPr="00CB2C86">
        <w:t>а мы поручили провести комплексное консультационное исследование с целью пер</w:t>
      </w:r>
      <w:r w:rsidRPr="00CB2C86">
        <w:t>е</w:t>
      </w:r>
      <w:r w:rsidRPr="00CB2C86">
        <w:t>смотреть задачи Гонконга по улучшению качества воздуха и разработать долг</w:t>
      </w:r>
      <w:r w:rsidRPr="00CB2C86">
        <w:t>о</w:t>
      </w:r>
      <w:r w:rsidRPr="00CB2C86">
        <w:t>срочную стратегию регулирования его качества. После завершения исследов</w:t>
      </w:r>
      <w:r w:rsidRPr="00CB2C86">
        <w:t>а</w:t>
      </w:r>
      <w:r w:rsidRPr="00CB2C86">
        <w:t>ния в июле 2009</w:t>
      </w:r>
      <w:r w:rsidR="00B92291">
        <w:t> год</w:t>
      </w:r>
      <w:r w:rsidRPr="00CB2C86">
        <w:t>а мы начали четырехмесячные консультации с насел</w:t>
      </w:r>
      <w:r w:rsidRPr="00CB2C86">
        <w:t>е</w:t>
      </w:r>
      <w:r w:rsidRPr="00CB2C86">
        <w:t>нием, чтобы узнать общественное мнение относительно предлагаемых новых задач по улучшению качества воздуха и мер борьбы с выбросами. В настоящее время мы внимательно изучаем полученные замечания, чтобы принять решение о дал</w:t>
      </w:r>
      <w:r w:rsidRPr="00CB2C86">
        <w:t>ь</w:t>
      </w:r>
      <w:r w:rsidRPr="00CB2C86">
        <w:t>нейшем продвижении вперед.</w:t>
      </w:r>
    </w:p>
    <w:p w:rsidR="00F936A8" w:rsidRPr="00CB2C86" w:rsidRDefault="00F936A8" w:rsidP="00F91733">
      <w:pPr>
        <w:pStyle w:val="SingleTxtGR"/>
        <w:tabs>
          <w:tab w:val="clear" w:pos="1701"/>
          <w:tab w:val="clear" w:pos="2268"/>
          <w:tab w:val="left" w:pos="1980"/>
          <w:tab w:val="left" w:pos="2520"/>
        </w:tabs>
      </w:pPr>
      <w:r w:rsidRPr="00CB2C86">
        <w:t>12.177</w:t>
      </w:r>
      <w:r w:rsidRPr="00CB2C86">
        <w:tab/>
        <w:t>Мы уверены, что благодаря совместным усилиям с властями прови</w:t>
      </w:r>
      <w:r w:rsidRPr="00CB2C86">
        <w:t>н</w:t>
      </w:r>
      <w:r w:rsidRPr="00CB2C86">
        <w:t xml:space="preserve">ции </w:t>
      </w:r>
      <w:proofErr w:type="spellStart"/>
      <w:r w:rsidRPr="00CB2C86">
        <w:t>Гуандун</w:t>
      </w:r>
      <w:proofErr w:type="spellEnd"/>
      <w:r w:rsidRPr="00CB2C86">
        <w:t xml:space="preserve"> и принятым мерам в ближайшие несколько лет качество возд</w:t>
      </w:r>
      <w:r w:rsidRPr="00CB2C86">
        <w:t>у</w:t>
      </w:r>
      <w:r w:rsidRPr="00CB2C86">
        <w:t>ха в Гонконге и районе дельты Жемчужной реки будет постепенно улучшаться.</w:t>
      </w:r>
    </w:p>
    <w:p w:rsidR="00F936A8" w:rsidRPr="001801D7" w:rsidRDefault="00F936A8" w:rsidP="00F91733">
      <w:pPr>
        <w:pStyle w:val="H23GR"/>
        <w:tabs>
          <w:tab w:val="left" w:pos="1980"/>
          <w:tab w:val="left" w:pos="2520"/>
        </w:tabs>
      </w:pPr>
      <w:r w:rsidRPr="001801D7">
        <w:tab/>
      </w:r>
      <w:r w:rsidRPr="001801D7">
        <w:tab/>
        <w:t>Борьба с шумовым загрязнением</w:t>
      </w:r>
    </w:p>
    <w:p w:rsidR="00F936A8" w:rsidRPr="00CB2C86" w:rsidRDefault="00F936A8" w:rsidP="00F91733">
      <w:pPr>
        <w:pStyle w:val="SingleTxtGR"/>
        <w:tabs>
          <w:tab w:val="clear" w:pos="1701"/>
          <w:tab w:val="clear" w:pos="2268"/>
          <w:tab w:val="left" w:pos="1980"/>
          <w:tab w:val="left" w:pos="2520"/>
        </w:tabs>
      </w:pPr>
      <w:r w:rsidRPr="00CB2C86">
        <w:t>12.178</w:t>
      </w:r>
      <w:r w:rsidRPr="00CB2C86">
        <w:tab/>
        <w:t>В 2004</w:t>
      </w:r>
      <w:r w:rsidR="00B92291">
        <w:t> год</w:t>
      </w:r>
      <w:r w:rsidRPr="00CB2C86">
        <w:t>у вступило в силу положение Указа о борьбе с шумом (</w:t>
      </w:r>
      <w:r>
        <w:t>ст</w:t>
      </w:r>
      <w:r>
        <w:t>а</w:t>
      </w:r>
      <w:r>
        <w:t xml:space="preserve">тья </w:t>
      </w:r>
      <w:r w:rsidRPr="00CB2C86">
        <w:t>400), согласно которому руководство юридического лица подлежит привл</w:t>
      </w:r>
      <w:r w:rsidRPr="00CB2C86">
        <w:t>е</w:t>
      </w:r>
      <w:r w:rsidRPr="00CB2C86">
        <w:t>чению к ответственности за превышение уровня шума, допущенного этим юр</w:t>
      </w:r>
      <w:r w:rsidRPr="00CB2C86">
        <w:t>и</w:t>
      </w:r>
      <w:r w:rsidRPr="00CB2C86">
        <w:t>дическим лицом, о чем было упомянуто в пункте 12.77 предыдущего до</w:t>
      </w:r>
      <w:r w:rsidRPr="00CB2C86">
        <w:t>к</w:t>
      </w:r>
      <w:r w:rsidRPr="00CB2C86">
        <w:t xml:space="preserve">лада. Цель этого положения не допускать повторения таких нарушений. </w:t>
      </w:r>
    </w:p>
    <w:p w:rsidR="00F936A8" w:rsidRPr="00CB2C86" w:rsidRDefault="00F936A8" w:rsidP="00F91733">
      <w:pPr>
        <w:pStyle w:val="SingleTxtGR"/>
        <w:tabs>
          <w:tab w:val="clear" w:pos="1701"/>
          <w:tab w:val="clear" w:pos="2268"/>
          <w:tab w:val="left" w:pos="1980"/>
          <w:tab w:val="left" w:pos="2520"/>
        </w:tabs>
      </w:pPr>
      <w:r w:rsidRPr="00CB2C86">
        <w:t>12.179</w:t>
      </w:r>
      <w:r w:rsidRPr="00CB2C86">
        <w:tab/>
        <w:t>Продолжаются работы по программе модернизации противошум</w:t>
      </w:r>
      <w:r w:rsidRPr="00CB2C86">
        <w:t>о</w:t>
      </w:r>
      <w:r w:rsidRPr="00CB2C86">
        <w:t>вых барьеров, о чем упоминалось в пункте 12.78 предыдущего доклада.</w:t>
      </w:r>
    </w:p>
    <w:p w:rsidR="00F936A8" w:rsidRPr="00CB2C86" w:rsidRDefault="00F936A8" w:rsidP="00F91733">
      <w:pPr>
        <w:pStyle w:val="SingleTxtGR"/>
        <w:tabs>
          <w:tab w:val="clear" w:pos="1701"/>
          <w:tab w:val="clear" w:pos="2268"/>
          <w:tab w:val="left" w:pos="1980"/>
          <w:tab w:val="left" w:pos="2520"/>
        </w:tabs>
      </w:pPr>
      <w:r w:rsidRPr="00CB2C86">
        <w:t>12.180</w:t>
      </w:r>
      <w:r w:rsidRPr="00CB2C86">
        <w:tab/>
        <w:t>Мы расширили список Обозначенных территорий, перечисленных в Указе о борьбе с шумом, чтобы распространить более строгие меры по борьбе с шумом, вызванного строительными работами, на новые закрепленные террит</w:t>
      </w:r>
      <w:r w:rsidRPr="00CB2C86">
        <w:t>о</w:t>
      </w:r>
      <w:r w:rsidRPr="00CB2C86">
        <w:t>рии, обеспечив тем самым более надежную защиту их жителям. Положение о новых Обозначенных территориях вступило в силу в январе 2009</w:t>
      </w:r>
      <w:r w:rsidR="00B92291">
        <w:t> год</w:t>
      </w:r>
      <w:r w:rsidRPr="00CB2C86">
        <w:t>а.</w:t>
      </w:r>
    </w:p>
    <w:p w:rsidR="00F936A8" w:rsidRPr="001801D7" w:rsidRDefault="00F936A8" w:rsidP="00F91733">
      <w:pPr>
        <w:pStyle w:val="H23GR"/>
        <w:tabs>
          <w:tab w:val="left" w:pos="1980"/>
          <w:tab w:val="left" w:pos="2520"/>
        </w:tabs>
      </w:pPr>
      <w:r w:rsidRPr="001801D7">
        <w:tab/>
      </w:r>
      <w:r w:rsidRPr="001801D7">
        <w:tab/>
        <w:t>Экологическое просвещение</w:t>
      </w:r>
    </w:p>
    <w:p w:rsidR="00F936A8" w:rsidRPr="00CB2C86" w:rsidRDefault="00F936A8" w:rsidP="00F91733">
      <w:pPr>
        <w:pStyle w:val="SingleTxtGR"/>
        <w:tabs>
          <w:tab w:val="clear" w:pos="1701"/>
          <w:tab w:val="clear" w:pos="2268"/>
          <w:tab w:val="left" w:pos="1980"/>
          <w:tab w:val="left" w:pos="2520"/>
        </w:tabs>
      </w:pPr>
      <w:r w:rsidRPr="00CB2C86">
        <w:t>12.181</w:t>
      </w:r>
      <w:r w:rsidRPr="00CB2C86">
        <w:tab/>
        <w:t>Фонд защиты окружающей среды и сохранения природных ресурсов продолжает свою просветительскую деятельность, оказывая поддержку мес</w:t>
      </w:r>
      <w:r w:rsidRPr="00CB2C86">
        <w:t>т</w:t>
      </w:r>
      <w:r w:rsidRPr="00CB2C86">
        <w:t>ным общественным организациям, школам и экологическим группам в орган</w:t>
      </w:r>
      <w:r w:rsidRPr="00CB2C86">
        <w:t>и</w:t>
      </w:r>
      <w:r w:rsidRPr="00CB2C86">
        <w:t>зации мероприятий в защиту окружающей среды, о чем говорилось в пун</w:t>
      </w:r>
      <w:r w:rsidRPr="00CB2C86">
        <w:t>к</w:t>
      </w:r>
      <w:r w:rsidRPr="00CB2C86">
        <w:t>те</w:t>
      </w:r>
      <w:r w:rsidR="006C4ED3">
        <w:t> </w:t>
      </w:r>
      <w:r w:rsidRPr="00CB2C86">
        <w:t>12.79 предыдущего доклада. В начале 2008</w:t>
      </w:r>
      <w:r w:rsidR="00B92291">
        <w:t> год</w:t>
      </w:r>
      <w:r w:rsidRPr="00CB2C86">
        <w:t>у мы ассигновали 1</w:t>
      </w:r>
      <w:r w:rsidR="004F720A">
        <w:t> </w:t>
      </w:r>
      <w:r w:rsidR="00B63D5C">
        <w:t>млрд. долл.</w:t>
      </w:r>
      <w:r w:rsidRPr="00CB2C86">
        <w:t xml:space="preserve"> с целью привлечь больше заявок на инновационные, оправда</w:t>
      </w:r>
      <w:r w:rsidRPr="00CB2C86">
        <w:t>н</w:t>
      </w:r>
      <w:r w:rsidRPr="00CB2C86">
        <w:t>ные, крупномасштабные и долгосрочные проекты. Комитет экологической пр</w:t>
      </w:r>
      <w:r w:rsidRPr="00CB2C86">
        <w:t>о</w:t>
      </w:r>
      <w:r w:rsidRPr="00CB2C86">
        <w:t>паганды продолжает свою деятельность, как это описывалось в пункте 490 пе</w:t>
      </w:r>
      <w:r w:rsidRPr="00CB2C86">
        <w:t>р</w:t>
      </w:r>
      <w:r w:rsidRPr="00CB2C86">
        <w:t>воначального доклада.</w:t>
      </w:r>
    </w:p>
    <w:p w:rsidR="00F936A8" w:rsidRPr="001801D7" w:rsidRDefault="00F936A8" w:rsidP="00F91733">
      <w:pPr>
        <w:pStyle w:val="H23GR"/>
        <w:tabs>
          <w:tab w:val="left" w:pos="1980"/>
          <w:tab w:val="left" w:pos="2520"/>
        </w:tabs>
      </w:pPr>
      <w:r w:rsidRPr="001801D7">
        <w:tab/>
      </w:r>
      <w:r w:rsidRPr="001801D7">
        <w:tab/>
        <w:t>Оценка воздействия на окружающую среду</w:t>
      </w:r>
    </w:p>
    <w:p w:rsidR="00F936A8" w:rsidRPr="00CB2C86" w:rsidRDefault="00F936A8" w:rsidP="00F91733">
      <w:pPr>
        <w:pStyle w:val="SingleTxtGR"/>
        <w:tabs>
          <w:tab w:val="clear" w:pos="1701"/>
          <w:tab w:val="clear" w:pos="2268"/>
          <w:tab w:val="left" w:pos="1980"/>
          <w:tab w:val="left" w:pos="2520"/>
        </w:tabs>
      </w:pPr>
      <w:r w:rsidRPr="00CB2C86">
        <w:t>12.182</w:t>
      </w:r>
      <w:r w:rsidRPr="00CB2C86">
        <w:tab/>
        <w:t>Положение остается таким же, как оно описано в пункте 491 первон</w:t>
      </w:r>
      <w:r w:rsidRPr="00CB2C86">
        <w:t>а</w:t>
      </w:r>
      <w:r w:rsidRPr="00CB2C86">
        <w:t>чального доклада.</w:t>
      </w:r>
    </w:p>
    <w:p w:rsidR="00F936A8" w:rsidRPr="00CB2C86" w:rsidRDefault="00F936A8" w:rsidP="00F91733">
      <w:pPr>
        <w:pStyle w:val="H1GR"/>
        <w:tabs>
          <w:tab w:val="left" w:pos="1980"/>
          <w:tab w:val="left" w:pos="2520"/>
        </w:tabs>
      </w:pPr>
      <w:r w:rsidRPr="00CB2C86">
        <w:tab/>
      </w:r>
      <w:r w:rsidRPr="00CB2C86">
        <w:tab/>
        <w:t xml:space="preserve">Гигиена труда </w:t>
      </w:r>
    </w:p>
    <w:p w:rsidR="00F936A8" w:rsidRPr="00CB2C86" w:rsidRDefault="00F936A8" w:rsidP="00F91733">
      <w:pPr>
        <w:pStyle w:val="SingleTxtGR"/>
        <w:tabs>
          <w:tab w:val="clear" w:pos="1701"/>
          <w:tab w:val="clear" w:pos="2268"/>
          <w:tab w:val="left" w:pos="1980"/>
          <w:tab w:val="left" w:pos="2520"/>
        </w:tabs>
      </w:pPr>
      <w:r w:rsidRPr="00CB2C86">
        <w:t>12.183</w:t>
      </w:r>
      <w:r w:rsidRPr="00CB2C86">
        <w:tab/>
        <w:t>В 2005</w:t>
      </w:r>
      <w:r w:rsidR="00B92291">
        <w:t> год</w:t>
      </w:r>
      <w:r w:rsidRPr="00CB2C86">
        <w:t>у ТОРС и птичий грипп А были включены в Список 2 пр</w:t>
      </w:r>
      <w:r w:rsidRPr="00CB2C86">
        <w:t>о</w:t>
      </w:r>
      <w:r w:rsidRPr="00CB2C86">
        <w:t xml:space="preserve">фессиональных заболеваний, подлежащих регистрации, к Указу о гигиене труда </w:t>
      </w:r>
      <w:r>
        <w:t>(глава </w:t>
      </w:r>
      <w:r w:rsidRPr="00CB2C86">
        <w:t>509).</w:t>
      </w:r>
    </w:p>
    <w:p w:rsidR="00F936A8" w:rsidRPr="00CB2C86" w:rsidRDefault="00F936A8" w:rsidP="00F91733">
      <w:pPr>
        <w:pStyle w:val="SingleTxtGR"/>
        <w:tabs>
          <w:tab w:val="clear" w:pos="1701"/>
          <w:tab w:val="clear" w:pos="2268"/>
          <w:tab w:val="left" w:pos="1980"/>
          <w:tab w:val="left" w:pos="2520"/>
        </w:tabs>
      </w:pPr>
      <w:r w:rsidRPr="00CB2C86">
        <w:t>12.184</w:t>
      </w:r>
      <w:r w:rsidRPr="00CB2C86">
        <w:tab/>
        <w:t>В 2006</w:t>
      </w:r>
      <w:r w:rsidR="00B92291">
        <w:t> год</w:t>
      </w:r>
      <w:r w:rsidRPr="00CB2C86">
        <w:t>у для расширения своих клинических услуг Департамент труда открыл вторую клинику профессиональных болезней. В совокупности две клиники профессиональных болезней дают примерно 13 000 клинических ко</w:t>
      </w:r>
      <w:r w:rsidRPr="00CB2C86">
        <w:t>н</w:t>
      </w:r>
      <w:r w:rsidRPr="00CB2C86">
        <w:t>сультаций каждый</w:t>
      </w:r>
      <w:r w:rsidR="00B92291">
        <w:t> год</w:t>
      </w:r>
      <w:r w:rsidRPr="00CB2C86">
        <w:t>. Кроме выше сказанного положение остается таким же, как оно было разъяснено в пунктах 98</w:t>
      </w:r>
      <w:r w:rsidR="006C4ED3">
        <w:t>−</w:t>
      </w:r>
      <w:r w:rsidRPr="00CB2C86">
        <w:t>101 и пунктах 492</w:t>
      </w:r>
      <w:r>
        <w:t>−</w:t>
      </w:r>
      <w:r w:rsidRPr="00CB2C86">
        <w:t>496 первоначал</w:t>
      </w:r>
      <w:r w:rsidRPr="00CB2C86">
        <w:t>ь</w:t>
      </w:r>
      <w:r w:rsidRPr="00CB2C86">
        <w:t>ного доклада.</w:t>
      </w:r>
    </w:p>
    <w:p w:rsidR="00F936A8" w:rsidRPr="00CB2C86" w:rsidRDefault="00F936A8" w:rsidP="00F91733">
      <w:pPr>
        <w:pStyle w:val="HChGR"/>
        <w:tabs>
          <w:tab w:val="left" w:pos="1980"/>
          <w:tab w:val="left" w:pos="2520"/>
        </w:tabs>
      </w:pPr>
      <w:r w:rsidRPr="00CB2C86">
        <w:tab/>
      </w:r>
      <w:r w:rsidRPr="00CB2C86">
        <w:tab/>
        <w:t>Статьи 13 и 14</w:t>
      </w:r>
      <w:r>
        <w:br/>
      </w:r>
      <w:r w:rsidRPr="00CB2C86">
        <w:t>Право на образование</w:t>
      </w:r>
    </w:p>
    <w:p w:rsidR="00F936A8" w:rsidRPr="00CB2C86" w:rsidRDefault="00F936A8" w:rsidP="00F91733">
      <w:pPr>
        <w:pStyle w:val="SingleTxtGR"/>
        <w:tabs>
          <w:tab w:val="clear" w:pos="1701"/>
          <w:tab w:val="clear" w:pos="2268"/>
          <w:tab w:val="left" w:pos="1980"/>
          <w:tab w:val="left" w:pos="2520"/>
        </w:tabs>
      </w:pPr>
      <w:r w:rsidRPr="00CB2C86">
        <w:t>13.1</w:t>
      </w:r>
      <w:r w:rsidRPr="00CB2C86">
        <w:tab/>
        <w:t>С конституционной точки зрения положение остается таким же, как оно описано в пункте 497 первоначального доклада. Образование продолжает фигурировать среди главных приоритетов правительства. Показатели, характ</w:t>
      </w:r>
      <w:r w:rsidRPr="00CB2C86">
        <w:t>е</w:t>
      </w:r>
      <w:r w:rsidRPr="00CB2C86">
        <w:t>ризующие систему образования, приводятся в Приложении 13</w:t>
      </w:r>
      <w:r w:rsidRPr="00CB2C86">
        <w:rPr>
          <w:lang w:val="en-GB"/>
        </w:rPr>
        <w:t>A</w:t>
      </w:r>
      <w:r w:rsidRPr="00CB2C86">
        <w:t xml:space="preserve">. </w:t>
      </w:r>
    </w:p>
    <w:p w:rsidR="00F936A8" w:rsidRPr="00CB2C86" w:rsidRDefault="00F936A8" w:rsidP="00F91733">
      <w:pPr>
        <w:pStyle w:val="SingleTxtGR"/>
        <w:tabs>
          <w:tab w:val="clear" w:pos="1701"/>
          <w:tab w:val="clear" w:pos="2268"/>
          <w:tab w:val="left" w:pos="1980"/>
          <w:tab w:val="left" w:pos="2520"/>
        </w:tabs>
      </w:pPr>
      <w:r w:rsidRPr="00CB2C86">
        <w:t>13.2</w:t>
      </w:r>
      <w:r w:rsidRPr="00CB2C86">
        <w:tab/>
        <w:t>На образование по-прежнему выделяется также наибольшая д</w:t>
      </w:r>
      <w:r w:rsidRPr="00CB2C86">
        <w:t>о</w:t>
      </w:r>
      <w:r w:rsidRPr="00CB2C86">
        <w:t>ля</w:t>
      </w:r>
      <w:r w:rsidR="00B92291">
        <w:t> год</w:t>
      </w:r>
      <w:r w:rsidRPr="00CB2C86">
        <w:t>овых бюджетных средств. На 2009/10</w:t>
      </w:r>
      <w:r w:rsidR="00B92291">
        <w:t> год</w:t>
      </w:r>
      <w:r w:rsidRPr="00CB2C86">
        <w:t xml:space="preserve"> общий объем государственных расходов на образование составил 61,7</w:t>
      </w:r>
      <w:r w:rsidR="004F720A">
        <w:t> </w:t>
      </w:r>
      <w:r w:rsidR="00B63D5C">
        <w:t>млрд. долларов.</w:t>
      </w:r>
      <w:r w:rsidRPr="00CB2C86">
        <w:t xml:space="preserve"> Соответствующие ци</w:t>
      </w:r>
      <w:r w:rsidRPr="00CB2C86">
        <w:t>ф</w:t>
      </w:r>
      <w:r w:rsidRPr="00CB2C86">
        <w:t>ры на 2002/03</w:t>
      </w:r>
      <w:r w:rsidR="00B92291">
        <w:t> год</w:t>
      </w:r>
      <w:r w:rsidRPr="00CB2C86">
        <w:t>, приведенные в предыдущем докладе, составили 61</w:t>
      </w:r>
      <w:r w:rsidR="004F720A">
        <w:t> </w:t>
      </w:r>
      <w:r w:rsidR="00B63D5C">
        <w:t>млрд. долларов.</w:t>
      </w:r>
    </w:p>
    <w:p w:rsidR="00F936A8" w:rsidRPr="00CC65A4" w:rsidRDefault="00F936A8" w:rsidP="00F91733">
      <w:pPr>
        <w:pStyle w:val="H1GR"/>
        <w:tabs>
          <w:tab w:val="left" w:pos="1980"/>
          <w:tab w:val="left" w:pos="2520"/>
        </w:tabs>
      </w:pPr>
      <w:r w:rsidRPr="00CC65A4">
        <w:tab/>
      </w:r>
      <w:r w:rsidRPr="00CC65A4">
        <w:tab/>
        <w:t>Дошкольное образование</w:t>
      </w:r>
    </w:p>
    <w:p w:rsidR="00F936A8" w:rsidRPr="00CB2C86" w:rsidRDefault="00F936A8" w:rsidP="00F91733">
      <w:pPr>
        <w:pStyle w:val="SingleTxtGR"/>
        <w:tabs>
          <w:tab w:val="clear" w:pos="1701"/>
          <w:tab w:val="clear" w:pos="2268"/>
          <w:tab w:val="left" w:pos="1980"/>
          <w:tab w:val="left" w:pos="2520"/>
        </w:tabs>
      </w:pPr>
      <w:r w:rsidRPr="00CB2C86">
        <w:t>13.3</w:t>
      </w:r>
      <w:r w:rsidRPr="00CB2C86">
        <w:tab/>
        <w:t>Мы сохраняем положение, описанное в пункте 507 первоначального доклада, т.е. дошкольное образование не является обязательным и по существу определяется выбором родителей. Сохраняя установившееся разнообразие и жизнеспособность дошкольного образования, предлагаемого на частном рынке, правительство намерено обеспечивать качественное и доступное дошкольное образование для всех детей школьного возраста. В Политическом обращении 2006</w:t>
      </w:r>
      <w:r w:rsidR="00B92291">
        <w:t> год</w:t>
      </w:r>
      <w:r w:rsidRPr="00CB2C86">
        <w:t>а правительство объявило о крупном финансовом обязательстве пр</w:t>
      </w:r>
      <w:r w:rsidRPr="00CB2C86">
        <w:t>о</w:t>
      </w:r>
      <w:r w:rsidRPr="00CB2C86">
        <w:t>должить повышать качество дошкольного образования путем предоставления субсидий родителям на оплату образования. С 2007/08 учебного</w:t>
      </w:r>
      <w:r w:rsidR="00B92291">
        <w:t> год</w:t>
      </w:r>
      <w:r w:rsidRPr="00CB2C86">
        <w:t>а вместо бывшей Программы субсидий на детские сады, упомянутой в пункте 507 пе</w:t>
      </w:r>
      <w:r w:rsidRPr="00CB2C86">
        <w:t>р</w:t>
      </w:r>
      <w:r w:rsidRPr="00CB2C86">
        <w:t>воначального доклада, действует Программа ваучеров дошкольного образов</w:t>
      </w:r>
      <w:r w:rsidRPr="00CB2C86">
        <w:t>а</w:t>
      </w:r>
      <w:r w:rsidRPr="00CB2C86">
        <w:t>ния (ПВДО). ПВДО не требует проверки на нуждаемость и предоставляет ка</w:t>
      </w:r>
      <w:r w:rsidRPr="00CB2C86">
        <w:t>ж</w:t>
      </w:r>
      <w:r w:rsidRPr="00CB2C86">
        <w:t>дому ребенку в возрасте от 2 лет и восьми месяцев до 6 лет, имеющему право на пребывание и проживание, ваучер, который оплачивает обучение в детском саду. По состоянию на 2008/09 учебный</w:t>
      </w:r>
      <w:r w:rsidR="00B92291">
        <w:t> год</w:t>
      </w:r>
      <w:r w:rsidRPr="00CB2C86">
        <w:t xml:space="preserve"> процентная доля детей в возрасте от трех до пяти лет, посещающих детские сады, доходила до 99</w:t>
      </w:r>
      <w:r w:rsidR="006C4ED3">
        <w:t>,</w:t>
      </w:r>
      <w:r w:rsidRPr="00CB2C86">
        <w:t>6%.</w:t>
      </w:r>
    </w:p>
    <w:p w:rsidR="00F936A8" w:rsidRPr="00CB2C86" w:rsidRDefault="00F936A8" w:rsidP="006C4ED3">
      <w:pPr>
        <w:pStyle w:val="SingleTxtGR"/>
        <w:keepLines/>
        <w:tabs>
          <w:tab w:val="clear" w:pos="1701"/>
          <w:tab w:val="clear" w:pos="2268"/>
          <w:tab w:val="left" w:pos="1980"/>
          <w:tab w:val="left" w:pos="2520"/>
        </w:tabs>
      </w:pPr>
      <w:r w:rsidRPr="00CB2C86">
        <w:t>13.4</w:t>
      </w:r>
      <w:r w:rsidRPr="00CB2C86">
        <w:tab/>
        <w:t>По мнению некоторых комментаторов, системы ваучеров, предоста</w:t>
      </w:r>
      <w:r w:rsidRPr="00CB2C86">
        <w:t>в</w:t>
      </w:r>
      <w:r w:rsidRPr="00CB2C86">
        <w:t>ляемых детям на уровне детского сада, недостаточно, чтобы покрыть плату за обучение в школе, а также другие школьные расходы. Малоимущие семьи м</w:t>
      </w:r>
      <w:r w:rsidRPr="00CB2C86">
        <w:t>о</w:t>
      </w:r>
      <w:r w:rsidRPr="00CB2C86">
        <w:t>гут обращаться за дополнительными субсидиями на школьное образование в программу Центра дошкольного образования и ухода за ребенком, которая пр</w:t>
      </w:r>
      <w:r w:rsidRPr="00CB2C86">
        <w:t>е</w:t>
      </w:r>
      <w:r w:rsidRPr="00CB2C86">
        <w:t xml:space="preserve">доставляет дополнительную субсидируемую помощь малоимущим семьям с </w:t>
      </w:r>
      <w:r>
        <w:t>"</w:t>
      </w:r>
      <w:r w:rsidRPr="00CB2C86">
        <w:t>соц</w:t>
      </w:r>
      <w:r w:rsidRPr="00CB2C86">
        <w:t>и</w:t>
      </w:r>
      <w:r w:rsidRPr="00CB2C86">
        <w:t>альными потребностями</w:t>
      </w:r>
      <w:r>
        <w:t>"</w:t>
      </w:r>
      <w:r w:rsidRPr="00CB2C86">
        <w:t>.</w:t>
      </w:r>
    </w:p>
    <w:p w:rsidR="00F936A8" w:rsidRPr="00CB2C86" w:rsidRDefault="00F936A8" w:rsidP="00F91733">
      <w:pPr>
        <w:pStyle w:val="H1GR"/>
        <w:tabs>
          <w:tab w:val="left" w:pos="1980"/>
          <w:tab w:val="left" w:pos="2520"/>
        </w:tabs>
      </w:pPr>
      <w:r w:rsidRPr="00CB2C86">
        <w:tab/>
      </w:r>
      <w:r w:rsidRPr="00CB2C86">
        <w:tab/>
        <w:t>Начальное и среднее образование</w:t>
      </w:r>
    </w:p>
    <w:p w:rsidR="00F936A8" w:rsidRPr="00CB2C86" w:rsidRDefault="00F936A8" w:rsidP="00F91733">
      <w:pPr>
        <w:pStyle w:val="H23GR"/>
        <w:tabs>
          <w:tab w:val="left" w:pos="1980"/>
          <w:tab w:val="left" w:pos="2520"/>
        </w:tabs>
      </w:pPr>
      <w:r w:rsidRPr="00CB2C86">
        <w:tab/>
      </w:r>
      <w:r w:rsidRPr="00CB2C86">
        <w:tab/>
        <w:t>Новая академическая структура старшего среднего образов</w:t>
      </w:r>
      <w:r w:rsidRPr="00CB2C86">
        <w:t>а</w:t>
      </w:r>
      <w:r w:rsidRPr="00CB2C86">
        <w:t>ния</w:t>
      </w:r>
    </w:p>
    <w:p w:rsidR="00F936A8" w:rsidRPr="00CB2C86" w:rsidRDefault="00F936A8" w:rsidP="00F91733">
      <w:pPr>
        <w:pStyle w:val="SingleTxtGR"/>
        <w:tabs>
          <w:tab w:val="clear" w:pos="1701"/>
          <w:tab w:val="clear" w:pos="2268"/>
          <w:tab w:val="left" w:pos="1980"/>
          <w:tab w:val="left" w:pos="2520"/>
        </w:tabs>
      </w:pPr>
      <w:r w:rsidRPr="00CB2C86">
        <w:t>13.5</w:t>
      </w:r>
      <w:r w:rsidRPr="00CB2C86">
        <w:tab/>
        <w:t>Поскольку Гонконг превращается в экономику знаний, в сентябре 2009</w:t>
      </w:r>
      <w:r w:rsidR="00B92291">
        <w:t> год</w:t>
      </w:r>
      <w:r w:rsidRPr="00CB2C86">
        <w:t>а была принята новая академическая структура старшего среднего и высшего образования (трехлетнее обучение в старшей средней школе для пол</w:t>
      </w:r>
      <w:r w:rsidRPr="00CB2C86">
        <w:t>у</w:t>
      </w:r>
      <w:r w:rsidRPr="00CB2C86">
        <w:t>чения обычного диплома бакалавра было увеличено с трех до четырех лет) н</w:t>
      </w:r>
      <w:r w:rsidRPr="00CB2C86">
        <w:t>а</w:t>
      </w:r>
      <w:r w:rsidRPr="00CB2C86">
        <w:t>чиная с 4 ступени средней школы. В соответствии с новой академической структурой старшей средней школы (НСШ) все выпускники третьей ступени могут прямо продолжать образование в старшей средней школе. В 2012</w:t>
      </w:r>
      <w:r w:rsidR="00B92291">
        <w:t> год</w:t>
      </w:r>
      <w:r w:rsidRPr="00CB2C86">
        <w:t>у вступит в действие новая система сдачи государственных экзаменов, а именно экзамен на получение Гонконгского диплом о среднем образовании (ГДСО), к</w:t>
      </w:r>
      <w:r w:rsidRPr="00CB2C86">
        <w:t>о</w:t>
      </w:r>
      <w:r w:rsidRPr="00CB2C86">
        <w:t>торая заменит сдачу двух нынешних государственных экзаменов соответстве</w:t>
      </w:r>
      <w:r w:rsidRPr="00CB2C86">
        <w:t>н</w:t>
      </w:r>
      <w:r w:rsidRPr="00CB2C86">
        <w:t>но в конце 5 и 7 ступеней средней школы.</w:t>
      </w:r>
    </w:p>
    <w:p w:rsidR="00F936A8" w:rsidRPr="00CB2C86" w:rsidRDefault="00F936A8" w:rsidP="00F91733">
      <w:pPr>
        <w:pStyle w:val="SingleTxtGR"/>
        <w:tabs>
          <w:tab w:val="clear" w:pos="1701"/>
          <w:tab w:val="clear" w:pos="2268"/>
          <w:tab w:val="left" w:pos="1980"/>
          <w:tab w:val="left" w:pos="2520"/>
        </w:tabs>
      </w:pPr>
      <w:r w:rsidRPr="00CB2C86">
        <w:t>13.6</w:t>
      </w:r>
      <w:r w:rsidRPr="00CB2C86">
        <w:tab/>
        <w:t xml:space="preserve">Целями НСШ, которая также известна как академическая структура </w:t>
      </w:r>
      <w:r>
        <w:t>"</w:t>
      </w:r>
      <w:r w:rsidRPr="00CB2C86">
        <w:t>334</w:t>
      </w:r>
      <w:r>
        <w:t>"</w:t>
      </w:r>
      <w:r w:rsidR="008B286C">
        <w:t>,</w:t>
      </w:r>
      <w:r w:rsidRPr="00CB2C86">
        <w:t xml:space="preserve"> являются: </w:t>
      </w:r>
      <w:proofErr w:type="spellStart"/>
      <w:r>
        <w:t>a</w:t>
      </w:r>
      <w:proofErr w:type="spellEnd"/>
      <w:r>
        <w:t>)</w:t>
      </w:r>
      <w:r w:rsidRPr="00CB2C86">
        <w:t xml:space="preserve"> создание динамичной и гибкой системы образования, кот</w:t>
      </w:r>
      <w:r w:rsidRPr="00CB2C86">
        <w:t>о</w:t>
      </w:r>
      <w:r w:rsidRPr="00CB2C86">
        <w:t>рая расширит базу знаний каждого учащегося, обеспечит благоприятные усл</w:t>
      </w:r>
      <w:r w:rsidRPr="00CB2C86">
        <w:t>о</w:t>
      </w:r>
      <w:r w:rsidRPr="00CB2C86">
        <w:t xml:space="preserve">вия для всестороннего развития каждого учащегося и сформирует интерес к непрерывному образованию в различных сложных условиях; и </w:t>
      </w:r>
      <w:proofErr w:type="spellStart"/>
      <w:r>
        <w:t>b</w:t>
      </w:r>
      <w:proofErr w:type="spellEnd"/>
      <w:r>
        <w:t>)</w:t>
      </w:r>
      <w:r w:rsidRPr="00CB2C86">
        <w:t xml:space="preserve"> откроет мн</w:t>
      </w:r>
      <w:r w:rsidRPr="00CB2C86">
        <w:t>о</w:t>
      </w:r>
      <w:r w:rsidRPr="00CB2C86">
        <w:t>гочисленные пути для дальнейшей учебы и повышения профессиональной кв</w:t>
      </w:r>
      <w:r w:rsidRPr="00CB2C86">
        <w:t>а</w:t>
      </w:r>
      <w:r w:rsidRPr="00CB2C86">
        <w:t xml:space="preserve">лификации, которые хорошо вписываются в систему высшего образования и потребности в рабочей силе </w:t>
      </w:r>
      <w:r w:rsidRPr="00CB2C86">
        <w:rPr>
          <w:lang w:val="en-US"/>
        </w:rPr>
        <w:t>XXI</w:t>
      </w:r>
      <w:r w:rsidRPr="00CB2C86">
        <w:t xml:space="preserve"> столетия. В рамках НСШ все учащиеся пол</w:t>
      </w:r>
      <w:r w:rsidRPr="00CB2C86">
        <w:t>у</w:t>
      </w:r>
      <w:r w:rsidRPr="00CB2C86">
        <w:t>чат во</w:t>
      </w:r>
      <w:r w:rsidRPr="00CB2C86">
        <w:t>з</w:t>
      </w:r>
      <w:r w:rsidRPr="00CB2C86">
        <w:t>можность получить трехлетнее бесплатное старшее среднее образование (т.е.</w:t>
      </w:r>
      <w:r>
        <w:t> </w:t>
      </w:r>
      <w:r w:rsidRPr="00CB2C86">
        <w:t>с</w:t>
      </w:r>
      <w:r>
        <w:t> </w:t>
      </w:r>
      <w:r w:rsidRPr="00CB2C86">
        <w:t>4 по 6 ступень средней школы), о чем говорилось выше. Для удовлетв</w:t>
      </w:r>
      <w:r w:rsidRPr="00CB2C86">
        <w:t>о</w:t>
      </w:r>
      <w:r w:rsidRPr="00CB2C86">
        <w:t>рения широкого спектра интересов, потребностей и способностей учащихся была разработана широкая, сбалансированная и разнообразная учебная пр</w:t>
      </w:r>
      <w:r w:rsidRPr="00CB2C86">
        <w:t>о</w:t>
      </w:r>
      <w:r w:rsidRPr="00CB2C86">
        <w:t>грамма.</w:t>
      </w:r>
    </w:p>
    <w:p w:rsidR="00F936A8" w:rsidRPr="00AA5F3B" w:rsidRDefault="00F936A8" w:rsidP="00F91733">
      <w:pPr>
        <w:pStyle w:val="H23GR"/>
        <w:tabs>
          <w:tab w:val="left" w:pos="1980"/>
          <w:tab w:val="left" w:pos="2520"/>
        </w:tabs>
      </w:pPr>
      <w:r w:rsidRPr="00AA5F3B">
        <w:tab/>
      </w:r>
      <w:r w:rsidRPr="00AA5F3B">
        <w:tab/>
        <w:t>Двенадцатилетнее бесплатное образование</w:t>
      </w:r>
    </w:p>
    <w:p w:rsidR="00F936A8" w:rsidRPr="00CB2C86" w:rsidRDefault="00F936A8" w:rsidP="00F91733">
      <w:pPr>
        <w:pStyle w:val="SingleTxtGR"/>
        <w:tabs>
          <w:tab w:val="clear" w:pos="1701"/>
          <w:tab w:val="clear" w:pos="2268"/>
          <w:tab w:val="left" w:pos="1980"/>
          <w:tab w:val="left" w:pos="2520"/>
        </w:tabs>
      </w:pPr>
      <w:r w:rsidRPr="00CB2C86">
        <w:t>13.7</w:t>
      </w:r>
      <w:r w:rsidRPr="00CB2C86">
        <w:tab/>
        <w:t>С 1978</w:t>
      </w:r>
      <w:r w:rsidR="00B92291">
        <w:t> год</w:t>
      </w:r>
      <w:r w:rsidRPr="00CB2C86">
        <w:t>а правительство обеспечивает девятилетнее бесплатное и всеобщее базовое образование (шесть лет начального образования и три</w:t>
      </w:r>
      <w:r w:rsidR="00B92291">
        <w:t> год</w:t>
      </w:r>
      <w:r w:rsidRPr="00CB2C86">
        <w:t>а младшего среднего образования) через сеть начальных и средних школ госуда</w:t>
      </w:r>
      <w:r w:rsidRPr="00CB2C86">
        <w:t>р</w:t>
      </w:r>
      <w:r w:rsidRPr="00CB2C86">
        <w:t>ственного сектора. Чтобы продемонстрировать приверженность правительства делу воспитания и образования нашего следующего поколения и лучше подг</w:t>
      </w:r>
      <w:r w:rsidRPr="00CB2C86">
        <w:t>о</w:t>
      </w:r>
      <w:r w:rsidRPr="00CB2C86">
        <w:t>товить учащихся к все более разнообразным и сложным общественным услов</w:t>
      </w:r>
      <w:r w:rsidRPr="00CB2C86">
        <w:t>и</w:t>
      </w:r>
      <w:r w:rsidRPr="00CB2C86">
        <w:t>ям в Гонконге, с 2008/09 учебного</w:t>
      </w:r>
      <w:r w:rsidR="00B92291">
        <w:t> год</w:t>
      </w:r>
      <w:r w:rsidRPr="00CB2C86">
        <w:t>а бесплатное обучение было распростр</w:t>
      </w:r>
      <w:r w:rsidRPr="00CB2C86">
        <w:t>а</w:t>
      </w:r>
      <w:r w:rsidRPr="00CB2C86">
        <w:t>нено на старшее среднее образование в государственных средних школах. Уч</w:t>
      </w:r>
      <w:r w:rsidRPr="00CB2C86">
        <w:t>а</w:t>
      </w:r>
      <w:r w:rsidRPr="00CB2C86">
        <w:t>щимся системы старшего среднего образования, обучающимся в школах гос</w:t>
      </w:r>
      <w:r w:rsidRPr="00CB2C86">
        <w:t>у</w:t>
      </w:r>
      <w:r w:rsidRPr="00CB2C86">
        <w:t xml:space="preserve">дарственного сектора, не нужно платить за свое обучение, которое полностью субсидируется государством, а поэтому пункт 13.13 предыдущего доклада </w:t>
      </w:r>
      <w:r>
        <w:t>"</w:t>
      </w:r>
      <w:r w:rsidRPr="00CB2C86">
        <w:t>размер субсидий на уровне старшего среднего образовании</w:t>
      </w:r>
      <w:r>
        <w:t>"</w:t>
      </w:r>
      <w:r w:rsidRPr="00CB2C86">
        <w:t xml:space="preserve"> больше не прим</w:t>
      </w:r>
      <w:r w:rsidRPr="00CB2C86">
        <w:t>е</w:t>
      </w:r>
      <w:r w:rsidRPr="00CB2C86">
        <w:t xml:space="preserve">ним. </w:t>
      </w:r>
    </w:p>
    <w:p w:rsidR="00F936A8" w:rsidRPr="00CB2C86" w:rsidRDefault="00F936A8" w:rsidP="00F91733">
      <w:pPr>
        <w:pStyle w:val="SingleTxtGR"/>
        <w:tabs>
          <w:tab w:val="clear" w:pos="1701"/>
          <w:tab w:val="clear" w:pos="2268"/>
          <w:tab w:val="left" w:pos="1980"/>
          <w:tab w:val="left" w:pos="2520"/>
        </w:tabs>
      </w:pPr>
      <w:r w:rsidRPr="00CB2C86">
        <w:t>13.8</w:t>
      </w:r>
      <w:r w:rsidRPr="00CB2C86">
        <w:tab/>
        <w:t xml:space="preserve">Академическая структура НСШ и увеличение периода бесплатного обучения с </w:t>
      </w:r>
      <w:r w:rsidR="008B286C">
        <w:t>9</w:t>
      </w:r>
      <w:r w:rsidRPr="00CB2C86">
        <w:t xml:space="preserve"> до </w:t>
      </w:r>
      <w:r w:rsidR="008B286C">
        <w:t xml:space="preserve">12 </w:t>
      </w:r>
      <w:r w:rsidRPr="00CB2C86">
        <w:t>лет облегчили доступ к образованию в Гонко</w:t>
      </w:r>
      <w:r w:rsidRPr="00CB2C86">
        <w:t>н</w:t>
      </w:r>
      <w:r w:rsidRPr="00CB2C86">
        <w:t>ге.</w:t>
      </w:r>
    </w:p>
    <w:p w:rsidR="00F936A8" w:rsidRPr="00AA5F3B" w:rsidRDefault="00F936A8" w:rsidP="00F91733">
      <w:pPr>
        <w:pStyle w:val="H23GR"/>
        <w:tabs>
          <w:tab w:val="left" w:pos="1980"/>
          <w:tab w:val="left" w:pos="2520"/>
        </w:tabs>
      </w:pPr>
      <w:r w:rsidRPr="00AA5F3B">
        <w:tab/>
      </w:r>
      <w:r w:rsidRPr="00AA5F3B">
        <w:tab/>
        <w:t xml:space="preserve">Незакрепленные классы </w:t>
      </w:r>
    </w:p>
    <w:p w:rsidR="00F936A8" w:rsidRPr="00CB2C86" w:rsidRDefault="00F936A8" w:rsidP="00F91733">
      <w:pPr>
        <w:pStyle w:val="SingleTxtGR"/>
        <w:tabs>
          <w:tab w:val="clear" w:pos="1701"/>
          <w:tab w:val="clear" w:pos="2268"/>
          <w:tab w:val="left" w:pos="1980"/>
          <w:tab w:val="left" w:pos="2520"/>
        </w:tabs>
      </w:pPr>
      <w:r w:rsidRPr="00CB2C86">
        <w:t>13.9</w:t>
      </w:r>
      <w:r w:rsidRPr="00CB2C86">
        <w:tab/>
        <w:t>В пункте 13.10 предыдущего доклада отмечалось, что мы постарались избавиться от системы незакрепленных классов и осуществили реконструкцию школ, чтобы увеличить площадь учебных помещений. В настоящее время в г</w:t>
      </w:r>
      <w:r w:rsidRPr="00CB2C86">
        <w:t>о</w:t>
      </w:r>
      <w:r w:rsidRPr="00CB2C86">
        <w:t xml:space="preserve">сударственных средних школах с </w:t>
      </w:r>
      <w:r w:rsidR="008B286C">
        <w:t xml:space="preserve">1 </w:t>
      </w:r>
      <w:r w:rsidRPr="00CB2C86">
        <w:t xml:space="preserve">по </w:t>
      </w:r>
      <w:r w:rsidR="008B286C">
        <w:t xml:space="preserve">5 </w:t>
      </w:r>
      <w:r w:rsidRPr="00CB2C86">
        <w:t>ступень не осталось незакрепленных классов. Благодаря академической структуре НСШ процесс обучения и преп</w:t>
      </w:r>
      <w:r w:rsidRPr="00CB2C86">
        <w:t>о</w:t>
      </w:r>
      <w:r w:rsidRPr="00CB2C86">
        <w:t>давания больше не ограничивается традиционными классными комнатами. В</w:t>
      </w:r>
      <w:r w:rsidR="008B286C">
        <w:t> </w:t>
      </w:r>
      <w:r w:rsidRPr="00CB2C86">
        <w:t>соответствии с НСШ школы также могут использовать гибкость имеющегося финансирования для формирования различных групп учащихся по различным направлениям специализации, максимально используя школьные помещ</w:t>
      </w:r>
      <w:r w:rsidRPr="00CB2C86">
        <w:t>е</w:t>
      </w:r>
      <w:r w:rsidRPr="00CB2C86">
        <w:t>ния (в</w:t>
      </w:r>
      <w:r w:rsidR="008B286C">
        <w:t> </w:t>
      </w:r>
      <w:r w:rsidRPr="00CB2C86">
        <w:t>том числе лаборатории и специальные классы), чтобы добиться максимал</w:t>
      </w:r>
      <w:r w:rsidRPr="00CB2C86">
        <w:t>ь</w:t>
      </w:r>
      <w:r w:rsidRPr="00CB2C86">
        <w:t>ного учебного результата. Мы продолжим консультировать школы в отношении стратегического использования учебных площадей в целях их оптимального использования.</w:t>
      </w:r>
    </w:p>
    <w:p w:rsidR="00F936A8" w:rsidRPr="00AA5F3B" w:rsidRDefault="00F936A8" w:rsidP="00F91733">
      <w:pPr>
        <w:pStyle w:val="H23GR"/>
        <w:tabs>
          <w:tab w:val="left" w:pos="1980"/>
          <w:tab w:val="left" w:pos="2520"/>
        </w:tabs>
      </w:pPr>
      <w:r w:rsidRPr="00AA5F3B">
        <w:tab/>
      </w:r>
      <w:r w:rsidRPr="00AA5F3B">
        <w:tab/>
        <w:t xml:space="preserve">Размер классов </w:t>
      </w:r>
    </w:p>
    <w:p w:rsidR="00F936A8" w:rsidRPr="00CB2C86" w:rsidRDefault="00F936A8" w:rsidP="00F91733">
      <w:pPr>
        <w:pStyle w:val="SingleTxtGR"/>
        <w:tabs>
          <w:tab w:val="clear" w:pos="1701"/>
          <w:tab w:val="clear" w:pos="2268"/>
          <w:tab w:val="left" w:pos="1980"/>
          <w:tab w:val="left" w:pos="2520"/>
        </w:tabs>
      </w:pPr>
      <w:r w:rsidRPr="00CB2C86">
        <w:t>13.10</w:t>
      </w:r>
      <w:r w:rsidRPr="00CB2C86">
        <w:tab/>
        <w:t xml:space="preserve">В дополнение к изложенному в пункте 13.11 предыдущего доклада правительство там, где позволяют условия, в 2009/10 </w:t>
      </w:r>
      <w:r w:rsidR="00A35E26">
        <w:t>учебном году</w:t>
      </w:r>
      <w:r w:rsidRPr="00CB2C86">
        <w:t xml:space="preserve"> стало п</w:t>
      </w:r>
      <w:r w:rsidRPr="00CB2C86">
        <w:t>о</w:t>
      </w:r>
      <w:r w:rsidRPr="00CB2C86">
        <w:t>степенно реализовывать в государственных начальных школах, начиная с н</w:t>
      </w:r>
      <w:r w:rsidRPr="00CB2C86">
        <w:t>а</w:t>
      </w:r>
      <w:r w:rsidRPr="00CB2C86">
        <w:t>чальной ступени 1, обучение малыми классами и последовательно распростр</w:t>
      </w:r>
      <w:r w:rsidRPr="00CB2C86">
        <w:t>а</w:t>
      </w:r>
      <w:r w:rsidRPr="00CB2C86">
        <w:t>нять на ежегодной основе этот принцип на более высокую ступень вплоть до начальной ступени 6. Цель состоит в том, чтобы улучшить качество преподав</w:t>
      </w:r>
      <w:r w:rsidRPr="00CB2C86">
        <w:t>а</w:t>
      </w:r>
      <w:r w:rsidRPr="00CB2C86">
        <w:t>ния и обучения в небольшом классе. Школы, применяющие методику обучения в малых классах, в соответствии с системой приема на начальную ступень</w:t>
      </w:r>
      <w:r>
        <w:t> </w:t>
      </w:r>
      <w:r w:rsidRPr="00CB2C86">
        <w:t>1 формируют классы в расчете 25 учащихся на класс, а остальные школы форм</w:t>
      </w:r>
      <w:r w:rsidRPr="00CB2C86">
        <w:t>и</w:t>
      </w:r>
      <w:r w:rsidRPr="00CB2C86">
        <w:t xml:space="preserve">руют классы численностью 30 учеников в классе. В 2009/10 </w:t>
      </w:r>
      <w:r w:rsidR="00A35E26">
        <w:t>учебном году</w:t>
      </w:r>
      <w:r w:rsidRPr="00CB2C86">
        <w:t xml:space="preserve"> пр</w:t>
      </w:r>
      <w:r w:rsidRPr="00CB2C86">
        <w:t>и</w:t>
      </w:r>
      <w:r w:rsidRPr="00CB2C86">
        <w:t xml:space="preserve">мерно 65% государственных начальных школ применяли методику обучения малыми классами. В 2010/11 </w:t>
      </w:r>
      <w:r w:rsidR="00A35E26">
        <w:t>учебном году</w:t>
      </w:r>
      <w:r w:rsidRPr="00CB2C86">
        <w:t xml:space="preserve"> процентная доля школ, применя</w:t>
      </w:r>
      <w:r w:rsidRPr="00CB2C86">
        <w:t>ю</w:t>
      </w:r>
      <w:r w:rsidRPr="00CB2C86">
        <w:t>щих методику обучения малыми классами, увеличится до 69%. Учитывая р</w:t>
      </w:r>
      <w:r w:rsidRPr="00CB2C86">
        <w:t>е</w:t>
      </w:r>
      <w:r w:rsidRPr="00CB2C86">
        <w:t>зультаты исследования по методике обучения малыми классами, правительство подготовило программы повышения профессиональной квалификации учит</w:t>
      </w:r>
      <w:r w:rsidRPr="00CB2C86">
        <w:t>е</w:t>
      </w:r>
      <w:r w:rsidRPr="00CB2C86">
        <w:t>лей, чтобы помочь им осуществлять на практике обучение малыми классами в государственных начальных школах.</w:t>
      </w:r>
    </w:p>
    <w:p w:rsidR="00F936A8" w:rsidRPr="00AA5F3B" w:rsidRDefault="00F936A8" w:rsidP="00F91733">
      <w:pPr>
        <w:pStyle w:val="H23GR"/>
        <w:tabs>
          <w:tab w:val="left" w:pos="1980"/>
          <w:tab w:val="left" w:pos="2520"/>
        </w:tabs>
      </w:pPr>
      <w:r w:rsidRPr="00AA5F3B">
        <w:tab/>
      </w:r>
      <w:r w:rsidRPr="00AA5F3B">
        <w:tab/>
        <w:t>Школьное обучение в начальных классах в одну смену</w:t>
      </w:r>
    </w:p>
    <w:p w:rsidR="00F936A8" w:rsidRPr="00CB2C86" w:rsidRDefault="00F936A8" w:rsidP="00F91733">
      <w:pPr>
        <w:pStyle w:val="SingleTxtGR"/>
        <w:tabs>
          <w:tab w:val="clear" w:pos="1701"/>
          <w:tab w:val="clear" w:pos="2268"/>
          <w:tab w:val="left" w:pos="1980"/>
          <w:tab w:val="left" w:pos="2520"/>
        </w:tabs>
      </w:pPr>
      <w:r w:rsidRPr="00CB2C86">
        <w:t>13.11</w:t>
      </w:r>
      <w:r w:rsidRPr="00CB2C86">
        <w:tab/>
        <w:t>В пункте 13.12 предыдущего доклада мы заявили, что намереваемся к 2007/08 учебному</w:t>
      </w:r>
      <w:r w:rsidR="00B92291">
        <w:t> год</w:t>
      </w:r>
      <w:r w:rsidRPr="00CB2C86">
        <w:t xml:space="preserve">у добиться, чтобы почти все учащиеся начальных классов могли учиться в одну смену. Мы добились этой цели и обеспечили достаточное количество школьных мест на полный день. </w:t>
      </w:r>
    </w:p>
    <w:p w:rsidR="00F936A8" w:rsidRPr="00AA5F3B" w:rsidRDefault="00F936A8" w:rsidP="00F91733">
      <w:pPr>
        <w:pStyle w:val="H23GR"/>
        <w:tabs>
          <w:tab w:val="left" w:pos="1980"/>
          <w:tab w:val="left" w:pos="2520"/>
        </w:tabs>
      </w:pPr>
      <w:r w:rsidRPr="00AA5F3B">
        <w:tab/>
      </w:r>
      <w:r w:rsidRPr="00AA5F3B">
        <w:tab/>
        <w:t xml:space="preserve">Связь обучения с жизнью </w:t>
      </w:r>
    </w:p>
    <w:p w:rsidR="00F936A8" w:rsidRPr="00CB2C86" w:rsidRDefault="00F936A8" w:rsidP="00F91733">
      <w:pPr>
        <w:pStyle w:val="SingleTxtGR"/>
        <w:tabs>
          <w:tab w:val="clear" w:pos="1701"/>
          <w:tab w:val="clear" w:pos="2268"/>
          <w:tab w:val="left" w:pos="1980"/>
          <w:tab w:val="left" w:pos="2520"/>
        </w:tabs>
      </w:pPr>
      <w:r w:rsidRPr="00CB2C86">
        <w:t>13.12</w:t>
      </w:r>
      <w:r w:rsidRPr="00CB2C86">
        <w:tab/>
        <w:t>Некоторые комментаторы предложили учитывать в школьных пр</w:t>
      </w:r>
      <w:r w:rsidRPr="00CB2C86">
        <w:t>о</w:t>
      </w:r>
      <w:r w:rsidRPr="00CB2C86">
        <w:t xml:space="preserve">граммах большое значение </w:t>
      </w:r>
      <w:r>
        <w:t>"</w:t>
      </w:r>
      <w:r w:rsidRPr="00CB2C86">
        <w:t>игры</w:t>
      </w:r>
      <w:r>
        <w:t>"</w:t>
      </w:r>
      <w:r w:rsidRPr="00CB2C86">
        <w:t>. С 2002</w:t>
      </w:r>
      <w:r w:rsidR="00B92291">
        <w:t> год</w:t>
      </w:r>
      <w:r w:rsidRPr="00CB2C86">
        <w:t>а в реформе учебной программы п</w:t>
      </w:r>
      <w:r w:rsidRPr="00CB2C86">
        <w:t>о</w:t>
      </w:r>
      <w:r w:rsidRPr="00CB2C86">
        <w:t>ощряется связь обучения с жизнью, чтобы учащиеся могли получать знания в условиях окружающей действительности и в реальной обстановке. Такое эк</w:t>
      </w:r>
      <w:r w:rsidRPr="00CB2C86">
        <w:t>с</w:t>
      </w:r>
      <w:r w:rsidRPr="00CB2C86">
        <w:t>периментальное обучение позволяет учащимся не только достичь определе</w:t>
      </w:r>
      <w:r w:rsidRPr="00CB2C86">
        <w:t>н</w:t>
      </w:r>
      <w:r w:rsidRPr="00CB2C86">
        <w:t>ных образовательных целей, которых нелегко достичь исключительно обучен</w:t>
      </w:r>
      <w:r w:rsidRPr="00CB2C86">
        <w:t>и</w:t>
      </w:r>
      <w:r w:rsidRPr="00CB2C86">
        <w:t>ем в классе, но обогащает и расширяет обучение в классе с целью целостного развития личности и формирования интереса к непрерывному обучению, кот</w:t>
      </w:r>
      <w:r w:rsidRPr="00CB2C86">
        <w:t>о</w:t>
      </w:r>
      <w:r w:rsidRPr="00CB2C86">
        <w:t>рые необходимы в нашем постоянно изменяющемся обществе.</w:t>
      </w:r>
    </w:p>
    <w:p w:rsidR="00F936A8" w:rsidRPr="00AA5F3B" w:rsidRDefault="00F936A8" w:rsidP="00F91733">
      <w:pPr>
        <w:pStyle w:val="H1GR"/>
        <w:tabs>
          <w:tab w:val="left" w:pos="1980"/>
          <w:tab w:val="left" w:pos="2520"/>
        </w:tabs>
      </w:pPr>
      <w:r w:rsidRPr="00AA5F3B">
        <w:tab/>
      </w:r>
      <w:r w:rsidRPr="00AA5F3B">
        <w:tab/>
        <w:t>Языковая политика − двуязычное образование и знание трех языков</w:t>
      </w:r>
    </w:p>
    <w:p w:rsidR="00F936A8" w:rsidRPr="00CB2C86" w:rsidRDefault="00F936A8" w:rsidP="00F91733">
      <w:pPr>
        <w:pStyle w:val="SingleTxtGR"/>
        <w:tabs>
          <w:tab w:val="clear" w:pos="1701"/>
          <w:tab w:val="clear" w:pos="2268"/>
          <w:tab w:val="left" w:pos="1980"/>
          <w:tab w:val="left" w:pos="2520"/>
        </w:tabs>
      </w:pPr>
      <w:r w:rsidRPr="00CB2C86">
        <w:t>13.13</w:t>
      </w:r>
      <w:r w:rsidRPr="00CB2C86">
        <w:tab/>
        <w:t xml:space="preserve">Как уже упоминалось в пункте 517 первоначального доклада, наша языковая политика состоит в том, что учащиеся должны владеть как китайским, так и английским языками и бегло говорить на кантонском диалекте китайского языка, </w:t>
      </w:r>
      <w:proofErr w:type="spellStart"/>
      <w:r w:rsidRPr="00CB2C86">
        <w:t>путонгуа</w:t>
      </w:r>
      <w:proofErr w:type="spellEnd"/>
      <w:r w:rsidRPr="00CB2C86">
        <w:t xml:space="preserve"> и английском языке. Двуязычное образование и знание трех языков по-прежнему крайне важны для Гонконга. </w:t>
      </w:r>
    </w:p>
    <w:p w:rsidR="00F936A8" w:rsidRPr="00CB2C86" w:rsidRDefault="00F936A8" w:rsidP="00F91733">
      <w:pPr>
        <w:pStyle w:val="SingleTxtGR"/>
        <w:tabs>
          <w:tab w:val="clear" w:pos="1701"/>
          <w:tab w:val="clear" w:pos="2268"/>
          <w:tab w:val="left" w:pos="1980"/>
          <w:tab w:val="left" w:pos="2520"/>
        </w:tabs>
      </w:pPr>
      <w:r w:rsidRPr="00CB2C86">
        <w:t>13.14</w:t>
      </w:r>
      <w:r w:rsidRPr="00CB2C86">
        <w:tab/>
        <w:t>В дополнение к мерам, перечисленным в пункте 518 первоначального доклада, для достижения этой цели принимаются следующие другие меры:</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a</w:t>
      </w:r>
      <w:proofErr w:type="spellEnd"/>
      <w:r>
        <w:t>)</w:t>
      </w:r>
      <w:r w:rsidRPr="00CB2C86">
        <w:tab/>
        <w:t xml:space="preserve">реализация пересмотренных учебных программ китайского и английского языков как в классах начальной, так и средней школы, в которых один из основных акцентов делается на лозунге </w:t>
      </w:r>
      <w:r>
        <w:t>"</w:t>
      </w:r>
      <w:r w:rsidRPr="00CB2C86">
        <w:t>Читай, чтобы учиться</w:t>
      </w:r>
      <w:r>
        <w:t>"</w:t>
      </w:r>
      <w:r w:rsidRPr="00CB2C86">
        <w:t xml:space="preserve">; </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b</w:t>
      </w:r>
      <w:proofErr w:type="spellEnd"/>
      <w:r>
        <w:t>)</w:t>
      </w:r>
      <w:r w:rsidRPr="00CB2C86">
        <w:tab/>
        <w:t>оказание вспомогательной школьной лингвистической помощи, чтобы помочь начальным и средним школам выполнять учебные программы по китайскому и английскому языкам с упором на повышение квалификации уч</w:t>
      </w:r>
      <w:r w:rsidRPr="00CB2C86">
        <w:t>и</w:t>
      </w:r>
      <w:r w:rsidRPr="00CB2C86">
        <w:t xml:space="preserve">телей и результативности усвоения материала учащимися; </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c</w:t>
      </w:r>
      <w:proofErr w:type="spellEnd"/>
      <w:r>
        <w:t>)</w:t>
      </w:r>
      <w:r w:rsidRPr="00CB2C86">
        <w:tab/>
        <w:t xml:space="preserve">включение </w:t>
      </w:r>
      <w:proofErr w:type="spellStart"/>
      <w:r w:rsidRPr="00CB2C86">
        <w:t>путонгуа</w:t>
      </w:r>
      <w:proofErr w:type="spellEnd"/>
      <w:r w:rsidRPr="00CB2C86">
        <w:t xml:space="preserve"> в основные предметы учебных программ младшей средней школы в дополнение к школьной программе начальной шк</w:t>
      </w:r>
      <w:r w:rsidRPr="00CB2C86">
        <w:t>о</w:t>
      </w:r>
      <w:r w:rsidRPr="00CB2C86">
        <w:t xml:space="preserve">лы; </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d</w:t>
      </w:r>
      <w:proofErr w:type="spellEnd"/>
      <w:r>
        <w:t>)</w:t>
      </w:r>
      <w:r w:rsidRPr="00CB2C86">
        <w:tab/>
        <w:t>внедрение Территориальной системы оценки (ТСА) уровня зн</w:t>
      </w:r>
      <w:r w:rsidRPr="00CB2C86">
        <w:t>а</w:t>
      </w:r>
      <w:r w:rsidRPr="00CB2C86">
        <w:t>ний учащихся по трем основным предметам (включая китайский и английский языки) на трех основных школьных ступенях (начальная 3, начальная 6 и сре</w:t>
      </w:r>
      <w:r w:rsidRPr="00CB2C86">
        <w:t>д</w:t>
      </w:r>
      <w:r w:rsidRPr="00CB2C86">
        <w:t>няя 3), чтобы у школ появилась прочная  справочная основа для определения приоритетов в деле повышения уровня усвоения и преподавания и отслежив</w:t>
      </w:r>
      <w:r w:rsidRPr="00CB2C86">
        <w:t>а</w:t>
      </w:r>
      <w:r w:rsidRPr="00CB2C86">
        <w:t xml:space="preserve">ния прогресса в процессе обучения и соблюдения стандартов; </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e</w:t>
      </w:r>
      <w:proofErr w:type="spellEnd"/>
      <w:r>
        <w:t>)</w:t>
      </w:r>
      <w:r w:rsidRPr="00CB2C86">
        <w:tab/>
        <w:t>внедрение нормативно-справочных сообщений о системе пол</w:t>
      </w:r>
      <w:r w:rsidRPr="00CB2C86">
        <w:t>у</w:t>
      </w:r>
      <w:r w:rsidRPr="00CB2C86">
        <w:t>чения Гонконгского свидетельства об образовании (ГСО) и будущего ГССО в 2012</w:t>
      </w:r>
      <w:r w:rsidR="00B92291">
        <w:t> год</w:t>
      </w:r>
      <w:r w:rsidRPr="00CB2C86">
        <w:t>у, чтобы можно было начать работу над преподавательскими методик</w:t>
      </w:r>
      <w:r w:rsidRPr="00CB2C86">
        <w:t>а</w:t>
      </w:r>
      <w:r w:rsidRPr="00CB2C86">
        <w:t xml:space="preserve">ми и образовательными ориентирами для достижения необходимых уровней или стандартов; </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f</w:t>
      </w:r>
      <w:proofErr w:type="spellEnd"/>
      <w:r>
        <w:t>)</w:t>
      </w:r>
      <w:r w:rsidRPr="00CB2C86">
        <w:tab/>
        <w:t>предоставление грантов школам на обучение чтению, чтобы ра</w:t>
      </w:r>
      <w:r w:rsidRPr="00CB2C86">
        <w:t>з</w:t>
      </w:r>
      <w:r w:rsidRPr="00CB2C86">
        <w:t>вивать навыки чтения на обоих языках как на начальном, так и среднем уро</w:t>
      </w:r>
      <w:r w:rsidRPr="00CB2C86">
        <w:t>в</w:t>
      </w:r>
      <w:r w:rsidRPr="00CB2C86">
        <w:t xml:space="preserve">нях; </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g</w:t>
      </w:r>
      <w:proofErr w:type="spellEnd"/>
      <w:r>
        <w:t>)</w:t>
      </w:r>
      <w:r w:rsidRPr="00CB2C86">
        <w:tab/>
        <w:t>кроме постоянного обогащения и обновления ресурсов лингви</w:t>
      </w:r>
      <w:r w:rsidRPr="00CB2C86">
        <w:t>с</w:t>
      </w:r>
      <w:r w:rsidRPr="00CB2C86">
        <w:t>тического образования и преподавания в Главном центре ресурсов Центр о</w:t>
      </w:r>
      <w:r w:rsidRPr="00CB2C86">
        <w:t>б</w:t>
      </w:r>
      <w:r w:rsidRPr="00CB2C86">
        <w:t xml:space="preserve">новляет и ведет списки двуязычных учебных материалов по восьми ключевым учебным областям для информации учителей; </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h</w:t>
      </w:r>
      <w:proofErr w:type="spellEnd"/>
      <w:r>
        <w:t>)</w:t>
      </w:r>
      <w:r w:rsidRPr="00CB2C86">
        <w:tab/>
        <w:t>обзор политики в области лингвистического образования Пост</w:t>
      </w:r>
      <w:r w:rsidRPr="00CB2C86">
        <w:t>о</w:t>
      </w:r>
      <w:r w:rsidRPr="00CB2C86">
        <w:t>янным комитетом по лингвистическому образованию и исследованиям, ко</w:t>
      </w:r>
      <w:r w:rsidRPr="00CB2C86">
        <w:t>н</w:t>
      </w:r>
      <w:r w:rsidRPr="00CB2C86">
        <w:t>сультативным органом правительства по вопросам лингвистического образов</w:t>
      </w:r>
      <w:r w:rsidRPr="00CB2C86">
        <w:t>а</w:t>
      </w:r>
      <w:r w:rsidRPr="00CB2C86">
        <w:t>ния, и выполнение рекомендаций, вытекающих из этого обзора, который был завершен в 2003</w:t>
      </w:r>
      <w:r w:rsidR="00B92291">
        <w:t> год</w:t>
      </w:r>
      <w:r w:rsidRPr="00CB2C86">
        <w:t xml:space="preserve">у; и </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i</w:t>
      </w:r>
      <w:proofErr w:type="spellEnd"/>
      <w:r>
        <w:t>)</w:t>
      </w:r>
      <w:r w:rsidRPr="00CB2C86">
        <w:tab/>
        <w:t>доработка механизмов обучения в средних школах (см. посл</w:t>
      </w:r>
      <w:r w:rsidRPr="00CB2C86">
        <w:t>е</w:t>
      </w:r>
      <w:r w:rsidRPr="00CB2C86">
        <w:t>дующие пункты), чтобы у учащихся появилось больше возможностей для у</w:t>
      </w:r>
      <w:r w:rsidRPr="00CB2C86">
        <w:t>с</w:t>
      </w:r>
      <w:r w:rsidRPr="00CB2C86">
        <w:t>воения и использования английского языка на младших ступенях средней шк</w:t>
      </w:r>
      <w:r w:rsidRPr="00CB2C86">
        <w:t>о</w:t>
      </w:r>
      <w:r w:rsidRPr="00CB2C86">
        <w:t>лы.</w:t>
      </w:r>
    </w:p>
    <w:p w:rsidR="00F936A8" w:rsidRPr="00CB2C86" w:rsidRDefault="00F936A8" w:rsidP="00F91733">
      <w:pPr>
        <w:pStyle w:val="H1GR"/>
        <w:tabs>
          <w:tab w:val="left" w:pos="1980"/>
          <w:tab w:val="left" w:pos="2520"/>
        </w:tabs>
      </w:pPr>
      <w:r w:rsidRPr="00CB2C86">
        <w:tab/>
      </w:r>
      <w:r w:rsidRPr="00CB2C86">
        <w:tab/>
        <w:t>Языки обучения</w:t>
      </w:r>
    </w:p>
    <w:p w:rsidR="00F936A8" w:rsidRPr="00CB2C86" w:rsidRDefault="00F936A8" w:rsidP="00F91733">
      <w:pPr>
        <w:pStyle w:val="SingleTxtGR"/>
        <w:tabs>
          <w:tab w:val="clear" w:pos="1701"/>
          <w:tab w:val="clear" w:pos="2268"/>
          <w:tab w:val="left" w:pos="1980"/>
          <w:tab w:val="left" w:pos="2520"/>
        </w:tabs>
      </w:pPr>
      <w:r w:rsidRPr="00CB2C86">
        <w:t>13.15</w:t>
      </w:r>
      <w:r w:rsidRPr="00CB2C86">
        <w:tab/>
        <w:t xml:space="preserve">Мы завершили обзор политики в области языков обучения (ЯЗО), упомянутый в пункте 13.19 предыдущего доклада. В обзоре рекомендовалось поддерживать преподавание родного языка и повышать владение учащимися китайским и английским языками. </w:t>
      </w:r>
    </w:p>
    <w:p w:rsidR="00F936A8" w:rsidRPr="00CB2C86" w:rsidRDefault="00F936A8" w:rsidP="00F91733">
      <w:pPr>
        <w:pStyle w:val="SingleTxtGR"/>
        <w:tabs>
          <w:tab w:val="clear" w:pos="1701"/>
          <w:tab w:val="clear" w:pos="2268"/>
          <w:tab w:val="left" w:pos="1980"/>
          <w:tab w:val="left" w:pos="2520"/>
        </w:tabs>
      </w:pPr>
      <w:r w:rsidRPr="00CB2C86">
        <w:t>13.16</w:t>
      </w:r>
      <w:r w:rsidRPr="00CB2C86">
        <w:tab/>
        <w:t>Чтобы предоставить нашим учащимся больше возможностей для у</w:t>
      </w:r>
      <w:r w:rsidRPr="00CB2C86">
        <w:t>с</w:t>
      </w:r>
      <w:r w:rsidRPr="00CB2C86">
        <w:t>воения и использования английского языка на младших ступенях средней шк</w:t>
      </w:r>
      <w:r w:rsidRPr="00CB2C86">
        <w:t>о</w:t>
      </w:r>
      <w:r w:rsidRPr="00CB2C86">
        <w:t>лы, чтобы развить их способности к изучению английского языка и лучше по</w:t>
      </w:r>
      <w:r w:rsidRPr="00CB2C86">
        <w:t>д</w:t>
      </w:r>
      <w:r w:rsidRPr="00CB2C86">
        <w:t>готовить их  к будущей учебе и работе, мы решили доработать вопрос о ЯЗО для средних школ, чтобы школы могли гибко и профессионально выбирать м</w:t>
      </w:r>
      <w:r w:rsidRPr="00CB2C86">
        <w:t>е</w:t>
      </w:r>
      <w:r w:rsidRPr="00CB2C86">
        <w:t>ханизмы использования ЯЗО для своих учащихся.</w:t>
      </w:r>
    </w:p>
    <w:p w:rsidR="00F936A8" w:rsidRPr="00CB2C86" w:rsidRDefault="00F936A8" w:rsidP="00F91733">
      <w:pPr>
        <w:pStyle w:val="SingleTxtGR"/>
        <w:tabs>
          <w:tab w:val="clear" w:pos="1701"/>
          <w:tab w:val="clear" w:pos="2268"/>
          <w:tab w:val="left" w:pos="1980"/>
          <w:tab w:val="left" w:pos="2520"/>
        </w:tabs>
      </w:pPr>
      <w:r w:rsidRPr="00CB2C86">
        <w:t>13.17</w:t>
      </w:r>
      <w:r w:rsidRPr="00CB2C86">
        <w:tab/>
        <w:t>В соответствии с политической целью, заключающейся в поддержке преподавания родного языка и повышения уровня владения китайским и ан</w:t>
      </w:r>
      <w:r w:rsidRPr="00CB2C86">
        <w:t>г</w:t>
      </w:r>
      <w:r w:rsidRPr="00CB2C86">
        <w:t>лийским языками, в мае 2009</w:t>
      </w:r>
      <w:r w:rsidR="00B92291">
        <w:t> год</w:t>
      </w:r>
      <w:r w:rsidRPr="00CB2C86">
        <w:t>а правительство объявило о доработке мех</w:t>
      </w:r>
      <w:r w:rsidRPr="00CB2C86">
        <w:t>а</w:t>
      </w:r>
      <w:r w:rsidRPr="00CB2C86">
        <w:t xml:space="preserve">низмов использования ЯЗО в средних школах. В 2010/11 </w:t>
      </w:r>
      <w:r w:rsidR="00A35E26">
        <w:t>учебном году</w:t>
      </w:r>
      <w:r w:rsidRPr="00CB2C86">
        <w:t>, начиная со ступени 1 средней школы и ежегодно распространяя этот процесс на ста</w:t>
      </w:r>
      <w:r w:rsidRPr="00CB2C86">
        <w:t>р</w:t>
      </w:r>
      <w:r w:rsidRPr="00CB2C86">
        <w:t>шие классы младшей средней ступени, школы получат больше гибкости пр</w:t>
      </w:r>
      <w:r w:rsidRPr="00CB2C86">
        <w:t>о</w:t>
      </w:r>
      <w:r w:rsidRPr="00CB2C86">
        <w:t>фессионально выбирать свои школьные механизмы использования ЯЗО с уч</w:t>
      </w:r>
      <w:r w:rsidRPr="00CB2C86">
        <w:t>е</w:t>
      </w:r>
      <w:r w:rsidRPr="00CB2C86">
        <w:t>том способностей и потребностей учащихся, а также школьных обстоятельств, включая квалификацию и готовность учителей и меры поддержки школе. Сре</w:t>
      </w:r>
      <w:r w:rsidRPr="00CB2C86">
        <w:t>д</w:t>
      </w:r>
      <w:r w:rsidRPr="00CB2C86">
        <w:t>ние школы могут расширять свои возможности обучения английскому языку, вводя ра</w:t>
      </w:r>
      <w:r w:rsidRPr="00CB2C86">
        <w:t>з</w:t>
      </w:r>
      <w:r w:rsidRPr="00CB2C86">
        <w:t>личные механизмы использования ЯЗО, отвечающие потребностям их учащи</w:t>
      </w:r>
      <w:r w:rsidRPr="00CB2C86">
        <w:t>х</w:t>
      </w:r>
      <w:r w:rsidRPr="00CB2C86">
        <w:t>ся и увеличивая их возможности усвоения и использования английского языка. Способности учащихся к изучению английского языка будут увеличены. Они будут достаточно оснащены для того, чтобы справиться с вызовами, с к</w:t>
      </w:r>
      <w:r w:rsidRPr="00CB2C86">
        <w:t>о</w:t>
      </w:r>
      <w:r w:rsidRPr="00CB2C86">
        <w:t>торыми сталкивается Гонконг в глобальной экономике.</w:t>
      </w:r>
    </w:p>
    <w:p w:rsidR="00F936A8" w:rsidRPr="00CB2C86" w:rsidRDefault="00F936A8" w:rsidP="00F91733">
      <w:pPr>
        <w:pStyle w:val="SingleTxtGR"/>
        <w:tabs>
          <w:tab w:val="clear" w:pos="1701"/>
          <w:tab w:val="clear" w:pos="2268"/>
          <w:tab w:val="left" w:pos="1980"/>
          <w:tab w:val="left" w:pos="2520"/>
        </w:tabs>
      </w:pPr>
      <w:r w:rsidRPr="00CB2C86">
        <w:t>13.18</w:t>
      </w:r>
      <w:r w:rsidRPr="00CB2C86">
        <w:tab/>
        <w:t>Некоторые комментаторы были обеспокоены тем фактом, что в соо</w:t>
      </w:r>
      <w:r w:rsidRPr="00CB2C86">
        <w:t>т</w:t>
      </w:r>
      <w:r w:rsidRPr="00CB2C86">
        <w:t>ветствии с УПРД учебные заведения обязаны в законодательном порядке пр</w:t>
      </w:r>
      <w:r w:rsidRPr="00CB2C86">
        <w:t>и</w:t>
      </w:r>
      <w:r w:rsidRPr="00CB2C86">
        <w:t>способить механизмы использования ЯЗО под нужды учащихся, не владеющих китайским языком. Правительство твердо отстаивает право детей на образов</w:t>
      </w:r>
      <w:r w:rsidRPr="00CB2C86">
        <w:t>а</w:t>
      </w:r>
      <w:r w:rsidRPr="00CB2C86">
        <w:t>ние независимо от их расы или этнического происхождения. Все дети имеют право на двенадцатилетнее бесплатное и всеобщее базовое образование. Однако едва ли будет практически разумным со стороны школ видоизменять свои м</w:t>
      </w:r>
      <w:r w:rsidRPr="00CB2C86">
        <w:t>е</w:t>
      </w:r>
      <w:r w:rsidRPr="00CB2C86">
        <w:t>ханизмы использования ЯЗО, чтобы удовлетворить потребности учащихся к</w:t>
      </w:r>
      <w:r w:rsidRPr="00CB2C86">
        <w:t>а</w:t>
      </w:r>
      <w:r w:rsidRPr="00CB2C86">
        <w:t>кой-либо расовой группы. Для информации можно привести решение Европе</w:t>
      </w:r>
      <w:r w:rsidRPr="00CB2C86">
        <w:t>й</w:t>
      </w:r>
      <w:r w:rsidRPr="00CB2C86">
        <w:t>ского суда по правам человека относительно требования франкоязычных жит</w:t>
      </w:r>
      <w:r w:rsidRPr="00CB2C86">
        <w:t>е</w:t>
      </w:r>
      <w:r w:rsidRPr="00CB2C86">
        <w:t>лей фламандской части Бельгии о том, чтобы их дети получали образование на французском языке, в котором он определил, что право на образование не пре</w:t>
      </w:r>
      <w:r w:rsidRPr="00CB2C86">
        <w:t>д</w:t>
      </w:r>
      <w:r w:rsidRPr="00CB2C86">
        <w:t>полагает права на обучение на языке родителей или права доступа к определе</w:t>
      </w:r>
      <w:r w:rsidRPr="00CB2C86">
        <w:t>н</w:t>
      </w:r>
      <w:r w:rsidRPr="00CB2C86">
        <w:t>ной школе.</w:t>
      </w:r>
    </w:p>
    <w:p w:rsidR="00F936A8" w:rsidRPr="00CB2C86" w:rsidRDefault="00F936A8" w:rsidP="00F91733">
      <w:pPr>
        <w:pStyle w:val="SingleTxtGR"/>
        <w:tabs>
          <w:tab w:val="clear" w:pos="1701"/>
          <w:tab w:val="clear" w:pos="2268"/>
          <w:tab w:val="left" w:pos="1980"/>
          <w:tab w:val="left" w:pos="2520"/>
        </w:tabs>
      </w:pPr>
      <w:r w:rsidRPr="00CB2C86">
        <w:t>13.19</w:t>
      </w:r>
      <w:r w:rsidRPr="00CB2C86">
        <w:tab/>
        <w:t>Положение с подготовкой преподавателей с целью стимулировать пр</w:t>
      </w:r>
      <w:r w:rsidRPr="00CB2C86">
        <w:t>е</w:t>
      </w:r>
      <w:r w:rsidRPr="00CB2C86">
        <w:t>подавание родного языка и повысить стандарты преподавания языков остается т</w:t>
      </w:r>
      <w:r w:rsidRPr="00CB2C86">
        <w:t>а</w:t>
      </w:r>
      <w:r w:rsidRPr="00CB2C86">
        <w:t>ким же, как оно описывается в пункте 13.20 предыдущего доклада.</w:t>
      </w:r>
    </w:p>
    <w:p w:rsidR="00F936A8" w:rsidRPr="00CB2C86" w:rsidRDefault="00F936A8" w:rsidP="00F91733">
      <w:pPr>
        <w:pStyle w:val="H1GR"/>
        <w:tabs>
          <w:tab w:val="left" w:pos="1980"/>
          <w:tab w:val="left" w:pos="2520"/>
        </w:tabs>
      </w:pPr>
      <w:r w:rsidRPr="00CB2C86">
        <w:tab/>
      </w:r>
      <w:r w:rsidRPr="00CB2C86">
        <w:tab/>
        <w:t xml:space="preserve">Профессиональное образование </w:t>
      </w:r>
    </w:p>
    <w:p w:rsidR="00F936A8" w:rsidRPr="00CB2C86" w:rsidRDefault="00F936A8" w:rsidP="00F91733">
      <w:pPr>
        <w:pStyle w:val="SingleTxtGR"/>
        <w:tabs>
          <w:tab w:val="clear" w:pos="1701"/>
          <w:tab w:val="clear" w:pos="2268"/>
          <w:tab w:val="left" w:pos="1980"/>
          <w:tab w:val="left" w:pos="2520"/>
        </w:tabs>
      </w:pPr>
      <w:r w:rsidRPr="00CB2C86">
        <w:t>13.20</w:t>
      </w:r>
      <w:r w:rsidRPr="00CB2C86">
        <w:tab/>
        <w:t>В пункте 13.43 предыдущего доклада уже разъяснялось, что СПО я</w:t>
      </w:r>
      <w:r w:rsidRPr="00CB2C86">
        <w:t>в</w:t>
      </w:r>
      <w:r w:rsidRPr="00CB2C86">
        <w:t>ляется основным организатором и консультативным органом правительства по политике  в области профессионального образования и подготовки. Что касае</w:t>
      </w:r>
      <w:r w:rsidRPr="00CB2C86">
        <w:t>т</w:t>
      </w:r>
      <w:r w:rsidRPr="00CB2C86">
        <w:t>ся профессионального образования, то СПО принимает программы для вып</w:t>
      </w:r>
      <w:r w:rsidRPr="00CB2C86">
        <w:t>у</w:t>
      </w:r>
      <w:r w:rsidRPr="00CB2C86">
        <w:t xml:space="preserve">скников ступени </w:t>
      </w:r>
      <w:r w:rsidR="00E76BE9">
        <w:t>3</w:t>
      </w:r>
      <w:r w:rsidRPr="00CB2C86">
        <w:t>, ступени 5 и ступени 7. Гонконгский институт професси</w:t>
      </w:r>
      <w:r w:rsidRPr="00CB2C86">
        <w:t>о</w:t>
      </w:r>
      <w:r w:rsidRPr="00CB2C86">
        <w:t xml:space="preserve">нального образования (ГИПО) и Школа бизнеса и информационных систем (ШБИС) разрабатывают программы самообразования, предназначенные для выпускников </w:t>
      </w:r>
      <w:r w:rsidR="00E76BE9">
        <w:t xml:space="preserve">5 и </w:t>
      </w:r>
      <w:r w:rsidRPr="00CB2C86">
        <w:t>7 ступен</w:t>
      </w:r>
      <w:r w:rsidR="00E76BE9">
        <w:t>ей</w:t>
      </w:r>
      <w:r w:rsidRPr="00CB2C86">
        <w:t xml:space="preserve"> средней школы и более высоких дипломных степ</w:t>
      </w:r>
      <w:r w:rsidRPr="00CB2C86">
        <w:t>е</w:t>
      </w:r>
      <w:r w:rsidRPr="00CB2C86">
        <w:t>ней. В программах, предлагаемых ШБИС, акцент сделан на бухгалтерском уч</w:t>
      </w:r>
      <w:r w:rsidRPr="00CB2C86">
        <w:t>е</w:t>
      </w:r>
      <w:r w:rsidRPr="00CB2C86">
        <w:t>те, управлении бизнесом и информационной технологии. Ее система оценки и стандарты образования не отличаются от тех же показателей ГИПО. Молоде</w:t>
      </w:r>
      <w:r w:rsidRPr="00CB2C86">
        <w:t>ж</w:t>
      </w:r>
      <w:r w:rsidRPr="00CB2C86">
        <w:t>ный колледж СПО, созданный в 2004</w:t>
      </w:r>
      <w:r w:rsidR="00B92291">
        <w:t> год</w:t>
      </w:r>
      <w:r w:rsidRPr="00CB2C86">
        <w:t>у, имеет шесть отделений. Молоде</w:t>
      </w:r>
      <w:r w:rsidRPr="00CB2C86">
        <w:t>ж</w:t>
      </w:r>
      <w:r w:rsidRPr="00CB2C86">
        <w:t>ный колледж д</w:t>
      </w:r>
      <w:r w:rsidRPr="00CB2C86">
        <w:t>е</w:t>
      </w:r>
      <w:r w:rsidRPr="00CB2C86">
        <w:t>лает акцент на разработке программ подготовки бакалавров для выпускников 3</w:t>
      </w:r>
      <w:r>
        <w:t> </w:t>
      </w:r>
      <w:r w:rsidRPr="00CB2C86">
        <w:t>ступени средней школы. Для этнических меньшинств осущест</w:t>
      </w:r>
      <w:r w:rsidRPr="00CB2C86">
        <w:t>в</w:t>
      </w:r>
      <w:r w:rsidRPr="00CB2C86">
        <w:t>ляются также субсидируемые программы профессионального образования, в том числе базового очного образования, дающего право на получение свид</w:t>
      </w:r>
      <w:r w:rsidRPr="00CB2C86">
        <w:t>е</w:t>
      </w:r>
      <w:r w:rsidRPr="00CB2C86">
        <w:t xml:space="preserve">тельства/диплома об образовании. </w:t>
      </w:r>
    </w:p>
    <w:p w:rsidR="00F936A8" w:rsidRPr="00CB2C86" w:rsidRDefault="00F936A8" w:rsidP="00F91733">
      <w:pPr>
        <w:pStyle w:val="SingleTxtGR"/>
        <w:tabs>
          <w:tab w:val="clear" w:pos="1701"/>
          <w:tab w:val="clear" w:pos="2268"/>
          <w:tab w:val="left" w:pos="1980"/>
          <w:tab w:val="left" w:pos="2520"/>
        </w:tabs>
      </w:pPr>
      <w:r w:rsidRPr="00CB2C86">
        <w:t>13.21</w:t>
      </w:r>
      <w:r w:rsidRPr="00CB2C86">
        <w:tab/>
        <w:t xml:space="preserve">В 2008/09 </w:t>
      </w:r>
      <w:r w:rsidR="00A35E26">
        <w:t>учебном году</w:t>
      </w:r>
      <w:r w:rsidRPr="00CB2C86">
        <w:t xml:space="preserve"> в ГИПО/ШБИС/Молодежном колледже</w:t>
      </w:r>
      <w:r w:rsidRPr="000203A0">
        <w:rPr>
          <w:spacing w:val="-30"/>
        </w:rPr>
        <w:t xml:space="preserve"> / </w:t>
      </w:r>
      <w:r w:rsidRPr="00CB2C86">
        <w:t>Го</w:t>
      </w:r>
      <w:r w:rsidRPr="00CB2C86">
        <w:t>н</w:t>
      </w:r>
      <w:r w:rsidRPr="00CB2C86">
        <w:t>конгском институте дизайна на очном отделении училось в общей сложности 44</w:t>
      </w:r>
      <w:r>
        <w:t> </w:t>
      </w:r>
      <w:r w:rsidRPr="00CB2C86">
        <w:t>800</w:t>
      </w:r>
      <w:r>
        <w:t> </w:t>
      </w:r>
      <w:r w:rsidRPr="00CB2C86">
        <w:t>студентов, примерно 2</w:t>
      </w:r>
      <w:r>
        <w:t> </w:t>
      </w:r>
      <w:r w:rsidRPr="00CB2C86">
        <w:t>650</w:t>
      </w:r>
      <w:r>
        <w:t> </w:t>
      </w:r>
      <w:r w:rsidRPr="00CB2C86">
        <w:t xml:space="preserve">студентов на </w:t>
      </w:r>
      <w:proofErr w:type="spellStart"/>
      <w:r w:rsidRPr="00CB2C86">
        <w:t>очно-заочном</w:t>
      </w:r>
      <w:proofErr w:type="spellEnd"/>
      <w:r w:rsidRPr="00CB2C86">
        <w:t xml:space="preserve"> дневном отдел</w:t>
      </w:r>
      <w:r w:rsidRPr="00CB2C86">
        <w:t>е</w:t>
      </w:r>
      <w:r w:rsidRPr="00CB2C86">
        <w:t>нии и 13</w:t>
      </w:r>
      <w:r>
        <w:t> </w:t>
      </w:r>
      <w:r w:rsidRPr="00CB2C86">
        <w:t xml:space="preserve">550 человек на </w:t>
      </w:r>
      <w:proofErr w:type="spellStart"/>
      <w:r w:rsidRPr="00CB2C86">
        <w:t>очно-заочном</w:t>
      </w:r>
      <w:proofErr w:type="spellEnd"/>
      <w:r w:rsidRPr="00CB2C86">
        <w:t xml:space="preserve"> вечернем отделении, а также на сокр</w:t>
      </w:r>
      <w:r w:rsidRPr="00CB2C86">
        <w:t>а</w:t>
      </w:r>
      <w:r w:rsidRPr="00CB2C86">
        <w:t>щенных учебных курсах. Статистические данные о численности контингента учащихся в разбивке по виду и уровню обучения на 2008/09 учебный</w:t>
      </w:r>
      <w:r w:rsidR="00B92291">
        <w:t> год</w:t>
      </w:r>
      <w:r w:rsidRPr="00CB2C86">
        <w:t xml:space="preserve"> пр</w:t>
      </w:r>
      <w:r w:rsidRPr="00CB2C86">
        <w:t>и</w:t>
      </w:r>
      <w:r w:rsidRPr="00CB2C86">
        <w:t>водятся в Приложении 6</w:t>
      </w:r>
      <w:r w:rsidRPr="00CB2C86">
        <w:rPr>
          <w:lang w:val="en-GB"/>
        </w:rPr>
        <w:t>A</w:t>
      </w:r>
      <w:r w:rsidRPr="00CB2C86">
        <w:t>. Они обновляют Приложения 13</w:t>
      </w:r>
      <w:r w:rsidRPr="00CB2C86">
        <w:rPr>
          <w:lang w:val="en-GB"/>
        </w:rPr>
        <w:t>D</w:t>
      </w:r>
      <w:r w:rsidRPr="00CB2C86">
        <w:t xml:space="preserve"> и 13</w:t>
      </w:r>
      <w:r w:rsidRPr="00CB2C86">
        <w:rPr>
          <w:lang w:val="en-GB"/>
        </w:rPr>
        <w:t>E</w:t>
      </w:r>
      <w:r w:rsidRPr="00CB2C86">
        <w:t xml:space="preserve"> предыдущ</w:t>
      </w:r>
      <w:r w:rsidRPr="00CB2C86">
        <w:t>е</w:t>
      </w:r>
      <w:r w:rsidRPr="00CB2C86">
        <w:t>го доклада.</w:t>
      </w:r>
    </w:p>
    <w:p w:rsidR="00F936A8" w:rsidRPr="00CB2C86" w:rsidRDefault="00F936A8" w:rsidP="00F91733">
      <w:pPr>
        <w:pStyle w:val="SingleTxtGR"/>
        <w:tabs>
          <w:tab w:val="clear" w:pos="1701"/>
          <w:tab w:val="clear" w:pos="2268"/>
          <w:tab w:val="left" w:pos="1980"/>
          <w:tab w:val="left" w:pos="2520"/>
        </w:tabs>
      </w:pPr>
      <w:r w:rsidRPr="00CB2C86">
        <w:t>13.22</w:t>
      </w:r>
      <w:r w:rsidRPr="00CB2C86">
        <w:tab/>
        <w:t xml:space="preserve">Некоторые комментаторы выразили озабоченность тем фактом, что большинство учебных курсов в ГИПО, курсов профессиональной подготовки, по которым готовят специалистов СПО, а также Проект </w:t>
      </w:r>
      <w:proofErr w:type="spellStart"/>
      <w:r w:rsidRPr="00CB2C86">
        <w:t>И-джин</w:t>
      </w:r>
      <w:proofErr w:type="spellEnd"/>
      <w:r w:rsidRPr="00CB2C86">
        <w:t xml:space="preserve"> (ПИД) ведутся на китайском языке, а поэтому недоступны для не владеющих китайским яз</w:t>
      </w:r>
      <w:r w:rsidRPr="00CB2C86">
        <w:t>ы</w:t>
      </w:r>
      <w:r w:rsidRPr="00CB2C86">
        <w:t>ком лиц (НВКЯ). СПО предлагает программы профессионального образования и подготовки для имеющих на это право лицам независимо от расы и этнич</w:t>
      </w:r>
      <w:r w:rsidRPr="00CB2C86">
        <w:t>е</w:t>
      </w:r>
      <w:r w:rsidRPr="00CB2C86">
        <w:t>ского происхождения. Учащиеся, которые удовлетворяют основным требован</w:t>
      </w:r>
      <w:r w:rsidRPr="00CB2C86">
        <w:t>и</w:t>
      </w:r>
      <w:r w:rsidRPr="00CB2C86">
        <w:t>ям приема, могут подавать заявления о приеме по конкурсу на отделения, кот</w:t>
      </w:r>
      <w:r w:rsidRPr="00CB2C86">
        <w:t>о</w:t>
      </w:r>
      <w:r w:rsidRPr="00CB2C86">
        <w:t xml:space="preserve">рыми располагают ГИПО и ШБИС и другие учебные заведения группы СПО. Языком обучения на курсах ГИПО и ШБИС на уровне </w:t>
      </w:r>
      <w:proofErr w:type="spellStart"/>
      <w:r w:rsidRPr="00CB2C86">
        <w:t>послешкольной</w:t>
      </w:r>
      <w:proofErr w:type="spellEnd"/>
      <w:r w:rsidRPr="00CB2C86">
        <w:t xml:space="preserve"> ступ</w:t>
      </w:r>
      <w:r w:rsidRPr="00CB2C86">
        <w:t>е</w:t>
      </w:r>
      <w:r w:rsidRPr="00CB2C86">
        <w:t>ни</w:t>
      </w:r>
      <w:r>
        <w:t> </w:t>
      </w:r>
      <w:r w:rsidRPr="00CB2C86">
        <w:t>5 в основном является английский язык, хотя в случае необходимости и ц</w:t>
      </w:r>
      <w:r w:rsidRPr="00CB2C86">
        <w:t>е</w:t>
      </w:r>
      <w:r w:rsidRPr="00CB2C86">
        <w:t xml:space="preserve">лесообразности он может дополняться китайским языком. </w:t>
      </w:r>
    </w:p>
    <w:p w:rsidR="00F936A8" w:rsidRPr="00CB2C86" w:rsidRDefault="00F936A8" w:rsidP="00F91733">
      <w:pPr>
        <w:pStyle w:val="SingleTxtGR"/>
        <w:tabs>
          <w:tab w:val="clear" w:pos="1701"/>
          <w:tab w:val="clear" w:pos="2268"/>
          <w:tab w:val="left" w:pos="1980"/>
          <w:tab w:val="left" w:pos="2520"/>
        </w:tabs>
      </w:pPr>
      <w:r w:rsidRPr="00CB2C86">
        <w:t>13.23</w:t>
      </w:r>
      <w:r w:rsidRPr="00CB2C86">
        <w:tab/>
        <w:t>Помимо основных курсов</w:t>
      </w:r>
      <w:r w:rsidR="00E76BE9">
        <w:t>,</w:t>
      </w:r>
      <w:r w:rsidRPr="00CB2C86">
        <w:t xml:space="preserve"> представители этнических меньшинств м</w:t>
      </w:r>
      <w:r w:rsidRPr="00CB2C86">
        <w:t>о</w:t>
      </w:r>
      <w:r w:rsidRPr="00CB2C86">
        <w:t>гут также участвовать в других программах профессионального образования и подготовки, предлагаемых ГИПО, Центром практического обучения и Мол</w:t>
      </w:r>
      <w:r w:rsidRPr="00CB2C86">
        <w:t>о</w:t>
      </w:r>
      <w:r w:rsidRPr="00CB2C86">
        <w:t>дежным колледжем, разработанных специально для них. Эти курсы включают подготовительные курсы для сдачи квалификационных экзаменов по рабочей специальности для штатного персонала, очное обучение, дающее право на п</w:t>
      </w:r>
      <w:r w:rsidRPr="00CB2C86">
        <w:t>о</w:t>
      </w:r>
      <w:r w:rsidRPr="00CB2C86">
        <w:t>лучение свидетельства/диплома об образовании для выпускников ступеней 3 и 5 средней школы, прикладные образовательные программы для учащихся ста</w:t>
      </w:r>
      <w:r w:rsidRPr="00CB2C86">
        <w:t>р</w:t>
      </w:r>
      <w:r w:rsidRPr="00CB2C86">
        <w:t xml:space="preserve">шей средней школы и программы профессиональной подготовки для молодежи. </w:t>
      </w:r>
    </w:p>
    <w:p w:rsidR="00F936A8" w:rsidRPr="00CB2C86" w:rsidRDefault="00F936A8" w:rsidP="00F91733">
      <w:pPr>
        <w:pStyle w:val="SingleTxtGR"/>
        <w:tabs>
          <w:tab w:val="clear" w:pos="1701"/>
          <w:tab w:val="clear" w:pos="2268"/>
          <w:tab w:val="left" w:pos="1980"/>
          <w:tab w:val="left" w:pos="2520"/>
        </w:tabs>
      </w:pPr>
      <w:r w:rsidRPr="00CB2C86">
        <w:t>13.24</w:t>
      </w:r>
      <w:r w:rsidRPr="00CB2C86">
        <w:tab/>
        <w:t>Программа ПИД призвана предоставить второй шанс учащимся, кот</w:t>
      </w:r>
      <w:r w:rsidRPr="00CB2C86">
        <w:t>о</w:t>
      </w:r>
      <w:r w:rsidRPr="00CB2C86">
        <w:t>рые плохо успевают в школе, открывая им альтернативный путь для достиж</w:t>
      </w:r>
      <w:r w:rsidRPr="00CB2C86">
        <w:t>е</w:t>
      </w:r>
      <w:r w:rsidRPr="00CB2C86">
        <w:t>ния выпускного стандарта, сопоставимого с пятью зачетами по программе ГСО. Одна из ее задач заключается в том, чтобы подготовить их по английскому, к</w:t>
      </w:r>
      <w:r w:rsidRPr="00CB2C86">
        <w:t>и</w:t>
      </w:r>
      <w:r w:rsidRPr="00CB2C86">
        <w:t xml:space="preserve">тайскому и </w:t>
      </w:r>
      <w:proofErr w:type="spellStart"/>
      <w:r w:rsidRPr="00CB2C86">
        <w:t>путонгуа</w:t>
      </w:r>
      <w:proofErr w:type="spellEnd"/>
      <w:r w:rsidRPr="00CB2C86">
        <w:t xml:space="preserve"> языкам и информационной технологии и тем самым зал</w:t>
      </w:r>
      <w:r w:rsidRPr="00CB2C86">
        <w:t>о</w:t>
      </w:r>
      <w:r w:rsidRPr="00CB2C86">
        <w:t>жить прочную основу знаний и навыков для работы и дальнейшей учебы. В н</w:t>
      </w:r>
      <w:r w:rsidRPr="00CB2C86">
        <w:t>а</w:t>
      </w:r>
      <w:r w:rsidRPr="00CB2C86">
        <w:t>стоящее время мы рассматриваем достоинства и целесообразность осуществл</w:t>
      </w:r>
      <w:r w:rsidRPr="00CB2C86">
        <w:t>е</w:t>
      </w:r>
      <w:r w:rsidRPr="00CB2C86">
        <w:t>ния программы типа ПИД в 2012</w:t>
      </w:r>
      <w:r w:rsidR="00B92291">
        <w:t> год</w:t>
      </w:r>
      <w:r w:rsidRPr="00CB2C86">
        <w:t>у в рамках академической структуры НСШ (рассмотренной в пунктах 13.5 и 13.6). В настоящее время едва ли целесоо</w:t>
      </w:r>
      <w:r w:rsidRPr="00CB2C86">
        <w:t>б</w:t>
      </w:r>
      <w:r w:rsidRPr="00CB2C86">
        <w:t>разно осуществлять новую программу ПИД для лиц Н</w:t>
      </w:r>
      <w:r w:rsidR="00E76BE9">
        <w:t>В</w:t>
      </w:r>
      <w:r w:rsidRPr="00CB2C86">
        <w:t>КЯ.</w:t>
      </w:r>
    </w:p>
    <w:p w:rsidR="00F936A8" w:rsidRPr="00CB2C86" w:rsidRDefault="00F936A8" w:rsidP="00F91733">
      <w:pPr>
        <w:pStyle w:val="H1GR"/>
        <w:tabs>
          <w:tab w:val="left" w:pos="1980"/>
          <w:tab w:val="left" w:pos="2520"/>
        </w:tabs>
      </w:pPr>
      <w:r w:rsidRPr="00CB2C86">
        <w:tab/>
      </w:r>
      <w:r w:rsidRPr="00CB2C86">
        <w:tab/>
        <w:t>Частные школы</w:t>
      </w:r>
    </w:p>
    <w:p w:rsidR="00F936A8" w:rsidRPr="00CB2C86" w:rsidRDefault="00F936A8" w:rsidP="00F91733">
      <w:pPr>
        <w:pStyle w:val="SingleTxtGR"/>
        <w:tabs>
          <w:tab w:val="clear" w:pos="1701"/>
          <w:tab w:val="clear" w:pos="2268"/>
          <w:tab w:val="left" w:pos="1980"/>
          <w:tab w:val="left" w:pos="2520"/>
        </w:tabs>
      </w:pPr>
      <w:r w:rsidRPr="00CB2C86">
        <w:t>13.25</w:t>
      </w:r>
      <w:r w:rsidRPr="00CB2C86">
        <w:tab/>
        <w:t>Положение с частными школами не изменилось по сравнению с тем, как оно описывается в пункте 13.5 предыдущего доклада. Что касается Пр</w:t>
      </w:r>
      <w:r w:rsidRPr="00CB2C86">
        <w:t>о</w:t>
      </w:r>
      <w:r w:rsidRPr="00CB2C86">
        <w:t>граммы независимых частных школ, принятой в 1999</w:t>
      </w:r>
      <w:r w:rsidR="00B92291">
        <w:t> год</w:t>
      </w:r>
      <w:r w:rsidRPr="00CB2C86">
        <w:t>у, по состоянию на 2009/10</w:t>
      </w:r>
      <w:r>
        <w:t> </w:t>
      </w:r>
      <w:r w:rsidRPr="00CB2C86">
        <w:t>учебный</w:t>
      </w:r>
      <w:r w:rsidR="00B92291">
        <w:t> год</w:t>
      </w:r>
      <w:r w:rsidRPr="00CB2C86">
        <w:t xml:space="preserve"> в выделенных для них помещениях функционировало 8</w:t>
      </w:r>
      <w:r>
        <w:t> </w:t>
      </w:r>
      <w:r w:rsidRPr="00CB2C86">
        <w:t>частных школ. Кроме предоставления земельных участков по номинальной стоимости и инвестиционной субсидии на строительство школьных помещений частные независимые школы не получают каких-либо государственных пери</w:t>
      </w:r>
      <w:r w:rsidRPr="00CB2C86">
        <w:t>о</w:t>
      </w:r>
      <w:r w:rsidRPr="00CB2C86">
        <w:t>дических субсидий.</w:t>
      </w:r>
    </w:p>
    <w:p w:rsidR="00F936A8" w:rsidRPr="00CB2C86" w:rsidRDefault="00F936A8" w:rsidP="00F91733">
      <w:pPr>
        <w:pStyle w:val="H1GR"/>
        <w:tabs>
          <w:tab w:val="left" w:pos="1980"/>
          <w:tab w:val="left" w:pos="2520"/>
        </w:tabs>
      </w:pPr>
      <w:r w:rsidRPr="00CB2C86">
        <w:tab/>
      </w:r>
      <w:r w:rsidRPr="00CB2C86">
        <w:tab/>
      </w:r>
      <w:proofErr w:type="spellStart"/>
      <w:r w:rsidRPr="00CB2C86">
        <w:t>Послешкольное</w:t>
      </w:r>
      <w:proofErr w:type="spellEnd"/>
      <w:r w:rsidRPr="00CB2C86">
        <w:t xml:space="preserve"> образование </w:t>
      </w:r>
    </w:p>
    <w:p w:rsidR="00F936A8" w:rsidRPr="00CB2C86" w:rsidRDefault="00F936A8" w:rsidP="00F91733">
      <w:pPr>
        <w:pStyle w:val="H23GR"/>
        <w:tabs>
          <w:tab w:val="left" w:pos="1980"/>
          <w:tab w:val="left" w:pos="2520"/>
        </w:tabs>
      </w:pPr>
      <w:r w:rsidRPr="00CB2C86">
        <w:tab/>
      </w:r>
      <w:r w:rsidRPr="00CB2C86">
        <w:tab/>
        <w:t xml:space="preserve">Поддержка устойчивому развитию </w:t>
      </w:r>
      <w:proofErr w:type="spellStart"/>
      <w:r w:rsidRPr="00CB2C86">
        <w:t>послешкольного</w:t>
      </w:r>
      <w:proofErr w:type="spellEnd"/>
      <w:r w:rsidRPr="00CB2C86">
        <w:t xml:space="preserve"> сектора</w:t>
      </w:r>
    </w:p>
    <w:p w:rsidR="00F936A8" w:rsidRPr="00CB2C86" w:rsidRDefault="00F936A8" w:rsidP="00F91733">
      <w:pPr>
        <w:pStyle w:val="SingleTxtGR"/>
        <w:tabs>
          <w:tab w:val="clear" w:pos="1701"/>
          <w:tab w:val="clear" w:pos="2268"/>
          <w:tab w:val="left" w:pos="1980"/>
          <w:tab w:val="left" w:pos="2520"/>
        </w:tabs>
      </w:pPr>
      <w:r w:rsidRPr="00CB2C86">
        <w:t>13.26</w:t>
      </w:r>
      <w:r w:rsidRPr="00CB2C86">
        <w:tab/>
        <w:t>В 2000</w:t>
      </w:r>
      <w:r w:rsidR="00B92291">
        <w:t> год</w:t>
      </w:r>
      <w:r w:rsidRPr="00CB2C86">
        <w:t>у правительство объявило о том, что оно к 2010/11 учебн</w:t>
      </w:r>
      <w:r w:rsidRPr="00CB2C86">
        <w:t>о</w:t>
      </w:r>
      <w:r w:rsidRPr="00CB2C86">
        <w:t>му</w:t>
      </w:r>
      <w:r w:rsidR="00B92291">
        <w:t> год</w:t>
      </w:r>
      <w:r w:rsidRPr="00CB2C86">
        <w:t xml:space="preserve">у собирается обеспечить доступ к </w:t>
      </w:r>
      <w:proofErr w:type="spellStart"/>
      <w:r w:rsidRPr="00CB2C86">
        <w:t>послешкольному</w:t>
      </w:r>
      <w:proofErr w:type="spellEnd"/>
      <w:r w:rsidRPr="00CB2C86">
        <w:t xml:space="preserve"> образованию 60% наших выпускников старшей средней школы, о чем упоминалось в пункте 13.32 предыдущего доклада. Мы добились этой цели после 2005/06 учебного</w:t>
      </w:r>
      <w:r w:rsidR="00B92291">
        <w:t> год</w:t>
      </w:r>
      <w:r w:rsidRPr="00CB2C86">
        <w:t>а. В</w:t>
      </w:r>
      <w:r>
        <w:t> </w:t>
      </w:r>
      <w:r w:rsidRPr="00CB2C86">
        <w:t xml:space="preserve">2008/09 </w:t>
      </w:r>
      <w:r w:rsidR="00A35E26">
        <w:t>учебном году</w:t>
      </w:r>
      <w:r w:rsidRPr="00CB2C86">
        <w:t xml:space="preserve"> 69% выпускников средней школы получили доступ к </w:t>
      </w:r>
      <w:proofErr w:type="spellStart"/>
      <w:r w:rsidRPr="00CB2C86">
        <w:t>послешкольному</w:t>
      </w:r>
      <w:proofErr w:type="spellEnd"/>
      <w:r w:rsidRPr="00CB2C86">
        <w:t xml:space="preserve"> образованию по сравнению с 42% в 2003</w:t>
      </w:r>
      <w:r w:rsidR="00B92291">
        <w:t> год</w:t>
      </w:r>
      <w:r w:rsidRPr="00CB2C86">
        <w:t>у. Чтобы обесп</w:t>
      </w:r>
      <w:r w:rsidRPr="00CB2C86">
        <w:t>е</w:t>
      </w:r>
      <w:r w:rsidRPr="00CB2C86">
        <w:t>чить благополучное и устойчивое развитие этого сектора, в 2008</w:t>
      </w:r>
      <w:r w:rsidR="00B92291">
        <w:t> год</w:t>
      </w:r>
      <w:r w:rsidRPr="00CB2C86">
        <w:t>у мы ув</w:t>
      </w:r>
      <w:r w:rsidRPr="00CB2C86">
        <w:t>е</w:t>
      </w:r>
      <w:r w:rsidRPr="00CB2C86">
        <w:t xml:space="preserve">личили государственную поддержку самофинансируемым </w:t>
      </w:r>
      <w:proofErr w:type="spellStart"/>
      <w:r w:rsidRPr="00CB2C86">
        <w:t>послешкольным</w:t>
      </w:r>
      <w:proofErr w:type="spellEnd"/>
      <w:r w:rsidRPr="00CB2C86">
        <w:t xml:space="preserve"> учебным заведениям, сделав акцент на качество. Кроме постоянного предо</w:t>
      </w:r>
      <w:r w:rsidRPr="00CB2C86">
        <w:t>с</w:t>
      </w:r>
      <w:r w:rsidRPr="00CB2C86">
        <w:t>тавления бе</w:t>
      </w:r>
      <w:r w:rsidRPr="00CB2C86">
        <w:t>с</w:t>
      </w:r>
      <w:r w:rsidRPr="00CB2C86">
        <w:t>процентных начальных ссуд некоммерческим учебным заведениям, грантов для покрытия расходов на аккредитацию, приобретение земельных участков для строительства специальных учебных помещений и оказание ф</w:t>
      </w:r>
      <w:r w:rsidRPr="00CB2C86">
        <w:t>и</w:t>
      </w:r>
      <w:r w:rsidRPr="00CB2C86">
        <w:t>нансовой помощи учащимся правительство выделяет также гранты на улучш</w:t>
      </w:r>
      <w:r w:rsidRPr="00CB2C86">
        <w:t>е</w:t>
      </w:r>
      <w:r w:rsidRPr="00CB2C86">
        <w:t>ние качества образования, преследуя цель поддержать оправданные инициат</w:t>
      </w:r>
      <w:r w:rsidRPr="00CB2C86">
        <w:t>и</w:t>
      </w:r>
      <w:r w:rsidRPr="00CB2C86">
        <w:t>вы, которые нацелены на повышение качества преподавания и изучения.</w:t>
      </w:r>
    </w:p>
    <w:p w:rsidR="00F936A8" w:rsidRPr="00CB2C86" w:rsidRDefault="00F936A8" w:rsidP="00F91733">
      <w:pPr>
        <w:pStyle w:val="H23GR"/>
        <w:tabs>
          <w:tab w:val="left" w:pos="1980"/>
          <w:tab w:val="left" w:pos="2520"/>
        </w:tabs>
      </w:pPr>
      <w:r w:rsidRPr="00CB2C86">
        <w:tab/>
      </w:r>
      <w:r w:rsidRPr="00CB2C86">
        <w:tab/>
        <w:t xml:space="preserve">Высшее образование </w:t>
      </w:r>
    </w:p>
    <w:p w:rsidR="00F936A8" w:rsidRPr="00CB2C86" w:rsidRDefault="00F936A8" w:rsidP="00F91733">
      <w:pPr>
        <w:pStyle w:val="SingleTxtGR"/>
        <w:tabs>
          <w:tab w:val="clear" w:pos="1701"/>
          <w:tab w:val="clear" w:pos="2268"/>
          <w:tab w:val="left" w:pos="1980"/>
          <w:tab w:val="left" w:pos="2520"/>
        </w:tabs>
      </w:pPr>
      <w:r w:rsidRPr="00CB2C86">
        <w:t>13.27</w:t>
      </w:r>
      <w:r w:rsidRPr="00CB2C86">
        <w:tab/>
        <w:t>В настоящее время в Гонконге функционируют 12 учебных заведений, выдающих дипломы о высшем образовании. Девять заведений финансируются за счет публичных средств, из которых 8 финансируются Комитетом по униве</w:t>
      </w:r>
      <w:r w:rsidRPr="00CB2C86">
        <w:t>р</w:t>
      </w:r>
      <w:r w:rsidRPr="00CB2C86">
        <w:t>ситетским грантам (КУГ) и одно, Гонконгская академия исполнительских и</w:t>
      </w:r>
      <w:r w:rsidRPr="00CB2C86">
        <w:t>с</w:t>
      </w:r>
      <w:r w:rsidRPr="00CB2C86">
        <w:t>кусств (см. пункт 15.31), финансируется за счет государственной субсидии. О</w:t>
      </w:r>
      <w:r w:rsidRPr="00CB2C86">
        <w:t>с</w:t>
      </w:r>
      <w:r w:rsidRPr="00CB2C86">
        <w:t>тальные три учебных заведения являются хозрасчетными, два из которых им</w:t>
      </w:r>
      <w:r w:rsidRPr="00CB2C86">
        <w:t>е</w:t>
      </w:r>
      <w:r w:rsidRPr="00CB2C86">
        <w:t xml:space="preserve">ют университетский статус. </w:t>
      </w:r>
    </w:p>
    <w:p w:rsidR="00F936A8" w:rsidRPr="00CB2C86" w:rsidRDefault="00F936A8" w:rsidP="00F91733">
      <w:pPr>
        <w:pStyle w:val="H4GR"/>
        <w:tabs>
          <w:tab w:val="left" w:pos="1980"/>
          <w:tab w:val="left" w:pos="2520"/>
        </w:tabs>
        <w:spacing w:before="240"/>
        <w:ind w:left="1134" w:right="1179" w:hanging="1134"/>
      </w:pPr>
      <w:r w:rsidRPr="00CB2C86">
        <w:tab/>
      </w:r>
      <w:r w:rsidRPr="00CB2C86">
        <w:tab/>
        <w:t>Политика в области приема студентов</w:t>
      </w:r>
    </w:p>
    <w:p w:rsidR="00F936A8" w:rsidRPr="00045E0E" w:rsidRDefault="00F936A8" w:rsidP="00E76BE9">
      <w:pPr>
        <w:pStyle w:val="SingleTxtGR"/>
        <w:keepLines/>
        <w:tabs>
          <w:tab w:val="clear" w:pos="1701"/>
          <w:tab w:val="clear" w:pos="2268"/>
          <w:tab w:val="left" w:pos="1980"/>
          <w:tab w:val="left" w:pos="2520"/>
        </w:tabs>
        <w:rPr>
          <w:spacing w:val="3"/>
          <w:lang w:eastAsia="ru-RU"/>
        </w:rPr>
      </w:pPr>
      <w:r w:rsidRPr="00CB2C86">
        <w:t>13.28</w:t>
      </w:r>
      <w:r w:rsidRPr="00CB2C86">
        <w:tab/>
        <w:t>Что касается политики в области приема студентов, то положение с</w:t>
      </w:r>
      <w:r w:rsidRPr="00CB2C86">
        <w:t>у</w:t>
      </w:r>
      <w:r w:rsidRPr="00CB2C86">
        <w:t>щественно не изменилось по сравнению с положением, изложенным в пун</w:t>
      </w:r>
      <w:r w:rsidRPr="00CB2C86">
        <w:t>к</w:t>
      </w:r>
      <w:r w:rsidRPr="00CB2C86">
        <w:t>те</w:t>
      </w:r>
      <w:r w:rsidR="00E76BE9">
        <w:t> </w:t>
      </w:r>
      <w:r w:rsidRPr="00CB2C86">
        <w:t>13.34 предыдущего доклада. Высшее образование доступно всем одаренным студентам на равной основе и без всякой дискриминации. Критерии приема о</w:t>
      </w:r>
      <w:r w:rsidRPr="00CB2C86">
        <w:t>с</w:t>
      </w:r>
      <w:r w:rsidRPr="00CB2C86">
        <w:t xml:space="preserve">таются одинаковыми для юношей и девушек. В 2007/08 </w:t>
      </w:r>
      <w:r w:rsidR="00A35E26">
        <w:t>учебном году</w:t>
      </w:r>
      <w:r w:rsidRPr="00CB2C86">
        <w:t xml:space="preserve"> из всего обучающегося контингента финансируемых КУГ программ 54,6% учащихся </w:t>
      </w:r>
      <w:r w:rsidRPr="00045E0E">
        <w:rPr>
          <w:spacing w:val="3"/>
          <w:lang w:eastAsia="ru-RU"/>
        </w:rPr>
        <w:t>приходилось на девушек.</w:t>
      </w:r>
    </w:p>
    <w:p w:rsidR="00F936A8" w:rsidRPr="00045E0E" w:rsidRDefault="00F936A8" w:rsidP="00F91733">
      <w:pPr>
        <w:pStyle w:val="H4GR"/>
        <w:tabs>
          <w:tab w:val="left" w:pos="1980"/>
          <w:tab w:val="left" w:pos="2520"/>
        </w:tabs>
        <w:spacing w:before="240"/>
        <w:ind w:left="1134" w:right="1179" w:hanging="1134"/>
      </w:pPr>
      <w:r w:rsidRPr="00045E0E">
        <w:tab/>
      </w:r>
      <w:r w:rsidRPr="00045E0E">
        <w:tab/>
        <w:t>Количество мест в высших учебных заведениях</w:t>
      </w:r>
    </w:p>
    <w:p w:rsidR="00F936A8" w:rsidRPr="00CB2C86" w:rsidRDefault="00F936A8" w:rsidP="00F91733">
      <w:pPr>
        <w:pStyle w:val="SingleTxtGR"/>
        <w:tabs>
          <w:tab w:val="clear" w:pos="1701"/>
          <w:tab w:val="clear" w:pos="2268"/>
          <w:tab w:val="left" w:pos="1980"/>
          <w:tab w:val="left" w:pos="2520"/>
        </w:tabs>
      </w:pPr>
      <w:r w:rsidRPr="00CB2C86">
        <w:t>13.29</w:t>
      </w:r>
      <w:r w:rsidRPr="00CB2C86">
        <w:tab/>
        <w:t xml:space="preserve">Хотя количество финансируемых КУГ мест на первых курсах учебных заведений первого уровня в каждом </w:t>
      </w:r>
      <w:r w:rsidR="00A35E26">
        <w:t>учебном году</w:t>
      </w:r>
      <w:r w:rsidRPr="00CB2C86">
        <w:t xml:space="preserve"> стабильно оставалось на уровне 14</w:t>
      </w:r>
      <w:r>
        <w:t> </w:t>
      </w:r>
      <w:r w:rsidRPr="00CB2C86">
        <w:t xml:space="preserve">500, КУГ начал предоставлять учащимся последних уровней </w:t>
      </w:r>
      <w:proofErr w:type="spellStart"/>
      <w:r w:rsidRPr="00CB2C86">
        <w:t>посл</w:t>
      </w:r>
      <w:r w:rsidRPr="00CB2C86">
        <w:t>е</w:t>
      </w:r>
      <w:r w:rsidRPr="00CB2C86">
        <w:t>школьного</w:t>
      </w:r>
      <w:proofErr w:type="spellEnd"/>
      <w:r w:rsidRPr="00CB2C86">
        <w:t xml:space="preserve"> образования места в высших учебных заведениях, чтобы открыть им предварительные возможности в 2005/06 </w:t>
      </w:r>
      <w:r w:rsidR="00A35E26">
        <w:t>учебном году</w:t>
      </w:r>
      <w:r w:rsidRPr="00CB2C86">
        <w:t xml:space="preserve">. Для приема учащихся старших уровней после школьного образования в 2010/11 </w:t>
      </w:r>
      <w:r w:rsidR="00A35E26">
        <w:t>учебном году</w:t>
      </w:r>
      <w:r w:rsidRPr="00CB2C86">
        <w:t xml:space="preserve"> зар</w:t>
      </w:r>
      <w:r w:rsidRPr="00CB2C86">
        <w:t>е</w:t>
      </w:r>
      <w:r w:rsidRPr="00CB2C86">
        <w:t>зервировано примерно 2</w:t>
      </w:r>
      <w:r>
        <w:t> </w:t>
      </w:r>
      <w:r w:rsidRPr="00CB2C86">
        <w:t>000 мест. В совокупности финансируемые КУГ уче</w:t>
      </w:r>
      <w:r w:rsidRPr="00CB2C86">
        <w:t>б</w:t>
      </w:r>
      <w:r w:rsidRPr="00CB2C86">
        <w:t>ные заведения ежегодно выделяют 50</w:t>
      </w:r>
      <w:r>
        <w:t> </w:t>
      </w:r>
      <w:r w:rsidRPr="00CB2C86">
        <w:t>800 мест для учащихся младших курсов, 7</w:t>
      </w:r>
      <w:r>
        <w:t> </w:t>
      </w:r>
      <w:r w:rsidRPr="00CB2C86">
        <w:t>000 мест на старших курсах и примерно 5</w:t>
      </w:r>
      <w:r>
        <w:t> </w:t>
      </w:r>
      <w:r w:rsidRPr="00CB2C86">
        <w:t xml:space="preserve">600 мест в аспирантуре (в терминах очного образования). </w:t>
      </w:r>
    </w:p>
    <w:p w:rsidR="00F936A8" w:rsidRPr="00CB2C86" w:rsidRDefault="00F936A8" w:rsidP="00F91733">
      <w:pPr>
        <w:pStyle w:val="SingleTxtGR"/>
        <w:tabs>
          <w:tab w:val="clear" w:pos="1701"/>
          <w:tab w:val="clear" w:pos="2268"/>
          <w:tab w:val="left" w:pos="1980"/>
          <w:tab w:val="left" w:pos="2520"/>
        </w:tabs>
      </w:pPr>
      <w:r w:rsidRPr="00CB2C86">
        <w:t>13.30</w:t>
      </w:r>
      <w:r w:rsidRPr="00CB2C86">
        <w:tab/>
        <w:t xml:space="preserve">В последнее время </w:t>
      </w:r>
      <w:proofErr w:type="spellStart"/>
      <w:r w:rsidRPr="00CB2C86">
        <w:t>самофинансирующийся</w:t>
      </w:r>
      <w:proofErr w:type="spellEnd"/>
      <w:r w:rsidRPr="00CB2C86">
        <w:t xml:space="preserve"> сектор переживает дин</w:t>
      </w:r>
      <w:r w:rsidRPr="00CB2C86">
        <w:t>а</w:t>
      </w:r>
      <w:r w:rsidRPr="00CB2C86">
        <w:t>мичное развитие и играет возрастающую роль в обеспечении высшего образ</w:t>
      </w:r>
      <w:r w:rsidRPr="00CB2C86">
        <w:t>о</w:t>
      </w:r>
      <w:r w:rsidRPr="00CB2C86">
        <w:t xml:space="preserve">вания в Гонконге. В настоящее время </w:t>
      </w:r>
      <w:proofErr w:type="spellStart"/>
      <w:r w:rsidRPr="00CB2C86">
        <w:t>самофинансирующийся</w:t>
      </w:r>
      <w:proofErr w:type="spellEnd"/>
      <w:r w:rsidRPr="00CB2C86">
        <w:t xml:space="preserve"> сектор ежегодно обеспечивает 3</w:t>
      </w:r>
      <w:r>
        <w:t> </w:t>
      </w:r>
      <w:r w:rsidRPr="00CB2C86">
        <w:t>000 мест абитуриентов и примерно 2</w:t>
      </w:r>
      <w:r>
        <w:t> </w:t>
      </w:r>
      <w:r w:rsidRPr="00CB2C86">
        <w:t>000 мест абитуриентов, поступающих на старшие курсы высших учебных заведений.</w:t>
      </w:r>
    </w:p>
    <w:p w:rsidR="00F936A8" w:rsidRPr="00CB2C86" w:rsidRDefault="00F936A8" w:rsidP="00F91733">
      <w:pPr>
        <w:pStyle w:val="SingleTxtGR"/>
        <w:tabs>
          <w:tab w:val="clear" w:pos="1701"/>
          <w:tab w:val="clear" w:pos="2268"/>
          <w:tab w:val="left" w:pos="1980"/>
          <w:tab w:val="left" w:pos="2520"/>
        </w:tabs>
      </w:pPr>
      <w:r w:rsidRPr="00CB2C86">
        <w:t>13.31</w:t>
      </w:r>
      <w:r w:rsidRPr="00CB2C86">
        <w:tab/>
        <w:t>Доля учащихся возрастной группы 17</w:t>
      </w:r>
      <w:r>
        <w:t>−</w:t>
      </w:r>
      <w:r w:rsidRPr="00CB2C86">
        <w:t>20 лет в вузах (т.е. на дипло</w:t>
      </w:r>
      <w:r w:rsidRPr="00CB2C86">
        <w:t>м</w:t>
      </w:r>
      <w:r w:rsidRPr="00CB2C86">
        <w:t xml:space="preserve">ном уровне) увеличилась с 18% в 1997/98 </w:t>
      </w:r>
      <w:r w:rsidR="00A35E26">
        <w:t>учебном году</w:t>
      </w:r>
      <w:r w:rsidRPr="00CB2C86">
        <w:t xml:space="preserve"> до примерно 27% в 2009/10</w:t>
      </w:r>
      <w:r>
        <w:t> </w:t>
      </w:r>
      <w:r w:rsidR="00A35E26">
        <w:t>учебном году</w:t>
      </w:r>
      <w:r w:rsidRPr="00CB2C86">
        <w:t>.</w:t>
      </w:r>
    </w:p>
    <w:p w:rsidR="00F936A8" w:rsidRPr="00CB2C86" w:rsidRDefault="00F936A8" w:rsidP="00F91733">
      <w:pPr>
        <w:pStyle w:val="H4GR"/>
        <w:tabs>
          <w:tab w:val="left" w:pos="1980"/>
          <w:tab w:val="left" w:pos="2520"/>
        </w:tabs>
        <w:spacing w:before="240"/>
        <w:ind w:left="1134" w:right="1179" w:hanging="1134"/>
      </w:pPr>
      <w:r w:rsidRPr="00CB2C86">
        <w:tab/>
      </w:r>
      <w:r w:rsidRPr="00CB2C86">
        <w:tab/>
        <w:t xml:space="preserve">Плата за обучение в </w:t>
      </w:r>
      <w:proofErr w:type="spellStart"/>
      <w:r w:rsidRPr="00CB2C86">
        <w:t>послесредних</w:t>
      </w:r>
      <w:proofErr w:type="spellEnd"/>
      <w:r w:rsidRPr="00CB2C86">
        <w:t xml:space="preserve"> и высших учебных заведениях и финансовая помощь студентам</w:t>
      </w:r>
    </w:p>
    <w:p w:rsidR="00F936A8" w:rsidRPr="00CB2C86" w:rsidRDefault="00F936A8" w:rsidP="00F91733">
      <w:pPr>
        <w:pStyle w:val="SingleTxtGR"/>
        <w:tabs>
          <w:tab w:val="clear" w:pos="1701"/>
          <w:tab w:val="clear" w:pos="2268"/>
          <w:tab w:val="left" w:pos="1980"/>
          <w:tab w:val="left" w:pos="2520"/>
        </w:tabs>
      </w:pPr>
      <w:r w:rsidRPr="00CB2C86">
        <w:t>13.32</w:t>
      </w:r>
      <w:r w:rsidRPr="00CB2C86">
        <w:tab/>
        <w:t xml:space="preserve">Как отмечалось в пункте 13.36 предыдущего доклада, наша политика заключается в том, чтобы ни один достойный студент не был лишен доступа к высшему образованию из-за отсутствия средств. В 2008/09 </w:t>
      </w:r>
      <w:r w:rsidR="00A35E26">
        <w:t>учебном году</w:t>
      </w:r>
      <w:r w:rsidRPr="00CB2C86">
        <w:t xml:space="preserve"> мы оказали финансовую помощь на сумму примерно 2,84</w:t>
      </w:r>
      <w:r w:rsidR="004F720A">
        <w:t> </w:t>
      </w:r>
      <w:r w:rsidR="00B63D5C">
        <w:t>млрд. долл.</w:t>
      </w:r>
      <w:r w:rsidRPr="00CB2C86">
        <w:t xml:space="preserve"> учащимся, получающим </w:t>
      </w:r>
      <w:proofErr w:type="spellStart"/>
      <w:r w:rsidRPr="00CB2C86">
        <w:t>послесреднее</w:t>
      </w:r>
      <w:proofErr w:type="spellEnd"/>
      <w:r w:rsidRPr="00CB2C86">
        <w:t xml:space="preserve"> и дальнейшее образование. В 2008/09 </w:t>
      </w:r>
      <w:r w:rsidR="00A35E26">
        <w:t>учебном году</w:t>
      </w:r>
      <w:r w:rsidRPr="00CB2C86">
        <w:t xml:space="preserve"> финансовую помощь получили около 54</w:t>
      </w:r>
      <w:r w:rsidR="00954145">
        <w:t> </w:t>
      </w:r>
      <w:r w:rsidRPr="00CB2C86">
        <w:t>000 студентов или 40% ко</w:t>
      </w:r>
      <w:r w:rsidRPr="00CB2C86">
        <w:t>н</w:t>
      </w:r>
      <w:r w:rsidRPr="00CB2C86">
        <w:t xml:space="preserve">тингента студентов системы </w:t>
      </w:r>
      <w:proofErr w:type="spellStart"/>
      <w:r w:rsidRPr="00CB2C86">
        <w:t>послесреднего</w:t>
      </w:r>
      <w:proofErr w:type="spellEnd"/>
      <w:r w:rsidRPr="00CB2C86">
        <w:t xml:space="preserve"> образования. Мы и впредь будем продолжать осуществление различных программ финансовой помощи, о чем говорилось выше. Подробная информация содержится в Приложении 13</w:t>
      </w:r>
      <w:r w:rsidRPr="00CB2C86">
        <w:rPr>
          <w:lang w:val="en-GB"/>
        </w:rPr>
        <w:t>B</w:t>
      </w:r>
      <w:r w:rsidRPr="00CB2C86">
        <w:t>, которое обно</w:t>
      </w:r>
      <w:r w:rsidRPr="00CB2C86">
        <w:t>в</w:t>
      </w:r>
      <w:r w:rsidRPr="00CB2C86">
        <w:t>ляет Приложение 13</w:t>
      </w:r>
      <w:r w:rsidRPr="00CB2C86">
        <w:rPr>
          <w:lang w:val="en-GB"/>
        </w:rPr>
        <w:t>C</w:t>
      </w:r>
      <w:r w:rsidRPr="00CB2C86">
        <w:t xml:space="preserve"> предыдущего доклада.</w:t>
      </w:r>
    </w:p>
    <w:p w:rsidR="00F936A8" w:rsidRPr="00CB2C86" w:rsidRDefault="00F936A8" w:rsidP="00F91733">
      <w:pPr>
        <w:pStyle w:val="SingleTxtGR"/>
        <w:tabs>
          <w:tab w:val="clear" w:pos="1701"/>
          <w:tab w:val="clear" w:pos="2268"/>
          <w:tab w:val="left" w:pos="1980"/>
          <w:tab w:val="left" w:pos="2520"/>
        </w:tabs>
      </w:pPr>
      <w:r w:rsidRPr="00CB2C86">
        <w:t>13.33</w:t>
      </w:r>
      <w:r w:rsidRPr="00CB2C86">
        <w:tab/>
        <w:t>Плата за обучение, которое дает право на получение диплома, и на б</w:t>
      </w:r>
      <w:r w:rsidRPr="00CB2C86">
        <w:t>о</w:t>
      </w:r>
      <w:r w:rsidRPr="00CB2C86">
        <w:t>лее высоких уровнях в учебных заведениях, финансируемых КУГ, была зам</w:t>
      </w:r>
      <w:r w:rsidRPr="00CB2C86">
        <w:t>о</w:t>
      </w:r>
      <w:r w:rsidRPr="00CB2C86">
        <w:t>рожена с 1997/98 учебного</w:t>
      </w:r>
      <w:r w:rsidR="00B92291">
        <w:t> год</w:t>
      </w:r>
      <w:r w:rsidRPr="00CB2C86">
        <w:t>а. Таким образом, она остается в пределах, кот</w:t>
      </w:r>
      <w:r w:rsidRPr="00CB2C86">
        <w:t>о</w:t>
      </w:r>
      <w:r w:rsidRPr="00CB2C86">
        <w:t xml:space="preserve">рые были указаны в пункте 531 первоначального доклада. </w:t>
      </w:r>
    </w:p>
    <w:p w:rsidR="00F936A8" w:rsidRPr="00CB2C86" w:rsidRDefault="00F936A8" w:rsidP="00F91733">
      <w:pPr>
        <w:pStyle w:val="SingleTxtGR"/>
        <w:tabs>
          <w:tab w:val="clear" w:pos="1701"/>
          <w:tab w:val="clear" w:pos="2268"/>
          <w:tab w:val="left" w:pos="1980"/>
          <w:tab w:val="left" w:pos="2520"/>
        </w:tabs>
      </w:pPr>
      <w:r w:rsidRPr="00CB2C86">
        <w:t>13.34</w:t>
      </w:r>
      <w:r w:rsidRPr="00CB2C86">
        <w:tab/>
        <w:t>По мнению некоторых комментаторов, заявочный критерий предо</w:t>
      </w:r>
      <w:r w:rsidRPr="00CB2C86">
        <w:t>с</w:t>
      </w:r>
      <w:r w:rsidRPr="00CB2C86">
        <w:t>тавления финансовой помощи студентам, оказываемой правительством, сли</w:t>
      </w:r>
      <w:r w:rsidRPr="00CB2C86">
        <w:t>ш</w:t>
      </w:r>
      <w:r w:rsidRPr="00CB2C86">
        <w:t xml:space="preserve">ком мал, а охватываемый им контингент слишком узок. В 2008/09 </w:t>
      </w:r>
      <w:r w:rsidR="00A35E26">
        <w:t>учебном году</w:t>
      </w:r>
      <w:r w:rsidRPr="00CB2C86">
        <w:t xml:space="preserve"> Агентство по оказанию финансовой помощи студентам (АФПС) после проверки нуждаемости оказало финансовую помощь учащимся в системе дошкольного и </w:t>
      </w:r>
      <w:proofErr w:type="spellStart"/>
      <w:r w:rsidRPr="00CB2C86">
        <w:t>послесреднего</w:t>
      </w:r>
      <w:proofErr w:type="spellEnd"/>
      <w:r w:rsidRPr="00CB2C86">
        <w:t xml:space="preserve"> образования на сумму 3</w:t>
      </w:r>
      <w:r w:rsidR="004F720A">
        <w:t> </w:t>
      </w:r>
      <w:r w:rsidR="00B63D5C">
        <w:t>млрд. долл.</w:t>
      </w:r>
      <w:r w:rsidRPr="00CB2C86">
        <w:t xml:space="preserve"> и предоставило ссуды без проверки нуждаемости студентам, получающим </w:t>
      </w:r>
      <w:proofErr w:type="spellStart"/>
      <w:r w:rsidRPr="00CB2C86">
        <w:t>послесреднее</w:t>
      </w:r>
      <w:proofErr w:type="spellEnd"/>
      <w:r w:rsidRPr="00CB2C86">
        <w:t xml:space="preserve"> и дальнейшее образование, в размере 9</w:t>
      </w:r>
      <w:r w:rsidR="00954145">
        <w:t>9</w:t>
      </w:r>
      <w:r w:rsidRPr="00CB2C86">
        <w:t>0</w:t>
      </w:r>
      <w:r w:rsidR="004F720A">
        <w:t> </w:t>
      </w:r>
      <w:r w:rsidR="00B63D5C">
        <w:t>млн. долларов.</w:t>
      </w:r>
      <w:r w:rsidRPr="00CB2C86">
        <w:t xml:space="preserve"> Мы считаем, что существующей проверки нуждаемости вполне достаточно для того, чтобы оказывать необход</w:t>
      </w:r>
      <w:r w:rsidRPr="00CB2C86">
        <w:t>и</w:t>
      </w:r>
      <w:r w:rsidRPr="00CB2C86">
        <w:t>мую помощь малоимущим студентам для продолжения учебы.</w:t>
      </w:r>
    </w:p>
    <w:p w:rsidR="00F936A8" w:rsidRPr="00CB2C86" w:rsidRDefault="00F936A8" w:rsidP="00F91733">
      <w:pPr>
        <w:pStyle w:val="H1GR"/>
        <w:tabs>
          <w:tab w:val="left" w:pos="1980"/>
          <w:tab w:val="left" w:pos="2520"/>
        </w:tabs>
      </w:pPr>
      <w:r w:rsidRPr="00CB2C86">
        <w:tab/>
      </w:r>
      <w:r w:rsidRPr="00CB2C86">
        <w:tab/>
        <w:t>Образование для взрослых</w:t>
      </w:r>
    </w:p>
    <w:p w:rsidR="00F936A8" w:rsidRPr="00CB2C86" w:rsidRDefault="00F936A8" w:rsidP="00F91733">
      <w:pPr>
        <w:pStyle w:val="H23GR"/>
        <w:tabs>
          <w:tab w:val="left" w:pos="1980"/>
          <w:tab w:val="left" w:pos="2520"/>
        </w:tabs>
      </w:pPr>
      <w:r w:rsidRPr="00CB2C86">
        <w:tab/>
      </w:r>
      <w:r w:rsidRPr="00CB2C86">
        <w:tab/>
        <w:t>Местные возможности образования для взрослых</w:t>
      </w:r>
    </w:p>
    <w:p w:rsidR="00F936A8" w:rsidRPr="00CB2C86" w:rsidRDefault="00F936A8" w:rsidP="00F91733">
      <w:pPr>
        <w:pStyle w:val="SingleTxtGR"/>
        <w:tabs>
          <w:tab w:val="clear" w:pos="1701"/>
          <w:tab w:val="clear" w:pos="2268"/>
          <w:tab w:val="left" w:pos="1980"/>
          <w:tab w:val="left" w:pos="2520"/>
        </w:tabs>
      </w:pPr>
      <w:r w:rsidRPr="00CB2C86">
        <w:t>13.35</w:t>
      </w:r>
      <w:r w:rsidRPr="00CB2C86">
        <w:tab/>
        <w:t xml:space="preserve">Программа финансовой помощи учащимся Назначенных вечерних учебных курсов для взрослых была внедрена в 2005/06 </w:t>
      </w:r>
      <w:r w:rsidR="00A35E26">
        <w:t>учебном году</w:t>
      </w:r>
      <w:r w:rsidRPr="00CB2C86">
        <w:t xml:space="preserve"> с целью оказания финансовой помощи взрослым учащимся (в возрасте 17 лет или ста</w:t>
      </w:r>
      <w:r w:rsidRPr="00CB2C86">
        <w:t>р</w:t>
      </w:r>
      <w:r w:rsidRPr="00CB2C86">
        <w:t>ше), посещающим вечерние курсы старших уровней средней ступени, которые предлагают санкционированные учебные заведения в назначенных центрах. Она была расширена</w:t>
      </w:r>
      <w:r w:rsidR="00954145">
        <w:t xml:space="preserve"> в 2008/09 учебном году</w:t>
      </w:r>
      <w:r w:rsidRPr="00CB2C86">
        <w:t>, чтобы охватить младшие курсы средней ступени образования. Учащиеся, которые отвечают классификацио</w:t>
      </w:r>
      <w:r w:rsidRPr="00CB2C86">
        <w:t>н</w:t>
      </w:r>
      <w:r w:rsidRPr="00CB2C86">
        <w:t>ным критериям (таким, как посещаемость) получают право на возмещение 30% пл</w:t>
      </w:r>
      <w:r w:rsidRPr="00CB2C86">
        <w:t>а</w:t>
      </w:r>
      <w:r w:rsidRPr="00CB2C86">
        <w:t>ты за обучение. Полное возмещение платы или возмещение половины платы за обучение будут предоставляться тем учащимся, которые удовлетворяют кв</w:t>
      </w:r>
      <w:r w:rsidRPr="00CB2C86">
        <w:t>а</w:t>
      </w:r>
      <w:r w:rsidRPr="00CB2C86">
        <w:t>лификационным критериям и пройдут проверку нуждаемости, проводимую АФПС, на получение соответственно полной дотации или половины дотации. В</w:t>
      </w:r>
      <w:r w:rsidR="00954145">
        <w:t> </w:t>
      </w:r>
      <w:r w:rsidRPr="00CB2C86">
        <w:t xml:space="preserve">2009/10 </w:t>
      </w:r>
      <w:r w:rsidR="00A35E26">
        <w:t>учебном году</w:t>
      </w:r>
      <w:r w:rsidRPr="00CB2C86">
        <w:t xml:space="preserve"> на вечерние курсы средней ступени в рамках этой пр</w:t>
      </w:r>
      <w:r w:rsidRPr="00CB2C86">
        <w:t>о</w:t>
      </w:r>
      <w:r w:rsidRPr="00CB2C86">
        <w:t>граммы з</w:t>
      </w:r>
      <w:r w:rsidRPr="00CB2C86">
        <w:t>а</w:t>
      </w:r>
      <w:r w:rsidRPr="00CB2C86">
        <w:t>писалось 1</w:t>
      </w:r>
      <w:r>
        <w:t> </w:t>
      </w:r>
      <w:r w:rsidRPr="00CB2C86">
        <w:t>465</w:t>
      </w:r>
      <w:r>
        <w:t> </w:t>
      </w:r>
      <w:r w:rsidRPr="00CB2C86">
        <w:t>взрослых учащихся.</w:t>
      </w:r>
    </w:p>
    <w:p w:rsidR="00F936A8" w:rsidRPr="00400C0B" w:rsidRDefault="00F936A8" w:rsidP="00F91733">
      <w:pPr>
        <w:pStyle w:val="H23GR"/>
        <w:tabs>
          <w:tab w:val="left" w:pos="1980"/>
          <w:tab w:val="left" w:pos="2520"/>
        </w:tabs>
      </w:pPr>
      <w:r w:rsidRPr="00400C0B">
        <w:tab/>
      </w:r>
      <w:r w:rsidRPr="00400C0B">
        <w:tab/>
        <w:t>Продолженное высшее и высшее профессиональное образов</w:t>
      </w:r>
      <w:r w:rsidRPr="00400C0B">
        <w:t>а</w:t>
      </w:r>
      <w:r w:rsidRPr="00400C0B">
        <w:t>ние</w:t>
      </w:r>
    </w:p>
    <w:p w:rsidR="00F936A8" w:rsidRPr="00CB2C86" w:rsidRDefault="00F936A8" w:rsidP="00F91733">
      <w:pPr>
        <w:pStyle w:val="SingleTxtGR"/>
        <w:tabs>
          <w:tab w:val="clear" w:pos="1701"/>
          <w:tab w:val="clear" w:pos="2268"/>
          <w:tab w:val="left" w:pos="1980"/>
          <w:tab w:val="left" w:pos="2520"/>
        </w:tabs>
      </w:pPr>
      <w:r w:rsidRPr="00CB2C86">
        <w:t>13.36</w:t>
      </w:r>
      <w:r w:rsidRPr="00CB2C86">
        <w:tab/>
        <w:t>В пунктах 536</w:t>
      </w:r>
      <w:r>
        <w:t>−</w:t>
      </w:r>
      <w:r w:rsidRPr="00CB2C86">
        <w:t>538 первоначального доклада мы изложили историю и основополагающие принципы Открытого университета Гонконга, а его посл</w:t>
      </w:r>
      <w:r w:rsidRPr="00CB2C86">
        <w:t>е</w:t>
      </w:r>
      <w:r w:rsidRPr="00CB2C86">
        <w:t xml:space="preserve">дующее становление в пункте 13.39 предыдущего доклада. В 2009/10 </w:t>
      </w:r>
      <w:r w:rsidR="00A35E26">
        <w:t>учебном году</w:t>
      </w:r>
      <w:r w:rsidRPr="00CB2C86">
        <w:t xml:space="preserve"> для учебы в магистратуре и аспирантуре и в 51 программе </w:t>
      </w:r>
      <w:proofErr w:type="spellStart"/>
      <w:r w:rsidRPr="00CB2C86">
        <w:t>бакалавриата</w:t>
      </w:r>
      <w:proofErr w:type="spellEnd"/>
      <w:r w:rsidRPr="00CB2C86">
        <w:t xml:space="preserve"> Университета записал</w:t>
      </w:r>
      <w:r w:rsidR="00954145">
        <w:t>и</w:t>
      </w:r>
      <w:r w:rsidRPr="00CB2C86">
        <w:t>сь более 17</w:t>
      </w:r>
      <w:r>
        <w:t> </w:t>
      </w:r>
      <w:r w:rsidRPr="00CB2C86">
        <w:t xml:space="preserve">000 студентов. В том же самом </w:t>
      </w:r>
      <w:r w:rsidR="00A35E26">
        <w:t>учебном г</w:t>
      </w:r>
      <w:r w:rsidR="00A35E26">
        <w:t>о</w:t>
      </w:r>
      <w:r w:rsidR="00A35E26">
        <w:t>ду</w:t>
      </w:r>
      <w:r w:rsidRPr="00CB2C86">
        <w:t xml:space="preserve"> на 158 краткосрочных и профессиональных курсах Института профессионал</w:t>
      </w:r>
      <w:r w:rsidRPr="00CB2C86">
        <w:t>ь</w:t>
      </w:r>
      <w:r w:rsidRPr="00CB2C86">
        <w:t>ного и продолженного образования Ли Кайши Открытого университета Гонко</w:t>
      </w:r>
      <w:r w:rsidRPr="00CB2C86">
        <w:t>н</w:t>
      </w:r>
      <w:r w:rsidRPr="00CB2C86">
        <w:t>га училось более 32</w:t>
      </w:r>
      <w:r>
        <w:t> </w:t>
      </w:r>
      <w:r w:rsidRPr="00CB2C86">
        <w:t>000 студентов. Положение других учебных заведений пр</w:t>
      </w:r>
      <w:r w:rsidRPr="00CB2C86">
        <w:t>о</w:t>
      </w:r>
      <w:r w:rsidRPr="00CB2C86">
        <w:t>долженного образования остается таким же, как оно изложено в пун</w:t>
      </w:r>
      <w:r w:rsidRPr="00CB2C86">
        <w:t>к</w:t>
      </w:r>
      <w:r w:rsidRPr="00CB2C86">
        <w:t>тах 13.40</w:t>
      </w:r>
      <w:r>
        <w:t>−</w:t>
      </w:r>
      <w:r w:rsidRPr="00CB2C86">
        <w:t>13.41 предыдущего доклада.</w:t>
      </w:r>
    </w:p>
    <w:p w:rsidR="00F936A8" w:rsidRPr="00400C0B" w:rsidRDefault="00F936A8" w:rsidP="00F91733">
      <w:pPr>
        <w:pStyle w:val="H1GR"/>
        <w:tabs>
          <w:tab w:val="left" w:pos="1980"/>
          <w:tab w:val="left" w:pos="2520"/>
        </w:tabs>
      </w:pPr>
      <w:r w:rsidRPr="00400C0B">
        <w:tab/>
      </w:r>
      <w:r w:rsidRPr="00400C0B">
        <w:tab/>
        <w:t>Фонд качественного образования</w:t>
      </w:r>
    </w:p>
    <w:p w:rsidR="00F936A8" w:rsidRPr="00CB2C86" w:rsidRDefault="00F936A8" w:rsidP="00F91733">
      <w:pPr>
        <w:pStyle w:val="SingleTxtGR"/>
        <w:tabs>
          <w:tab w:val="clear" w:pos="1701"/>
          <w:tab w:val="clear" w:pos="2268"/>
          <w:tab w:val="left" w:pos="1980"/>
          <w:tab w:val="left" w:pos="2520"/>
        </w:tabs>
      </w:pPr>
      <w:r w:rsidRPr="00CB2C86">
        <w:t>13.37</w:t>
      </w:r>
      <w:r w:rsidRPr="00CB2C86">
        <w:tab/>
        <w:t>Как указывалось в пункте 13.17 предыдущего доклада, основная цель Фонда качественного образования заключается в том, что</w:t>
      </w:r>
      <w:r w:rsidR="00954145">
        <w:t>бы</w:t>
      </w:r>
      <w:r w:rsidRPr="00CB2C86">
        <w:t xml:space="preserve"> поддерживать п</w:t>
      </w:r>
      <w:r w:rsidRPr="00CB2C86">
        <w:t>е</w:t>
      </w:r>
      <w:r w:rsidRPr="00CB2C86">
        <w:t>дагогические исследования и школьные инициативы, направленные на разр</w:t>
      </w:r>
      <w:r w:rsidRPr="00CB2C86">
        <w:t>а</w:t>
      </w:r>
      <w:r w:rsidRPr="00CB2C86">
        <w:t>ботку новых учебных программ и совершенствование процесса обучения. П</w:t>
      </w:r>
      <w:r w:rsidRPr="00CB2C86">
        <w:t>о</w:t>
      </w:r>
      <w:r w:rsidRPr="00CB2C86">
        <w:t>сле св</w:t>
      </w:r>
      <w:r w:rsidRPr="00CB2C86">
        <w:t>о</w:t>
      </w:r>
      <w:r w:rsidRPr="00CB2C86">
        <w:t>его основания в январе 1998</w:t>
      </w:r>
      <w:r w:rsidR="00B92291">
        <w:t> год</w:t>
      </w:r>
      <w:r w:rsidRPr="00CB2C86">
        <w:t>а в период до середины 2009</w:t>
      </w:r>
      <w:r w:rsidR="00B92291">
        <w:t> год</w:t>
      </w:r>
      <w:r w:rsidRPr="00CB2C86">
        <w:t>а Фонд выделил 3,7</w:t>
      </w:r>
      <w:r w:rsidR="004F720A">
        <w:t> </w:t>
      </w:r>
      <w:r w:rsidR="00B63D5C">
        <w:t>млрд. долл.</w:t>
      </w:r>
      <w:r w:rsidRPr="00CB2C86">
        <w:t xml:space="preserve"> на реализацию 7</w:t>
      </w:r>
      <w:r>
        <w:t> </w:t>
      </w:r>
      <w:r w:rsidRPr="00CB2C86">
        <w:t>700 проектов школ, учебных органов, н</w:t>
      </w:r>
      <w:r w:rsidRPr="00CB2C86">
        <w:t>е</w:t>
      </w:r>
      <w:r w:rsidRPr="00CB2C86">
        <w:t>коммерческих организаций, государственных органов и физических лиц.</w:t>
      </w:r>
    </w:p>
    <w:p w:rsidR="00F936A8" w:rsidRPr="00400C0B" w:rsidRDefault="00F936A8" w:rsidP="00F91733">
      <w:pPr>
        <w:pStyle w:val="H1GR"/>
        <w:tabs>
          <w:tab w:val="left" w:pos="1980"/>
          <w:tab w:val="left" w:pos="2520"/>
        </w:tabs>
      </w:pPr>
      <w:r w:rsidRPr="00400C0B">
        <w:tab/>
      </w:r>
      <w:r w:rsidRPr="00400C0B">
        <w:tab/>
        <w:t>Оценка образовательно-квалификационного уровня</w:t>
      </w:r>
    </w:p>
    <w:p w:rsidR="00F936A8" w:rsidRPr="00CB2C86" w:rsidRDefault="00F936A8" w:rsidP="00954145">
      <w:pPr>
        <w:pStyle w:val="SingleTxtGR"/>
        <w:keepLines/>
        <w:tabs>
          <w:tab w:val="clear" w:pos="1701"/>
          <w:tab w:val="clear" w:pos="2268"/>
          <w:tab w:val="left" w:pos="1980"/>
          <w:tab w:val="left" w:pos="2520"/>
        </w:tabs>
      </w:pPr>
      <w:r w:rsidRPr="00CB2C86">
        <w:t>13.38</w:t>
      </w:r>
      <w:r w:rsidRPr="00CB2C86">
        <w:tab/>
        <w:t>Гонконгская оценка образовательно-квалификационного уровня (ООКУ) была официально внедрена в мае 2008</w:t>
      </w:r>
      <w:r w:rsidR="00B92291">
        <w:t> год</w:t>
      </w:r>
      <w:r w:rsidRPr="00CB2C86">
        <w:t>а с целью содействия непр</w:t>
      </w:r>
      <w:r w:rsidRPr="00CB2C86">
        <w:t>е</w:t>
      </w:r>
      <w:r w:rsidRPr="00CB2C86">
        <w:t>рывному образованию, чтобы повысить общую конкурентоспособность рабочей силы Гонконга. ООКУ обеспечивает семиуровневую иерархию, охватывающую образовательно-квалификационный уровень в академическом, профессионал</w:t>
      </w:r>
      <w:r w:rsidRPr="00CB2C86">
        <w:t>ь</w:t>
      </w:r>
      <w:r w:rsidRPr="00CB2C86">
        <w:t>ном и непрерывном образовании. В соответствии с Указом об аккредитации академ</w:t>
      </w:r>
      <w:r w:rsidRPr="00CB2C86">
        <w:t>и</w:t>
      </w:r>
      <w:r w:rsidRPr="00CB2C86">
        <w:t xml:space="preserve">ческого и профессионального образовательно-квалификационного уровня </w:t>
      </w:r>
      <w:r>
        <w:t>(глава </w:t>
      </w:r>
      <w:r w:rsidRPr="00CB2C86">
        <w:t>592) Гонконгский совет по аккредитации академического и пр</w:t>
      </w:r>
      <w:r w:rsidRPr="00CB2C86">
        <w:t>о</w:t>
      </w:r>
      <w:r w:rsidRPr="00CB2C86">
        <w:t>фессионального образовательно-квалификационного уровня (ГСААПОУ) н</w:t>
      </w:r>
      <w:r w:rsidRPr="00CB2C86">
        <w:t>а</w:t>
      </w:r>
      <w:r w:rsidRPr="00CB2C86">
        <w:t>значен аккредитующим органом, которому поручено гарантировать качество академического и профессионального образовательно-квалификационного уровня и связанных с ним образовательных программ. Информация о квалиф</w:t>
      </w:r>
      <w:r w:rsidRPr="00CB2C86">
        <w:t>и</w:t>
      </w:r>
      <w:r w:rsidRPr="00CB2C86">
        <w:t>кациях и образовательных программах, которые имеют гарантированное кач</w:t>
      </w:r>
      <w:r w:rsidRPr="00CB2C86">
        <w:t>е</w:t>
      </w:r>
      <w:r w:rsidRPr="00CB2C86">
        <w:t>ство и признаны ООКУ, помещается в Регистр квалификаций и размещается в Интернете для беспла</w:t>
      </w:r>
      <w:r w:rsidRPr="00CB2C86">
        <w:t>т</w:t>
      </w:r>
      <w:r w:rsidRPr="00CB2C86">
        <w:t>ного доступа общественности.</w:t>
      </w:r>
    </w:p>
    <w:p w:rsidR="00F936A8" w:rsidRPr="00CB2C86" w:rsidRDefault="00F936A8" w:rsidP="00F91733">
      <w:pPr>
        <w:pStyle w:val="SingleTxtGR"/>
        <w:tabs>
          <w:tab w:val="clear" w:pos="1701"/>
          <w:tab w:val="clear" w:pos="2268"/>
          <w:tab w:val="left" w:pos="1980"/>
          <w:tab w:val="left" w:pos="2520"/>
        </w:tabs>
      </w:pPr>
      <w:r w:rsidRPr="00CB2C86">
        <w:t>13.39</w:t>
      </w:r>
      <w:r w:rsidRPr="00CB2C86">
        <w:tab/>
        <w:t>Чтобы обеспечить насущные потребности промышленности, прав</w:t>
      </w:r>
      <w:r w:rsidRPr="00CB2C86">
        <w:t>и</w:t>
      </w:r>
      <w:r w:rsidRPr="00CB2C86">
        <w:t>тельство помогает различным промышленным отраслям в создании Консульт</w:t>
      </w:r>
      <w:r w:rsidRPr="00CB2C86">
        <w:t>а</w:t>
      </w:r>
      <w:r w:rsidRPr="00CB2C86">
        <w:t>тивных промышленных комитетов по вопросам профессиональной подготовки (КПКПП), которые состоят из представителей заинтересованных основных промышленных отраслей. К настоящему времени было создано 13 КПКПП, о</w:t>
      </w:r>
      <w:r w:rsidRPr="00CB2C86">
        <w:t>с</w:t>
      </w:r>
      <w:r w:rsidRPr="00CB2C86">
        <w:t>новная задача которых заключается в разработке Спецификации стандартов компетенции (ССК) для своих конкретных отраслей, устанавливающей норм</w:t>
      </w:r>
      <w:r w:rsidRPr="00CB2C86">
        <w:t>а</w:t>
      </w:r>
      <w:r w:rsidRPr="00CB2C86">
        <w:t>тивные требования к компетенции и квалификации в различных функционал</w:t>
      </w:r>
      <w:r w:rsidRPr="00CB2C86">
        <w:t>ь</w:t>
      </w:r>
      <w:r w:rsidRPr="00CB2C86">
        <w:t>ных областях и закладывающей основу для учебных заведений по разработке программ профессиональной подготовки, удовлетворяющей потребностям их отраслей.</w:t>
      </w:r>
    </w:p>
    <w:p w:rsidR="00F936A8" w:rsidRPr="00CB2C86" w:rsidRDefault="00F936A8" w:rsidP="00F91733">
      <w:pPr>
        <w:pStyle w:val="H1GR"/>
        <w:tabs>
          <w:tab w:val="left" w:pos="1980"/>
          <w:tab w:val="left" w:pos="2520"/>
        </w:tabs>
      </w:pPr>
      <w:r w:rsidRPr="00CB2C86">
        <w:tab/>
      </w:r>
      <w:r w:rsidRPr="00CB2C86">
        <w:tab/>
        <w:t>Образование учащихся, не владеющих китайским языком</w:t>
      </w:r>
    </w:p>
    <w:p w:rsidR="00F936A8" w:rsidRPr="00CB2C86" w:rsidRDefault="00F936A8" w:rsidP="00F91733">
      <w:pPr>
        <w:pStyle w:val="SingleTxtGR"/>
        <w:tabs>
          <w:tab w:val="clear" w:pos="1701"/>
          <w:tab w:val="clear" w:pos="2268"/>
          <w:tab w:val="left" w:pos="1980"/>
          <w:tab w:val="left" w:pos="2520"/>
        </w:tabs>
      </w:pPr>
      <w:r w:rsidRPr="00CB2C86">
        <w:t>13.40</w:t>
      </w:r>
      <w:r w:rsidRPr="00CB2C86">
        <w:tab/>
        <w:t>Правительство твердо привержено задаче обеспечить всем учащимся надлежащие возможности для учебы, чтобы помочь им добиться всестороннего развития. В пунктах 13.21</w:t>
      </w:r>
      <w:r>
        <w:t>−</w:t>
      </w:r>
      <w:r w:rsidRPr="00CB2C86">
        <w:t xml:space="preserve">13.24 предыдущего доклада мы подробно обсудили ситуацию, в которой находятся дети из числа </w:t>
      </w:r>
      <w:r w:rsidR="00954145">
        <w:t>НВКЯ</w:t>
      </w:r>
      <w:r w:rsidRPr="00CB2C86">
        <w:t xml:space="preserve"> этнических меньшинств в части, касающейся образования. Как далее упоминается в пункте 13.25 пред</w:t>
      </w:r>
      <w:r w:rsidRPr="00CB2C86">
        <w:t>ы</w:t>
      </w:r>
      <w:r w:rsidRPr="00CB2C86">
        <w:t xml:space="preserve">дущего доклада, наша политика заключается именно в том, чтобы облегчить скорейшую интеграцию учащихся из числа </w:t>
      </w:r>
      <w:r w:rsidR="00954145">
        <w:t>НВКЯ</w:t>
      </w:r>
      <w:r w:rsidRPr="00CB2C86">
        <w:t xml:space="preserve"> этнических меньшинств, включающих в основном детей из числа поселившихся в Гонконге этнических меньшинств, в местную образовательную систему и основную общину. Все учащиеся, отвечающие квалификационным критериям, имеют равные возмо</w:t>
      </w:r>
      <w:r w:rsidRPr="00CB2C86">
        <w:t>ж</w:t>
      </w:r>
      <w:r w:rsidRPr="00CB2C86">
        <w:t>ности, независимо от их расы и языка, для приема в государственные начал</w:t>
      </w:r>
      <w:r w:rsidRPr="00CB2C86">
        <w:t>ь</w:t>
      </w:r>
      <w:r w:rsidRPr="00CB2C86">
        <w:t>ные и средние школы в рамках действующих систем распределения школьных мест.</w:t>
      </w:r>
    </w:p>
    <w:p w:rsidR="00F936A8" w:rsidRPr="00CB2C86" w:rsidRDefault="00F936A8" w:rsidP="00F91733">
      <w:pPr>
        <w:pStyle w:val="H23GR"/>
        <w:tabs>
          <w:tab w:val="left" w:pos="1980"/>
          <w:tab w:val="left" w:pos="2520"/>
        </w:tabs>
      </w:pPr>
      <w:r w:rsidRPr="00CB2C86">
        <w:tab/>
      </w:r>
      <w:r w:rsidRPr="00CB2C86">
        <w:tab/>
        <w:t>Поддержка образованию учащихся, не владеющих китайским языком</w:t>
      </w:r>
    </w:p>
    <w:p w:rsidR="00F936A8" w:rsidRPr="00CB2C86" w:rsidRDefault="00F936A8" w:rsidP="00F91733">
      <w:pPr>
        <w:pStyle w:val="SingleTxtGR"/>
        <w:tabs>
          <w:tab w:val="clear" w:pos="1701"/>
          <w:tab w:val="clear" w:pos="2268"/>
          <w:tab w:val="left" w:pos="1980"/>
          <w:tab w:val="left" w:pos="2520"/>
        </w:tabs>
      </w:pPr>
      <w:r w:rsidRPr="00CB2C86">
        <w:t>13.41</w:t>
      </w:r>
      <w:r w:rsidRPr="00CB2C86">
        <w:tab/>
        <w:t>Мы хорошо сознаем необходимость не допустить снижения образов</w:t>
      </w:r>
      <w:r w:rsidRPr="00CB2C86">
        <w:t>а</w:t>
      </w:r>
      <w:r w:rsidRPr="00CB2C86">
        <w:t xml:space="preserve">тельных стандартов для </w:t>
      </w:r>
      <w:r w:rsidR="00954145">
        <w:t>НВКЯ</w:t>
      </w:r>
      <w:r w:rsidRPr="00CB2C86">
        <w:t xml:space="preserve"> учащихся, что может подорвать их конкурент</w:t>
      </w:r>
      <w:r w:rsidRPr="00CB2C86">
        <w:t>о</w:t>
      </w:r>
      <w:r w:rsidRPr="00CB2C86">
        <w:t>способность в долгосрочной перспективе. Признавая что в дополнение к всп</w:t>
      </w:r>
      <w:r w:rsidRPr="00CB2C86">
        <w:t>о</w:t>
      </w:r>
      <w:r w:rsidRPr="00CB2C86">
        <w:t>могательным услугам, о чем упоминалось в пункте 13.30 предыдущего доклада, необходимо облегчить этим учащимся адаптацию к местным условиям и сист</w:t>
      </w:r>
      <w:r w:rsidRPr="00CB2C86">
        <w:t>е</w:t>
      </w:r>
      <w:r w:rsidRPr="00CB2C86">
        <w:t>ме образования, включая Ознакомительную программу, Программу посвящения и Программу школьной помощи, в последние</w:t>
      </w:r>
      <w:r w:rsidR="00B92291">
        <w:t> год</w:t>
      </w:r>
      <w:r w:rsidRPr="00CB2C86">
        <w:t xml:space="preserve">ы мы активизировали наши усилия, направленные на осуществление ряда мер, облегчающих эффективное обучение </w:t>
      </w:r>
      <w:r w:rsidR="00954145">
        <w:t>НВКЯ</w:t>
      </w:r>
      <w:r w:rsidRPr="00CB2C86">
        <w:t xml:space="preserve"> учащихся. Эти меры подробно обсуждаются ниже.</w:t>
      </w:r>
    </w:p>
    <w:p w:rsidR="00F936A8" w:rsidRPr="00CB2C86" w:rsidRDefault="00F936A8" w:rsidP="00F91733">
      <w:pPr>
        <w:pStyle w:val="H4GR"/>
        <w:tabs>
          <w:tab w:val="left" w:pos="1980"/>
          <w:tab w:val="left" w:pos="2520"/>
        </w:tabs>
        <w:spacing w:before="240"/>
        <w:ind w:left="1134" w:right="1179" w:hanging="1134"/>
      </w:pPr>
      <w:r w:rsidRPr="00CB2C86">
        <w:tab/>
      </w:r>
      <w:r w:rsidRPr="00CB2C86">
        <w:tab/>
        <w:t>Назначенные школы</w:t>
      </w:r>
    </w:p>
    <w:p w:rsidR="00F936A8" w:rsidRPr="00CB2C86" w:rsidRDefault="00F936A8" w:rsidP="00F91733">
      <w:pPr>
        <w:pStyle w:val="SingleTxtGR"/>
        <w:tabs>
          <w:tab w:val="clear" w:pos="1701"/>
          <w:tab w:val="clear" w:pos="2268"/>
          <w:tab w:val="left" w:pos="1980"/>
          <w:tab w:val="left" w:pos="2520"/>
        </w:tabs>
      </w:pPr>
      <w:r w:rsidRPr="00CB2C86">
        <w:t>13.42</w:t>
      </w:r>
      <w:r w:rsidRPr="00CB2C86">
        <w:tab/>
        <w:t xml:space="preserve">Правительство предложило школам с </w:t>
      </w:r>
      <w:r>
        <w:t>"</w:t>
      </w:r>
      <w:r w:rsidRPr="00CB2C86">
        <w:t>критической массой</w:t>
      </w:r>
      <w:r>
        <w:t>"</w:t>
      </w:r>
      <w:r w:rsidRPr="00CB2C86">
        <w:t xml:space="preserve"> </w:t>
      </w:r>
      <w:r w:rsidR="00954145">
        <w:t>НВКЯ</w:t>
      </w:r>
      <w:r w:rsidRPr="00CB2C86">
        <w:t xml:space="preserve"> учащихся стать </w:t>
      </w:r>
      <w:r>
        <w:t>"</w:t>
      </w:r>
      <w:r w:rsidRPr="00CB2C86">
        <w:t>назначенными школами</w:t>
      </w:r>
      <w:r>
        <w:t>"</w:t>
      </w:r>
      <w:r w:rsidRPr="00CB2C86">
        <w:t xml:space="preserve"> и оказывает им адресную помощь, чтобы они могли улучшить обучение </w:t>
      </w:r>
      <w:r w:rsidR="00954145">
        <w:t>НВКЯ</w:t>
      </w:r>
      <w:r w:rsidRPr="00CB2C86">
        <w:t xml:space="preserve"> учащихся, особенно по китайскому языку. Чтобы увеличить такую помощь, количество назначенных школ было последовательно увеличено с 15 в 2006/07 </w:t>
      </w:r>
      <w:r w:rsidR="00A35E26">
        <w:t>учебном году</w:t>
      </w:r>
      <w:r w:rsidRPr="00CB2C86">
        <w:t xml:space="preserve"> до 26 в 2009/10 </w:t>
      </w:r>
      <w:r w:rsidR="00A35E26">
        <w:t>уче</w:t>
      </w:r>
      <w:r w:rsidR="00A35E26">
        <w:t>б</w:t>
      </w:r>
      <w:r w:rsidR="00A35E26">
        <w:t>ном году</w:t>
      </w:r>
      <w:r w:rsidRPr="00CB2C86">
        <w:t xml:space="preserve">. Мы не ограничивали количество назначенных школ. К тому же, в 2008/09 </w:t>
      </w:r>
      <w:r w:rsidR="00A35E26">
        <w:t>учебном году</w:t>
      </w:r>
      <w:r w:rsidRPr="00CB2C86">
        <w:t xml:space="preserve"> ежегодная субсидия назначенным школам была перевед</w:t>
      </w:r>
      <w:r w:rsidRPr="00CB2C86">
        <w:t>е</w:t>
      </w:r>
      <w:r w:rsidRPr="00CB2C86">
        <w:t>на в категорию периодических субсидий, чтобы эти школы могли составлять долгосро</w:t>
      </w:r>
      <w:r w:rsidRPr="00CB2C86">
        <w:t>ч</w:t>
      </w:r>
      <w:r w:rsidRPr="00CB2C86">
        <w:t xml:space="preserve">ные планы относительно использования субсидии, причем размер субсидии был увеличен для назначенных школ с большим контингентом </w:t>
      </w:r>
      <w:r w:rsidR="00954145">
        <w:t>НВКЯ</w:t>
      </w:r>
      <w:r w:rsidRPr="00CB2C86">
        <w:t xml:space="preserve"> учащихся, чтобы они могли осуществлять школьные программы помощи этим учащимся. </w:t>
      </w:r>
    </w:p>
    <w:p w:rsidR="00F936A8" w:rsidRPr="00CB2C86" w:rsidRDefault="00F936A8" w:rsidP="00F91733">
      <w:pPr>
        <w:pStyle w:val="SingleTxtGR"/>
        <w:tabs>
          <w:tab w:val="clear" w:pos="1701"/>
          <w:tab w:val="clear" w:pos="2268"/>
          <w:tab w:val="left" w:pos="1980"/>
          <w:tab w:val="left" w:pos="2520"/>
        </w:tabs>
      </w:pPr>
      <w:r w:rsidRPr="00CB2C86">
        <w:t>13.43</w:t>
      </w:r>
      <w:r w:rsidRPr="00CB2C86">
        <w:tab/>
        <w:t>Цель заключается в том, чтобы при оказании адресной помощи назн</w:t>
      </w:r>
      <w:r w:rsidRPr="00CB2C86">
        <w:t>а</w:t>
      </w:r>
      <w:r w:rsidRPr="00CB2C86">
        <w:t>ченным школам облегчить им накопление опыта и специальных знаний в о</w:t>
      </w:r>
      <w:r w:rsidRPr="00CB2C86">
        <w:t>б</w:t>
      </w:r>
      <w:r w:rsidRPr="00CB2C86">
        <w:t xml:space="preserve">ласти обучения </w:t>
      </w:r>
      <w:r w:rsidR="00954145">
        <w:t>НВКЯ</w:t>
      </w:r>
      <w:r w:rsidRPr="00CB2C86">
        <w:t xml:space="preserve"> учащихся, чтобы эти школы могли служить трамплином для обмена наилучшей практикой с другими школами, которые принимают </w:t>
      </w:r>
      <w:r w:rsidR="00954145">
        <w:t>НВКЯ</w:t>
      </w:r>
      <w:r w:rsidRPr="00CB2C86">
        <w:t xml:space="preserve"> уч</w:t>
      </w:r>
      <w:r w:rsidRPr="00CB2C86">
        <w:t>а</w:t>
      </w:r>
      <w:r w:rsidRPr="00CB2C86">
        <w:t xml:space="preserve">щихся через созданную сеть помощи. </w:t>
      </w:r>
    </w:p>
    <w:p w:rsidR="00F936A8" w:rsidRPr="00CB2C86" w:rsidRDefault="00F936A8" w:rsidP="00F91733">
      <w:pPr>
        <w:pStyle w:val="H4GR"/>
        <w:tabs>
          <w:tab w:val="left" w:pos="1980"/>
          <w:tab w:val="left" w:pos="2520"/>
        </w:tabs>
        <w:spacing w:before="240"/>
        <w:ind w:left="1134" w:right="1179" w:hanging="1134"/>
      </w:pPr>
      <w:r w:rsidRPr="00CB2C86">
        <w:tab/>
      </w:r>
      <w:r w:rsidRPr="00CB2C86">
        <w:tab/>
        <w:t xml:space="preserve">Дополнительное руководство к учебной программе по китайскому языку </w:t>
      </w:r>
      <w:r>
        <w:br/>
      </w:r>
      <w:r w:rsidRPr="00CB2C86">
        <w:t>для не владеющих китайским языком учащихся</w:t>
      </w:r>
    </w:p>
    <w:p w:rsidR="00F936A8" w:rsidRPr="00CB2C86" w:rsidRDefault="00F936A8" w:rsidP="00F91733">
      <w:pPr>
        <w:pStyle w:val="SingleTxtGR"/>
        <w:tabs>
          <w:tab w:val="clear" w:pos="1701"/>
          <w:tab w:val="clear" w:pos="2268"/>
          <w:tab w:val="left" w:pos="1980"/>
          <w:tab w:val="left" w:pos="2520"/>
        </w:tabs>
      </w:pPr>
      <w:r w:rsidRPr="00CB2C86">
        <w:t>13.44</w:t>
      </w:r>
      <w:r w:rsidRPr="00CB2C86">
        <w:tab/>
        <w:t>Политика правительства состоит в том, чтобы облегчить не владе</w:t>
      </w:r>
      <w:r w:rsidRPr="00CB2C86">
        <w:t>ю</w:t>
      </w:r>
      <w:r w:rsidRPr="00CB2C86">
        <w:t xml:space="preserve">щим китайским языком учащимся интеграцию в местную систему образования. Соответственно, все учащиеся государственных начальных и средних школ обязаны изучать китайский и английский языки, что предоставляет право на обучение. Учитывая различные надежды и практические потребности </w:t>
      </w:r>
      <w:r w:rsidR="00954145">
        <w:t>НВКЯ</w:t>
      </w:r>
      <w:r w:rsidRPr="00CB2C86">
        <w:t xml:space="preserve"> учащихся, мы предоставляем им дополнительные возможности получить атт</w:t>
      </w:r>
      <w:r w:rsidRPr="00CB2C86">
        <w:t>е</w:t>
      </w:r>
      <w:r w:rsidRPr="00CB2C86">
        <w:t>стат о среднем образовании (китайский язык) в качестве замены ГСО и в буд</w:t>
      </w:r>
      <w:r w:rsidRPr="00CB2C86">
        <w:t>у</w:t>
      </w:r>
      <w:r w:rsidRPr="00CB2C86">
        <w:t xml:space="preserve">щем ГАСО. Эти учащиеся могут получить дополнительную квалификацию в том, что касается требования о знании китайского языка для поступления в университет. Учитывая самый разнообразный образовательный уровень </w:t>
      </w:r>
      <w:r w:rsidR="00954145">
        <w:t>НВКЯ</w:t>
      </w:r>
      <w:r w:rsidRPr="00CB2C86">
        <w:t xml:space="preserve"> учащихся, мы разработали Дополнительное руководство к учебной программе по китайскому языку для </w:t>
      </w:r>
      <w:r w:rsidR="00954145">
        <w:t>НВКЯ</w:t>
      </w:r>
      <w:r w:rsidRPr="00CB2C86">
        <w:t xml:space="preserve"> учащихся в качестве дополнения к учебной программе по китайскому языку, содержащее различные методики обучения, различные учебные курсы, дающие право на получение нескольких видов св</w:t>
      </w:r>
      <w:r w:rsidRPr="00CB2C86">
        <w:t>и</w:t>
      </w:r>
      <w:r w:rsidRPr="00CB2C86">
        <w:t>детельств. Эта стратегия получила широкое признание по обоснованным пед</w:t>
      </w:r>
      <w:r w:rsidRPr="00CB2C86">
        <w:t>а</w:t>
      </w:r>
      <w:r w:rsidRPr="00CB2C86">
        <w:t>гогическим основаниям. Дополнительное руководство призвано обеспечить ц</w:t>
      </w:r>
      <w:r w:rsidRPr="00CB2C86">
        <w:t>е</w:t>
      </w:r>
      <w:r w:rsidRPr="00CB2C86">
        <w:t xml:space="preserve">лостное и индивидуальное развитие </w:t>
      </w:r>
      <w:r w:rsidR="00954145">
        <w:t>НВКЯ</w:t>
      </w:r>
      <w:r w:rsidRPr="00CB2C86">
        <w:t xml:space="preserve"> студентов без ограничения всего круга возмо</w:t>
      </w:r>
      <w:r w:rsidRPr="00CB2C86">
        <w:t>ж</w:t>
      </w:r>
      <w:r w:rsidRPr="00CB2C86">
        <w:t xml:space="preserve">ностей для учебы учащихся с различными потребностями. </w:t>
      </w:r>
    </w:p>
    <w:p w:rsidR="00F936A8" w:rsidRPr="00CB2C86" w:rsidRDefault="00F936A8" w:rsidP="00F91733">
      <w:pPr>
        <w:pStyle w:val="SingleTxtGR"/>
        <w:tabs>
          <w:tab w:val="clear" w:pos="1701"/>
          <w:tab w:val="clear" w:pos="2268"/>
          <w:tab w:val="left" w:pos="1980"/>
          <w:tab w:val="left" w:pos="2520"/>
        </w:tabs>
      </w:pPr>
      <w:r w:rsidRPr="00CB2C86">
        <w:t>13.45</w:t>
      </w:r>
      <w:r w:rsidRPr="00CB2C86">
        <w:tab/>
        <w:t>Вместе с выпуском Дополнительного руководства, с которым знак</w:t>
      </w:r>
      <w:r w:rsidRPr="00CB2C86">
        <w:t>о</w:t>
      </w:r>
      <w:r w:rsidRPr="00CB2C86">
        <w:t>мятся учителя с целью адаптации учебной программы, БО поэтапно предоста</w:t>
      </w:r>
      <w:r w:rsidRPr="00CB2C86">
        <w:t>в</w:t>
      </w:r>
      <w:r w:rsidRPr="00CB2C86">
        <w:t xml:space="preserve">ляет </w:t>
      </w:r>
      <w:r w:rsidR="00954145">
        <w:t>НВКЯ</w:t>
      </w:r>
      <w:r w:rsidRPr="00CB2C86">
        <w:t xml:space="preserve"> учащимся и школам учебные материалы, предназначенные как для начального, так среднего уровней. К тому же, школам направляются учебные справочные материалы, в том числе комплекты материалов для самообучения. Чтобы усовершенствовать оценку способностей к обучению, разрабатываются также инструменты оценки, преследующие цель оценить степень владения к</w:t>
      </w:r>
      <w:r w:rsidRPr="00CB2C86">
        <w:t>и</w:t>
      </w:r>
      <w:r w:rsidRPr="00CB2C86">
        <w:t xml:space="preserve">тайским языком </w:t>
      </w:r>
      <w:r w:rsidR="00954145">
        <w:t>НВКЯ</w:t>
      </w:r>
      <w:r w:rsidRPr="00CB2C86">
        <w:t xml:space="preserve"> учащихся. </w:t>
      </w:r>
    </w:p>
    <w:p w:rsidR="00F936A8" w:rsidRPr="00CB2C86" w:rsidRDefault="00F936A8" w:rsidP="00F91733">
      <w:pPr>
        <w:pStyle w:val="H4GR"/>
        <w:tabs>
          <w:tab w:val="left" w:pos="1980"/>
          <w:tab w:val="left" w:pos="2520"/>
        </w:tabs>
        <w:spacing w:before="240"/>
        <w:ind w:left="1134" w:right="1179" w:hanging="1134"/>
      </w:pPr>
      <w:r w:rsidRPr="00CB2C86">
        <w:tab/>
      </w:r>
      <w:r w:rsidRPr="00CB2C86">
        <w:tab/>
        <w:t xml:space="preserve">Обеспечение преподавателей китайского языка учебными программами </w:t>
      </w:r>
      <w:r>
        <w:br/>
      </w:r>
      <w:r w:rsidRPr="00CB2C86">
        <w:t>в начальных школах</w:t>
      </w:r>
    </w:p>
    <w:p w:rsidR="00F936A8" w:rsidRPr="00CB2C86" w:rsidRDefault="00F936A8" w:rsidP="00F91733">
      <w:pPr>
        <w:pStyle w:val="SingleTxtGR"/>
        <w:tabs>
          <w:tab w:val="clear" w:pos="1701"/>
          <w:tab w:val="clear" w:pos="2268"/>
          <w:tab w:val="left" w:pos="1980"/>
          <w:tab w:val="left" w:pos="2520"/>
        </w:tabs>
      </w:pPr>
      <w:r w:rsidRPr="00CB2C86">
        <w:t>13.46</w:t>
      </w:r>
      <w:r w:rsidRPr="00CB2C86">
        <w:tab/>
        <w:t>С 2006/07 учебного</w:t>
      </w:r>
      <w:r w:rsidR="00B92291">
        <w:t> год</w:t>
      </w:r>
      <w:r w:rsidRPr="00CB2C86">
        <w:t>а высшие учебные заведения направляют пр</w:t>
      </w:r>
      <w:r w:rsidRPr="00CB2C86">
        <w:t>е</w:t>
      </w:r>
      <w:r w:rsidRPr="00CB2C86">
        <w:t xml:space="preserve">подавателям китайского языка начальных школ, обучающим </w:t>
      </w:r>
      <w:r w:rsidR="00954145">
        <w:t>НВКЯ</w:t>
      </w:r>
      <w:r w:rsidRPr="00CB2C86">
        <w:t xml:space="preserve"> учащихся, учебные материалы. Все учителя назначенных и не назначенных школ, преп</w:t>
      </w:r>
      <w:r w:rsidRPr="00CB2C86">
        <w:t>о</w:t>
      </w:r>
      <w:r w:rsidRPr="00CB2C86">
        <w:t xml:space="preserve">дающие китайский язык </w:t>
      </w:r>
      <w:r w:rsidR="00954145">
        <w:t>НВКЯ</w:t>
      </w:r>
      <w:r w:rsidRPr="00CB2C86">
        <w:t xml:space="preserve"> учащимся, могут участвовать в соответству</w:t>
      </w:r>
      <w:r w:rsidRPr="00CB2C86">
        <w:t>ю</w:t>
      </w:r>
      <w:r w:rsidRPr="00CB2C86">
        <w:t>щих программах повышения квалификации.</w:t>
      </w:r>
    </w:p>
    <w:p w:rsidR="00F936A8" w:rsidRPr="00640309" w:rsidRDefault="00F936A8" w:rsidP="00F91733">
      <w:pPr>
        <w:pStyle w:val="H4GR"/>
        <w:tabs>
          <w:tab w:val="left" w:pos="1980"/>
          <w:tab w:val="left" w:pos="2520"/>
        </w:tabs>
        <w:spacing w:before="240"/>
        <w:ind w:left="1134" w:right="1179" w:hanging="1134"/>
      </w:pPr>
      <w:r w:rsidRPr="00640309">
        <w:tab/>
      </w:r>
      <w:r w:rsidRPr="00640309">
        <w:tab/>
        <w:t>Поддержка обучению китайскому языку</w:t>
      </w:r>
    </w:p>
    <w:p w:rsidR="00F936A8" w:rsidRPr="00CB2C86" w:rsidRDefault="00F936A8" w:rsidP="00F91733">
      <w:pPr>
        <w:pStyle w:val="SingleTxtGR"/>
        <w:tabs>
          <w:tab w:val="clear" w:pos="1701"/>
          <w:tab w:val="clear" w:pos="2268"/>
          <w:tab w:val="left" w:pos="1980"/>
          <w:tab w:val="left" w:pos="2520"/>
        </w:tabs>
      </w:pPr>
      <w:r w:rsidRPr="00CB2C86">
        <w:t>13.47</w:t>
      </w:r>
      <w:r w:rsidRPr="00CB2C86">
        <w:tab/>
        <w:t xml:space="preserve">Центр поддержки обучению китайскому языку, который курирует одно из высших заведений, осуществляет корректирующее обучение </w:t>
      </w:r>
      <w:r w:rsidR="00954145">
        <w:t>НВКЯ</w:t>
      </w:r>
      <w:r w:rsidRPr="00CB2C86">
        <w:t xml:space="preserve"> учащи</w:t>
      </w:r>
      <w:r w:rsidRPr="00CB2C86">
        <w:t>х</w:t>
      </w:r>
      <w:r w:rsidRPr="00CB2C86">
        <w:t>ся, в частности тех, кто поздно начал изучать китайский язык, после школьных занятий или в праздничные дни. Центр также помогает разрабатывать соотве</w:t>
      </w:r>
      <w:r w:rsidRPr="00CB2C86">
        <w:t>т</w:t>
      </w:r>
      <w:r w:rsidRPr="00CB2C86">
        <w:t xml:space="preserve">ствующие методические материалы и оказывает помощь учителям, обучающим </w:t>
      </w:r>
      <w:r w:rsidR="00954145">
        <w:t>НВКЯ</w:t>
      </w:r>
      <w:r w:rsidRPr="00CB2C86">
        <w:t xml:space="preserve"> учащихся, организуя для них семинары по повышению профессионал</w:t>
      </w:r>
      <w:r w:rsidRPr="00CB2C86">
        <w:t>ь</w:t>
      </w:r>
      <w:r w:rsidRPr="00CB2C86">
        <w:t>ной квалификации.</w:t>
      </w:r>
    </w:p>
    <w:p w:rsidR="00F936A8" w:rsidRPr="00CB2C86" w:rsidRDefault="00F936A8" w:rsidP="00F91733">
      <w:pPr>
        <w:pStyle w:val="SingleTxtGR"/>
        <w:tabs>
          <w:tab w:val="clear" w:pos="1701"/>
          <w:tab w:val="clear" w:pos="2268"/>
          <w:tab w:val="left" w:pos="1980"/>
          <w:tab w:val="left" w:pos="2520"/>
        </w:tabs>
      </w:pPr>
      <w:r w:rsidRPr="00CB2C86">
        <w:t>13.48</w:t>
      </w:r>
      <w:r w:rsidRPr="00CB2C86">
        <w:tab/>
        <w:t>Чтобы увеличить помощь учащимся из числа этнических меньшинств в их учебе и подготовке домашних заданий, особенно по китайскому языку, н</w:t>
      </w:r>
      <w:r w:rsidRPr="00CB2C86">
        <w:t>а</w:t>
      </w:r>
      <w:r w:rsidRPr="00CB2C86">
        <w:t>чиная с 2010</w:t>
      </w:r>
      <w:r w:rsidR="00B92291">
        <w:t> год</w:t>
      </w:r>
      <w:r w:rsidRPr="00CB2C86">
        <w:t>а Бюро по конституционным вопросам и делам материкового Китая также поддерживает три обслуживающих центра для этнических мен</w:t>
      </w:r>
      <w:r w:rsidRPr="00CB2C86">
        <w:t>ь</w:t>
      </w:r>
      <w:r w:rsidRPr="00CB2C86">
        <w:t>шинств, организуя после уроков учебные занятия для учащихся из числа этн</w:t>
      </w:r>
      <w:r w:rsidRPr="00CB2C86">
        <w:t>и</w:t>
      </w:r>
      <w:r w:rsidRPr="00CB2C86">
        <w:t>ческих меньшинств, обучающихся на уровне со ступени 1 начальной школы по ступень 3 средней школы, в этих центрах, школах и других учреждениях, ук</w:t>
      </w:r>
      <w:r w:rsidRPr="00CB2C86">
        <w:t>а</w:t>
      </w:r>
      <w:r w:rsidRPr="00CB2C86">
        <w:t>занных этими центрами.</w:t>
      </w:r>
    </w:p>
    <w:p w:rsidR="00F936A8" w:rsidRPr="00640309" w:rsidRDefault="00F936A8" w:rsidP="00F91733">
      <w:pPr>
        <w:pStyle w:val="H4GR"/>
        <w:tabs>
          <w:tab w:val="left" w:pos="1980"/>
          <w:tab w:val="left" w:pos="2520"/>
        </w:tabs>
        <w:spacing w:before="240"/>
        <w:ind w:left="1134" w:right="1179" w:hanging="1134"/>
      </w:pPr>
      <w:r w:rsidRPr="00640309">
        <w:tab/>
      </w:r>
      <w:r w:rsidRPr="00640309">
        <w:tab/>
        <w:t>Программа летних школ</w:t>
      </w:r>
    </w:p>
    <w:p w:rsidR="00F936A8" w:rsidRPr="00CB2C86" w:rsidRDefault="00F936A8" w:rsidP="00F91733">
      <w:pPr>
        <w:pStyle w:val="SingleTxtGR"/>
        <w:tabs>
          <w:tab w:val="clear" w:pos="1701"/>
          <w:tab w:val="clear" w:pos="2268"/>
          <w:tab w:val="left" w:pos="1980"/>
          <w:tab w:val="left" w:pos="2520"/>
        </w:tabs>
      </w:pPr>
      <w:r w:rsidRPr="00CB2C86">
        <w:t>13.49</w:t>
      </w:r>
      <w:r w:rsidRPr="00CB2C86">
        <w:tab/>
        <w:t xml:space="preserve">Чтобы облегчить плавную интеграцию </w:t>
      </w:r>
      <w:r w:rsidR="00954145">
        <w:t>НВКЯ</w:t>
      </w:r>
      <w:r w:rsidRPr="00CB2C86">
        <w:t xml:space="preserve"> детей, обучающихся на начальной ступени 1 основной системы образования, летом 2004</w:t>
      </w:r>
      <w:r w:rsidR="00B92291">
        <w:t> год</w:t>
      </w:r>
      <w:r w:rsidRPr="00CB2C86">
        <w:t>а в дейс</w:t>
      </w:r>
      <w:r w:rsidRPr="00CB2C86">
        <w:t>т</w:t>
      </w:r>
      <w:r w:rsidRPr="00CB2C86">
        <w:t xml:space="preserve">вие была введена четырехнедельная программа летних школ, которая нацелена на оказание помощи </w:t>
      </w:r>
      <w:r w:rsidR="00954145">
        <w:t>НВКЯ</w:t>
      </w:r>
      <w:r w:rsidRPr="00CB2C86">
        <w:t xml:space="preserve"> детям приспособиться к новым учебным/школьным условиям, расширяя тем самым их учебный опыт/общение на кантонском ди</w:t>
      </w:r>
      <w:r w:rsidRPr="00CB2C86">
        <w:t>а</w:t>
      </w:r>
      <w:r w:rsidRPr="00CB2C86">
        <w:t>лекте в качестве ЯЗО в реальных школьных условиях и стимулируя их интерес к китайской культуре. С лета 2007</w:t>
      </w:r>
      <w:r w:rsidR="00B92291">
        <w:t> год</w:t>
      </w:r>
      <w:r w:rsidRPr="00CB2C86">
        <w:t>а Программа летних школ была расшир</w:t>
      </w:r>
      <w:r w:rsidRPr="00CB2C86">
        <w:t>е</w:t>
      </w:r>
      <w:r w:rsidRPr="00CB2C86">
        <w:t xml:space="preserve">на, чтобы охватить не только </w:t>
      </w:r>
      <w:r w:rsidR="00954145">
        <w:t>НВКЯ</w:t>
      </w:r>
      <w:r w:rsidRPr="00CB2C86">
        <w:t xml:space="preserve"> детей ступени 1 начальной школы, но и учащихся поступающих на ступени 2, 3 и 4 начальной школы, чтобы закрепить знания, полученные ими на основной первой ступени (уровни1</w:t>
      </w:r>
      <w:r>
        <w:t>−</w:t>
      </w:r>
      <w:r w:rsidRPr="00CB2C86">
        <w:t>3 начальной школы) и подготовить их переход на основную вторую ступень (уровни 4</w:t>
      </w:r>
      <w:r>
        <w:t>−</w:t>
      </w:r>
      <w:r w:rsidRPr="00CB2C86">
        <w:t>6 н</w:t>
      </w:r>
      <w:r w:rsidRPr="00CB2C86">
        <w:t>а</w:t>
      </w:r>
      <w:r w:rsidRPr="00CB2C86">
        <w:t>чальной школы).</w:t>
      </w:r>
    </w:p>
    <w:p w:rsidR="00F936A8" w:rsidRPr="00640309" w:rsidRDefault="00F936A8" w:rsidP="00F91733">
      <w:pPr>
        <w:pStyle w:val="H4GR"/>
        <w:tabs>
          <w:tab w:val="left" w:pos="1980"/>
          <w:tab w:val="left" w:pos="2520"/>
        </w:tabs>
        <w:spacing w:before="240"/>
        <w:ind w:left="1134" w:right="1179" w:hanging="1134"/>
      </w:pPr>
      <w:r w:rsidRPr="00640309">
        <w:tab/>
      </w:r>
      <w:r w:rsidRPr="00640309">
        <w:tab/>
        <w:t>Меры, направленные на реализацию надежд не владеющих кита</w:t>
      </w:r>
      <w:r w:rsidRPr="00640309">
        <w:t>й</w:t>
      </w:r>
      <w:r w:rsidRPr="00640309">
        <w:t>ским языком учащихся в области образования</w:t>
      </w:r>
    </w:p>
    <w:p w:rsidR="00F936A8" w:rsidRPr="00CB2C86" w:rsidRDefault="00F936A8" w:rsidP="00F91733">
      <w:pPr>
        <w:pStyle w:val="SingleTxtGR"/>
        <w:tabs>
          <w:tab w:val="clear" w:pos="1701"/>
          <w:tab w:val="clear" w:pos="2268"/>
          <w:tab w:val="left" w:pos="1980"/>
          <w:tab w:val="left" w:pos="2520"/>
        </w:tabs>
      </w:pPr>
      <w:r w:rsidRPr="00CB2C86">
        <w:t>13.50</w:t>
      </w:r>
      <w:r w:rsidRPr="00CB2C86">
        <w:tab/>
        <w:t>Некоторые комментаторы выразили беспокойство в связи с тем фа</w:t>
      </w:r>
      <w:r w:rsidRPr="00CB2C86">
        <w:t>к</w:t>
      </w:r>
      <w:r w:rsidRPr="00CB2C86">
        <w:t xml:space="preserve">том, что возможности </w:t>
      </w:r>
      <w:r w:rsidR="00954145">
        <w:t>НВКЯ</w:t>
      </w:r>
      <w:r w:rsidRPr="00CB2C86">
        <w:t xml:space="preserve"> учащихся получить доступ к высшему образов</w:t>
      </w:r>
      <w:r w:rsidRPr="00CB2C86">
        <w:t>а</w:t>
      </w:r>
      <w:r w:rsidRPr="00CB2C86">
        <w:t>нию ограничиваются уровнем их владения китайским языком. Чтобы содейс</w:t>
      </w:r>
      <w:r w:rsidRPr="00CB2C86">
        <w:t>т</w:t>
      </w:r>
      <w:r w:rsidRPr="00CB2C86">
        <w:t xml:space="preserve">вовать осуществлению надежд </w:t>
      </w:r>
      <w:r w:rsidR="00954145">
        <w:t>НВКЯ</w:t>
      </w:r>
      <w:r w:rsidRPr="00CB2C86">
        <w:t xml:space="preserve"> учащихся в сфере высшего образования, были приняты различные меры поддержки. После представления предыдущего доклада с 2007</w:t>
      </w:r>
      <w:r w:rsidR="00B92291">
        <w:t> год</w:t>
      </w:r>
      <w:r w:rsidRPr="00CB2C86">
        <w:t>а учащимся, желающим получить альтернативную квалиф</w:t>
      </w:r>
      <w:r w:rsidRPr="00CB2C86">
        <w:t>и</w:t>
      </w:r>
      <w:r w:rsidRPr="00CB2C86">
        <w:t>кацию по китайскому языку, предоставляется возможность сдать экзамен и п</w:t>
      </w:r>
      <w:r w:rsidRPr="00CB2C86">
        <w:t>о</w:t>
      </w:r>
      <w:r w:rsidRPr="00CB2C86">
        <w:t>лучить Общее свидетельство о среднем образовании (китайский язык) через Экзаменационную и оценочную комиссию Гонконга.</w:t>
      </w:r>
    </w:p>
    <w:p w:rsidR="00F936A8" w:rsidRPr="00CB2C86" w:rsidRDefault="00F936A8" w:rsidP="00F91733">
      <w:pPr>
        <w:pStyle w:val="SingleTxtGR"/>
        <w:tabs>
          <w:tab w:val="clear" w:pos="1701"/>
          <w:tab w:val="clear" w:pos="2268"/>
          <w:tab w:val="left" w:pos="1980"/>
          <w:tab w:val="left" w:pos="2520"/>
        </w:tabs>
      </w:pPr>
      <w:r w:rsidRPr="00CB2C86">
        <w:t>13.51</w:t>
      </w:r>
      <w:r w:rsidRPr="00CB2C86">
        <w:tab/>
        <w:t>Школы государственного сектора намерены учитывать альтернати</w:t>
      </w:r>
      <w:r w:rsidRPr="00CB2C86">
        <w:t>в</w:t>
      </w:r>
      <w:r w:rsidRPr="00CB2C86">
        <w:t>ную квалификацию по китайскому языку при приеме на 6 ступень средней школы и делать условные предложения удовлетворяющим квалификационным требованиям соискателям в конкретных обстоятельствах в зависимости от р</w:t>
      </w:r>
      <w:r w:rsidRPr="00CB2C86">
        <w:t>е</w:t>
      </w:r>
      <w:r w:rsidRPr="00CB2C86">
        <w:t>зультатов экзамена. Аналогичным образом, с 2008</w:t>
      </w:r>
      <w:r w:rsidR="00B92291">
        <w:t> год</w:t>
      </w:r>
      <w:r w:rsidRPr="00CB2C86">
        <w:t>а финансируемые КУГ учебные заведения в особых случаях собираются учитывать альтернативную квалифик</w:t>
      </w:r>
      <w:r w:rsidRPr="00CB2C86">
        <w:t>а</w:t>
      </w:r>
      <w:r w:rsidRPr="00CB2C86">
        <w:t>цию по китайскому языку, аналогичную ОССО, Общему аттестату о среднем образовании (ОАСО) и Международному общему аттестату о среднем образ</w:t>
      </w:r>
      <w:r w:rsidRPr="00CB2C86">
        <w:t>о</w:t>
      </w:r>
      <w:r w:rsidRPr="00CB2C86">
        <w:t>вании (МОАСО) вместо общего свидетельства о владении ки</w:t>
      </w:r>
      <w:r w:rsidR="00D37021">
        <w:t xml:space="preserve">тайским языком, основанного на </w:t>
      </w:r>
      <w:r w:rsidRPr="00CB2C86">
        <w:t>Гонконгском свидетельстве об образовании продвин</w:t>
      </w:r>
      <w:r w:rsidRPr="00CB2C86">
        <w:t>у</w:t>
      </w:r>
      <w:r w:rsidRPr="00CB2C86">
        <w:t>того уровня (ГСОПУ) при подаче заявлений в рамках Совместной университе</w:t>
      </w:r>
      <w:r w:rsidRPr="00CB2C86">
        <w:t>т</w:t>
      </w:r>
      <w:r w:rsidRPr="00CB2C86">
        <w:t>ской программы приема студентов (СУПРП).</w:t>
      </w:r>
    </w:p>
    <w:p w:rsidR="00F936A8" w:rsidRPr="00640309" w:rsidRDefault="00F936A8" w:rsidP="00F91733">
      <w:pPr>
        <w:pStyle w:val="H4GR"/>
        <w:tabs>
          <w:tab w:val="left" w:pos="1980"/>
          <w:tab w:val="left" w:pos="2520"/>
        </w:tabs>
        <w:spacing w:before="240"/>
        <w:ind w:left="1134" w:right="1179" w:hanging="1134"/>
      </w:pPr>
      <w:r w:rsidRPr="00640309">
        <w:tab/>
      </w:r>
      <w:r w:rsidRPr="00640309">
        <w:tab/>
        <w:t>Информация для не владеющих китайским языком родит</w:t>
      </w:r>
      <w:r w:rsidRPr="00640309">
        <w:t>е</w:t>
      </w:r>
      <w:r w:rsidRPr="00640309">
        <w:t>лей/учащихся</w:t>
      </w:r>
    </w:p>
    <w:p w:rsidR="00F936A8" w:rsidRPr="00CB2C86" w:rsidRDefault="00F936A8" w:rsidP="00F91733">
      <w:pPr>
        <w:pStyle w:val="SingleTxtGR"/>
        <w:tabs>
          <w:tab w:val="clear" w:pos="1701"/>
          <w:tab w:val="clear" w:pos="2268"/>
          <w:tab w:val="left" w:pos="1980"/>
          <w:tab w:val="left" w:pos="2520"/>
        </w:tabs>
      </w:pPr>
      <w:r w:rsidRPr="00CB2C86">
        <w:t>13.52</w:t>
      </w:r>
      <w:r w:rsidRPr="00CB2C86">
        <w:tab/>
        <w:t>Информация о местной системе образования, мерах поддержки, а та</w:t>
      </w:r>
      <w:r w:rsidRPr="00CB2C86">
        <w:t>к</w:t>
      </w:r>
      <w:r w:rsidRPr="00CB2C86">
        <w:t xml:space="preserve">же о наличии мест на ступенях 1 средней и начальной школы переводится на распространенные языки этнических меньшинств Гонконга, чтобы облегчить процесс информирования </w:t>
      </w:r>
      <w:r w:rsidR="00954145">
        <w:t>НВКЯ</w:t>
      </w:r>
      <w:r w:rsidRPr="00CB2C86">
        <w:t xml:space="preserve"> родителей.</w:t>
      </w:r>
    </w:p>
    <w:p w:rsidR="00F936A8" w:rsidRPr="00CB2C86" w:rsidRDefault="00F936A8" w:rsidP="00F91733">
      <w:pPr>
        <w:pStyle w:val="H23GR"/>
        <w:tabs>
          <w:tab w:val="left" w:pos="1980"/>
          <w:tab w:val="left" w:pos="2520"/>
        </w:tabs>
      </w:pPr>
      <w:r w:rsidRPr="00CB2C86">
        <w:tab/>
      </w:r>
      <w:r w:rsidRPr="00CB2C86">
        <w:tab/>
        <w:t>Возможности не владеющих китайским языком учащихся по изучению своего родного языка</w:t>
      </w:r>
    </w:p>
    <w:p w:rsidR="00F936A8" w:rsidRPr="00CB2C86" w:rsidRDefault="00F936A8" w:rsidP="00F91733">
      <w:pPr>
        <w:pStyle w:val="SingleTxtGR"/>
        <w:tabs>
          <w:tab w:val="clear" w:pos="1701"/>
          <w:tab w:val="clear" w:pos="2268"/>
          <w:tab w:val="left" w:pos="1980"/>
          <w:tab w:val="left" w:pos="2520"/>
        </w:tabs>
      </w:pPr>
      <w:r w:rsidRPr="00CB2C86">
        <w:t>13.53</w:t>
      </w:r>
      <w:r w:rsidRPr="00CB2C86">
        <w:tab/>
        <w:t>Как было разъяснено в пункте 13.25 предыдущего доклада, мы счит</w:t>
      </w:r>
      <w:r w:rsidRPr="00CB2C86">
        <w:t>а</w:t>
      </w:r>
      <w:r w:rsidRPr="00CB2C86">
        <w:t>ем интеграцию лучшим вариантом, чем учреждение школ специально для об</w:t>
      </w:r>
      <w:r w:rsidRPr="00CB2C86">
        <w:t>у</w:t>
      </w:r>
      <w:r w:rsidRPr="00CB2C86">
        <w:t xml:space="preserve">чения </w:t>
      </w:r>
      <w:r w:rsidR="00954145">
        <w:t>НВКЯ</w:t>
      </w:r>
      <w:r w:rsidRPr="00CB2C86">
        <w:t xml:space="preserve"> учащихся для повышения их конкурентоспособности с точки зр</w:t>
      </w:r>
      <w:r w:rsidRPr="00CB2C86">
        <w:t>е</w:t>
      </w:r>
      <w:r w:rsidRPr="00CB2C86">
        <w:t>ния будущих образовательных и профессиональных возможностей. Правител</w:t>
      </w:r>
      <w:r w:rsidRPr="00CB2C86">
        <w:t>ь</w:t>
      </w:r>
      <w:r w:rsidRPr="00CB2C86">
        <w:t>ство поощряет преподавание в государственных школах двух официальных языков, т.е. китайского и английского, чтобы облегчить быстрейшую интегр</w:t>
      </w:r>
      <w:r w:rsidRPr="00CB2C86">
        <w:t>а</w:t>
      </w:r>
      <w:r w:rsidRPr="00CB2C86">
        <w:t xml:space="preserve">цию. Это отнюдь не означает, что </w:t>
      </w:r>
      <w:r w:rsidR="00954145">
        <w:t>НВКЯ</w:t>
      </w:r>
      <w:r w:rsidRPr="00CB2C86">
        <w:t xml:space="preserve"> учащиеся должны любой ценой из</w:t>
      </w:r>
      <w:r w:rsidRPr="00CB2C86">
        <w:t>у</w:t>
      </w:r>
      <w:r w:rsidRPr="00CB2C86">
        <w:t>чать кита</w:t>
      </w:r>
      <w:r w:rsidRPr="00CB2C86">
        <w:t>й</w:t>
      </w:r>
      <w:r w:rsidRPr="00CB2C86">
        <w:t xml:space="preserve">ский язык. При соблюдении предписанных критериев квалификации преподавателей и помощи школ в зависимости от выбранного языка обучения школы, которые приняли </w:t>
      </w:r>
      <w:r>
        <w:t>"</w:t>
      </w:r>
      <w:r w:rsidRPr="00CB2C86">
        <w:t>критическую массу</w:t>
      </w:r>
      <w:r>
        <w:t>"</w:t>
      </w:r>
      <w:r w:rsidRPr="00CB2C86">
        <w:t xml:space="preserve"> </w:t>
      </w:r>
      <w:r w:rsidR="00954145">
        <w:t>НВКЯ</w:t>
      </w:r>
      <w:r w:rsidRPr="00CB2C86">
        <w:t xml:space="preserve"> учащихся и которые о</w:t>
      </w:r>
      <w:r w:rsidRPr="00CB2C86">
        <w:t>п</w:t>
      </w:r>
      <w:r w:rsidRPr="00CB2C86">
        <w:t xml:space="preserve">ределили, что эти учащиеся могли бы лучше учиться на английском языке, для благополучия </w:t>
      </w:r>
      <w:r w:rsidR="00954145">
        <w:t>НВКЯ</w:t>
      </w:r>
      <w:r w:rsidRPr="00CB2C86">
        <w:t xml:space="preserve"> учащихся могут по своему усмотрению вести преподав</w:t>
      </w:r>
      <w:r w:rsidRPr="00CB2C86">
        <w:t>а</w:t>
      </w:r>
      <w:r w:rsidRPr="00CB2C86">
        <w:t>ние на английском языке.</w:t>
      </w:r>
    </w:p>
    <w:p w:rsidR="00F936A8" w:rsidRPr="00CB2C86" w:rsidRDefault="00F936A8" w:rsidP="00F91733">
      <w:pPr>
        <w:pStyle w:val="SingleTxtGR"/>
        <w:tabs>
          <w:tab w:val="clear" w:pos="1701"/>
          <w:tab w:val="clear" w:pos="2268"/>
          <w:tab w:val="left" w:pos="1980"/>
          <w:tab w:val="left" w:pos="2520"/>
        </w:tabs>
      </w:pPr>
      <w:r w:rsidRPr="00CB2C86">
        <w:t>13.54</w:t>
      </w:r>
      <w:r w:rsidRPr="00CB2C86">
        <w:tab/>
        <w:t xml:space="preserve">Мы в полном объеме соблюдаем право </w:t>
      </w:r>
      <w:r w:rsidR="00954145">
        <w:t>НВКЯ</w:t>
      </w:r>
      <w:r w:rsidRPr="00CB2C86">
        <w:t xml:space="preserve"> учащихся на использ</w:t>
      </w:r>
      <w:r w:rsidRPr="00CB2C86">
        <w:t>о</w:t>
      </w:r>
      <w:r w:rsidRPr="00CB2C86">
        <w:t xml:space="preserve">вание своих родных языков и культуры. С другой стороны, мы считаем, что все государственные школы, принимающие </w:t>
      </w:r>
      <w:r w:rsidR="00954145">
        <w:t>НВКЯ</w:t>
      </w:r>
      <w:r w:rsidRPr="00CB2C86">
        <w:t xml:space="preserve"> учащихся, не могут вести для них учебные курсы по соответствующим языкам этнических меньшинств. Мы также не считаем, что наши школы государственного сектора образования об</w:t>
      </w:r>
      <w:r w:rsidRPr="00CB2C86">
        <w:t>я</w:t>
      </w:r>
      <w:r w:rsidRPr="00CB2C86">
        <w:t>заны это делать. Вместе с тем отдельные школы могут перегруппировать ресу</w:t>
      </w:r>
      <w:r w:rsidRPr="00CB2C86">
        <w:t>р</w:t>
      </w:r>
      <w:r w:rsidRPr="00CB2C86">
        <w:t>сы, чтобы для удовлетворения потребностей своих учащихся преподавать др</w:t>
      </w:r>
      <w:r w:rsidRPr="00CB2C86">
        <w:t>у</w:t>
      </w:r>
      <w:r w:rsidRPr="00CB2C86">
        <w:t>гие языки при условии, что вся предлагаемая учебная программа будет ш</w:t>
      </w:r>
      <w:r w:rsidRPr="00CB2C86">
        <w:t>и</w:t>
      </w:r>
      <w:r w:rsidRPr="00CB2C86">
        <w:t xml:space="preserve">рокой и сбалансированной. Мы знаем, что некоторые школы ведут учебные курсы по языкам этнических меньшинств для своих </w:t>
      </w:r>
      <w:r w:rsidR="00954145">
        <w:t>НВКЯ</w:t>
      </w:r>
      <w:r w:rsidRPr="00CB2C86">
        <w:t xml:space="preserve"> учеников во время учебных занятий или после них и организуют культурные мероприятия для своих уч</w:t>
      </w:r>
      <w:r w:rsidRPr="00CB2C86">
        <w:t>а</w:t>
      </w:r>
      <w:r w:rsidRPr="00CB2C86">
        <w:t>щихся.</w:t>
      </w:r>
    </w:p>
    <w:p w:rsidR="00F936A8" w:rsidRPr="00CB2C86" w:rsidRDefault="00F936A8" w:rsidP="00F91733">
      <w:pPr>
        <w:pStyle w:val="SingleTxtGR"/>
        <w:tabs>
          <w:tab w:val="clear" w:pos="1701"/>
          <w:tab w:val="clear" w:pos="2268"/>
          <w:tab w:val="left" w:pos="1980"/>
          <w:tab w:val="left" w:pos="2520"/>
        </w:tabs>
      </w:pPr>
      <w:r w:rsidRPr="00CB2C86">
        <w:t>13.55</w:t>
      </w:r>
      <w:r w:rsidRPr="00CB2C86">
        <w:tab/>
        <w:t>Как уже упоминалось в пункте 13.25 предыдущего доклада, мы также осознаем, что некоторые родители хотели бы, чтобы их дети получали образ</w:t>
      </w:r>
      <w:r w:rsidRPr="00CB2C86">
        <w:t>о</w:t>
      </w:r>
      <w:r w:rsidRPr="00CB2C86">
        <w:t xml:space="preserve">вание  не в общеобразовательных школах. В этом отношении для </w:t>
      </w:r>
      <w:r w:rsidR="00954145">
        <w:t>НВКЯ</w:t>
      </w:r>
      <w:r w:rsidRPr="00CB2C86">
        <w:t xml:space="preserve"> уч</w:t>
      </w:r>
      <w:r w:rsidRPr="00CB2C86">
        <w:t>а</w:t>
      </w:r>
      <w:r w:rsidRPr="00CB2C86">
        <w:t>щихся существуют учебные альтернативы государственному сектору образов</w:t>
      </w:r>
      <w:r w:rsidRPr="00CB2C86">
        <w:t>а</w:t>
      </w:r>
      <w:r w:rsidRPr="00CB2C86">
        <w:t>ния. Например, есть частные школы с иностранной учебной программой н</w:t>
      </w:r>
      <w:r w:rsidRPr="00CB2C86">
        <w:t>а</w:t>
      </w:r>
      <w:r w:rsidRPr="00CB2C86">
        <w:t xml:space="preserve">чального и среднего уровней. В 2009/10 </w:t>
      </w:r>
      <w:r w:rsidR="00A35E26">
        <w:t>учебном году</w:t>
      </w:r>
      <w:r w:rsidRPr="00CB2C86">
        <w:t xml:space="preserve"> целый ряд учебных пр</w:t>
      </w:r>
      <w:r w:rsidRPr="00CB2C86">
        <w:t>о</w:t>
      </w:r>
      <w:r w:rsidRPr="00CB2C86">
        <w:t>грамм предлагали 50 международных школ, включая программы США, Австр</w:t>
      </w:r>
      <w:r w:rsidRPr="00CB2C86">
        <w:t>а</w:t>
      </w:r>
      <w:r w:rsidRPr="00CB2C86">
        <w:t>лии, Канады, Англии, Франции, Германии, Японии, Кореи, Сингапура и Ме</w:t>
      </w:r>
      <w:r w:rsidRPr="00CB2C86">
        <w:t>ж</w:t>
      </w:r>
      <w:r w:rsidRPr="00CB2C86">
        <w:t xml:space="preserve">дународного </w:t>
      </w:r>
      <w:proofErr w:type="spellStart"/>
      <w:r w:rsidRPr="00CB2C86">
        <w:t>бакалавриата</w:t>
      </w:r>
      <w:proofErr w:type="spellEnd"/>
      <w:r w:rsidRPr="00CB2C86">
        <w:t>.</w:t>
      </w:r>
    </w:p>
    <w:p w:rsidR="00F936A8" w:rsidRPr="00CB2C86" w:rsidRDefault="00F936A8" w:rsidP="00F91733">
      <w:pPr>
        <w:pStyle w:val="H23GR"/>
        <w:tabs>
          <w:tab w:val="left" w:pos="1980"/>
          <w:tab w:val="left" w:pos="2520"/>
        </w:tabs>
      </w:pPr>
      <w:r w:rsidRPr="00CB2C86">
        <w:tab/>
      </w:r>
      <w:r w:rsidRPr="00CB2C86">
        <w:tab/>
        <w:t>Продвижение вперед</w:t>
      </w:r>
    </w:p>
    <w:p w:rsidR="00F936A8" w:rsidRPr="00CB2C86" w:rsidRDefault="00F936A8" w:rsidP="00F91733">
      <w:pPr>
        <w:pStyle w:val="SingleTxtGR"/>
        <w:tabs>
          <w:tab w:val="clear" w:pos="1701"/>
          <w:tab w:val="clear" w:pos="2268"/>
          <w:tab w:val="left" w:pos="1980"/>
          <w:tab w:val="left" w:pos="2520"/>
        </w:tabs>
      </w:pPr>
      <w:r w:rsidRPr="00CB2C86">
        <w:t>13.56</w:t>
      </w:r>
      <w:r w:rsidRPr="00CB2C86">
        <w:tab/>
        <w:t xml:space="preserve">Вообще говоря, для того чтобы меры поддержки </w:t>
      </w:r>
      <w:r w:rsidR="00954145">
        <w:t>НВКЯ</w:t>
      </w:r>
      <w:r w:rsidRPr="00CB2C86">
        <w:t xml:space="preserve"> учащимся ук</w:t>
      </w:r>
      <w:r w:rsidRPr="00CB2C86">
        <w:t>о</w:t>
      </w:r>
      <w:r w:rsidRPr="00CB2C86">
        <w:t>ренились и оказывали на них устойчивое воздействие, требуется время. Мы продолжим обзор эффективности различных мер поддержки и будем тесно с</w:t>
      </w:r>
      <w:r w:rsidRPr="00CB2C86">
        <w:t>о</w:t>
      </w:r>
      <w:r w:rsidRPr="00CB2C86">
        <w:t xml:space="preserve">трудничать с заинтересованными сторонами для удовлетворения подлинных потребностей </w:t>
      </w:r>
      <w:r w:rsidR="00954145">
        <w:t>НВКЯ</w:t>
      </w:r>
      <w:r w:rsidRPr="00CB2C86">
        <w:t xml:space="preserve"> учащихся.</w:t>
      </w:r>
    </w:p>
    <w:p w:rsidR="00F936A8" w:rsidRPr="00CB2C86" w:rsidRDefault="00F936A8" w:rsidP="00F91733">
      <w:pPr>
        <w:pStyle w:val="H1GR"/>
        <w:tabs>
          <w:tab w:val="left" w:pos="1980"/>
          <w:tab w:val="left" w:pos="2520"/>
        </w:tabs>
      </w:pPr>
      <w:r w:rsidRPr="00CB2C86">
        <w:tab/>
      </w:r>
      <w:r w:rsidRPr="00CB2C86">
        <w:tab/>
        <w:t>Образование учащихся с ограниченными возможностями</w:t>
      </w:r>
    </w:p>
    <w:p w:rsidR="00F936A8" w:rsidRPr="00CB2C86" w:rsidRDefault="00F936A8" w:rsidP="00F91733">
      <w:pPr>
        <w:pStyle w:val="SingleTxtGR"/>
        <w:tabs>
          <w:tab w:val="clear" w:pos="1701"/>
          <w:tab w:val="clear" w:pos="2268"/>
          <w:tab w:val="left" w:pos="1980"/>
          <w:tab w:val="left" w:pos="2520"/>
        </w:tabs>
      </w:pPr>
      <w:r w:rsidRPr="00CB2C86">
        <w:t>13.57</w:t>
      </w:r>
      <w:r w:rsidRPr="00CB2C86">
        <w:tab/>
        <w:t>Как было разъяснено в предыдущих докладах, дети с особыми п</w:t>
      </w:r>
      <w:r w:rsidRPr="00CB2C86">
        <w:t>о</w:t>
      </w:r>
      <w:r w:rsidRPr="00CB2C86">
        <w:t>требностями пользуются равными возможностями для получения образования в общеобразовательных школах государственного сектора образования и получ</w:t>
      </w:r>
      <w:r w:rsidRPr="00CB2C86">
        <w:t>а</w:t>
      </w:r>
      <w:r w:rsidRPr="00CB2C86">
        <w:t>ют надлежащую поддержку и размещение, чтобы они могли развить свои п</w:t>
      </w:r>
      <w:r w:rsidRPr="00CB2C86">
        <w:t>о</w:t>
      </w:r>
      <w:r w:rsidRPr="00CB2C86">
        <w:t>тенциальные возможности. Те же дети, которые в силу своих сложных потре</w:t>
      </w:r>
      <w:r w:rsidRPr="00CB2C86">
        <w:t>б</w:t>
      </w:r>
      <w:r w:rsidRPr="00CB2C86">
        <w:t>ностей или крайне тяжелых форм инвалидности не могут получать образование в обычных школах, получают образование в специализированных государс</w:t>
      </w:r>
      <w:r w:rsidRPr="00CB2C86">
        <w:t>т</w:t>
      </w:r>
      <w:r w:rsidRPr="00CB2C86">
        <w:t xml:space="preserve">венных школах. </w:t>
      </w:r>
    </w:p>
    <w:p w:rsidR="00F936A8" w:rsidRPr="00CB2C86" w:rsidRDefault="00F936A8" w:rsidP="00F91733">
      <w:pPr>
        <w:pStyle w:val="SingleTxtGR"/>
        <w:tabs>
          <w:tab w:val="clear" w:pos="1701"/>
          <w:tab w:val="clear" w:pos="2268"/>
          <w:tab w:val="left" w:pos="1980"/>
          <w:tab w:val="left" w:pos="2520"/>
        </w:tabs>
      </w:pPr>
      <w:r w:rsidRPr="00CB2C86">
        <w:t>13.58</w:t>
      </w:r>
      <w:r w:rsidRPr="00CB2C86">
        <w:tab/>
        <w:t xml:space="preserve">После внедрения академической структуры НСШ в 2009/10 </w:t>
      </w:r>
      <w:r w:rsidR="00A35E26">
        <w:t>учебном году</w:t>
      </w:r>
      <w:r w:rsidRPr="00CB2C86">
        <w:t xml:space="preserve"> все учащиеся государственных общеобразовательных и специализирова</w:t>
      </w:r>
      <w:r w:rsidRPr="00CB2C86">
        <w:t>н</w:t>
      </w:r>
      <w:r w:rsidRPr="00CB2C86">
        <w:t>ных школ, в том числе специализированных школ для детей с умственной о</w:t>
      </w:r>
      <w:r w:rsidRPr="00CB2C86">
        <w:t>т</w:t>
      </w:r>
      <w:r w:rsidRPr="00CB2C86">
        <w:t>сталостью (УО)</w:t>
      </w:r>
      <w:r w:rsidR="00D37021">
        <w:t>,</w:t>
      </w:r>
      <w:r w:rsidRPr="00CB2C86">
        <w:t xml:space="preserve"> пользуются равными возможностями для получения беспла</w:t>
      </w:r>
      <w:r w:rsidRPr="00CB2C86">
        <w:t>т</w:t>
      </w:r>
      <w:r w:rsidRPr="00CB2C86">
        <w:t>ного начального, младшего и старшего среднего образования. В соответствии с академической структурой НСШ специализированные школы для детей с УО дают двенадцатилетнее бесплатное образование, включающее шесть классов начал</w:t>
      </w:r>
      <w:r w:rsidRPr="00CB2C86">
        <w:t>ь</w:t>
      </w:r>
      <w:r w:rsidRPr="00CB2C86">
        <w:t>ного образования и три класса младшего среднего и три класса старшего среднего образования. Для учащихся с нормальными умственными способн</w:t>
      </w:r>
      <w:r w:rsidRPr="00CB2C86">
        <w:t>о</w:t>
      </w:r>
      <w:r w:rsidRPr="00CB2C86">
        <w:t>стями, осваивающих общеобразовательную учебную программу в специализ</w:t>
      </w:r>
      <w:r w:rsidRPr="00CB2C86">
        <w:t>и</w:t>
      </w:r>
      <w:r w:rsidRPr="00CB2C86">
        <w:t>рованных школах для детей с нарушениями слуха (НС) и специализированных школах для детей с физической инвалидностью (ФИ) будет сохраняться десят</w:t>
      </w:r>
      <w:r w:rsidRPr="00CB2C86">
        <w:t>и</w:t>
      </w:r>
      <w:r w:rsidRPr="00CB2C86">
        <w:t>летнее базовое образование, чтобы лучше подготовить их к учебе в трех кла</w:t>
      </w:r>
      <w:r w:rsidRPr="00CB2C86">
        <w:t>с</w:t>
      </w:r>
      <w:r w:rsidRPr="00CB2C86">
        <w:t>сах старшего среднего образования, дающих право на получение ГССО.</w:t>
      </w:r>
    </w:p>
    <w:p w:rsidR="00F936A8" w:rsidRPr="00CB2C86" w:rsidRDefault="00F936A8" w:rsidP="00F91733">
      <w:pPr>
        <w:pStyle w:val="SingleTxtGR"/>
        <w:tabs>
          <w:tab w:val="clear" w:pos="1701"/>
          <w:tab w:val="clear" w:pos="2268"/>
          <w:tab w:val="left" w:pos="1980"/>
          <w:tab w:val="left" w:pos="2520"/>
        </w:tabs>
      </w:pPr>
      <w:r w:rsidRPr="00CB2C86">
        <w:t>13.59</w:t>
      </w:r>
      <w:r w:rsidRPr="00CB2C86">
        <w:tab/>
        <w:t>В Приложении 13</w:t>
      </w:r>
      <w:r w:rsidRPr="00CB2C86">
        <w:rPr>
          <w:lang w:val="en-GB"/>
        </w:rPr>
        <w:t>C</w:t>
      </w:r>
      <w:r w:rsidRPr="00CB2C86">
        <w:t>, которое обновляет Приложение 13</w:t>
      </w:r>
      <w:r w:rsidRPr="00CB2C86">
        <w:rPr>
          <w:lang w:val="en-GB"/>
        </w:rPr>
        <w:t>F</w:t>
      </w:r>
      <w:r w:rsidRPr="00CB2C86">
        <w:t xml:space="preserve"> предыдущего доклада, приводятся признанные определения форм инвалидности учащихся, нуждающихся в дополнительных видах помощи. В Приложении 13</w:t>
      </w:r>
      <w:r w:rsidRPr="00CB2C86">
        <w:rPr>
          <w:lang w:val="en-GB"/>
        </w:rPr>
        <w:t>D</w:t>
      </w:r>
      <w:r w:rsidRPr="00CB2C86">
        <w:t xml:space="preserve"> перечи</w:t>
      </w:r>
      <w:r w:rsidRPr="00CB2C86">
        <w:t>с</w:t>
      </w:r>
      <w:r w:rsidRPr="00CB2C86">
        <w:t>ляются виды помощи детям с ограниченными возможностями, обучающимся в общеобразовательных школах. Оно обновляет Приложение 13</w:t>
      </w:r>
      <w:r w:rsidRPr="00CB2C86">
        <w:rPr>
          <w:lang w:val="en-GB"/>
        </w:rPr>
        <w:t>G</w:t>
      </w:r>
      <w:r w:rsidRPr="00CB2C86">
        <w:t xml:space="preserve"> </w:t>
      </w:r>
      <w:r w:rsidRPr="00CB2C86">
        <w:rPr>
          <w:lang w:val="en-GB"/>
        </w:rPr>
        <w:t>o</w:t>
      </w:r>
      <w:r w:rsidRPr="00CB2C86">
        <w:t>предыдущего доклада.</w:t>
      </w:r>
    </w:p>
    <w:p w:rsidR="00F936A8" w:rsidRPr="00CB2C86" w:rsidRDefault="00F936A8" w:rsidP="00F91733">
      <w:pPr>
        <w:pStyle w:val="SingleTxtGR"/>
        <w:tabs>
          <w:tab w:val="clear" w:pos="1701"/>
          <w:tab w:val="clear" w:pos="2268"/>
          <w:tab w:val="left" w:pos="1980"/>
          <w:tab w:val="left" w:pos="2520"/>
        </w:tabs>
      </w:pPr>
      <w:r w:rsidRPr="00CB2C86">
        <w:t>13.60</w:t>
      </w:r>
      <w:r w:rsidRPr="00CB2C86">
        <w:tab/>
        <w:t>В пунктах 13.49 предыдущего доклада мы разъяснили, что призываем все школы применять универсальный школьный подход, чтобы обеспечить ра</w:t>
      </w:r>
      <w:r w:rsidRPr="00CB2C86">
        <w:t>з</w:t>
      </w:r>
      <w:r w:rsidRPr="00CB2C86">
        <w:t>нообразие контингента учащихся, включая учащихся с ограниченными возмо</w:t>
      </w:r>
      <w:r w:rsidRPr="00CB2C86">
        <w:t>ж</w:t>
      </w:r>
      <w:r w:rsidRPr="00CB2C86">
        <w:t>ностями. Чтобы школам было легче применять универсальный школьный по</w:t>
      </w:r>
      <w:r w:rsidRPr="00CB2C86">
        <w:t>д</w:t>
      </w:r>
      <w:r w:rsidRPr="00CB2C86">
        <w:t>ход, мы предоставляем им дополнительные ресурсы и профессиональную п</w:t>
      </w:r>
      <w:r w:rsidRPr="00CB2C86">
        <w:t>о</w:t>
      </w:r>
      <w:r w:rsidRPr="00CB2C86">
        <w:t>мощь и поощряем их гибко использовать эти ресурсы для удовлетворения п</w:t>
      </w:r>
      <w:r w:rsidRPr="00CB2C86">
        <w:t>о</w:t>
      </w:r>
      <w:r w:rsidRPr="00CB2C86">
        <w:t xml:space="preserve">требностей других учащихся. </w:t>
      </w:r>
    </w:p>
    <w:p w:rsidR="00F936A8" w:rsidRPr="00CB2C86" w:rsidRDefault="00F936A8" w:rsidP="00F91733">
      <w:pPr>
        <w:pStyle w:val="SingleTxtGR"/>
        <w:tabs>
          <w:tab w:val="clear" w:pos="1701"/>
          <w:tab w:val="clear" w:pos="2268"/>
          <w:tab w:val="left" w:pos="1980"/>
          <w:tab w:val="left" w:pos="2520"/>
        </w:tabs>
      </w:pPr>
      <w:r w:rsidRPr="00CB2C86">
        <w:t>13.61</w:t>
      </w:r>
      <w:r w:rsidRPr="00CB2C86">
        <w:tab/>
        <w:t>Чтобы повысить возможности школ по обучению разнообразного ко</w:t>
      </w:r>
      <w:r w:rsidRPr="00CB2C86">
        <w:t>н</w:t>
      </w:r>
      <w:r w:rsidRPr="00CB2C86">
        <w:t xml:space="preserve">тингента учеников, в 2007/08 </w:t>
      </w:r>
      <w:r w:rsidR="00A35E26">
        <w:t>учебном году</w:t>
      </w:r>
      <w:r w:rsidRPr="00CB2C86">
        <w:t xml:space="preserve"> мы учредили пятилетнюю програ</w:t>
      </w:r>
      <w:r w:rsidRPr="00CB2C86">
        <w:t>м</w:t>
      </w:r>
      <w:r w:rsidRPr="00CB2C86">
        <w:t>му повышения профессиональной квалификации в области интегрированного образования. Мы ожидаем, что в течение пяти лет по меньшей мере 10% учит</w:t>
      </w:r>
      <w:r w:rsidRPr="00CB2C86">
        <w:t>е</w:t>
      </w:r>
      <w:r w:rsidRPr="00CB2C86">
        <w:t xml:space="preserve">лей каждой общеобразовательной школы в рамках этой программы получат специальную педагогическую подготовку. Мы также организуем тематические программы подготовки для директоров, учителей и преподающих аспирантов. </w:t>
      </w:r>
    </w:p>
    <w:p w:rsidR="00F936A8" w:rsidRPr="00CB2C86" w:rsidRDefault="00F936A8" w:rsidP="00F91733">
      <w:pPr>
        <w:pStyle w:val="SingleTxtGR"/>
        <w:tabs>
          <w:tab w:val="clear" w:pos="1701"/>
          <w:tab w:val="clear" w:pos="2268"/>
          <w:tab w:val="left" w:pos="1980"/>
          <w:tab w:val="left" w:pos="2520"/>
        </w:tabs>
      </w:pPr>
      <w:r w:rsidRPr="00CB2C86">
        <w:t>13.62</w:t>
      </w:r>
      <w:r w:rsidRPr="00CB2C86">
        <w:tab/>
        <w:t>Что касается профессиональной помощи, то мы предоставляем шк</w:t>
      </w:r>
      <w:r w:rsidRPr="00CB2C86">
        <w:t>о</w:t>
      </w:r>
      <w:r w:rsidRPr="00CB2C86">
        <w:t xml:space="preserve">лам обслуживание в области психологии образования, а также услуги таких врачей, как логопеды и </w:t>
      </w:r>
      <w:proofErr w:type="spellStart"/>
      <w:r w:rsidRPr="00CB2C86">
        <w:t>сурдологи</w:t>
      </w:r>
      <w:proofErr w:type="spellEnd"/>
      <w:r w:rsidRPr="00CB2C86">
        <w:t>. В сотрудничестве с высшими учебными з</w:t>
      </w:r>
      <w:r w:rsidRPr="00CB2C86">
        <w:t>а</w:t>
      </w:r>
      <w:r w:rsidRPr="00CB2C86">
        <w:t>ведениями мы разработали различные инструменты оценки и комплекты мет</w:t>
      </w:r>
      <w:r w:rsidRPr="00CB2C86">
        <w:t>о</w:t>
      </w:r>
      <w:r w:rsidRPr="00CB2C86">
        <w:t>дических материалов, предназначенных для специалистов и учителей. Инспе</w:t>
      </w:r>
      <w:r w:rsidRPr="00CB2C86">
        <w:t>к</w:t>
      </w:r>
      <w:r w:rsidRPr="00CB2C86">
        <w:t>торы и специалисты по специализированному школьному образованию БО р</w:t>
      </w:r>
      <w:r w:rsidRPr="00CB2C86">
        <w:t>е</w:t>
      </w:r>
      <w:r w:rsidRPr="00CB2C86">
        <w:t>гулярно посещают школы, чтобы дать профессиональные рекомендации в о</w:t>
      </w:r>
      <w:r w:rsidRPr="00CB2C86">
        <w:t>т</w:t>
      </w:r>
      <w:r w:rsidRPr="00CB2C86">
        <w:t>ношении политики в области специализированного школьного образования, мер, методических стратегий, развертывания ресурсов, сотрудничества между семьей и шк</w:t>
      </w:r>
      <w:r w:rsidRPr="00CB2C86">
        <w:t>о</w:t>
      </w:r>
      <w:r w:rsidRPr="00CB2C86">
        <w:t xml:space="preserve">лой и т.д., преследуя цель проследить, что ресурсы используются </w:t>
      </w:r>
      <w:proofErr w:type="spellStart"/>
      <w:r w:rsidRPr="00CB2C86">
        <w:t>адресно</w:t>
      </w:r>
      <w:proofErr w:type="spellEnd"/>
      <w:r w:rsidRPr="00CB2C86">
        <w:t>, а детям уделяется должное внимание. Если в школах имеются пр</w:t>
      </w:r>
      <w:r w:rsidRPr="00CB2C86">
        <w:t>о</w:t>
      </w:r>
      <w:r w:rsidRPr="00CB2C86">
        <w:t>блемные учащиеся, требующие дополнительной  активной поддержки, мы ра</w:t>
      </w:r>
      <w:r w:rsidRPr="00CB2C86">
        <w:t>с</w:t>
      </w:r>
      <w:r w:rsidRPr="00CB2C86">
        <w:t>сматриваем в</w:t>
      </w:r>
      <w:r w:rsidRPr="00CB2C86">
        <w:t>о</w:t>
      </w:r>
      <w:r w:rsidRPr="00CB2C86">
        <w:t>прос о предоставлении им дополнительных наставников. Для</w:t>
      </w:r>
      <w:r w:rsidR="00D37021">
        <w:t> </w:t>
      </w:r>
      <w:r w:rsidRPr="00CB2C86">
        <w:t>учащихся с серьезными психическими/поведенческими нарушениями, не демонстрирующих признаков улучшения после получения школьной помощи, предусматривается направление на получение более интенсивной коррект</w:t>
      </w:r>
      <w:r w:rsidRPr="00CB2C86">
        <w:t>и</w:t>
      </w:r>
      <w:r w:rsidRPr="00CB2C86">
        <w:t>рующей лечебной помощи в рамках Программы коррекции, осуществляемой БО, или краткосрочных программ в специализированных школах, осущест</w:t>
      </w:r>
      <w:r w:rsidRPr="00CB2C86">
        <w:t>в</w:t>
      </w:r>
      <w:r w:rsidRPr="00CB2C86">
        <w:t>ляемых совместно со специализированными школами и методическими це</w:t>
      </w:r>
      <w:r w:rsidRPr="00CB2C86">
        <w:t>н</w:t>
      </w:r>
      <w:r w:rsidRPr="00CB2C86">
        <w:t>трами. В то же время мы создали межшкольную сеть профессиональных обм</w:t>
      </w:r>
      <w:r w:rsidRPr="00CB2C86">
        <w:t>е</w:t>
      </w:r>
      <w:r w:rsidRPr="00CB2C86">
        <w:t>нов и поддержки, в рамках которой специализированным школам, а также н</w:t>
      </w:r>
      <w:r w:rsidRPr="00CB2C86">
        <w:t>а</w:t>
      </w:r>
      <w:r w:rsidRPr="00CB2C86">
        <w:t>чальным и средним общеобразовательным школам, имеющим положительный опыт применения универсального школьного подхода, предлагается стать мет</w:t>
      </w:r>
      <w:r w:rsidRPr="00CB2C86">
        <w:t>о</w:t>
      </w:r>
      <w:r w:rsidRPr="00CB2C86">
        <w:t>дическими центрами, призванными давать непосредственные консультации о</w:t>
      </w:r>
      <w:r w:rsidRPr="00CB2C86">
        <w:t>т</w:t>
      </w:r>
      <w:r w:rsidRPr="00CB2C86">
        <w:t>носительно своего опыта и делиться им с обычными школами.</w:t>
      </w:r>
    </w:p>
    <w:p w:rsidR="00F936A8" w:rsidRPr="00CB2C86" w:rsidRDefault="00F936A8" w:rsidP="00F91733">
      <w:pPr>
        <w:pStyle w:val="SingleTxtGR"/>
        <w:tabs>
          <w:tab w:val="clear" w:pos="1701"/>
          <w:tab w:val="clear" w:pos="2268"/>
          <w:tab w:val="left" w:pos="1980"/>
          <w:tab w:val="left" w:pos="2520"/>
        </w:tabs>
      </w:pPr>
      <w:r w:rsidRPr="00CB2C86">
        <w:t>13.63</w:t>
      </w:r>
      <w:r w:rsidRPr="00CB2C86">
        <w:tab/>
        <w:t>Положение, касающееся доступа в школьные здания, остается таким же, как оно разъяснено в пункте 548 первоначального доклада. Как уже упом</w:t>
      </w:r>
      <w:r w:rsidRPr="00CB2C86">
        <w:t>и</w:t>
      </w:r>
      <w:r w:rsidRPr="00CB2C86">
        <w:t>налось выше в пункте 2.38, РП 2008</w:t>
      </w:r>
      <w:r w:rsidR="00B92291">
        <w:t> год</w:t>
      </w:r>
      <w:r w:rsidRPr="00CB2C86">
        <w:t>а, в котором устанавливаются пер</w:t>
      </w:r>
      <w:r w:rsidRPr="00CB2C86">
        <w:t>е</w:t>
      </w:r>
      <w:r w:rsidRPr="00CB2C86">
        <w:t>смотренные нормативы проектирования для обеспечения доступа ЛОВ в пом</w:t>
      </w:r>
      <w:r w:rsidRPr="00CB2C86">
        <w:t>е</w:t>
      </w:r>
      <w:r w:rsidRPr="00CB2C86">
        <w:t>щения, вступило в силу 1 декабря 2008</w:t>
      </w:r>
      <w:r w:rsidR="00B92291">
        <w:t> год</w:t>
      </w:r>
      <w:r w:rsidRPr="00CB2C86">
        <w:t>у и заменило собой более ранний в</w:t>
      </w:r>
      <w:r w:rsidRPr="00CB2C86">
        <w:t>а</w:t>
      </w:r>
      <w:r w:rsidRPr="00CB2C86">
        <w:t>риант выпуска 1997</w:t>
      </w:r>
      <w:r w:rsidR="00B92291">
        <w:t> год</w:t>
      </w:r>
      <w:r w:rsidRPr="00CB2C86">
        <w:t>а. Все новые государственные школы, построенные п</w:t>
      </w:r>
      <w:r w:rsidRPr="00CB2C86">
        <w:t>о</w:t>
      </w:r>
      <w:r w:rsidRPr="00CB2C86">
        <w:t>сле 2008</w:t>
      </w:r>
      <w:r w:rsidR="00B92291">
        <w:t> год</w:t>
      </w:r>
      <w:r w:rsidRPr="00CB2C86">
        <w:t>а, в полной мере отвечают требованиям РП 2008</w:t>
      </w:r>
      <w:r w:rsidR="00B92291">
        <w:t> год</w:t>
      </w:r>
      <w:r w:rsidRPr="00CB2C86">
        <w:t>а.</w:t>
      </w:r>
    </w:p>
    <w:p w:rsidR="00F936A8" w:rsidRPr="00CB2C86" w:rsidRDefault="00F936A8" w:rsidP="00F91733">
      <w:pPr>
        <w:pStyle w:val="SingleTxtGR"/>
        <w:tabs>
          <w:tab w:val="clear" w:pos="1701"/>
          <w:tab w:val="clear" w:pos="2268"/>
          <w:tab w:val="left" w:pos="1980"/>
          <w:tab w:val="left" w:pos="2520"/>
        </w:tabs>
      </w:pPr>
      <w:r w:rsidRPr="00CB2C86">
        <w:t>13.64</w:t>
      </w:r>
      <w:r w:rsidRPr="00CB2C86">
        <w:tab/>
        <w:t>Что касается положения с доступом студентов с ограниченными во</w:t>
      </w:r>
      <w:r w:rsidRPr="00CB2C86">
        <w:t>з</w:t>
      </w:r>
      <w:r w:rsidRPr="00CB2C86">
        <w:t>можностями в здания высших учебных  заведений, то оно остается без измен</w:t>
      </w:r>
      <w:r w:rsidRPr="00CB2C86">
        <w:t>е</w:t>
      </w:r>
      <w:r w:rsidRPr="00CB2C86">
        <w:t>ний по сравнению с положением, разъясненным в пунктах 549 и 550 первон</w:t>
      </w:r>
      <w:r w:rsidRPr="00CB2C86">
        <w:t>а</w:t>
      </w:r>
      <w:r w:rsidRPr="00CB2C86">
        <w:t>чального доклада.</w:t>
      </w:r>
    </w:p>
    <w:p w:rsidR="00F936A8" w:rsidRPr="00CB2C86" w:rsidRDefault="00F936A8" w:rsidP="00F91733">
      <w:pPr>
        <w:pStyle w:val="SingleTxtGR"/>
        <w:tabs>
          <w:tab w:val="clear" w:pos="1701"/>
          <w:tab w:val="clear" w:pos="2268"/>
          <w:tab w:val="left" w:pos="1980"/>
          <w:tab w:val="left" w:pos="2520"/>
        </w:tabs>
      </w:pPr>
      <w:r w:rsidRPr="00CB2C86">
        <w:t>13.65</w:t>
      </w:r>
      <w:r w:rsidRPr="00CB2C86">
        <w:tab/>
        <w:t>Некоторые комментаторы выразили озабоченность по поводу оказания услуг по диагностике и лечению детям со специфическими образовательными потребностями, достаточности и эффективности интегрированного образования детей с небольшими недостатками и время ожидания услуг для детей с особ</w:t>
      </w:r>
      <w:r w:rsidRPr="00CB2C86">
        <w:t>ы</w:t>
      </w:r>
      <w:r w:rsidRPr="00CB2C86">
        <w:t>ми потребностями, включая переход к обслуживанию в рамках программ для взрослых.</w:t>
      </w:r>
    </w:p>
    <w:p w:rsidR="00F936A8" w:rsidRPr="00CB2C86" w:rsidRDefault="00F936A8" w:rsidP="00D37021">
      <w:pPr>
        <w:pStyle w:val="SingleTxtGR"/>
        <w:keepLines/>
        <w:tabs>
          <w:tab w:val="clear" w:pos="1701"/>
          <w:tab w:val="clear" w:pos="2268"/>
          <w:tab w:val="left" w:pos="1980"/>
          <w:tab w:val="left" w:pos="2520"/>
        </w:tabs>
      </w:pPr>
      <w:r w:rsidRPr="00CB2C86">
        <w:t>13.66</w:t>
      </w:r>
      <w:r w:rsidRPr="00CB2C86">
        <w:tab/>
        <w:t>Политика правительства заключается именно в том, чтобы поддерж</w:t>
      </w:r>
      <w:r w:rsidRPr="00CB2C86">
        <w:t>и</w:t>
      </w:r>
      <w:r w:rsidRPr="00CB2C86">
        <w:t>вать детей с особыми образовательными потребностями (ООП) путем раннего выявления и раннего вмешательства. В соответствии с существующим мех</w:t>
      </w:r>
      <w:r w:rsidRPr="00CB2C86">
        <w:t>а</w:t>
      </w:r>
      <w:r w:rsidRPr="00CB2C86">
        <w:t>низмом врачи работают на основе партнерства с родителями, чтобы отслеж</w:t>
      </w:r>
      <w:r w:rsidRPr="00CB2C86">
        <w:t>и</w:t>
      </w:r>
      <w:r w:rsidRPr="00CB2C86">
        <w:t>вать развитие детей с момента рождения до пяти лет и выявлять любые во</w:t>
      </w:r>
      <w:r w:rsidRPr="00CB2C86">
        <w:t>з</w:t>
      </w:r>
      <w:r w:rsidRPr="00CB2C86">
        <w:t>можные патологии развития. Для повышения качества таких услуг после дека</w:t>
      </w:r>
      <w:r w:rsidRPr="00CB2C86">
        <w:t>б</w:t>
      </w:r>
      <w:r w:rsidRPr="00CB2C86">
        <w:t>ря 2005</w:t>
      </w:r>
      <w:r w:rsidR="00B92291">
        <w:t> год</w:t>
      </w:r>
      <w:r w:rsidRPr="00CB2C86">
        <w:t>а была создана СВРР, чтобы воспитатели дошкольных учреждений, с согласия родителей, могли непосредственно отправлять детей детских садов в ЦОМД своих округов для первоначальной диагностики. Когда необходимо, д</w:t>
      </w:r>
      <w:r w:rsidRPr="00CB2C86">
        <w:t>е</w:t>
      </w:r>
      <w:r w:rsidRPr="00CB2C86">
        <w:t>тей далее направляют в Центры детской диагностики или специализированные медицинские учреждения с целью обеспечить, чтобы они получали своевр</w:t>
      </w:r>
      <w:r w:rsidRPr="00CB2C86">
        <w:t>е</w:t>
      </w:r>
      <w:r w:rsidRPr="00CB2C86">
        <w:t>менное л</w:t>
      </w:r>
      <w:r w:rsidRPr="00CB2C86">
        <w:t>е</w:t>
      </w:r>
      <w:r w:rsidRPr="00CB2C86">
        <w:t>чение и помощь.</w:t>
      </w:r>
    </w:p>
    <w:p w:rsidR="00F936A8" w:rsidRPr="00CB2C86" w:rsidRDefault="00F936A8" w:rsidP="00F91733">
      <w:pPr>
        <w:pStyle w:val="SingleTxtGR"/>
        <w:tabs>
          <w:tab w:val="clear" w:pos="1701"/>
          <w:tab w:val="clear" w:pos="2268"/>
          <w:tab w:val="left" w:pos="1980"/>
          <w:tab w:val="left" w:pos="2520"/>
        </w:tabs>
      </w:pPr>
      <w:r w:rsidRPr="00CB2C86">
        <w:t>13.67</w:t>
      </w:r>
      <w:r w:rsidRPr="00CB2C86">
        <w:tab/>
        <w:t>В конце 2008</w:t>
      </w:r>
      <w:r w:rsidR="00B92291">
        <w:t> год</w:t>
      </w:r>
      <w:r w:rsidRPr="00CB2C86">
        <w:t>у БО, ДЗ и ДСО совместно разработали комплект м</w:t>
      </w:r>
      <w:r w:rsidRPr="00CB2C86">
        <w:t>а</w:t>
      </w:r>
      <w:r w:rsidRPr="00CB2C86">
        <w:t xml:space="preserve">териалов в виде </w:t>
      </w:r>
      <w:r>
        <w:t>"</w:t>
      </w:r>
      <w:r w:rsidRPr="00CB2C86">
        <w:t>Руководства по дошкольному регулированию развития и пов</w:t>
      </w:r>
      <w:r w:rsidRPr="00CB2C86">
        <w:t>е</w:t>
      </w:r>
      <w:r w:rsidRPr="00CB2C86">
        <w:t xml:space="preserve">дения детей </w:t>
      </w:r>
      <w:r>
        <w:t>−</w:t>
      </w:r>
      <w:r w:rsidRPr="00CB2C86">
        <w:t xml:space="preserve"> Методического справочника учителя</w:t>
      </w:r>
      <w:r>
        <w:t>"</w:t>
      </w:r>
      <w:r w:rsidRPr="00CB2C86">
        <w:t>, содержащего текстовую и зрительную информацию и знакомящ</w:t>
      </w:r>
      <w:r w:rsidR="000B1A9D">
        <w:t>его</w:t>
      </w:r>
      <w:r w:rsidRPr="00CB2C86">
        <w:t xml:space="preserve"> учителей с деятельностью СВРД и процедурой направления на консультации, а также повышающ</w:t>
      </w:r>
      <w:r w:rsidR="000B1A9D">
        <w:t>его</w:t>
      </w:r>
      <w:r w:rsidRPr="00CB2C86">
        <w:t xml:space="preserve"> их информ</w:t>
      </w:r>
      <w:r w:rsidRPr="00CB2C86">
        <w:t>и</w:t>
      </w:r>
      <w:r w:rsidRPr="00CB2C86">
        <w:t>рованность о распространенных нарушениях развития и способности к обуч</w:t>
      </w:r>
      <w:r w:rsidRPr="00CB2C86">
        <w:t>е</w:t>
      </w:r>
      <w:r w:rsidRPr="00CB2C86">
        <w:t>нию у детей дошкольного возраста, а это облегчает раннее выявление и напра</w:t>
      </w:r>
      <w:r w:rsidRPr="00CB2C86">
        <w:t>в</w:t>
      </w:r>
      <w:r w:rsidRPr="00CB2C86">
        <w:t>ление нуждающихся детей для диагностики и лечения.</w:t>
      </w:r>
    </w:p>
    <w:p w:rsidR="00F936A8" w:rsidRPr="00CB2C86" w:rsidRDefault="00F936A8" w:rsidP="00F91733">
      <w:pPr>
        <w:pStyle w:val="SingleTxtGR"/>
        <w:tabs>
          <w:tab w:val="clear" w:pos="1701"/>
          <w:tab w:val="clear" w:pos="2268"/>
          <w:tab w:val="left" w:pos="1980"/>
          <w:tab w:val="left" w:pos="2520"/>
        </w:tabs>
      </w:pPr>
      <w:r w:rsidRPr="00CB2C86">
        <w:t>13.68</w:t>
      </w:r>
      <w:r w:rsidRPr="00CB2C86">
        <w:tab/>
        <w:t>При оказании дошкольных услуг правительство применяет политику, заключающуюся в том, чтобы предоставлять детям с ограниченными возмо</w:t>
      </w:r>
      <w:r w:rsidRPr="00CB2C86">
        <w:t>ж</w:t>
      </w:r>
      <w:r w:rsidRPr="00CB2C86">
        <w:t>ностями или детям, рискующим получить инвалидность, помощь с момента рождения до шестилетнего возраста путем раннего вмешательства, чтобы ст</w:t>
      </w:r>
      <w:r w:rsidRPr="00CB2C86">
        <w:t>и</w:t>
      </w:r>
      <w:r w:rsidRPr="00CB2C86">
        <w:t>мулировать их физическое, психическое и социальное развитие, а тем самым увеличить их возможности для обучения в общеобразовательных школах и с</w:t>
      </w:r>
      <w:r w:rsidRPr="00CB2C86">
        <w:t>а</w:t>
      </w:r>
      <w:r w:rsidRPr="00CB2C86">
        <w:t>мообслуживания в повседневной жизни и помочь их семьям удовлетворять их особые потребности.</w:t>
      </w:r>
    </w:p>
    <w:p w:rsidR="00F936A8" w:rsidRPr="00CB2C86" w:rsidRDefault="00F936A8" w:rsidP="00F91733">
      <w:pPr>
        <w:pStyle w:val="SingleTxtGR"/>
        <w:tabs>
          <w:tab w:val="clear" w:pos="1701"/>
          <w:tab w:val="clear" w:pos="2268"/>
          <w:tab w:val="left" w:pos="1980"/>
          <w:tab w:val="left" w:pos="2520"/>
        </w:tabs>
      </w:pPr>
      <w:r w:rsidRPr="00CB2C86">
        <w:t>13.69</w:t>
      </w:r>
      <w:r w:rsidRPr="00CB2C86">
        <w:tab/>
        <w:t>В настоящее время ДСО ведет целый ряд программ подготовки для детей дошкольного возраста с ограниченными возможностями, включая:</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a</w:t>
      </w:r>
      <w:proofErr w:type="spellEnd"/>
      <w:r>
        <w:t>)</w:t>
      </w:r>
      <w:r w:rsidRPr="00CB2C86">
        <w:tab/>
        <w:t>Центр дошкольного образования и подготовки (ЦДОП), который оказывает услуги детям с ограниченными возможностями с момента рождения до шестилетнего возраста. Эта программа преследует цель максимально соде</w:t>
      </w:r>
      <w:r w:rsidRPr="00CB2C86">
        <w:t>й</w:t>
      </w:r>
      <w:r w:rsidRPr="00CB2C86">
        <w:t>ствовать развитию детей-инвалидов, помогая их родителям, через поддержку и помощь,  принимать, понимать, ухаживать и подготавливать детей с ограниче</w:t>
      </w:r>
      <w:r w:rsidRPr="00CB2C86">
        <w:t>н</w:t>
      </w:r>
      <w:r w:rsidRPr="00CB2C86">
        <w:t>ными возможностями;</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b</w:t>
      </w:r>
      <w:proofErr w:type="spellEnd"/>
      <w:r>
        <w:t>)</w:t>
      </w:r>
      <w:r w:rsidRPr="00CB2C86">
        <w:tab/>
        <w:t>Специализированный центр ухода за детьми (СЦУД) оказывает услуги детям со средними и тяжелыми нарушениями в возрасте 2</w:t>
      </w:r>
      <w:r>
        <w:t>−</w:t>
      </w:r>
      <w:r w:rsidRPr="00CB2C86">
        <w:t>6 лет. Эта программа нацелена на формирование основных элементов развития и умс</w:t>
      </w:r>
      <w:r w:rsidRPr="00CB2C86">
        <w:t>т</w:t>
      </w:r>
      <w:r w:rsidRPr="00CB2C86">
        <w:t>венных способностей, а также развитие перцептивно-моторных, познавател</w:t>
      </w:r>
      <w:r w:rsidRPr="00CB2C86">
        <w:t>ь</w:t>
      </w:r>
      <w:r w:rsidRPr="00CB2C86">
        <w:t>ных, коммуникативных, социальных навыков и навыков самообслуживания д</w:t>
      </w:r>
      <w:r w:rsidRPr="00CB2C86">
        <w:t>е</w:t>
      </w:r>
      <w:r w:rsidRPr="00CB2C86">
        <w:t>тей, чтобы облегчить им плавный переход от дошкольного к начальному обр</w:t>
      </w:r>
      <w:r w:rsidRPr="00CB2C86">
        <w:t>а</w:t>
      </w:r>
      <w:r w:rsidRPr="00CB2C86">
        <w:t>зованию. В</w:t>
      </w:r>
      <w:r>
        <w:t> </w:t>
      </w:r>
      <w:r w:rsidRPr="00CB2C86">
        <w:t>некоторых СЦУД имеются социальные учреждения, предназначе</w:t>
      </w:r>
      <w:r w:rsidRPr="00CB2C86">
        <w:t>н</w:t>
      </w:r>
      <w:r w:rsidRPr="00CB2C86">
        <w:t>ные для удовлетворения потребностей бездомных, брошенных детей с огран</w:t>
      </w:r>
      <w:r w:rsidRPr="00CB2C86">
        <w:t>и</w:t>
      </w:r>
      <w:r w:rsidRPr="00CB2C86">
        <w:t>ченными возможностями и детей-инвалидов, живущих в крайне тяжелых мат</w:t>
      </w:r>
      <w:r w:rsidRPr="00CB2C86">
        <w:t>е</w:t>
      </w:r>
      <w:r w:rsidRPr="00CB2C86">
        <w:t>риальных или семейных условиях;</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c</w:t>
      </w:r>
      <w:proofErr w:type="spellEnd"/>
      <w:r>
        <w:t>)</w:t>
      </w:r>
      <w:r w:rsidRPr="00CB2C86">
        <w:tab/>
        <w:t>Комплексная программа в детских садах/Центре ухода за детьми (КП-ДС/ЦУД) обеспечивает подготовку и уход за детьми в возрасте 2</w:t>
      </w:r>
      <w:r>
        <w:t>−</w:t>
      </w:r>
      <w:r w:rsidRPr="00CB2C86">
        <w:t>6 лет с небольшими нарушениями. Эта программа нацелена на облегчение полной и</w:t>
      </w:r>
      <w:r w:rsidRPr="00CB2C86">
        <w:t>н</w:t>
      </w:r>
      <w:r w:rsidRPr="00CB2C86">
        <w:t>теграции в нормальную дошкольную атмосферу в максимально возможной ст</w:t>
      </w:r>
      <w:r w:rsidRPr="00CB2C86">
        <w:t>е</w:t>
      </w:r>
      <w:r w:rsidRPr="00CB2C86">
        <w:t>пени, чтобы у них было больше шансов для будущей интеграции в общую си</w:t>
      </w:r>
      <w:r w:rsidRPr="00CB2C86">
        <w:t>с</w:t>
      </w:r>
      <w:r w:rsidRPr="00CB2C86">
        <w:t>тему образования;</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d</w:t>
      </w:r>
      <w:proofErr w:type="spellEnd"/>
      <w:r>
        <w:t>)</w:t>
      </w:r>
      <w:r w:rsidRPr="00CB2C86">
        <w:tab/>
        <w:t>обеспечение СЦУД дополнительным детским персоналом, сп</w:t>
      </w:r>
      <w:r w:rsidRPr="00CB2C86">
        <w:t>е</w:t>
      </w:r>
      <w:r w:rsidRPr="00CB2C86">
        <w:t xml:space="preserve">циально подготовленным для интенсивного обучения </w:t>
      </w:r>
      <w:proofErr w:type="spellStart"/>
      <w:r w:rsidRPr="00CB2C86">
        <w:t>аутичных</w:t>
      </w:r>
      <w:proofErr w:type="spellEnd"/>
      <w:r w:rsidRPr="00CB2C86">
        <w:t xml:space="preserve"> детей;</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e</w:t>
      </w:r>
      <w:proofErr w:type="spellEnd"/>
      <w:r>
        <w:t>)</w:t>
      </w:r>
      <w:r w:rsidRPr="00CB2C86">
        <w:tab/>
        <w:t>проведение трудотерапии (ТТ), физиотерапии (ФТ) и лечения дефектов речи (ЛДР), чтобы сформировать стойкие навыки самообслуживани</w:t>
      </w:r>
      <w:r w:rsidR="000B1A9D">
        <w:t>я</w:t>
      </w:r>
      <w:r w:rsidRPr="00CB2C86">
        <w:t xml:space="preserve"> в повседневной жизни у детей с ограниченными возможностями, исправить п</w:t>
      </w:r>
      <w:r w:rsidRPr="00CB2C86">
        <w:t>о</w:t>
      </w:r>
      <w:r w:rsidRPr="00CB2C86">
        <w:t>роки развития и не допустить ухудшения здоровья; и</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f</w:t>
      </w:r>
      <w:proofErr w:type="spellEnd"/>
      <w:r>
        <w:t>)</w:t>
      </w:r>
      <w:r w:rsidRPr="00CB2C86">
        <w:tab/>
        <w:t>помощь ЦДОП, СЦУД и (КП-ДС/ЦУД) собственных клинич</w:t>
      </w:r>
      <w:r w:rsidRPr="00CB2C86">
        <w:t>е</w:t>
      </w:r>
      <w:r w:rsidRPr="00CB2C86">
        <w:t>ских психологов (КП) или КП ДСО. КП помогают в оценке психических или интеллектуальных функций детей с ограниченными возможностями и разрабо</w:t>
      </w:r>
      <w:r w:rsidRPr="00CB2C86">
        <w:t>т</w:t>
      </w:r>
      <w:r w:rsidRPr="00CB2C86">
        <w:t>ке программ подготовки для стимулирования их нормального психического и поведенческого развития.</w:t>
      </w:r>
    </w:p>
    <w:p w:rsidR="00F936A8" w:rsidRPr="00CB2C86" w:rsidRDefault="00F936A8" w:rsidP="00F91733">
      <w:pPr>
        <w:pStyle w:val="SingleTxtGR"/>
        <w:tabs>
          <w:tab w:val="clear" w:pos="1701"/>
          <w:tab w:val="clear" w:pos="2268"/>
          <w:tab w:val="left" w:pos="1980"/>
          <w:tab w:val="left" w:pos="2520"/>
        </w:tabs>
      </w:pPr>
      <w:r w:rsidRPr="00CB2C86">
        <w:t>13.70</w:t>
      </w:r>
      <w:r w:rsidRPr="00CB2C86">
        <w:tab/>
        <w:t>В 2010</w:t>
      </w:r>
      <w:r>
        <w:t>−</w:t>
      </w:r>
      <w:r w:rsidRPr="00CB2C86">
        <w:t>2011</w:t>
      </w:r>
      <w:r w:rsidR="00B92291">
        <w:t> год</w:t>
      </w:r>
      <w:r w:rsidRPr="00CB2C86">
        <w:t>ах мы продолжим увеличивать количество мест и обе</w:t>
      </w:r>
      <w:r w:rsidRPr="00CB2C86">
        <w:t>с</w:t>
      </w:r>
      <w:r w:rsidRPr="00CB2C86">
        <w:t>печивать дошкольную подготовку и оказывать помощь малоимущим детям и их семьям. В настоящее время имеется 5</w:t>
      </w:r>
      <w:r>
        <w:t> </w:t>
      </w:r>
      <w:r w:rsidRPr="00CB2C86">
        <w:t>590 мест. Для обеспечения 154 н</w:t>
      </w:r>
      <w:r w:rsidRPr="00CB2C86">
        <w:t>о</w:t>
      </w:r>
      <w:r w:rsidRPr="00CB2C86">
        <w:t>вых мест в 2010</w:t>
      </w:r>
      <w:r>
        <w:t>−</w:t>
      </w:r>
      <w:r w:rsidRPr="00CB2C86">
        <w:t>2011</w:t>
      </w:r>
      <w:r w:rsidR="00B92291">
        <w:t> год</w:t>
      </w:r>
      <w:r w:rsidRPr="00CB2C86">
        <w:t>ах предлагается дополнительно выделить 11,7</w:t>
      </w:r>
      <w:r w:rsidR="004F720A">
        <w:t> </w:t>
      </w:r>
      <w:r w:rsidR="00B63D5C">
        <w:t>млн. долларов.</w:t>
      </w:r>
      <w:r w:rsidRPr="00CB2C86">
        <w:t xml:space="preserve"> В совокупности с ассигнованиями, уже выделенными в 2009</w:t>
      </w:r>
      <w:r>
        <w:t>−</w:t>
      </w:r>
      <w:r w:rsidRPr="00CB2C86">
        <w:t>2010</w:t>
      </w:r>
      <w:r w:rsidR="00B92291">
        <w:t> год</w:t>
      </w:r>
      <w:r w:rsidRPr="00CB2C86">
        <w:t>ах, в 2010</w:t>
      </w:r>
      <w:r>
        <w:t>−</w:t>
      </w:r>
      <w:r w:rsidRPr="00CB2C86">
        <w:t>2011</w:t>
      </w:r>
      <w:r w:rsidR="00B92291">
        <w:t> год</w:t>
      </w:r>
      <w:r w:rsidRPr="00CB2C86">
        <w:t>ах правительство обеспечит еще 316 допо</w:t>
      </w:r>
      <w:r w:rsidRPr="00CB2C86">
        <w:t>л</w:t>
      </w:r>
      <w:r w:rsidRPr="00CB2C86">
        <w:t>нительных мест в д</w:t>
      </w:r>
      <w:r w:rsidRPr="00CB2C86">
        <w:t>о</w:t>
      </w:r>
      <w:r w:rsidRPr="00CB2C86">
        <w:t xml:space="preserve">школьных учреждениях. </w:t>
      </w:r>
    </w:p>
    <w:p w:rsidR="00F936A8" w:rsidRPr="00CB2C86" w:rsidRDefault="00F936A8" w:rsidP="00F91733">
      <w:pPr>
        <w:pStyle w:val="SingleTxtGR"/>
        <w:tabs>
          <w:tab w:val="clear" w:pos="1701"/>
          <w:tab w:val="clear" w:pos="2268"/>
          <w:tab w:val="left" w:pos="1980"/>
          <w:tab w:val="left" w:pos="2520"/>
        </w:tabs>
      </w:pPr>
      <w:r w:rsidRPr="00CB2C86">
        <w:t>13.71</w:t>
      </w:r>
      <w:r w:rsidRPr="00CB2C86">
        <w:tab/>
        <w:t>Что касается детей школьного возраста, то БО реализует Программу раннего выявления и вмешательства для школьников с нарушениями способн</w:t>
      </w:r>
      <w:r w:rsidRPr="00CB2C86">
        <w:t>о</w:t>
      </w:r>
      <w:r w:rsidRPr="00CB2C86">
        <w:t>сти к обучению первой ступени начальной школы во всех государственных н</w:t>
      </w:r>
      <w:r w:rsidRPr="00CB2C86">
        <w:t>а</w:t>
      </w:r>
      <w:r w:rsidRPr="00CB2C86">
        <w:t>чальных школах. Учителя получают Контрольный список наблюдений для уч</w:t>
      </w:r>
      <w:r w:rsidRPr="00CB2C86">
        <w:t>и</w:t>
      </w:r>
      <w:r w:rsidRPr="00CB2C86">
        <w:t>телей и Гонконгский контрольный список наблюдений за поведением учащихся со специфическим</w:t>
      </w:r>
      <w:r w:rsidR="000B1A9D">
        <w:t>и</w:t>
      </w:r>
      <w:r w:rsidRPr="00CB2C86">
        <w:t xml:space="preserve"> нарушениями способности к обучению в начальных шк</w:t>
      </w:r>
      <w:r w:rsidRPr="00CB2C86">
        <w:t>о</w:t>
      </w:r>
      <w:r w:rsidRPr="00CB2C86">
        <w:t>лах, чтобы облегчить раннее выявление и вмешательство для учеников ступ</w:t>
      </w:r>
      <w:r w:rsidRPr="00CB2C86">
        <w:t>е</w:t>
      </w:r>
      <w:r w:rsidRPr="00CB2C86">
        <w:t>ни</w:t>
      </w:r>
      <w:r>
        <w:t> </w:t>
      </w:r>
      <w:r w:rsidRPr="00CB2C86">
        <w:t>1 начальной школы с нарушениями способности к обучению. Те ученики, которые делают медленные успехи в учебе</w:t>
      </w:r>
      <w:r w:rsidR="000B1A9D">
        <w:t>,</w:t>
      </w:r>
      <w:r w:rsidRPr="00CB2C86">
        <w:t xml:space="preserve"> несмотря на дополнительную п</w:t>
      </w:r>
      <w:r w:rsidRPr="00CB2C86">
        <w:t>о</w:t>
      </w:r>
      <w:r w:rsidRPr="00CB2C86">
        <w:t>мощь, или у которых имеются тяжелые нарушения, подвергаются дальнейшей оценке и получают помощь психологов образования. БО также разработало Контрол</w:t>
      </w:r>
      <w:r w:rsidRPr="00CB2C86">
        <w:t>ь</w:t>
      </w:r>
      <w:r w:rsidRPr="00CB2C86">
        <w:t>ный список наблюдений за учениками с расстройствами развития речи и языка, чтобы помочь учителям в выявлении школьников начальной школы с расстройствами развития речи и языка и направить тех из них, кто в этом ну</w:t>
      </w:r>
      <w:r w:rsidRPr="00CB2C86">
        <w:t>ж</w:t>
      </w:r>
      <w:r w:rsidRPr="00CB2C86">
        <w:t>дается, к школьному логопеду или в БО для оценки и лечения.</w:t>
      </w:r>
    </w:p>
    <w:p w:rsidR="00F936A8" w:rsidRPr="00CB2C86" w:rsidRDefault="00F936A8" w:rsidP="00F91733">
      <w:pPr>
        <w:pStyle w:val="SingleTxtGR"/>
        <w:tabs>
          <w:tab w:val="clear" w:pos="1701"/>
          <w:tab w:val="clear" w:pos="2268"/>
          <w:tab w:val="left" w:pos="1980"/>
          <w:tab w:val="left" w:pos="2520"/>
        </w:tabs>
      </w:pPr>
      <w:r w:rsidRPr="00CB2C86">
        <w:t>13.72</w:t>
      </w:r>
      <w:r w:rsidRPr="00CB2C86">
        <w:tab/>
        <w:t>В последнее время количество выявленных детей с ООП выросло. Это отражает тот факт, что текущий механизм и инструменты оценки, а также ко</w:t>
      </w:r>
      <w:r w:rsidRPr="00CB2C86">
        <w:t>м</w:t>
      </w:r>
      <w:r w:rsidRPr="00CB2C86">
        <w:t>муникация между государственными департаментами и соответствующими о</w:t>
      </w:r>
      <w:r w:rsidRPr="00CB2C86">
        <w:t>р</w:t>
      </w:r>
      <w:r w:rsidRPr="00CB2C86">
        <w:t>ганизациями, в частности такими</w:t>
      </w:r>
      <w:r>
        <w:t xml:space="preserve"> как</w:t>
      </w:r>
      <w:r w:rsidRPr="00CB2C86">
        <w:t xml:space="preserve"> ДЗ и АБ</w:t>
      </w:r>
      <w:r w:rsidR="000B1A9D">
        <w:t>,</w:t>
      </w:r>
      <w:r w:rsidRPr="00CB2C86">
        <w:t xml:space="preserve"> оказываются эффективными и что растет бдительность родителей. Мы продолжим сотрудничать с высшими учебными заведениями по улучшению и разработке инструментов оценки для учителей и других специалистов. Мы также будем вести с родителями и пре</w:t>
      </w:r>
      <w:r w:rsidRPr="00CB2C86">
        <w:t>д</w:t>
      </w:r>
      <w:r w:rsidRPr="00CB2C86">
        <w:t>ставителями общественности разъяснительную работу о необходимости спец</w:t>
      </w:r>
      <w:r w:rsidRPr="00CB2C86">
        <w:t>и</w:t>
      </w:r>
      <w:r w:rsidRPr="00CB2C86">
        <w:t>ального образования. Наша цель состоит в том, чтобы облегчить раннее выя</w:t>
      </w:r>
      <w:r w:rsidRPr="00CB2C86">
        <w:t>в</w:t>
      </w:r>
      <w:r w:rsidRPr="00CB2C86">
        <w:t>ление учащихся с ООП для оказания своевременной и надлежащей помощи.</w:t>
      </w:r>
    </w:p>
    <w:p w:rsidR="00F936A8" w:rsidRPr="00CB2C86" w:rsidRDefault="00F936A8" w:rsidP="00F91733">
      <w:pPr>
        <w:pStyle w:val="SingleTxtGR"/>
        <w:tabs>
          <w:tab w:val="clear" w:pos="1701"/>
          <w:tab w:val="clear" w:pos="2268"/>
          <w:tab w:val="left" w:pos="1980"/>
          <w:tab w:val="left" w:pos="2520"/>
        </w:tabs>
      </w:pPr>
      <w:r w:rsidRPr="00CB2C86">
        <w:t>13.73</w:t>
      </w:r>
      <w:r w:rsidRPr="00CB2C86">
        <w:tab/>
        <w:t>Правительство волнует достаточность и эффективность интегрир</w:t>
      </w:r>
      <w:r w:rsidRPr="00CB2C86">
        <w:t>о</w:t>
      </w:r>
      <w:r w:rsidRPr="00CB2C86">
        <w:t>ванного образования. В ходе развития интегрированного обучения БО регуля</w:t>
      </w:r>
      <w:r w:rsidRPr="00CB2C86">
        <w:t>р</w:t>
      </w:r>
      <w:r w:rsidRPr="00CB2C86">
        <w:t>но пересматривает положения и оказывает профессиональную поддержку и</w:t>
      </w:r>
      <w:r w:rsidRPr="00CB2C86">
        <w:t>н</w:t>
      </w:r>
      <w:r w:rsidRPr="00CB2C86">
        <w:t>тегрированному обучению с целью обеспечить его достаточность и эффекти</w:t>
      </w:r>
      <w:r w:rsidRPr="00CB2C86">
        <w:t>в</w:t>
      </w:r>
      <w:r w:rsidRPr="00CB2C86">
        <w:t>ность. Как уже упоминалось выше в пунктах 13.60</w:t>
      </w:r>
      <w:r>
        <w:t>−</w:t>
      </w:r>
      <w:r w:rsidRPr="00CB2C86">
        <w:t>13.62, БО выделяет допо</w:t>
      </w:r>
      <w:r w:rsidRPr="00CB2C86">
        <w:t>л</w:t>
      </w:r>
      <w:r w:rsidRPr="00CB2C86">
        <w:t>нительные ресурсы и профессиональную помощь школам, которые принимают учащихся с ООП. Школы отвечают за свою работу и подлежат контролю в соо</w:t>
      </w:r>
      <w:r w:rsidRPr="00CB2C86">
        <w:t>т</w:t>
      </w:r>
      <w:r w:rsidRPr="00CB2C86">
        <w:t>ветствии с Системой развития и подотчетности школ, в которой упор сделан на самооценке школ в признани</w:t>
      </w:r>
      <w:r w:rsidR="000B1A9D">
        <w:t>и</w:t>
      </w:r>
      <w:r w:rsidRPr="00CB2C86">
        <w:t xml:space="preserve"> того факта, что  школы рассматриваются в кач</w:t>
      </w:r>
      <w:r w:rsidRPr="00CB2C86">
        <w:t>е</w:t>
      </w:r>
      <w:r w:rsidRPr="00CB2C86">
        <w:t>стве центра совершенствования, причем внешняя инспекция школ играет всп</w:t>
      </w:r>
      <w:r w:rsidRPr="00CB2C86">
        <w:t>о</w:t>
      </w:r>
      <w:r w:rsidRPr="00CB2C86">
        <w:t>могательную роль в оценке. Школы обязаны информировать заинтересованные стороны о помощи, которую они оказывают учащимся с ООП, и сообщать о достигнутом прогрессе. Они также обязаны ежегодно сообщать БО о реализ</w:t>
      </w:r>
      <w:r w:rsidRPr="00CB2C86">
        <w:t>а</w:t>
      </w:r>
      <w:r w:rsidRPr="00CB2C86">
        <w:t>ции и эффективности мер поддержки, использовании ресурсов и общем пр</w:t>
      </w:r>
      <w:r w:rsidRPr="00CB2C86">
        <w:t>о</w:t>
      </w:r>
      <w:r w:rsidRPr="00CB2C86">
        <w:t>грессе учеников с ООП. Кроме того, профессиональный персонал БО регулярно посещает школы для оказания помощи и контроля осуществления интегрир</w:t>
      </w:r>
      <w:r w:rsidRPr="00CB2C86">
        <w:t>о</w:t>
      </w:r>
      <w:r w:rsidRPr="00CB2C86">
        <w:t>ванного обучения.</w:t>
      </w:r>
    </w:p>
    <w:p w:rsidR="00F936A8" w:rsidRPr="00CB2C86" w:rsidRDefault="00F936A8" w:rsidP="00F91733">
      <w:pPr>
        <w:pStyle w:val="SingleTxtGR"/>
        <w:tabs>
          <w:tab w:val="clear" w:pos="1701"/>
          <w:tab w:val="clear" w:pos="2268"/>
          <w:tab w:val="left" w:pos="1980"/>
          <w:tab w:val="left" w:pos="2520"/>
        </w:tabs>
      </w:pPr>
      <w:r w:rsidRPr="00CB2C86">
        <w:t>13.74</w:t>
      </w:r>
      <w:r w:rsidRPr="00CB2C86">
        <w:tab/>
        <w:t>Некоторые комментаторы предложили шире использовать язык жестов в качестве средства обучения детей с НС в детских садах и включить такую подготовку в учебную программу обучения детей с особыми потребностями. В</w:t>
      </w:r>
      <w:r w:rsidR="000B1A9D">
        <w:t> </w:t>
      </w:r>
      <w:r w:rsidRPr="00CB2C86">
        <w:t>соответствии с проводимой политикой в области образования и реабилитации дети с очень ООП или многочисленными нарушениями (включая учащихся с тяжелой или очень тяжелой потерей слуха) могут направляться в СЦУД для и</w:t>
      </w:r>
      <w:r w:rsidRPr="00CB2C86">
        <w:t>н</w:t>
      </w:r>
      <w:r w:rsidRPr="00CB2C86">
        <w:t>тенсивной подготовки и  ухода и/или в ЦДОП, или в специализированные шк</w:t>
      </w:r>
      <w:r w:rsidRPr="00CB2C86">
        <w:t>о</w:t>
      </w:r>
      <w:r w:rsidRPr="00CB2C86">
        <w:t>лы для раннего вмешательства и оказания помощи родителям при условии с</w:t>
      </w:r>
      <w:r w:rsidRPr="00CB2C86">
        <w:t>о</w:t>
      </w:r>
      <w:r w:rsidRPr="00CB2C86">
        <w:t>ответствующей оценки и рекомендаций врачей и с согласия родителей. Другие дети с нарушениями слуха могут помещаться в обычные детские сады, включая КП-ДС/ЦУД, и обычные начальные и средние школы. СЦУД или ЦДОП могут применять целесообразные средства обучения, например такие</w:t>
      </w:r>
      <w:r>
        <w:t xml:space="preserve"> как</w:t>
      </w:r>
      <w:r w:rsidRPr="00CB2C86">
        <w:t xml:space="preserve"> устный, ручной (включая язык жестов) способы или режим полного общения в завис</w:t>
      </w:r>
      <w:r w:rsidRPr="00CB2C86">
        <w:t>и</w:t>
      </w:r>
      <w:r w:rsidRPr="00CB2C86">
        <w:t>мости от способностей, образовательных потребностей детей или способа о</w:t>
      </w:r>
      <w:r w:rsidRPr="00CB2C86">
        <w:t>б</w:t>
      </w:r>
      <w:r w:rsidRPr="00CB2C86">
        <w:t>щения с ними. Логопеды и воспитатели СЦУД и ЦДОП стремятся поощрять д</w:t>
      </w:r>
      <w:r w:rsidRPr="00CB2C86">
        <w:t>е</w:t>
      </w:r>
      <w:r w:rsidRPr="00CB2C86">
        <w:t>тей с НС использовать остаточный слух и способность читать по губам, чтобы они могли развивать навыки устного общения. Педагоги обычных детских с</w:t>
      </w:r>
      <w:r w:rsidRPr="00CB2C86">
        <w:t>а</w:t>
      </w:r>
      <w:r w:rsidRPr="00CB2C86">
        <w:t>дов используют различные стратегии в своей повседневной педагогической практике и в общении с детьми с НС, включая зрительные способы и конте</w:t>
      </w:r>
      <w:r w:rsidRPr="00CB2C86">
        <w:t>к</w:t>
      </w:r>
      <w:r w:rsidRPr="00CB2C86">
        <w:t>стуальные сигналы, которые соответствуют потребностям детей в общении и обучении. Дети с НС поощряются использовать свой остаточный слух для уч</w:t>
      </w:r>
      <w:r w:rsidRPr="00CB2C86">
        <w:t>е</w:t>
      </w:r>
      <w:r w:rsidRPr="00CB2C86">
        <w:t>бы и общения со своими слышащими сверстниками.</w:t>
      </w:r>
    </w:p>
    <w:p w:rsidR="00F936A8" w:rsidRPr="00CB2C86" w:rsidRDefault="00F936A8" w:rsidP="00F91733">
      <w:pPr>
        <w:pStyle w:val="SingleTxtGR"/>
        <w:tabs>
          <w:tab w:val="clear" w:pos="1701"/>
          <w:tab w:val="clear" w:pos="2268"/>
          <w:tab w:val="left" w:pos="1980"/>
          <w:tab w:val="left" w:pos="2520"/>
        </w:tabs>
      </w:pPr>
      <w:r w:rsidRPr="00CB2C86">
        <w:t>13.75</w:t>
      </w:r>
      <w:r w:rsidRPr="00CB2C86">
        <w:tab/>
        <w:t>Некоторые комментаторы были обеспокоены  тем фактом, что пол</w:t>
      </w:r>
      <w:r w:rsidRPr="00CB2C86">
        <w:t>и</w:t>
      </w:r>
      <w:r w:rsidRPr="00CB2C86">
        <w:t>цейские и сотрудники судов не могут общаться с гражданами с помощью языка жестов. Полиция, чтобы облегчить общение, могла бы оказывать лицам с нар</w:t>
      </w:r>
      <w:r w:rsidRPr="00CB2C86">
        <w:t>у</w:t>
      </w:r>
      <w:r w:rsidRPr="00CB2C86">
        <w:t xml:space="preserve">шениями слуха необходимую помощь, например прибегнув к помощи </w:t>
      </w:r>
      <w:proofErr w:type="spellStart"/>
      <w:r w:rsidRPr="00CB2C86">
        <w:t>сурдоп</w:t>
      </w:r>
      <w:r w:rsidRPr="00CB2C86">
        <w:t>е</w:t>
      </w:r>
      <w:r w:rsidRPr="00CB2C86">
        <w:t>реводчиков</w:t>
      </w:r>
      <w:proofErr w:type="spellEnd"/>
      <w:r w:rsidR="000B1A9D">
        <w:t>.</w:t>
      </w:r>
      <w:r w:rsidRPr="00CB2C86">
        <w:t xml:space="preserve"> Для обеспечения услуг переводчика в суде </w:t>
      </w:r>
      <w:proofErr w:type="spellStart"/>
      <w:r w:rsidRPr="00CB2C86">
        <w:t>сурдопереводчики</w:t>
      </w:r>
      <w:proofErr w:type="spellEnd"/>
      <w:r w:rsidRPr="00CB2C86">
        <w:t xml:space="preserve"> обычно регистрируются в органах судебной власти по рекомендации соответс</w:t>
      </w:r>
      <w:r w:rsidRPr="00CB2C86">
        <w:t>т</w:t>
      </w:r>
      <w:r w:rsidRPr="00CB2C86">
        <w:t>вующей организации глухих. Говоря вообще, участники процесса, у которых есть особые просьбы, могут подавать ходатайство соответствующему председ</w:t>
      </w:r>
      <w:r w:rsidRPr="00CB2C86">
        <w:t>а</w:t>
      </w:r>
      <w:r w:rsidRPr="00CB2C86">
        <w:t>тельствующему судебному должностному лицу.</w:t>
      </w:r>
    </w:p>
    <w:p w:rsidR="00F936A8" w:rsidRPr="00CB2C86" w:rsidRDefault="00F936A8" w:rsidP="00F91733">
      <w:pPr>
        <w:pStyle w:val="H23GR"/>
        <w:tabs>
          <w:tab w:val="left" w:pos="1980"/>
          <w:tab w:val="left" w:pos="2520"/>
        </w:tabs>
      </w:pPr>
      <w:r w:rsidRPr="00CB2C86">
        <w:tab/>
      </w:r>
      <w:r w:rsidRPr="00CB2C86">
        <w:tab/>
        <w:t>Служба профессиональной подготовки и оценки трудовых во</w:t>
      </w:r>
      <w:r w:rsidRPr="00CB2C86">
        <w:t>з</w:t>
      </w:r>
      <w:r w:rsidRPr="00CB2C86">
        <w:t>можностей лиц с ограниченными возможностями</w:t>
      </w:r>
    </w:p>
    <w:p w:rsidR="00F936A8" w:rsidRPr="00CB2C86" w:rsidRDefault="00F936A8" w:rsidP="00F91733">
      <w:pPr>
        <w:pStyle w:val="SingleTxtGR"/>
        <w:tabs>
          <w:tab w:val="clear" w:pos="1701"/>
          <w:tab w:val="clear" w:pos="2268"/>
          <w:tab w:val="left" w:pos="1980"/>
          <w:tab w:val="left" w:pos="2520"/>
        </w:tabs>
      </w:pPr>
      <w:r w:rsidRPr="00CB2C86">
        <w:t>13.76</w:t>
      </w:r>
      <w:r w:rsidRPr="00CB2C86">
        <w:tab/>
        <w:t>В дополнение к положению, разъясненному в пунктах 13.52</w:t>
      </w:r>
      <w:r>
        <w:t>−</w:t>
      </w:r>
      <w:r w:rsidRPr="00CB2C86">
        <w:t>13.54. предыдущего доклада, центры профессиональной подготовки, находящиеся в ведении НПО и СПО, в 2009</w:t>
      </w:r>
      <w:r>
        <w:t>/</w:t>
      </w:r>
      <w:r w:rsidRPr="00CB2C86">
        <w:t>10 учебному</w:t>
      </w:r>
      <w:r w:rsidR="00B92291">
        <w:t> год</w:t>
      </w:r>
      <w:r w:rsidRPr="00CB2C86">
        <w:t>у располагали 1</w:t>
      </w:r>
      <w:r>
        <w:t> </w:t>
      </w:r>
      <w:r w:rsidRPr="00CB2C86">
        <w:t>113 учебными местами для обучения в течение полного рабочего дня. В рамках Программы развития рабочей силы, которая до этого была известна под названием Пр</w:t>
      </w:r>
      <w:r w:rsidRPr="00CB2C86">
        <w:t>о</w:t>
      </w:r>
      <w:r w:rsidRPr="00CB2C86">
        <w:t>грамма переподготовки работников, СПР продолжает вести курсы професси</w:t>
      </w:r>
      <w:r w:rsidRPr="00CB2C86">
        <w:t>о</w:t>
      </w:r>
      <w:r w:rsidRPr="00CB2C86">
        <w:t>нальной подготовки для потерявших работу трудящихся, включая ЛОВ. В соо</w:t>
      </w:r>
      <w:r w:rsidRPr="00CB2C86">
        <w:t>т</w:t>
      </w:r>
      <w:r w:rsidRPr="00CB2C86">
        <w:t>ветствии с этой программой СПО повысил целевые параметры своих услуг, распростр</w:t>
      </w:r>
      <w:r w:rsidRPr="00CB2C86">
        <w:t>а</w:t>
      </w:r>
      <w:r w:rsidRPr="00CB2C86">
        <w:t>нив их с лиц в возрасте 30 лет или старше со средним образованием третьей ступени на лиц в возрасте 15 лет или старше с незаконченным средним образ</w:t>
      </w:r>
      <w:r w:rsidRPr="00CB2C86">
        <w:t>о</w:t>
      </w:r>
      <w:r w:rsidRPr="00CB2C86">
        <w:t>ванием.</w:t>
      </w:r>
      <w:r w:rsidRPr="00CB2C86" w:rsidDel="00E00351">
        <w:t xml:space="preserve"> </w:t>
      </w:r>
    </w:p>
    <w:p w:rsidR="00F936A8" w:rsidRPr="00CB2C86" w:rsidRDefault="00F936A8" w:rsidP="00F91733">
      <w:pPr>
        <w:pStyle w:val="SingleTxtGR"/>
        <w:tabs>
          <w:tab w:val="clear" w:pos="1701"/>
          <w:tab w:val="clear" w:pos="2268"/>
          <w:tab w:val="left" w:pos="1980"/>
          <w:tab w:val="left" w:pos="2520"/>
        </w:tabs>
      </w:pPr>
      <w:r w:rsidRPr="00CB2C86">
        <w:t>13.77</w:t>
      </w:r>
      <w:r w:rsidRPr="00CB2C86">
        <w:tab/>
        <w:t>В отношении профессиональной подготовки ЛОВ политическая задача правительства в процессе оказания помощи в трудоустройстве заключается в том, чтобы обеспечить им равный доступ к продуктивному и оплачиваемому труду на открытом рынке. Тем ЛОВ, которые не могут или еще не готовы к тр</w:t>
      </w:r>
      <w:r w:rsidRPr="00CB2C86">
        <w:t>у</w:t>
      </w:r>
      <w:r w:rsidRPr="00CB2C86">
        <w:t>доустройству на открытом рынке труда, ДСО оказывает услуги по професси</w:t>
      </w:r>
      <w:r w:rsidRPr="00CB2C86">
        <w:t>о</w:t>
      </w:r>
      <w:r w:rsidRPr="00CB2C86">
        <w:t>нальной реабилитации. Эти услуги включают:</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a</w:t>
      </w:r>
      <w:proofErr w:type="spellEnd"/>
      <w:r>
        <w:t>)</w:t>
      </w:r>
      <w:r w:rsidRPr="00CB2C86">
        <w:tab/>
      </w:r>
      <w:r w:rsidRPr="00CB2C86">
        <w:rPr>
          <w:b/>
        </w:rPr>
        <w:t xml:space="preserve">Центр комплексной профессиональной подготовки, </w:t>
      </w:r>
      <w:r w:rsidRPr="00CB2C86">
        <w:t>который о</w:t>
      </w:r>
      <w:r w:rsidRPr="00CB2C86">
        <w:t>р</w:t>
      </w:r>
      <w:r w:rsidRPr="00CB2C86">
        <w:t>ганизует комплексную и систематическую профессиональную подготовку для ЛОВ, чтобы помочь им утвердиться на открытом рынке труда и развить свои возможности;</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b</w:t>
      </w:r>
      <w:proofErr w:type="spellEnd"/>
      <w:r>
        <w:t>)</w:t>
      </w:r>
      <w:r w:rsidRPr="00CB2C86">
        <w:tab/>
      </w:r>
      <w:r w:rsidRPr="00CB2C86">
        <w:rPr>
          <w:b/>
        </w:rPr>
        <w:t>Мастерская для инвалидов,</w:t>
      </w:r>
      <w:r w:rsidRPr="00CB2C86">
        <w:t xml:space="preserve"> которая предоставляет ЛОВ, не способным еще трудоустроиться на открытом рынке труда, надлежащую пр</w:t>
      </w:r>
      <w:r w:rsidRPr="00CB2C86">
        <w:t>о</w:t>
      </w:r>
      <w:r w:rsidRPr="00CB2C86">
        <w:t>фессиональную подготовку в специально созданных условиях, в которых ЛОВ м</w:t>
      </w:r>
      <w:r w:rsidRPr="00CB2C86">
        <w:t>о</w:t>
      </w:r>
      <w:r w:rsidRPr="00CB2C86">
        <w:t>гут научиться, как приспособится к требованиям нормального труда, развить свои социальные навыки и отношения и подготовиться к возможному подде</w:t>
      </w:r>
      <w:r w:rsidRPr="00CB2C86">
        <w:t>р</w:t>
      </w:r>
      <w:r w:rsidRPr="00CB2C86">
        <w:t>живаемому трудоустройству на открытом рынке труда;</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c</w:t>
      </w:r>
      <w:proofErr w:type="spellEnd"/>
      <w:r>
        <w:t>)</w:t>
      </w:r>
      <w:r w:rsidRPr="00CB2C86">
        <w:tab/>
      </w:r>
      <w:r w:rsidRPr="00CB2C86">
        <w:rPr>
          <w:b/>
        </w:rPr>
        <w:t xml:space="preserve">Поддерживаемое трудоустройство, </w:t>
      </w:r>
      <w:r w:rsidRPr="00CB2C86">
        <w:t>которое обеспечивает ЛОВ</w:t>
      </w:r>
      <w:r w:rsidRPr="00CB2C86">
        <w:rPr>
          <w:b/>
        </w:rPr>
        <w:t xml:space="preserve"> </w:t>
      </w:r>
      <w:r w:rsidRPr="00CB2C86">
        <w:t>профессиональную подготовку, адаптацию на рабочем месте, обучение и инс</w:t>
      </w:r>
      <w:r w:rsidRPr="00CB2C86">
        <w:t>т</w:t>
      </w:r>
      <w:r w:rsidRPr="00CB2C86">
        <w:t>руктирование непосредственно на рабочем месте, корректировку функционал</w:t>
      </w:r>
      <w:r w:rsidRPr="00CB2C86">
        <w:t>ь</w:t>
      </w:r>
      <w:r w:rsidRPr="00CB2C86">
        <w:t>ных обязанностей и обучение трудовым навыкам и т.д. Оно служит путем к с</w:t>
      </w:r>
      <w:r w:rsidRPr="00CB2C86">
        <w:t>о</w:t>
      </w:r>
      <w:r w:rsidRPr="00CB2C86">
        <w:t>циальному восхождению и необходимой ступенькой для учеников Мастерской для инвалидов к социальной интеграции тех из них, кто иным образом не может трудоустроиться на открытом рынке труда;</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d</w:t>
      </w:r>
      <w:proofErr w:type="spellEnd"/>
      <w:r>
        <w:t>)</w:t>
      </w:r>
      <w:r w:rsidRPr="00CB2C86">
        <w:tab/>
      </w:r>
      <w:r w:rsidRPr="00CB2C86">
        <w:rPr>
          <w:b/>
        </w:rPr>
        <w:t>Центр поддержки по профессиональной реабилитации</w:t>
      </w:r>
      <w:r w:rsidRPr="00CB2C86">
        <w:t xml:space="preserve"> (ЦППР), к</w:t>
      </w:r>
      <w:r w:rsidRPr="00CB2C86">
        <w:t>о</w:t>
      </w:r>
      <w:r w:rsidRPr="00CB2C86">
        <w:t>торый является новой формой поддержки, внедренной после 2004</w:t>
      </w:r>
      <w:r w:rsidR="00B92291">
        <w:t> год</w:t>
      </w:r>
      <w:r w:rsidRPr="00CB2C86">
        <w:t>а путем перестройки Мастерской для инвалидов и служб поддержива</w:t>
      </w:r>
      <w:r w:rsidRPr="00CB2C86">
        <w:t>е</w:t>
      </w:r>
      <w:r w:rsidRPr="00CB2C86">
        <w:t>мого трудоустройства. ЦППР оказывает ряд универсальных и комплексных у</w:t>
      </w:r>
      <w:r w:rsidRPr="00CB2C86">
        <w:t>с</w:t>
      </w:r>
      <w:r w:rsidRPr="00CB2C86">
        <w:t>луг по профе</w:t>
      </w:r>
      <w:r w:rsidRPr="00CB2C86">
        <w:t>с</w:t>
      </w:r>
      <w:r w:rsidRPr="00CB2C86">
        <w:t>сиональной реабилитации, включая обучение рабочим навыкам и формирование социальных навыков и навыков межличностного общения, пр</w:t>
      </w:r>
      <w:r w:rsidRPr="00CB2C86">
        <w:t>е</w:t>
      </w:r>
      <w:r w:rsidRPr="00CB2C86">
        <w:t>следуя цель подготовить их к потенциальному выходу на открытый рынок тр</w:t>
      </w:r>
      <w:r w:rsidRPr="00CB2C86">
        <w:t>у</w:t>
      </w:r>
      <w:r w:rsidRPr="00CB2C86">
        <w:t>да; и</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e</w:t>
      </w:r>
      <w:proofErr w:type="spellEnd"/>
      <w:r>
        <w:t>)</w:t>
      </w:r>
      <w:r w:rsidRPr="00CB2C86">
        <w:tab/>
      </w:r>
      <w:r w:rsidRPr="00CB2C86">
        <w:rPr>
          <w:b/>
        </w:rPr>
        <w:t xml:space="preserve">Программа обучения ЛОВ на рабочем месте и Программа </w:t>
      </w:r>
      <w:proofErr w:type="spellStart"/>
      <w:r w:rsidRPr="00CB2C86">
        <w:rPr>
          <w:b/>
        </w:rPr>
        <w:t>Санниуэй</w:t>
      </w:r>
      <w:proofErr w:type="spellEnd"/>
      <w:r w:rsidRPr="00CB2C86">
        <w:rPr>
          <w:b/>
        </w:rPr>
        <w:t xml:space="preserve"> по обучению молодых людей с ограниченными возможностями, </w:t>
      </w:r>
      <w:r w:rsidRPr="00CB2C86">
        <w:t>которые выплачивают компенсации, стимулирующие работодателей создавать рабочие места для ЛОВ. В соответствии с этими программами ЛОВ оказываю</w:t>
      </w:r>
      <w:r w:rsidRPr="00CB2C86">
        <w:t>т</w:t>
      </w:r>
      <w:r w:rsidRPr="00CB2C86">
        <w:t>ся такие виды поддержки, как сохранение рабочего места, адаптация на раб</w:t>
      </w:r>
      <w:r w:rsidRPr="00CB2C86">
        <w:t>о</w:t>
      </w:r>
      <w:r w:rsidRPr="00CB2C86">
        <w:t>чем месте, обучение и инструктирование непосредственно на рабочем месте,  професси</w:t>
      </w:r>
      <w:r w:rsidRPr="00CB2C86">
        <w:t>о</w:t>
      </w:r>
      <w:r w:rsidRPr="00CB2C86">
        <w:t>нальная ориентация и помощь после трудоустройства.</w:t>
      </w:r>
    </w:p>
    <w:p w:rsidR="00F936A8" w:rsidRPr="00CB2C86" w:rsidRDefault="00F936A8" w:rsidP="00F91733">
      <w:pPr>
        <w:pStyle w:val="SingleTxtGR"/>
        <w:tabs>
          <w:tab w:val="clear" w:pos="1701"/>
          <w:tab w:val="clear" w:pos="2268"/>
          <w:tab w:val="left" w:pos="1980"/>
          <w:tab w:val="left" w:pos="2520"/>
        </w:tabs>
      </w:pPr>
      <w:r w:rsidRPr="00CB2C86">
        <w:t>13.78</w:t>
      </w:r>
      <w:r w:rsidRPr="00CB2C86">
        <w:tab/>
        <w:t>Чтобы облегчить ЛОВ интеграцию в жизнь общества, мы намерены продолжать наращивать подготовку и реабилитацию в течение полного дня для того, чтобы помочь им достичь самостоятельности и уверенности в собстве</w:t>
      </w:r>
      <w:r w:rsidRPr="00CB2C86">
        <w:t>н</w:t>
      </w:r>
      <w:r w:rsidRPr="00CB2C86">
        <w:t>ных силах и участия в жизни общества. В настоящее время в общей сложности создано 16 354 мест</w:t>
      </w:r>
      <w:r w:rsidR="00E93C2D">
        <w:t>а</w:t>
      </w:r>
      <w:r w:rsidRPr="00CB2C86">
        <w:t xml:space="preserve"> для прохождения профессиональной подготовки и реаб</w:t>
      </w:r>
      <w:r w:rsidRPr="00CB2C86">
        <w:t>и</w:t>
      </w:r>
      <w:r w:rsidRPr="00CB2C86">
        <w:t>литации в течение полного дня. В 2010</w:t>
      </w:r>
      <w:r>
        <w:t>−</w:t>
      </w:r>
      <w:r w:rsidRPr="00CB2C86">
        <w:t>2011</w:t>
      </w:r>
      <w:r w:rsidR="00B92291">
        <w:t> год</w:t>
      </w:r>
      <w:r w:rsidRPr="00CB2C86">
        <w:t>ах на создание 160 новых мест для прохождения профессиональной подготовки и 100 новых мест для профе</w:t>
      </w:r>
      <w:r w:rsidRPr="00CB2C86">
        <w:t>с</w:t>
      </w:r>
      <w:r w:rsidRPr="00CB2C86">
        <w:t>сиональной реабилитации будет дополнительно выделено 16,8</w:t>
      </w:r>
      <w:r w:rsidR="004F720A">
        <w:t> </w:t>
      </w:r>
      <w:r w:rsidR="00B63D5C">
        <w:t>млн. долларов.</w:t>
      </w:r>
      <w:r w:rsidRPr="00CB2C86">
        <w:t xml:space="preserve"> В</w:t>
      </w:r>
      <w:r>
        <w:t> </w:t>
      </w:r>
      <w:r w:rsidRPr="00CB2C86">
        <w:t>совокупности с уже выделенными периодическими субсидиями правительс</w:t>
      </w:r>
      <w:r w:rsidRPr="00CB2C86">
        <w:t>т</w:t>
      </w:r>
      <w:r w:rsidRPr="00CB2C86">
        <w:t>во намерено создать в целом 290 дополнительных мест для прохождения пр</w:t>
      </w:r>
      <w:r w:rsidRPr="00CB2C86">
        <w:t>о</w:t>
      </w:r>
      <w:r w:rsidRPr="00CB2C86">
        <w:t>фессиональной подготовки в течение полного дня и 420 мест для професси</w:t>
      </w:r>
      <w:r w:rsidRPr="00CB2C86">
        <w:t>о</w:t>
      </w:r>
      <w:r w:rsidRPr="00CB2C86">
        <w:t>нальной реабилитации.</w:t>
      </w:r>
    </w:p>
    <w:p w:rsidR="00F936A8" w:rsidRPr="00CB2C86" w:rsidRDefault="00F936A8" w:rsidP="00F91733">
      <w:pPr>
        <w:pStyle w:val="H1GR"/>
        <w:tabs>
          <w:tab w:val="left" w:pos="1980"/>
          <w:tab w:val="left" w:pos="2520"/>
        </w:tabs>
      </w:pPr>
      <w:r w:rsidRPr="00CB2C86">
        <w:tab/>
      </w:r>
      <w:r w:rsidRPr="00CB2C86">
        <w:tab/>
        <w:t>Образование заключенных</w:t>
      </w:r>
    </w:p>
    <w:p w:rsidR="00F936A8" w:rsidRPr="00CB2C86" w:rsidRDefault="00F936A8" w:rsidP="00F91733">
      <w:pPr>
        <w:pStyle w:val="SingleTxtGR"/>
        <w:tabs>
          <w:tab w:val="clear" w:pos="1701"/>
          <w:tab w:val="clear" w:pos="2268"/>
          <w:tab w:val="left" w:pos="1980"/>
          <w:tab w:val="left" w:pos="2520"/>
        </w:tabs>
      </w:pPr>
      <w:r w:rsidRPr="00CB2C86">
        <w:t>13.79</w:t>
      </w:r>
      <w:r w:rsidRPr="00CB2C86">
        <w:tab/>
        <w:t>Положение в основном остается таким же, как оно было разъяснено в пунктах 555 и 556 первоначального доклада. Между тем ДИУ нанимает квал</w:t>
      </w:r>
      <w:r w:rsidRPr="00CB2C86">
        <w:t>и</w:t>
      </w:r>
      <w:r w:rsidRPr="00CB2C86">
        <w:t>фицированных учителей и инструкторов для общего обучения и професси</w:t>
      </w:r>
      <w:r w:rsidRPr="00CB2C86">
        <w:t>о</w:t>
      </w:r>
      <w:r w:rsidRPr="00CB2C86">
        <w:t>нальной подготовки заключенных в возрасте младше 21</w:t>
      </w:r>
      <w:r w:rsidR="00B92291">
        <w:t> год</w:t>
      </w:r>
      <w:r w:rsidRPr="00CB2C86">
        <w:t>а. Для взрослых з</w:t>
      </w:r>
      <w:r w:rsidRPr="00CB2C86">
        <w:t>а</w:t>
      </w:r>
      <w:r w:rsidRPr="00CB2C86">
        <w:t>ключенных, которые желают получать образование после работы, ДИУ орган</w:t>
      </w:r>
      <w:r w:rsidRPr="00CB2C86">
        <w:t>и</w:t>
      </w:r>
      <w:r w:rsidRPr="00CB2C86">
        <w:t>зует академическое обучение и консультирование, а также помогает им зап</w:t>
      </w:r>
      <w:r w:rsidRPr="00CB2C86">
        <w:t>и</w:t>
      </w:r>
      <w:r w:rsidRPr="00CB2C86">
        <w:t>саться на надлежащие учебные курсы и обращаться за соответствующими су</w:t>
      </w:r>
      <w:r w:rsidRPr="00CB2C86">
        <w:t>б</w:t>
      </w:r>
      <w:r w:rsidRPr="00CB2C86">
        <w:t>сидиями.</w:t>
      </w:r>
    </w:p>
    <w:p w:rsidR="00F936A8" w:rsidRPr="00CB2C86" w:rsidRDefault="00F936A8" w:rsidP="00F91733">
      <w:pPr>
        <w:pStyle w:val="SingleTxtGR"/>
        <w:tabs>
          <w:tab w:val="clear" w:pos="1701"/>
          <w:tab w:val="clear" w:pos="2268"/>
          <w:tab w:val="left" w:pos="1980"/>
          <w:tab w:val="left" w:pos="2520"/>
        </w:tabs>
      </w:pPr>
      <w:r w:rsidRPr="00CB2C86">
        <w:t>13.80</w:t>
      </w:r>
      <w:r w:rsidRPr="00CB2C86">
        <w:tab/>
        <w:t>По мнению некоторых комментаторов, учебные курсы и субсидии для заключенных в исправительных учреждениях слишком ограничены и недост</w:t>
      </w:r>
      <w:r w:rsidRPr="00CB2C86">
        <w:t>а</w:t>
      </w:r>
      <w:r w:rsidRPr="00CB2C86">
        <w:t>точны. ЛОВ, содержащимся в исправительных учреждениях ДИУ, которые ж</w:t>
      </w:r>
      <w:r w:rsidRPr="00CB2C86">
        <w:t>е</w:t>
      </w:r>
      <w:r w:rsidRPr="00CB2C86">
        <w:t>лают получить образование, предоставляются финансовые субсидии. Чтобы предо</w:t>
      </w:r>
      <w:r w:rsidRPr="00CB2C86">
        <w:t>с</w:t>
      </w:r>
      <w:r w:rsidRPr="00CB2C86">
        <w:t>тавить больше стимулов заключенным, в 2009</w:t>
      </w:r>
      <w:r w:rsidR="00B92291">
        <w:t> год</w:t>
      </w:r>
      <w:r w:rsidRPr="00CB2C86">
        <w:t xml:space="preserve">у были учреждены две новых программы субсидий, а именно </w:t>
      </w:r>
      <w:r>
        <w:t>"</w:t>
      </w:r>
      <w:r w:rsidRPr="00CB2C86">
        <w:t>Фонд новой жизни</w:t>
      </w:r>
      <w:r>
        <w:t>"</w:t>
      </w:r>
      <w:r w:rsidRPr="00CB2C86">
        <w:t xml:space="preserve"> и Программа су</w:t>
      </w:r>
      <w:r w:rsidRPr="00CB2C86">
        <w:t>б</w:t>
      </w:r>
      <w:r w:rsidRPr="00CB2C86">
        <w:t>сидий на образование заключенных. В 2009</w:t>
      </w:r>
      <w:r>
        <w:t>−</w:t>
      </w:r>
      <w:r w:rsidRPr="00CB2C86">
        <w:t>2010</w:t>
      </w:r>
      <w:r w:rsidR="00B92291">
        <w:t> год</w:t>
      </w:r>
      <w:r w:rsidRPr="00CB2C86">
        <w:t>ах финансовую помощь для участия в дистанционных учебных курсах и сдачи государственных экзам</w:t>
      </w:r>
      <w:r w:rsidRPr="00CB2C86">
        <w:t>е</w:t>
      </w:r>
      <w:r w:rsidRPr="00CB2C86">
        <w:t>нов в исправительных учреждениях ДИУ финансовую помощь получили 655 заключенных. Мы считаем, что заключенные, содержащиеся в исправительных учреждениях ДИУ, получают достаточную финансовую помощь в этой области.</w:t>
      </w:r>
    </w:p>
    <w:p w:rsidR="00F936A8" w:rsidRPr="00CB2C86" w:rsidRDefault="00F936A8" w:rsidP="00F91733">
      <w:pPr>
        <w:pStyle w:val="H1GR"/>
        <w:tabs>
          <w:tab w:val="left" w:pos="1980"/>
          <w:tab w:val="left" w:pos="2520"/>
        </w:tabs>
      </w:pPr>
      <w:r w:rsidRPr="00CB2C86">
        <w:tab/>
      </w:r>
      <w:r w:rsidRPr="00CB2C86">
        <w:tab/>
        <w:t>Образование детей, не имеющих права на проживание</w:t>
      </w:r>
    </w:p>
    <w:p w:rsidR="00F936A8" w:rsidRPr="00CB2C86" w:rsidRDefault="00F936A8" w:rsidP="00F91733">
      <w:pPr>
        <w:pStyle w:val="SingleTxtGR"/>
        <w:tabs>
          <w:tab w:val="clear" w:pos="1701"/>
          <w:tab w:val="clear" w:pos="2268"/>
          <w:tab w:val="left" w:pos="1980"/>
          <w:tab w:val="left" w:pos="2520"/>
        </w:tabs>
      </w:pPr>
      <w:r w:rsidRPr="00CB2C86">
        <w:t>13.81</w:t>
      </w:r>
      <w:r w:rsidRPr="00CB2C86">
        <w:tab/>
        <w:t>Правительство в полной мере осознает свое обязательство в соотве</w:t>
      </w:r>
      <w:r w:rsidRPr="00CB2C86">
        <w:t>т</w:t>
      </w:r>
      <w:r w:rsidRPr="00CB2C86">
        <w:t>ствии с Пактом, касающееся права на образование. В ответ на вопрос, соде</w:t>
      </w:r>
      <w:r w:rsidRPr="00CB2C86">
        <w:t>р</w:t>
      </w:r>
      <w:r w:rsidRPr="00CB2C86">
        <w:t>жащийся в пункте 101 предыдущих Заключительных замечаний, можно сказать, что дети, не имеющие права на проживание в САРГ, подлежат высылке, а п</w:t>
      </w:r>
      <w:r w:rsidRPr="00CB2C86">
        <w:t>о</w:t>
      </w:r>
      <w:r w:rsidRPr="00CB2C86">
        <w:t>этому вопрос об их образовании в САРГ обычно не возникает. Если высылка в короткие сроки мало вероятна, ходатайства об обучении в школе рассматрив</w:t>
      </w:r>
      <w:r w:rsidRPr="00CB2C86">
        <w:t>а</w:t>
      </w:r>
      <w:r w:rsidRPr="00CB2C86">
        <w:t>ется правительством в индивидуальном порядке с учетом обязательства собл</w:t>
      </w:r>
      <w:r w:rsidRPr="00CB2C86">
        <w:t>ю</w:t>
      </w:r>
      <w:r w:rsidRPr="00CB2C86">
        <w:t>дать права и интересы детей и других важных факторов. К учитываемым фа</w:t>
      </w:r>
      <w:r w:rsidRPr="00CB2C86">
        <w:t>к</w:t>
      </w:r>
      <w:r w:rsidRPr="00CB2C86">
        <w:t>торам для зачисления в школу могут относиться наличие школьных мест, срок обучения, возраст и уровень образования отдельного ребенка. В соответству</w:t>
      </w:r>
      <w:r w:rsidRPr="00CB2C86">
        <w:t>ю</w:t>
      </w:r>
      <w:r w:rsidRPr="00CB2C86">
        <w:t>щих случаях, если у директора Департамента иммиграции не возникает возр</w:t>
      </w:r>
      <w:r w:rsidRPr="00CB2C86">
        <w:t>а</w:t>
      </w:r>
      <w:r w:rsidRPr="00CB2C86">
        <w:t>жений, о</w:t>
      </w:r>
      <w:r w:rsidRPr="00CB2C86">
        <w:t>р</w:t>
      </w:r>
      <w:r w:rsidRPr="00CB2C86">
        <w:t>ганы образования могут предпринимать шаги для устройства ребенка в школу в соответствии с установленными правилами. Право на образование в достато</w:t>
      </w:r>
      <w:r w:rsidRPr="00CB2C86">
        <w:t>ч</w:t>
      </w:r>
      <w:r w:rsidRPr="00CB2C86">
        <w:t>ной степени защищено действующими механизмами.</w:t>
      </w:r>
      <w:r w:rsidRPr="00CB2C86" w:rsidDel="00F700CD">
        <w:t xml:space="preserve"> </w:t>
      </w:r>
    </w:p>
    <w:p w:rsidR="00F936A8" w:rsidRPr="00CB2C86" w:rsidRDefault="00F936A8" w:rsidP="00F91733">
      <w:pPr>
        <w:pStyle w:val="H1GR"/>
        <w:tabs>
          <w:tab w:val="left" w:pos="1980"/>
          <w:tab w:val="left" w:pos="2520"/>
        </w:tabs>
      </w:pPr>
      <w:r w:rsidRPr="00CB2C86">
        <w:tab/>
      </w:r>
      <w:r w:rsidRPr="00CB2C86">
        <w:tab/>
        <w:t>Образование и оценка образовательно-квалификационного уровня новоприбывших из материкового Китая</w:t>
      </w:r>
    </w:p>
    <w:p w:rsidR="00F936A8" w:rsidRPr="00CB2C86" w:rsidRDefault="00F936A8" w:rsidP="00F91733">
      <w:pPr>
        <w:pStyle w:val="SingleTxtGR"/>
        <w:tabs>
          <w:tab w:val="clear" w:pos="1701"/>
          <w:tab w:val="clear" w:pos="2268"/>
          <w:tab w:val="left" w:pos="1980"/>
          <w:tab w:val="left" w:pos="2520"/>
        </w:tabs>
      </w:pPr>
      <w:r w:rsidRPr="00CB2C86">
        <w:t>13.82</w:t>
      </w:r>
      <w:r w:rsidRPr="00CB2C86">
        <w:tab/>
        <w:t>Положение в этой области остается таким же, как оно упомянуто в пункте 13.59. Кроме упомянутых программ введения в обстановку и программ посвящения меры, которые мы принимаем для интеграции новоприбывших д</w:t>
      </w:r>
      <w:r w:rsidRPr="00CB2C86">
        <w:t>е</w:t>
      </w:r>
      <w:r w:rsidRPr="00CB2C86">
        <w:t>тей, включают  субсидию по линии Программы помощи школам, которая пре</w:t>
      </w:r>
      <w:r w:rsidRPr="00CB2C86">
        <w:t>д</w:t>
      </w:r>
      <w:r w:rsidRPr="00CB2C86">
        <w:t>ставляет собой единовременную субсидию размером 2</w:t>
      </w:r>
      <w:r>
        <w:t> </w:t>
      </w:r>
      <w:r w:rsidRPr="00CB2C86">
        <w:t>805</w:t>
      </w:r>
      <w:r w:rsidR="004F720A">
        <w:t> долл.</w:t>
      </w:r>
      <w:r w:rsidRPr="00CB2C86">
        <w:t xml:space="preserve"> на каждого ученика начальной школы и 4</w:t>
      </w:r>
      <w:r>
        <w:t> </w:t>
      </w:r>
      <w:r w:rsidRPr="00CB2C86">
        <w:t>160</w:t>
      </w:r>
      <w:r w:rsidR="004F720A">
        <w:t> долл.</w:t>
      </w:r>
      <w:r w:rsidRPr="00CB2C86">
        <w:t xml:space="preserve"> на каждого ученика средней школы. Она н</w:t>
      </w:r>
      <w:r w:rsidRPr="00CB2C86">
        <w:t>а</w:t>
      </w:r>
      <w:r w:rsidRPr="00CB2C86">
        <w:t>целена на оказание помощи новоприбывшим учащимся, чтобы освоиться в среде обучения местных школ. Школы могут гибко распоряжаться этой су</w:t>
      </w:r>
      <w:r w:rsidRPr="00CB2C86">
        <w:t>б</w:t>
      </w:r>
      <w:r w:rsidRPr="00CB2C86">
        <w:t>сидией для проведения программ школьной поддержки для этих учащихся.</w:t>
      </w:r>
    </w:p>
    <w:p w:rsidR="00F936A8" w:rsidRPr="00CB2C86" w:rsidRDefault="00F936A8" w:rsidP="00F91733">
      <w:pPr>
        <w:pStyle w:val="SingleTxtGR"/>
        <w:tabs>
          <w:tab w:val="clear" w:pos="1701"/>
          <w:tab w:val="clear" w:pos="2268"/>
          <w:tab w:val="left" w:pos="1980"/>
          <w:tab w:val="left" w:pos="2520"/>
        </w:tabs>
      </w:pPr>
      <w:r w:rsidRPr="00CB2C86">
        <w:t>13.83</w:t>
      </w:r>
      <w:r w:rsidRPr="00CB2C86">
        <w:tab/>
        <w:t>Кроме того, с 2008</w:t>
      </w:r>
      <w:r>
        <w:t>/</w:t>
      </w:r>
      <w:r w:rsidRPr="00CB2C86">
        <w:t>09 учебного</w:t>
      </w:r>
      <w:r w:rsidR="00B92291">
        <w:t> год</w:t>
      </w:r>
      <w:r w:rsidRPr="00CB2C86">
        <w:t>а как программы ознакомления с обстановкой, так и программы посвящения были распространены на новопр</w:t>
      </w:r>
      <w:r w:rsidRPr="00CB2C86">
        <w:t>и</w:t>
      </w:r>
      <w:r w:rsidRPr="00CB2C86">
        <w:t>бывших учащихся в возрасте до 18 лет (прежде с возраста 15 лет). С открытием новых школ в последние</w:t>
      </w:r>
      <w:r w:rsidR="00B92291">
        <w:t> год</w:t>
      </w:r>
      <w:r w:rsidRPr="00CB2C86">
        <w:t>ы количество учебных мест достаточно, чтобы удовлетворить спрос, образующийся в результате прибытия этих учащихся. Мы намерены продолжать мониторинг мер поддержки, чтобы обеспечить плавную интеграцию этих учащихся в местную систему образования.</w:t>
      </w:r>
    </w:p>
    <w:p w:rsidR="00F936A8" w:rsidRPr="00CB2C86" w:rsidRDefault="00F936A8" w:rsidP="00F91733">
      <w:pPr>
        <w:pStyle w:val="SingleTxtGR"/>
        <w:tabs>
          <w:tab w:val="clear" w:pos="1701"/>
          <w:tab w:val="clear" w:pos="2268"/>
          <w:tab w:val="left" w:pos="1980"/>
          <w:tab w:val="left" w:pos="2520"/>
        </w:tabs>
      </w:pPr>
      <w:r w:rsidRPr="00CB2C86">
        <w:t>13.84</w:t>
      </w:r>
      <w:r w:rsidRPr="00CB2C86">
        <w:tab/>
        <w:t>По мнению некоторых комментаторов, требуется механизм признания образовательно-квалификационного уровня, приобретенного в материковом Китае. В соответствии с Указом о Совете по аккредитации академических и профессиональных квалификаций (гл.1150) ГСААПК проводит оценку квал</w:t>
      </w:r>
      <w:r w:rsidRPr="00CB2C86">
        <w:t>и</w:t>
      </w:r>
      <w:r w:rsidRPr="00CB2C86">
        <w:t>фикаций путем профессиональной оценки соответствия совокупности квал</w:t>
      </w:r>
      <w:r w:rsidRPr="00CB2C86">
        <w:t>и</w:t>
      </w:r>
      <w:r w:rsidRPr="00CB2C86">
        <w:t>фикаций физического лица (т.е. соответствие общих результатов обучения высшим и конечным квалификациям) стандарту конкретной квалификации, п</w:t>
      </w:r>
      <w:r w:rsidRPr="00CB2C86">
        <w:t>о</w:t>
      </w:r>
      <w:r w:rsidRPr="00CB2C86">
        <w:t>лученной в Гонконге. Лица, имеющие квалификации, которые были присужд</w:t>
      </w:r>
      <w:r w:rsidRPr="00CB2C86">
        <w:t>е</w:t>
      </w:r>
      <w:r w:rsidRPr="00CB2C86">
        <w:t>ны квалифицирующим органом/органами, функционирующим(и) вне Гонконга (включая материковый Китай и зарубежные страны)</w:t>
      </w:r>
      <w:r w:rsidR="00E93C2D">
        <w:t>,</w:t>
      </w:r>
      <w:r w:rsidRPr="00CB2C86">
        <w:t xml:space="preserve"> могут обращаться с зая</w:t>
      </w:r>
      <w:r w:rsidRPr="00CB2C86">
        <w:t>в</w:t>
      </w:r>
      <w:r w:rsidRPr="00CB2C86">
        <w:t>лением о проведении оценки. Отдельные работодатели, организации или уче</w:t>
      </w:r>
      <w:r w:rsidRPr="00CB2C86">
        <w:t>б</w:t>
      </w:r>
      <w:r w:rsidRPr="00CB2C86">
        <w:t>ные заведения могут по своему усмотрению решать вопрос, можно ли учит</w:t>
      </w:r>
      <w:r w:rsidRPr="00CB2C86">
        <w:t>ы</w:t>
      </w:r>
      <w:r w:rsidRPr="00CB2C86">
        <w:t>вать или признавать квалификацию конкретного лица для найма, регистрации или учебы.</w:t>
      </w:r>
    </w:p>
    <w:p w:rsidR="00F936A8" w:rsidRPr="00CB2C86" w:rsidRDefault="00F936A8" w:rsidP="00F91733">
      <w:pPr>
        <w:pStyle w:val="SingleTxtGR"/>
        <w:tabs>
          <w:tab w:val="clear" w:pos="1701"/>
          <w:tab w:val="clear" w:pos="2268"/>
          <w:tab w:val="left" w:pos="1980"/>
          <w:tab w:val="left" w:pos="2520"/>
        </w:tabs>
      </w:pPr>
      <w:r w:rsidRPr="00CB2C86">
        <w:t>13.85</w:t>
      </w:r>
      <w:r w:rsidRPr="00CB2C86">
        <w:tab/>
        <w:t>По мнению некоторых комментаторов, следует рассмотреть также в</w:t>
      </w:r>
      <w:r w:rsidRPr="00CB2C86">
        <w:t>о</w:t>
      </w:r>
      <w:r w:rsidRPr="00CB2C86">
        <w:t>прос об организации для взрослых новоприбывших из материковой части ку</w:t>
      </w:r>
      <w:r w:rsidRPr="00CB2C86">
        <w:t>р</w:t>
      </w:r>
      <w:r w:rsidRPr="00CB2C86">
        <w:t>сы по адаптации. ДВД тесно сотрудничает с различными НПО и выделяет р</w:t>
      </w:r>
      <w:r w:rsidRPr="00CB2C86">
        <w:t>е</w:t>
      </w:r>
      <w:r w:rsidRPr="00CB2C86">
        <w:t>сурсы этим НПО на организацию на окружном уровне мероприятий и пр</w:t>
      </w:r>
      <w:r w:rsidRPr="00CB2C86">
        <w:t>о</w:t>
      </w:r>
      <w:r w:rsidRPr="00CB2C86">
        <w:t>грамм, адресованных новоприбывшим из материковой части, включая взрослых лиц, чтобы они могли интегрироваться в местное общество. В качестве примера можно привести ознакомительные курсы и занятия по изучению языков для п</w:t>
      </w:r>
      <w:r w:rsidRPr="00CB2C86">
        <w:t>о</w:t>
      </w:r>
      <w:r w:rsidRPr="00CB2C86">
        <w:t>мощи вновь прибывшим лицам в адаптации к жизни в Гонконге.</w:t>
      </w:r>
    </w:p>
    <w:p w:rsidR="00F936A8" w:rsidRPr="00CB2C86" w:rsidRDefault="00F936A8" w:rsidP="00F91733">
      <w:pPr>
        <w:pStyle w:val="H1GR"/>
        <w:tabs>
          <w:tab w:val="left" w:pos="1980"/>
          <w:tab w:val="left" w:pos="2520"/>
        </w:tabs>
      </w:pPr>
      <w:r w:rsidRPr="00CB2C86">
        <w:tab/>
      </w:r>
      <w:r w:rsidRPr="00CB2C86">
        <w:tab/>
        <w:t xml:space="preserve">Образование людей различной сексуальной ориентации и </w:t>
      </w:r>
      <w:proofErr w:type="spellStart"/>
      <w:r w:rsidRPr="00CB2C86">
        <w:t>гендерной</w:t>
      </w:r>
      <w:proofErr w:type="spellEnd"/>
      <w:r w:rsidRPr="00CB2C86">
        <w:t xml:space="preserve"> идентичности</w:t>
      </w:r>
    </w:p>
    <w:p w:rsidR="00F936A8" w:rsidRPr="00CB2C86" w:rsidRDefault="00F936A8" w:rsidP="00F91733">
      <w:pPr>
        <w:pStyle w:val="SingleTxtGR"/>
        <w:tabs>
          <w:tab w:val="clear" w:pos="1701"/>
          <w:tab w:val="clear" w:pos="2268"/>
          <w:tab w:val="left" w:pos="1980"/>
          <w:tab w:val="left" w:pos="2520"/>
        </w:tabs>
      </w:pPr>
      <w:r w:rsidRPr="00CB2C86">
        <w:t>13.86</w:t>
      </w:r>
      <w:r w:rsidRPr="00CB2C86">
        <w:tab/>
        <w:t xml:space="preserve">По мнению некоторых комментаторов, программы БО неэффективны в том, что касается создания атмосферы уважения к людям разной сексуальной ориентации и </w:t>
      </w:r>
      <w:proofErr w:type="spellStart"/>
      <w:r w:rsidRPr="00CB2C86">
        <w:t>гендерной</w:t>
      </w:r>
      <w:proofErr w:type="spellEnd"/>
      <w:r w:rsidRPr="00CB2C86">
        <w:t xml:space="preserve"> идентичности. Однако путем освоения опыта через школьную программу и занятия в процессе преподавания и учебы особое вн</w:t>
      </w:r>
      <w:r w:rsidRPr="00CB2C86">
        <w:t>и</w:t>
      </w:r>
      <w:r w:rsidRPr="00CB2C86">
        <w:t xml:space="preserve">мание уделяется таким ценностям, как уважение к другим, </w:t>
      </w:r>
      <w:proofErr w:type="spellStart"/>
      <w:r w:rsidRPr="00CB2C86">
        <w:t>недискриминация</w:t>
      </w:r>
      <w:proofErr w:type="spellEnd"/>
      <w:r w:rsidRPr="00CB2C86">
        <w:t xml:space="preserve"> и толерантность. </w:t>
      </w:r>
    </w:p>
    <w:p w:rsidR="00F936A8" w:rsidRPr="00CB2C86" w:rsidRDefault="00F936A8" w:rsidP="00F91733">
      <w:pPr>
        <w:pStyle w:val="H1GR"/>
        <w:tabs>
          <w:tab w:val="left" w:pos="1980"/>
          <w:tab w:val="left" w:pos="2520"/>
        </w:tabs>
      </w:pPr>
      <w:r w:rsidRPr="00CB2C86">
        <w:tab/>
      </w:r>
      <w:r w:rsidRPr="00CB2C86">
        <w:tab/>
        <w:t xml:space="preserve">Гражданское образование, образование в области прав человека и просвещение по вопросам недопущения дискриминации </w:t>
      </w:r>
    </w:p>
    <w:p w:rsidR="00F936A8" w:rsidRPr="00CB2C86" w:rsidRDefault="00F936A8" w:rsidP="00F91733">
      <w:pPr>
        <w:pStyle w:val="H23GR"/>
        <w:tabs>
          <w:tab w:val="left" w:pos="1980"/>
          <w:tab w:val="left" w:pos="2520"/>
        </w:tabs>
      </w:pPr>
      <w:r w:rsidRPr="00CB2C86">
        <w:tab/>
      </w:r>
      <w:r w:rsidRPr="00CB2C86">
        <w:tab/>
        <w:t>Школьная программа</w:t>
      </w:r>
    </w:p>
    <w:p w:rsidR="00F936A8" w:rsidRPr="00CB2C86" w:rsidRDefault="00F936A8" w:rsidP="00F91733">
      <w:pPr>
        <w:pStyle w:val="SingleTxtGR"/>
        <w:tabs>
          <w:tab w:val="clear" w:pos="1701"/>
          <w:tab w:val="clear" w:pos="2268"/>
          <w:tab w:val="left" w:pos="1980"/>
          <w:tab w:val="left" w:pos="2520"/>
        </w:tabs>
      </w:pPr>
      <w:r w:rsidRPr="00CB2C86">
        <w:t>13.87</w:t>
      </w:r>
      <w:r w:rsidRPr="00CB2C86">
        <w:tab/>
        <w:t>Имеющиеся школьные программы предоставляют учащимся широкие возможности для развития важных принципов и ценностей в области прав ч</w:t>
      </w:r>
      <w:r w:rsidRPr="00CB2C86">
        <w:t>е</w:t>
      </w:r>
      <w:r w:rsidRPr="00CB2C86">
        <w:t xml:space="preserve">ловека. В процессе обучения различным предметам в начальных и средних школах обсуждаются и развиваются такие основные правозащитные принципы и ценности, как право на жизнь, свобода (например, слова, вероисповедания), право на частную жизнь, уважение ко всем народам (например, к различным национальностям и их культурам и образу жизни), равенство (например, </w:t>
      </w:r>
      <w:proofErr w:type="spellStart"/>
      <w:r w:rsidRPr="00CB2C86">
        <w:t>ге</w:t>
      </w:r>
      <w:r w:rsidRPr="00CB2C86">
        <w:t>н</w:t>
      </w:r>
      <w:r w:rsidRPr="00CB2C86">
        <w:t>дерное</w:t>
      </w:r>
      <w:proofErr w:type="spellEnd"/>
      <w:r w:rsidRPr="00CB2C86">
        <w:t xml:space="preserve"> равенство), </w:t>
      </w:r>
      <w:proofErr w:type="spellStart"/>
      <w:r w:rsidRPr="00CB2C86">
        <w:t>недискриминация</w:t>
      </w:r>
      <w:proofErr w:type="spellEnd"/>
      <w:r w:rsidRPr="00CB2C86">
        <w:t xml:space="preserve"> и </w:t>
      </w:r>
      <w:proofErr w:type="spellStart"/>
      <w:r w:rsidRPr="00CB2C86">
        <w:t>гендерная</w:t>
      </w:r>
      <w:proofErr w:type="spellEnd"/>
      <w:r w:rsidRPr="00CB2C86">
        <w:t xml:space="preserve"> идентичность (например, р</w:t>
      </w:r>
      <w:r w:rsidRPr="00CB2C86">
        <w:t>а</w:t>
      </w:r>
      <w:r w:rsidRPr="00CB2C86">
        <w:t>са и пол). Понятия и понимание прав и обязанностей человека у учащихся п</w:t>
      </w:r>
      <w:r w:rsidRPr="00CB2C86">
        <w:t>о</w:t>
      </w:r>
      <w:r w:rsidRPr="00CB2C86">
        <w:t xml:space="preserve">степенно развиваются от базовых до более сложных понятий прав человека. </w:t>
      </w:r>
    </w:p>
    <w:p w:rsidR="00F936A8" w:rsidRPr="00CB2C86" w:rsidRDefault="00F936A8" w:rsidP="00F91733">
      <w:pPr>
        <w:pStyle w:val="SingleTxtGR"/>
        <w:tabs>
          <w:tab w:val="clear" w:pos="1701"/>
          <w:tab w:val="clear" w:pos="2268"/>
          <w:tab w:val="left" w:pos="1980"/>
          <w:tab w:val="left" w:pos="2520"/>
        </w:tabs>
      </w:pPr>
      <w:r w:rsidRPr="00CB2C86">
        <w:t>13.88</w:t>
      </w:r>
      <w:r w:rsidRPr="00CB2C86">
        <w:tab/>
        <w:t>Понятия и ценности в области прав человека продолжают развиваться на различных ключевых этапах учебной программы нравственного и гражда</w:t>
      </w:r>
      <w:r w:rsidRPr="00CB2C86">
        <w:t>н</w:t>
      </w:r>
      <w:r w:rsidRPr="00CB2C86">
        <w:t>ского воспитания, осуществление которой началось в 2008</w:t>
      </w:r>
      <w:r w:rsidR="00B92291">
        <w:t> год</w:t>
      </w:r>
      <w:r w:rsidRPr="00CB2C86">
        <w:t>у, и в рамках н</w:t>
      </w:r>
      <w:r w:rsidRPr="00CB2C86">
        <w:t>о</w:t>
      </w:r>
      <w:r w:rsidRPr="00CB2C86">
        <w:t xml:space="preserve">вого предмета </w:t>
      </w:r>
      <w:r>
        <w:t>"</w:t>
      </w:r>
      <w:r w:rsidRPr="00CB2C86">
        <w:t>Жизнь и общество</w:t>
      </w:r>
      <w:r>
        <w:t>"</w:t>
      </w:r>
      <w:r w:rsidRPr="00CB2C86">
        <w:t>, преподавание которого предлагается начать в сентябре 2012</w:t>
      </w:r>
      <w:r w:rsidR="00B92291">
        <w:t> год</w:t>
      </w:r>
      <w:r w:rsidRPr="00CB2C86">
        <w:t>а. Эти понятия включают уважение к другим, справедл</w:t>
      </w:r>
      <w:r w:rsidRPr="00CB2C86">
        <w:t>и</w:t>
      </w:r>
      <w:r w:rsidRPr="00CB2C86">
        <w:t xml:space="preserve">вость, гармонию, открытое и толерантное отношение к другому образу жизни и вероисповеданию, уважение и понимание других народов и культур, принцип </w:t>
      </w:r>
      <w:proofErr w:type="spellStart"/>
      <w:r w:rsidRPr="00CB2C86">
        <w:t>недискриминации</w:t>
      </w:r>
      <w:proofErr w:type="spellEnd"/>
      <w:r w:rsidRPr="00CB2C86">
        <w:t xml:space="preserve"> и т.д.. </w:t>
      </w:r>
    </w:p>
    <w:p w:rsidR="00F936A8" w:rsidRPr="00CB2C86" w:rsidRDefault="00F936A8" w:rsidP="00F91733">
      <w:pPr>
        <w:pStyle w:val="SingleTxtGR"/>
        <w:tabs>
          <w:tab w:val="clear" w:pos="1701"/>
          <w:tab w:val="clear" w:pos="2268"/>
          <w:tab w:val="left" w:pos="1980"/>
          <w:tab w:val="left" w:pos="2520"/>
        </w:tabs>
      </w:pPr>
      <w:r w:rsidRPr="00CB2C86">
        <w:t>13.89</w:t>
      </w:r>
      <w:r w:rsidRPr="00CB2C86">
        <w:tab/>
        <w:t xml:space="preserve">Гражданское образование, образование в области прав человека и </w:t>
      </w:r>
      <w:proofErr w:type="spellStart"/>
      <w:r w:rsidRPr="00CB2C86">
        <w:t>а</w:t>
      </w:r>
      <w:r w:rsidRPr="00CB2C86">
        <w:t>н</w:t>
      </w:r>
      <w:r w:rsidRPr="00CB2C86">
        <w:t>тидискриминационное</w:t>
      </w:r>
      <w:proofErr w:type="spellEnd"/>
      <w:r w:rsidRPr="00CB2C86">
        <w:t xml:space="preserve"> воспитание являются составной частью учебной пр</w:t>
      </w:r>
      <w:r w:rsidRPr="00CB2C86">
        <w:t>о</w:t>
      </w:r>
      <w:r w:rsidRPr="00CB2C86">
        <w:t>граммы. В 1998</w:t>
      </w:r>
      <w:r>
        <w:t>/</w:t>
      </w:r>
      <w:r w:rsidRPr="00CB2C86">
        <w:t xml:space="preserve">99 </w:t>
      </w:r>
      <w:r w:rsidR="00A35E26">
        <w:t>учебном году</w:t>
      </w:r>
      <w:r w:rsidRPr="00CB2C86">
        <w:t xml:space="preserve"> в учебную программу средней школы начал</w:t>
      </w:r>
      <w:r w:rsidRPr="00CB2C86">
        <w:t>ь</w:t>
      </w:r>
      <w:r w:rsidRPr="00CB2C86">
        <w:t xml:space="preserve">ной ступени был включен конкретный предмет </w:t>
      </w:r>
      <w:r>
        <w:t>"</w:t>
      </w:r>
      <w:r w:rsidRPr="00CB2C86">
        <w:t>Гражданское обучение</w:t>
      </w:r>
      <w:r>
        <w:t>"</w:t>
      </w:r>
      <w:r w:rsidRPr="00CB2C86">
        <w:t>. Эти учебные направления с 2009</w:t>
      </w:r>
      <w:r>
        <w:t>/</w:t>
      </w:r>
      <w:r w:rsidRPr="00CB2C86">
        <w:t>10 учебного</w:t>
      </w:r>
      <w:r w:rsidR="00B92291">
        <w:t> год</w:t>
      </w:r>
      <w:r w:rsidRPr="00CB2C86">
        <w:t>а были также расширены в рамках о</w:t>
      </w:r>
      <w:r w:rsidRPr="00CB2C86">
        <w:t>с</w:t>
      </w:r>
      <w:r w:rsidRPr="00CB2C86">
        <w:t>новных гуманитарных предметов, которые преподаются на старших ступенях средней школы. В помощь школам в продвижении этих принципов и ценностей для учителей подготовлены программы повышения квалификации и методич</w:t>
      </w:r>
      <w:r w:rsidRPr="00CB2C86">
        <w:t>е</w:t>
      </w:r>
      <w:r w:rsidRPr="00CB2C86">
        <w:t>ские материалы, чтобы они могли повышать свои профессиональные знания и преподавать эти предметы. Чтобы углубить понимание учащимися понятий и ценностей, связанных с гражданским обучением, образованием в о</w:t>
      </w:r>
      <w:r w:rsidRPr="00CB2C86">
        <w:t>б</w:t>
      </w:r>
      <w:r w:rsidRPr="00CB2C86">
        <w:t xml:space="preserve">ласти прав человека и </w:t>
      </w:r>
      <w:proofErr w:type="spellStart"/>
      <w:r w:rsidRPr="00CB2C86">
        <w:t>антицискриминационным</w:t>
      </w:r>
      <w:proofErr w:type="spellEnd"/>
      <w:r w:rsidRPr="00CB2C86">
        <w:t xml:space="preserve"> воспитанием, организуются различные учебные мероприятия и программы.</w:t>
      </w:r>
    </w:p>
    <w:p w:rsidR="00F936A8" w:rsidRPr="00CB2C86" w:rsidRDefault="00F936A8" w:rsidP="00F91733">
      <w:pPr>
        <w:pStyle w:val="SingleTxtGR"/>
        <w:tabs>
          <w:tab w:val="clear" w:pos="1701"/>
          <w:tab w:val="clear" w:pos="2268"/>
          <w:tab w:val="left" w:pos="1980"/>
          <w:tab w:val="left" w:pos="2520"/>
        </w:tabs>
      </w:pPr>
      <w:r w:rsidRPr="00CB2C86">
        <w:t>13.90</w:t>
      </w:r>
      <w:r w:rsidRPr="00CB2C86">
        <w:tab/>
        <w:t>В связи с мнением комментаторов о проведении оценки эффективн</w:t>
      </w:r>
      <w:r w:rsidRPr="00CB2C86">
        <w:t>о</w:t>
      </w:r>
      <w:r w:rsidRPr="00CB2C86">
        <w:t>сти образования в области прав человека сотрудники БО посещают школы, чт</w:t>
      </w:r>
      <w:r w:rsidRPr="00CB2C86">
        <w:t>о</w:t>
      </w:r>
      <w:r w:rsidRPr="00CB2C86">
        <w:t>бы узнать мнение школ относительно выполнения школьной программы, н</w:t>
      </w:r>
      <w:r w:rsidRPr="00CB2C86">
        <w:t>а</w:t>
      </w:r>
      <w:r w:rsidRPr="00CB2C86">
        <w:t>правленной на углубление понимания учащимися прав человека и смежных ценн</w:t>
      </w:r>
      <w:r w:rsidRPr="00CB2C86">
        <w:t>о</w:t>
      </w:r>
      <w:r w:rsidRPr="00CB2C86">
        <w:t xml:space="preserve">стей. </w:t>
      </w:r>
    </w:p>
    <w:p w:rsidR="00F936A8" w:rsidRPr="00CB2C86" w:rsidRDefault="00F936A8" w:rsidP="00F91733">
      <w:pPr>
        <w:pStyle w:val="H23GR"/>
        <w:tabs>
          <w:tab w:val="left" w:pos="1980"/>
          <w:tab w:val="left" w:pos="2520"/>
        </w:tabs>
      </w:pPr>
      <w:r w:rsidRPr="00CB2C86">
        <w:tab/>
      </w:r>
      <w:r w:rsidRPr="00CB2C86">
        <w:tab/>
        <w:t>Программы вне школы</w:t>
      </w:r>
    </w:p>
    <w:p w:rsidR="00F936A8" w:rsidRPr="00CB2C86" w:rsidRDefault="00F936A8" w:rsidP="00F91733">
      <w:pPr>
        <w:pStyle w:val="SingleTxtGR"/>
        <w:tabs>
          <w:tab w:val="clear" w:pos="1701"/>
          <w:tab w:val="clear" w:pos="2268"/>
          <w:tab w:val="left" w:pos="1980"/>
          <w:tab w:val="left" w:pos="2520"/>
        </w:tabs>
      </w:pPr>
      <w:r w:rsidRPr="00CB2C86">
        <w:t>13.91</w:t>
      </w:r>
      <w:r w:rsidRPr="00CB2C86">
        <w:tab/>
        <w:t>Учащиеся могут также знакомиться с понятиями и ценностями в о</w:t>
      </w:r>
      <w:r w:rsidRPr="00CB2C86">
        <w:t>б</w:t>
      </w:r>
      <w:r w:rsidRPr="00CB2C86">
        <w:t xml:space="preserve">ласти прав человека через различные школьные программы, </w:t>
      </w:r>
      <w:r w:rsidR="00254ACE">
        <w:t>в частности такие, как</w:t>
      </w:r>
      <w:r w:rsidRPr="00CB2C86">
        <w:t xml:space="preserve"> классные занятия, собрания, беседы, а также другие формы обучения, н</w:t>
      </w:r>
      <w:r w:rsidRPr="00CB2C86">
        <w:t>а</w:t>
      </w:r>
      <w:r w:rsidRPr="00CB2C86">
        <w:t xml:space="preserve">пример, дискуссионные форумы, диспуты, услуги и экскурсии. </w:t>
      </w:r>
    </w:p>
    <w:p w:rsidR="00F936A8" w:rsidRPr="00CB2C86" w:rsidRDefault="00F936A8" w:rsidP="00F91733">
      <w:pPr>
        <w:pStyle w:val="SingleTxtGR"/>
        <w:tabs>
          <w:tab w:val="clear" w:pos="1701"/>
          <w:tab w:val="clear" w:pos="2268"/>
          <w:tab w:val="left" w:pos="1980"/>
          <w:tab w:val="left" w:pos="2520"/>
        </w:tabs>
      </w:pPr>
      <w:r w:rsidRPr="00CB2C86">
        <w:t>13.92</w:t>
      </w:r>
      <w:r w:rsidRPr="00CB2C86">
        <w:tab/>
        <w:t xml:space="preserve">БО организует для учителей гражданского обучения правам человека учебные семинары по таким правозащитным темам, как </w:t>
      </w:r>
      <w:r>
        <w:t>"</w:t>
      </w:r>
      <w:proofErr w:type="spellStart"/>
      <w:r w:rsidRPr="00CB2C86">
        <w:t>недискриминация</w:t>
      </w:r>
      <w:proofErr w:type="spellEnd"/>
      <w:r>
        <w:t>"</w:t>
      </w:r>
      <w:r w:rsidRPr="00CB2C86">
        <w:t xml:space="preserve">, </w:t>
      </w:r>
      <w:r>
        <w:t>"</w:t>
      </w:r>
      <w:r w:rsidRPr="00CB2C86">
        <w:t>свобода</w:t>
      </w:r>
      <w:r>
        <w:t>"</w:t>
      </w:r>
      <w:r w:rsidRPr="00CB2C86">
        <w:t xml:space="preserve">, </w:t>
      </w:r>
      <w:r>
        <w:t>"</w:t>
      </w:r>
      <w:r w:rsidRPr="00CB2C86">
        <w:t>права человека и Основной закон</w:t>
      </w:r>
      <w:r>
        <w:t>"</w:t>
      </w:r>
      <w:r w:rsidRPr="00CB2C86">
        <w:t xml:space="preserve">, </w:t>
      </w:r>
      <w:r>
        <w:t>"</w:t>
      </w:r>
      <w:r w:rsidRPr="00CB2C86">
        <w:t>интеллектуальная собстве</w:t>
      </w:r>
      <w:r w:rsidRPr="00CB2C86">
        <w:t>н</w:t>
      </w:r>
      <w:r w:rsidRPr="00CB2C86">
        <w:t>ность</w:t>
      </w:r>
      <w:r>
        <w:t>"</w:t>
      </w:r>
      <w:r w:rsidRPr="00CB2C86">
        <w:t xml:space="preserve">, </w:t>
      </w:r>
      <w:r>
        <w:t>"</w:t>
      </w:r>
      <w:r w:rsidRPr="00CB2C86">
        <w:t>свобода прессы и средств массовой информации</w:t>
      </w:r>
      <w:r>
        <w:t>"</w:t>
      </w:r>
      <w:r w:rsidRPr="00CB2C86">
        <w:t xml:space="preserve">, </w:t>
      </w:r>
      <w:r>
        <w:t>"</w:t>
      </w:r>
      <w:r w:rsidRPr="00CB2C86">
        <w:t>равенство и гарм</w:t>
      </w:r>
      <w:r w:rsidRPr="00CB2C86">
        <w:t>о</w:t>
      </w:r>
      <w:r w:rsidRPr="00CB2C86">
        <w:t>ния</w:t>
      </w:r>
      <w:r>
        <w:t>"</w:t>
      </w:r>
      <w:r w:rsidRPr="00CB2C86">
        <w:t xml:space="preserve">, </w:t>
      </w:r>
      <w:r>
        <w:t>"</w:t>
      </w:r>
      <w:r w:rsidRPr="00CB2C86">
        <w:t>права и обязанности</w:t>
      </w:r>
      <w:r>
        <w:t>"</w:t>
      </w:r>
      <w:r w:rsidRPr="00CB2C86">
        <w:t xml:space="preserve"> и т.д., чтобы повысить их педагогическую комп</w:t>
      </w:r>
      <w:r w:rsidRPr="00CB2C86">
        <w:t>е</w:t>
      </w:r>
      <w:r w:rsidRPr="00CB2C86">
        <w:t>тенцию, касающ</w:t>
      </w:r>
      <w:r w:rsidR="00E93C2D">
        <w:t>ую</w:t>
      </w:r>
      <w:r w:rsidRPr="00CB2C86">
        <w:t xml:space="preserve">ся смежных понятий и ценностей. </w:t>
      </w:r>
    </w:p>
    <w:p w:rsidR="00F936A8" w:rsidRPr="00CB2C86" w:rsidRDefault="00F936A8" w:rsidP="00F91733">
      <w:pPr>
        <w:pStyle w:val="SingleTxtGR"/>
        <w:tabs>
          <w:tab w:val="clear" w:pos="1701"/>
          <w:tab w:val="clear" w:pos="2268"/>
          <w:tab w:val="left" w:pos="1980"/>
          <w:tab w:val="left" w:pos="2520"/>
        </w:tabs>
      </w:pPr>
      <w:r w:rsidRPr="00CB2C86">
        <w:t>13.93</w:t>
      </w:r>
      <w:r w:rsidRPr="00CB2C86">
        <w:tab/>
        <w:t xml:space="preserve">В поддержку образованию в области прав человека для информации и использования в школах были подготовлены методические материалы , в том числе материалы на </w:t>
      </w:r>
      <w:proofErr w:type="spellStart"/>
      <w:r>
        <w:t>вебсайт</w:t>
      </w:r>
      <w:r w:rsidRPr="00CB2C86">
        <w:t>ах</w:t>
      </w:r>
      <w:proofErr w:type="spellEnd"/>
      <w:r w:rsidRPr="00CB2C86">
        <w:t>. Правительство также подготовило двуязычные брошюры и бюллетени, посвященные основным договорам в области прав ч</w:t>
      </w:r>
      <w:r w:rsidRPr="00CB2C86">
        <w:t>е</w:t>
      </w:r>
      <w:r w:rsidRPr="00CB2C86">
        <w:t>ловека с примерами основных положений, переведенных на языки, которые легко понять.</w:t>
      </w:r>
    </w:p>
    <w:p w:rsidR="00F936A8" w:rsidRPr="00CB2C86" w:rsidRDefault="00F936A8" w:rsidP="00F91733">
      <w:pPr>
        <w:pStyle w:val="SingleTxtGR"/>
        <w:tabs>
          <w:tab w:val="clear" w:pos="1701"/>
          <w:tab w:val="clear" w:pos="2268"/>
          <w:tab w:val="left" w:pos="1980"/>
          <w:tab w:val="left" w:pos="2520"/>
        </w:tabs>
      </w:pPr>
      <w:r w:rsidRPr="00CB2C86">
        <w:t xml:space="preserve">13.94 </w:t>
      </w:r>
      <w:r w:rsidRPr="00CB2C86">
        <w:tab/>
        <w:t>Мы продолжили повышать уровень информированности обществе</w:t>
      </w:r>
      <w:r w:rsidRPr="00CB2C86">
        <w:t>н</w:t>
      </w:r>
      <w:r w:rsidRPr="00CB2C86">
        <w:t>ности и понимания прав человека, используя различные средства, включая пр</w:t>
      </w:r>
      <w:r w:rsidRPr="00CB2C86">
        <w:t>о</w:t>
      </w:r>
      <w:r w:rsidRPr="00CB2C86">
        <w:t>изводство телевизионной рекламы и предоставлени</w:t>
      </w:r>
      <w:r w:rsidR="00E93C2D">
        <w:t>е</w:t>
      </w:r>
      <w:r w:rsidRPr="00CB2C86">
        <w:t xml:space="preserve"> финансовой помощи м</w:t>
      </w:r>
      <w:r w:rsidRPr="00CB2C86">
        <w:t>е</w:t>
      </w:r>
      <w:r w:rsidRPr="00CB2C86">
        <w:t xml:space="preserve">стным организациям для осуществления просветительских проектов. </w:t>
      </w:r>
    </w:p>
    <w:p w:rsidR="00F936A8" w:rsidRPr="00CB2C86" w:rsidRDefault="00F936A8" w:rsidP="00F91733">
      <w:pPr>
        <w:pStyle w:val="SingleTxtGR"/>
        <w:tabs>
          <w:tab w:val="clear" w:pos="1701"/>
          <w:tab w:val="clear" w:pos="2268"/>
          <w:tab w:val="left" w:pos="1980"/>
          <w:tab w:val="left" w:pos="2520"/>
        </w:tabs>
      </w:pPr>
      <w:r w:rsidRPr="00CB2C86">
        <w:t xml:space="preserve">13.95 </w:t>
      </w:r>
      <w:r w:rsidRPr="00CB2C86">
        <w:tab/>
        <w:t>Комитет по развитию гражданского образования (КРГО) является ко</w:t>
      </w:r>
      <w:r w:rsidRPr="00CB2C86">
        <w:t>н</w:t>
      </w:r>
      <w:r w:rsidRPr="00CB2C86">
        <w:t>сультативным органом при БВД, созданн</w:t>
      </w:r>
      <w:r w:rsidR="00E93C2D">
        <w:t>ым</w:t>
      </w:r>
      <w:r w:rsidRPr="00CB2C86">
        <w:t xml:space="preserve"> в 1986</w:t>
      </w:r>
      <w:r w:rsidR="00B92291">
        <w:t> год</w:t>
      </w:r>
      <w:r w:rsidRPr="00CB2C86">
        <w:t>у с целью развития гра</w:t>
      </w:r>
      <w:r w:rsidRPr="00CB2C86">
        <w:t>ж</w:t>
      </w:r>
      <w:r w:rsidRPr="00CB2C86">
        <w:t>данского образования вне школьной системы в контакте с соответствующими государственными департаментами. КРГО продолжает разъяснять обществе</w:t>
      </w:r>
      <w:r w:rsidRPr="00CB2C86">
        <w:t>н</w:t>
      </w:r>
      <w:r w:rsidRPr="00CB2C86">
        <w:t>ности значение прав человека, когда появляются благоприятные возмо</w:t>
      </w:r>
      <w:r w:rsidRPr="00CB2C86">
        <w:t>ж</w:t>
      </w:r>
      <w:r w:rsidRPr="00CB2C86">
        <w:t>ности, и оказывать патронажную помощь местным организациям по развитию образов</w:t>
      </w:r>
      <w:r w:rsidRPr="00CB2C86">
        <w:t>а</w:t>
      </w:r>
      <w:r w:rsidRPr="00CB2C86">
        <w:t>ния в области прав человека.</w:t>
      </w:r>
    </w:p>
    <w:p w:rsidR="00F936A8" w:rsidRPr="00CB2C86" w:rsidRDefault="00F936A8" w:rsidP="00F91733">
      <w:pPr>
        <w:pStyle w:val="SingleTxtGR"/>
        <w:tabs>
          <w:tab w:val="clear" w:pos="1701"/>
          <w:tab w:val="clear" w:pos="2268"/>
          <w:tab w:val="left" w:pos="1980"/>
          <w:tab w:val="left" w:pos="2520"/>
        </w:tabs>
      </w:pPr>
      <w:r w:rsidRPr="00CB2C86">
        <w:t xml:space="preserve">13.96 </w:t>
      </w:r>
      <w:r w:rsidRPr="00CB2C86">
        <w:tab/>
        <w:t>Некоторые комментаторы попросили правительство провести опрос по проблемам прав человека. По нашему мнению, есть давно созданные каналы для отслеживания положения с правами человека в Гонконге. Мы продолжим использовать эти каналы. К тому же было бы более эффективным задейств</w:t>
      </w:r>
      <w:r w:rsidRPr="00CB2C86">
        <w:t>о</w:t>
      </w:r>
      <w:r w:rsidRPr="00CB2C86">
        <w:t>вать имеющиеся ресурсы для реализации мер или мероприятий, которые пр</w:t>
      </w:r>
      <w:r w:rsidRPr="00CB2C86">
        <w:t>о</w:t>
      </w:r>
      <w:r w:rsidRPr="00CB2C86">
        <w:t xml:space="preserve">двигали бы права человека. </w:t>
      </w:r>
    </w:p>
    <w:p w:rsidR="00F936A8" w:rsidRPr="00CB2C86" w:rsidRDefault="00F936A8" w:rsidP="00F91733">
      <w:pPr>
        <w:pStyle w:val="SingleTxtGR"/>
        <w:tabs>
          <w:tab w:val="clear" w:pos="1701"/>
          <w:tab w:val="clear" w:pos="2268"/>
          <w:tab w:val="left" w:pos="1980"/>
          <w:tab w:val="left" w:pos="2520"/>
        </w:tabs>
      </w:pPr>
      <w:r w:rsidRPr="00CB2C86">
        <w:t xml:space="preserve">13.97 </w:t>
      </w:r>
      <w:r w:rsidRPr="00CB2C86">
        <w:tab/>
        <w:t>КРВ в своих содействующих программах постоянно подчеркивает бол</w:t>
      </w:r>
      <w:r w:rsidRPr="00CB2C86">
        <w:t>ь</w:t>
      </w:r>
      <w:r w:rsidRPr="00CB2C86">
        <w:t>шое значение образования. В дополнение к разработке учебных материалов по предупреждению сексуальных домогательств для использования в школах и чтения лекций перед учащимися разных возрастных групп КРВ также привл</w:t>
      </w:r>
      <w:r w:rsidRPr="00CB2C86">
        <w:t>е</w:t>
      </w:r>
      <w:r w:rsidRPr="00CB2C86">
        <w:t>кает артистов кукольных театров для постановки пьес и кукольных спектаклей в школах для продвижения принципа социальной интеграции лиц с ограниче</w:t>
      </w:r>
      <w:r w:rsidRPr="00CB2C86">
        <w:t>н</w:t>
      </w:r>
      <w:r w:rsidRPr="00CB2C86">
        <w:t>ными возможностями. ЛОВ, которым удалось добиться успехов в избранных областях, и представителям различных расовых групп также предлагается в</w:t>
      </w:r>
      <w:r w:rsidRPr="00CB2C86">
        <w:t>ы</w:t>
      </w:r>
      <w:r w:rsidRPr="00CB2C86">
        <w:t xml:space="preserve">ступать </w:t>
      </w:r>
      <w:r w:rsidR="00E93C2D">
        <w:t xml:space="preserve">в </w:t>
      </w:r>
      <w:r w:rsidRPr="00CB2C86">
        <w:t xml:space="preserve">качестве консультантов в программах КРВ </w:t>
      </w:r>
      <w:r>
        <w:t>"</w:t>
      </w:r>
      <w:r w:rsidRPr="00CB2C86">
        <w:t>Профессиональный в</w:t>
      </w:r>
      <w:r w:rsidRPr="00CB2C86">
        <w:t>ы</w:t>
      </w:r>
      <w:r w:rsidRPr="00CB2C86">
        <w:t>зов</w:t>
      </w:r>
      <w:r>
        <w:t>"</w:t>
      </w:r>
      <w:r w:rsidRPr="00CB2C86">
        <w:t>.</w:t>
      </w:r>
    </w:p>
    <w:p w:rsidR="00F936A8" w:rsidRPr="00CB2C86" w:rsidRDefault="00F936A8" w:rsidP="00F91733">
      <w:pPr>
        <w:pStyle w:val="SingleTxtGR"/>
        <w:tabs>
          <w:tab w:val="clear" w:pos="1701"/>
          <w:tab w:val="clear" w:pos="2268"/>
          <w:tab w:val="left" w:pos="1980"/>
          <w:tab w:val="left" w:pos="2520"/>
        </w:tabs>
      </w:pPr>
      <w:r w:rsidRPr="00CB2C86">
        <w:t>13.98</w:t>
      </w:r>
      <w:r w:rsidRPr="00CB2C86">
        <w:tab/>
        <w:t>Мы принимаем к сведению рекомендацию Комитета, согласно которой государственные служащие и судьи должны знать о правах человека, в частн</w:t>
      </w:r>
      <w:r w:rsidRPr="00CB2C86">
        <w:t>о</w:t>
      </w:r>
      <w:r w:rsidRPr="00CB2C86">
        <w:t>сти об экономических, социальных и культурных правах. Бюро гражданской службы и Институт подготовки и повышения квалификации гражданских сл</w:t>
      </w:r>
      <w:r w:rsidRPr="00CB2C86">
        <w:t>у</w:t>
      </w:r>
      <w:r w:rsidRPr="00CB2C86">
        <w:t>жащих организуют семинары для гражданских служащих среднего и старшего звена. К ним относятся семинары по вопросам Основного закона, равных во</w:t>
      </w:r>
      <w:r w:rsidRPr="00CB2C86">
        <w:t>з</w:t>
      </w:r>
      <w:r w:rsidRPr="00CB2C86">
        <w:t>можностей (в сотрудничестве с КРВ) и других областей прав человека. Депа</w:t>
      </w:r>
      <w:r w:rsidRPr="00CB2C86">
        <w:t>р</w:t>
      </w:r>
      <w:r w:rsidRPr="00CB2C86">
        <w:t>тамент юстиции организует учебные семинары для правительственных юр</w:t>
      </w:r>
      <w:r w:rsidRPr="00CB2C86">
        <w:t>и</w:t>
      </w:r>
      <w:r w:rsidRPr="00CB2C86">
        <w:t>стов. На некоторых таких семинарах затрагиваются вопросы международного права прав человека и защита прав человека, гарантируемая Основным законом. На других акцент делается на специализированных потребностях различных управлений Департамента. Например, Прокурорское управление Департамента юстиции организует для прокуроров учебные курсы по вопросам защиты в уг</w:t>
      </w:r>
      <w:r w:rsidRPr="00CB2C86">
        <w:t>о</w:t>
      </w:r>
      <w:r w:rsidRPr="00CB2C86">
        <w:t>ловных делах, в рамках которых прокуроры знакомятся с Указом о несоверше</w:t>
      </w:r>
      <w:r w:rsidRPr="00CB2C86">
        <w:t>н</w:t>
      </w:r>
      <w:r w:rsidRPr="00CB2C86">
        <w:t xml:space="preserve">нолетних правонарушителях </w:t>
      </w:r>
      <w:r>
        <w:t>(глава </w:t>
      </w:r>
      <w:r w:rsidRPr="00CB2C86">
        <w:t>226), Указом о защите детей и подростков, соответствующими международными нормами и судебными процедурами в части, касающейся системы ювенальной юстиции. Советники Департамента также п</w:t>
      </w:r>
      <w:r w:rsidRPr="00CB2C86">
        <w:t>о</w:t>
      </w:r>
      <w:r w:rsidRPr="00CB2C86">
        <w:t>сещают семинары и конференции, организуемые университетами и академическими учебными заведениями и зарубежные конференции по вопр</w:t>
      </w:r>
      <w:r w:rsidRPr="00CB2C86">
        <w:t>о</w:t>
      </w:r>
      <w:r w:rsidRPr="00CB2C86">
        <w:t>сам прав человека. Учителям предлагаются программы повышения професси</w:t>
      </w:r>
      <w:r w:rsidRPr="00CB2C86">
        <w:t>о</w:t>
      </w:r>
      <w:r w:rsidRPr="00CB2C86">
        <w:t>нальной квалификации БО, чтобы углубить их знания и навыки для развития образования в области прав человека.</w:t>
      </w:r>
    </w:p>
    <w:p w:rsidR="00F936A8" w:rsidRPr="00CB2C86" w:rsidRDefault="00F936A8" w:rsidP="00F91733">
      <w:pPr>
        <w:pStyle w:val="SingleTxtGR"/>
        <w:tabs>
          <w:tab w:val="clear" w:pos="1701"/>
          <w:tab w:val="clear" w:pos="2268"/>
          <w:tab w:val="left" w:pos="1980"/>
          <w:tab w:val="left" w:pos="2520"/>
        </w:tabs>
      </w:pPr>
      <w:r w:rsidRPr="00CB2C86">
        <w:t>13.99</w:t>
      </w:r>
      <w:r w:rsidRPr="00CB2C86">
        <w:tab/>
        <w:t>Принципы прав человека и равенства являются составной частью о</w:t>
      </w:r>
      <w:r w:rsidRPr="00CB2C86">
        <w:t>с</w:t>
      </w:r>
      <w:r w:rsidRPr="00CB2C86">
        <w:t>новополагающей подготовки молодых сотрудников Полиции и инспекторов службы пробации. Эти вопросы также охватываются программами непреры</w:t>
      </w:r>
      <w:r w:rsidRPr="00CB2C86">
        <w:t>в</w:t>
      </w:r>
      <w:r w:rsidRPr="00CB2C86">
        <w:t>ной подготовки служащих полиции без отрыва от службы. Таможенный и а</w:t>
      </w:r>
      <w:r w:rsidRPr="00CB2C86">
        <w:t>к</w:t>
      </w:r>
      <w:r w:rsidRPr="00CB2C86">
        <w:t>цизный департамент следует нормативным требованиям и провозглашенным правительством процедурам по разработке международных инструкций и уче</w:t>
      </w:r>
      <w:r w:rsidRPr="00CB2C86">
        <w:t>б</w:t>
      </w:r>
      <w:r w:rsidRPr="00CB2C86">
        <w:t>ных курсов в части, касающейся защиты прав человека. Весь надзирающий персонал ДИУ информируется о правах человека, закрепленных в законод</w:t>
      </w:r>
      <w:r w:rsidRPr="00CB2C86">
        <w:t>а</w:t>
      </w:r>
      <w:r w:rsidRPr="00CB2C86">
        <w:t xml:space="preserve">тельстве/конвенциях, включая  УБПГ </w:t>
      </w:r>
      <w:r>
        <w:t>(глава </w:t>
      </w:r>
      <w:r w:rsidRPr="00CB2C86">
        <w:t>383) и Стандартные минимальные правила обращения с заключенными Организации Объединенных Наций, с к</w:t>
      </w:r>
      <w:r w:rsidRPr="00CB2C86">
        <w:t>о</w:t>
      </w:r>
      <w:r w:rsidRPr="00CB2C86">
        <w:t>торыми персонал знакомится во время введения в должность и профессионал</w:t>
      </w:r>
      <w:r w:rsidRPr="00CB2C86">
        <w:t>ь</w:t>
      </w:r>
      <w:r w:rsidRPr="00CB2C86">
        <w:t>ной по</w:t>
      </w:r>
      <w:r w:rsidRPr="00CB2C86">
        <w:t>д</w:t>
      </w:r>
      <w:r w:rsidRPr="00CB2C86">
        <w:t>готовки без отрыва от службы. Что касается Департамента иммиграции, то все новые принятые сотрудники проходят профессиональную подготовку по правам человека. Кроме того, те сотрудники, которые имеют дело с заявлени</w:t>
      </w:r>
      <w:r w:rsidRPr="00CB2C86">
        <w:t>я</w:t>
      </w:r>
      <w:r w:rsidRPr="00CB2C86">
        <w:t>ми о пы</w:t>
      </w:r>
      <w:r w:rsidRPr="00CB2C86">
        <w:t>т</w:t>
      </w:r>
      <w:r w:rsidRPr="00CB2C86">
        <w:t>ках, проходят дополнительную подготовку.</w:t>
      </w:r>
    </w:p>
    <w:p w:rsidR="00F936A8" w:rsidRPr="00CB2C86" w:rsidRDefault="00F936A8" w:rsidP="00F91733">
      <w:pPr>
        <w:pStyle w:val="SingleTxtGR"/>
        <w:tabs>
          <w:tab w:val="clear" w:pos="1701"/>
          <w:tab w:val="clear" w:pos="2268"/>
          <w:tab w:val="left" w:pos="1980"/>
          <w:tab w:val="left" w:pos="2520"/>
        </w:tabs>
      </w:pPr>
      <w:r w:rsidRPr="00CB2C86">
        <w:t>13.100</w:t>
      </w:r>
      <w:r w:rsidRPr="00CB2C86">
        <w:tab/>
        <w:t>С мая 2005</w:t>
      </w:r>
      <w:r w:rsidR="00B92291">
        <w:t> год</w:t>
      </w:r>
      <w:r w:rsidRPr="00CB2C86">
        <w:t>а 45 судей и работников судов (СРС) посетили восемь семинаров/лекций/конференций по правозащитной тематике, организованных Советом судебных исследований, что обеспечивает программы профессионал</w:t>
      </w:r>
      <w:r w:rsidRPr="00CB2C86">
        <w:t>ь</w:t>
      </w:r>
      <w:r w:rsidRPr="00CB2C86">
        <w:t>ной подготовки для СРС на всех уровнях судебных инстанций. Соответству</w:t>
      </w:r>
      <w:r w:rsidRPr="00CB2C86">
        <w:t>ю</w:t>
      </w:r>
      <w:r w:rsidRPr="00CB2C86">
        <w:t>щие учебные программы будут осуществляться для СРС и в будущем. Для</w:t>
      </w:r>
      <w:r w:rsidR="009C6500">
        <w:t> </w:t>
      </w:r>
      <w:r w:rsidRPr="00CB2C86">
        <w:t xml:space="preserve">младшего судебного персонала регулярно организуются лекции об </w:t>
      </w:r>
      <w:proofErr w:type="spellStart"/>
      <w:r w:rsidRPr="00CB2C86">
        <w:t>ант</w:t>
      </w:r>
      <w:r w:rsidRPr="00CB2C86">
        <w:t>и</w:t>
      </w:r>
      <w:r w:rsidRPr="00CB2C86">
        <w:t>дискриминационных</w:t>
      </w:r>
      <w:proofErr w:type="spellEnd"/>
      <w:r w:rsidRPr="00CB2C86">
        <w:t xml:space="preserve"> указах и семинары по Указу о защите персональных да</w:t>
      </w:r>
      <w:r w:rsidRPr="00CB2C86">
        <w:t>н</w:t>
      </w:r>
      <w:r w:rsidRPr="00CB2C86">
        <w:t>ных (частной жизни), которые преследуют цель углубить их понимание и зн</w:t>
      </w:r>
      <w:r w:rsidRPr="00CB2C86">
        <w:t>а</w:t>
      </w:r>
      <w:r w:rsidRPr="00CB2C86">
        <w:t>ние этих указов и повысить уровень осведомленности о правах человека, ра</w:t>
      </w:r>
      <w:r w:rsidRPr="00CB2C86">
        <w:t>в</w:t>
      </w:r>
      <w:r w:rsidRPr="00CB2C86">
        <w:t>ных возможностях и защите персональных данных. Персонал также проходит профессиональную подготовку по Основному закону, которую организует И</w:t>
      </w:r>
      <w:r w:rsidRPr="00CB2C86">
        <w:t>н</w:t>
      </w:r>
      <w:r w:rsidRPr="00CB2C86">
        <w:t>ститут подготовки и повышения квалификации государственных служащих.</w:t>
      </w:r>
    </w:p>
    <w:p w:rsidR="00F936A8" w:rsidRPr="00CB2C86" w:rsidRDefault="00F936A8" w:rsidP="00F91733">
      <w:pPr>
        <w:pStyle w:val="H1GR"/>
        <w:tabs>
          <w:tab w:val="left" w:pos="1980"/>
          <w:tab w:val="left" w:pos="2520"/>
        </w:tabs>
      </w:pPr>
      <w:r w:rsidRPr="00CB2C86">
        <w:tab/>
      </w:r>
      <w:r w:rsidRPr="00CB2C86">
        <w:tab/>
        <w:t>Культурная самобытность и национальные ценности</w:t>
      </w:r>
    </w:p>
    <w:p w:rsidR="00F936A8" w:rsidRPr="00CB2C86" w:rsidRDefault="00F936A8" w:rsidP="00F91733">
      <w:pPr>
        <w:pStyle w:val="SingleTxtGR"/>
        <w:tabs>
          <w:tab w:val="clear" w:pos="1701"/>
          <w:tab w:val="clear" w:pos="2268"/>
          <w:tab w:val="left" w:pos="1980"/>
          <w:tab w:val="left" w:pos="2520"/>
        </w:tabs>
      </w:pPr>
      <w:r w:rsidRPr="00CB2C86">
        <w:t>13.101</w:t>
      </w:r>
      <w:r w:rsidRPr="00CB2C86">
        <w:tab/>
        <w:t>Некоторые комментаторы попросили представить доклад и обзор с</w:t>
      </w:r>
      <w:r w:rsidRPr="00CB2C86">
        <w:t>о</w:t>
      </w:r>
      <w:r w:rsidRPr="00CB2C86">
        <w:t>стояния образования в области культурной самобытности и национальных це</w:t>
      </w:r>
      <w:r w:rsidRPr="00CB2C86">
        <w:t>н</w:t>
      </w:r>
      <w:r w:rsidRPr="00CB2C86">
        <w:t>ностей. Сформировавшаяся политика Гонконга в области образования нац</w:t>
      </w:r>
      <w:r w:rsidRPr="00CB2C86">
        <w:t>е</w:t>
      </w:r>
      <w:r w:rsidRPr="00CB2C86">
        <w:t>лена на формирование у учащихся культурной самобытности, что закреплено в зад</w:t>
      </w:r>
      <w:r w:rsidRPr="00CB2C86">
        <w:t>а</w:t>
      </w:r>
      <w:r w:rsidRPr="00CB2C86">
        <w:t>чах преподавания учебных программ. Продвижение таких культурных и наци</w:t>
      </w:r>
      <w:r w:rsidRPr="00CB2C86">
        <w:t>о</w:t>
      </w:r>
      <w:r w:rsidRPr="00CB2C86">
        <w:t>нальных ценностей, как национальная идентичность, реализуется в школьных программах, включая общие вопросы и китайский язык на ступени начального образования; китайский язык, история Китая, общие вопросы и гражданское обучение и география на младшей ступени средне</w:t>
      </w:r>
      <w:r w:rsidR="009C6500">
        <w:t>й</w:t>
      </w:r>
      <w:r w:rsidRPr="00CB2C86">
        <w:t xml:space="preserve"> школы. В</w:t>
      </w:r>
      <w:r>
        <w:t> </w:t>
      </w:r>
      <w:r w:rsidRPr="00CB2C86">
        <w:t>учебной пр</w:t>
      </w:r>
      <w:r w:rsidRPr="00CB2C86">
        <w:t>о</w:t>
      </w:r>
      <w:r w:rsidRPr="00CB2C86">
        <w:t>грамме НСШ, утвержденной на 2009</w:t>
      </w:r>
      <w:r>
        <w:t>/</w:t>
      </w:r>
      <w:r w:rsidRPr="00CB2C86">
        <w:t>10 учебный</w:t>
      </w:r>
      <w:r w:rsidR="00B92291">
        <w:t> год</w:t>
      </w:r>
      <w:r w:rsidRPr="00CB2C86">
        <w:t>, гуманитарные науки в к</w:t>
      </w:r>
      <w:r w:rsidRPr="00CB2C86">
        <w:t>а</w:t>
      </w:r>
      <w:r w:rsidRPr="00CB2C86">
        <w:t>честве основного предмета являются главным средством формирования этих ценностей. БО повышает также уровень знаний учащихся о своей культуре и народе путем организации регулярных обменов мероприятиями между учащ</w:t>
      </w:r>
      <w:r w:rsidRPr="00CB2C86">
        <w:t>и</w:t>
      </w:r>
      <w:r w:rsidRPr="00CB2C86">
        <w:t>мися Гонконга и материковой части путем приглашений ученых и экспертов м</w:t>
      </w:r>
      <w:r w:rsidRPr="00CB2C86">
        <w:t>а</w:t>
      </w:r>
      <w:r w:rsidRPr="00CB2C86">
        <w:t>терикового Китая для чтения лекций о проблемах современного Китая, субс</w:t>
      </w:r>
      <w:r w:rsidRPr="00CB2C86">
        <w:t>и</w:t>
      </w:r>
      <w:r w:rsidRPr="00CB2C86">
        <w:t xml:space="preserve">дий школам для организации взаимных мероприятий, а также осуществления программы награждения проектов по темам </w:t>
      </w:r>
      <w:r>
        <w:t>"</w:t>
      </w:r>
      <w:r w:rsidRPr="00CB2C86">
        <w:t>Тридцать лет политики реформ и открытости</w:t>
      </w:r>
      <w:r>
        <w:t>"</w:t>
      </w:r>
      <w:r w:rsidRPr="00CB2C86">
        <w:t xml:space="preserve"> и </w:t>
      </w:r>
      <w:r>
        <w:t>"</w:t>
      </w:r>
      <w:r w:rsidRPr="00CB2C86">
        <w:t xml:space="preserve"> Шестидесятилетняя</w:t>
      </w:r>
      <w:r w:rsidR="00B92291">
        <w:t> год</w:t>
      </w:r>
      <w:r w:rsidRPr="00CB2C86">
        <w:t>овщина создания Кита</w:t>
      </w:r>
      <w:r w:rsidRPr="00CB2C86">
        <w:t>й</w:t>
      </w:r>
      <w:r w:rsidRPr="00CB2C86">
        <w:t>ской Народной Республики</w:t>
      </w:r>
      <w:r>
        <w:t>"</w:t>
      </w:r>
      <w:r w:rsidRPr="00CB2C86">
        <w:t>. В соответствии с духом текущей реформы учебной программы школы поощряются к осуществлению  разностороннего подхода и формиров</w:t>
      </w:r>
      <w:r w:rsidRPr="00CB2C86">
        <w:t>а</w:t>
      </w:r>
      <w:r w:rsidRPr="00CB2C86">
        <w:t>нию у учащихся навыков объективного мышления при анализе проблем совр</w:t>
      </w:r>
      <w:r w:rsidRPr="00CB2C86">
        <w:t>е</w:t>
      </w:r>
      <w:r w:rsidRPr="00CB2C86">
        <w:t xml:space="preserve">менного Китая. </w:t>
      </w:r>
    </w:p>
    <w:p w:rsidR="00F936A8" w:rsidRPr="00CB2C86" w:rsidRDefault="00F936A8" w:rsidP="00F91733">
      <w:pPr>
        <w:pStyle w:val="SingleTxtGR"/>
        <w:tabs>
          <w:tab w:val="clear" w:pos="1701"/>
          <w:tab w:val="clear" w:pos="2268"/>
          <w:tab w:val="left" w:pos="1980"/>
          <w:tab w:val="left" w:pos="2520"/>
        </w:tabs>
      </w:pPr>
      <w:r w:rsidRPr="00CB2C86">
        <w:t>13.102</w:t>
      </w:r>
      <w:r w:rsidRPr="00CB2C86">
        <w:tab/>
        <w:t>Некоторые комментаторы попросили также дать обзор образования в области прав человека и национальных ценностей, особенно потому, что в н</w:t>
      </w:r>
      <w:r w:rsidRPr="00CB2C86">
        <w:t>а</w:t>
      </w:r>
      <w:r w:rsidRPr="00CB2C86">
        <w:t>стоящее время специализированные занятия по правам человека необязател</w:t>
      </w:r>
      <w:r w:rsidRPr="00CB2C86">
        <w:t>ь</w:t>
      </w:r>
      <w:r w:rsidRPr="00CB2C86">
        <w:t>ны. Как уже упоминалось выше, широкие образовательные возможности и дост</w:t>
      </w:r>
      <w:r w:rsidRPr="00CB2C86">
        <w:t>а</w:t>
      </w:r>
      <w:r w:rsidRPr="00CB2C86">
        <w:t>точное количество академических часов выделятся для изучения национал</w:t>
      </w:r>
      <w:r w:rsidRPr="00CB2C86">
        <w:t>ь</w:t>
      </w:r>
      <w:r w:rsidRPr="00CB2C86">
        <w:t>ной системы образования и прав человека во время классных уроков и связа</w:t>
      </w:r>
      <w:r w:rsidRPr="00CB2C86">
        <w:t>н</w:t>
      </w:r>
      <w:r w:rsidRPr="00CB2C86">
        <w:t xml:space="preserve">ных с жизнью учебных занятий. </w:t>
      </w:r>
    </w:p>
    <w:p w:rsidR="00F936A8" w:rsidRPr="00CB2C86" w:rsidRDefault="00F936A8" w:rsidP="00F91733">
      <w:pPr>
        <w:pStyle w:val="H1GR"/>
        <w:tabs>
          <w:tab w:val="left" w:pos="1980"/>
          <w:tab w:val="left" w:pos="2520"/>
        </w:tabs>
      </w:pPr>
      <w:r w:rsidRPr="00CB2C86">
        <w:tab/>
      </w:r>
      <w:r w:rsidRPr="00CB2C86">
        <w:tab/>
        <w:t>Изучение Основного закона на государственном уровне</w:t>
      </w:r>
    </w:p>
    <w:p w:rsidR="00F936A8" w:rsidRPr="00CB2C86" w:rsidRDefault="00F936A8" w:rsidP="00F91733">
      <w:pPr>
        <w:pStyle w:val="SingleTxtGR"/>
        <w:tabs>
          <w:tab w:val="clear" w:pos="1701"/>
          <w:tab w:val="clear" w:pos="2268"/>
          <w:tab w:val="left" w:pos="1980"/>
          <w:tab w:val="left" w:pos="2520"/>
        </w:tabs>
      </w:pPr>
      <w:r w:rsidRPr="00CB2C86">
        <w:t>13.103</w:t>
      </w:r>
      <w:r w:rsidRPr="00CB2C86">
        <w:tab/>
        <w:t>Для активизации изучения Основного закона под эгидой Руковод</w:t>
      </w:r>
      <w:r w:rsidRPr="00CB2C86">
        <w:t>я</w:t>
      </w:r>
      <w:r w:rsidRPr="00CB2C86">
        <w:t>щего комитета по распространению информации об Основном законе для преподав</w:t>
      </w:r>
      <w:r w:rsidRPr="00CB2C86">
        <w:t>а</w:t>
      </w:r>
      <w:r w:rsidRPr="00CB2C86">
        <w:t>телей  и учащихся была создана рабочая группа, состоящая из членов Руков</w:t>
      </w:r>
      <w:r w:rsidRPr="00CB2C86">
        <w:t>о</w:t>
      </w:r>
      <w:r w:rsidRPr="00CB2C86">
        <w:t>дящего комитета, а также представителей начальных и средних школ и высших учебных заведений. Были организованы подготовка учителей и мер</w:t>
      </w:r>
      <w:r w:rsidRPr="00CB2C86">
        <w:t>о</w:t>
      </w:r>
      <w:r w:rsidRPr="00CB2C86">
        <w:t>приятия по распространению информации об Основном законе, которые призваны обог</w:t>
      </w:r>
      <w:r w:rsidRPr="00CB2C86">
        <w:t>а</w:t>
      </w:r>
      <w:r w:rsidRPr="00CB2C86">
        <w:t>тить знания Основного закона у учителей и учащихся. Совместно с соответс</w:t>
      </w:r>
      <w:r w:rsidRPr="00CB2C86">
        <w:t>т</w:t>
      </w:r>
      <w:r w:rsidRPr="00CB2C86">
        <w:t>вующими департаментами и бюро были приложены усилия для распростран</w:t>
      </w:r>
      <w:r w:rsidRPr="00CB2C86">
        <w:t>е</w:t>
      </w:r>
      <w:r w:rsidRPr="00CB2C86">
        <w:t>ния информации об Основном законе среди учащихся.</w:t>
      </w:r>
    </w:p>
    <w:p w:rsidR="00F936A8" w:rsidRPr="00CB2C86" w:rsidRDefault="00F936A8" w:rsidP="00F91733">
      <w:pPr>
        <w:pStyle w:val="HChGR"/>
        <w:tabs>
          <w:tab w:val="left" w:pos="1980"/>
          <w:tab w:val="left" w:pos="2520"/>
        </w:tabs>
      </w:pPr>
      <w:r w:rsidRPr="00CB2C86">
        <w:tab/>
      </w:r>
      <w:r w:rsidRPr="00CB2C86">
        <w:tab/>
        <w:t>Статья 15</w:t>
      </w:r>
      <w:r>
        <w:br/>
      </w:r>
      <w:r w:rsidRPr="00CB2C86">
        <w:t>Право на участие в культурной жизни, пользование</w:t>
      </w:r>
      <w:r>
        <w:t xml:space="preserve"> </w:t>
      </w:r>
      <w:r w:rsidRPr="00CB2C86">
        <w:t xml:space="preserve">результатами научного прогресса и их практического применения </w:t>
      </w:r>
    </w:p>
    <w:p w:rsidR="00F936A8" w:rsidRPr="00CB2C86" w:rsidRDefault="00F936A8" w:rsidP="00F91733">
      <w:pPr>
        <w:pStyle w:val="SingleTxtGR"/>
        <w:tabs>
          <w:tab w:val="clear" w:pos="1701"/>
          <w:tab w:val="clear" w:pos="2268"/>
          <w:tab w:val="left" w:pos="1980"/>
          <w:tab w:val="left" w:pos="2520"/>
        </w:tabs>
      </w:pPr>
      <w:r w:rsidRPr="00CB2C86">
        <w:t>15.1</w:t>
      </w:r>
      <w:r w:rsidRPr="00CB2C86">
        <w:tab/>
        <w:t>Конституционная и правовая база прав, содержащихся в статье 15, о</w:t>
      </w:r>
      <w:r w:rsidRPr="00CB2C86">
        <w:t>с</w:t>
      </w:r>
      <w:r w:rsidRPr="00CB2C86">
        <w:t>тается такой же, как она изложена в пункте 581 первоначального доклада.</w:t>
      </w:r>
    </w:p>
    <w:p w:rsidR="00F936A8" w:rsidRPr="00CB2C86" w:rsidRDefault="00F936A8" w:rsidP="00F91733">
      <w:pPr>
        <w:pStyle w:val="H1GR"/>
        <w:tabs>
          <w:tab w:val="left" w:pos="1980"/>
          <w:tab w:val="left" w:pos="2520"/>
        </w:tabs>
      </w:pPr>
      <w:r w:rsidRPr="00CB2C86">
        <w:tab/>
      </w:r>
      <w:r w:rsidRPr="00CB2C86">
        <w:tab/>
        <w:t>Политика в области культуры и искусств</w:t>
      </w:r>
    </w:p>
    <w:p w:rsidR="00F936A8" w:rsidRPr="00CB2C86" w:rsidRDefault="00F936A8" w:rsidP="00F91733">
      <w:pPr>
        <w:pStyle w:val="SingleTxtGR"/>
        <w:tabs>
          <w:tab w:val="clear" w:pos="1701"/>
          <w:tab w:val="clear" w:pos="2268"/>
          <w:tab w:val="left" w:pos="1980"/>
          <w:tab w:val="left" w:pos="2520"/>
        </w:tabs>
      </w:pPr>
      <w:r w:rsidRPr="00CB2C86">
        <w:t>15.2</w:t>
      </w:r>
      <w:r w:rsidRPr="00CB2C86">
        <w:tab/>
        <w:t>Как разъясняется в пункте 582 первоначального доклада, цель полит</w:t>
      </w:r>
      <w:r w:rsidRPr="00CB2C86">
        <w:t>и</w:t>
      </w:r>
      <w:r w:rsidRPr="00CB2C86">
        <w:t>ки правительства в области культуры и искусств заключается в том, чтобы со</w:t>
      </w:r>
      <w:r w:rsidRPr="00CB2C86">
        <w:t>з</w:t>
      </w:r>
      <w:r w:rsidRPr="00CB2C86">
        <w:t>дать благоприятные условия для художественного выражения и творчества и поощрять население к участию в культурной деятельности. В 2010</w:t>
      </w:r>
      <w:r>
        <w:t>/</w:t>
      </w:r>
      <w:r w:rsidRPr="00CB2C86">
        <w:t>11</w:t>
      </w:r>
      <w:r w:rsidR="00B92291">
        <w:t> год</w:t>
      </w:r>
      <w:r w:rsidRPr="00CB2C86">
        <w:t>у, по оценкам, государственные расходы на культуру и искусство превышают 2,8</w:t>
      </w:r>
      <w:r w:rsidR="004F720A">
        <w:t> </w:t>
      </w:r>
      <w:r w:rsidR="00B63D5C">
        <w:t>млрд. долл.</w:t>
      </w:r>
      <w:r w:rsidRPr="00CB2C86">
        <w:t xml:space="preserve"> (за исключением капитального строительства).</w:t>
      </w:r>
    </w:p>
    <w:p w:rsidR="00F936A8" w:rsidRPr="00CB2C86" w:rsidRDefault="00F936A8" w:rsidP="00F91733">
      <w:pPr>
        <w:pStyle w:val="SingleTxtGR"/>
        <w:tabs>
          <w:tab w:val="clear" w:pos="1701"/>
          <w:tab w:val="clear" w:pos="2268"/>
          <w:tab w:val="left" w:pos="1980"/>
          <w:tab w:val="left" w:pos="2520"/>
        </w:tabs>
      </w:pPr>
      <w:r w:rsidRPr="00CB2C86">
        <w:t>15.3</w:t>
      </w:r>
      <w:r w:rsidRPr="00CB2C86">
        <w:tab/>
        <w:t xml:space="preserve">Район учреждений культуры Западный </w:t>
      </w:r>
      <w:proofErr w:type="spellStart"/>
      <w:r w:rsidRPr="00CB2C86">
        <w:t>Коулун</w:t>
      </w:r>
      <w:proofErr w:type="spellEnd"/>
      <w:r w:rsidRPr="00CB2C86">
        <w:t xml:space="preserve"> (РУКЗК) является крупной инициативой по реализации упомянутой выше политики, призванной удовлетворить потребности в долгосрочной инфраструктуре сектора культуры и искусства. Для осуществления проекта РУКЗК правительство учредило стату</w:t>
      </w:r>
      <w:r w:rsidRPr="00CB2C86">
        <w:t>т</w:t>
      </w:r>
      <w:r w:rsidRPr="00CB2C86">
        <w:t xml:space="preserve">ный орган, Администрацию района учреждений культуры Западный </w:t>
      </w:r>
      <w:proofErr w:type="spellStart"/>
      <w:r w:rsidRPr="00CB2C86">
        <w:t>Коулун</w:t>
      </w:r>
      <w:proofErr w:type="spellEnd"/>
      <w:r w:rsidRPr="00CB2C86">
        <w:t xml:space="preserve"> (АРУКЗК). В июле 2008</w:t>
      </w:r>
      <w:r w:rsidR="00B92291">
        <w:t> год</w:t>
      </w:r>
      <w:r w:rsidRPr="00CB2C86">
        <w:t>а для осуществления проекта РУКЗК Финансовый комитет ЗС учредил одноразовый фонд в размере 21</w:t>
      </w:r>
      <w:r w:rsidR="009C6500">
        <w:t>,6</w:t>
      </w:r>
      <w:r w:rsidR="004F720A">
        <w:t> </w:t>
      </w:r>
      <w:r w:rsidR="00B63D5C">
        <w:t>млрд. долларов.</w:t>
      </w:r>
    </w:p>
    <w:p w:rsidR="00F936A8" w:rsidRPr="00CB2C86" w:rsidRDefault="00F936A8" w:rsidP="00F91733">
      <w:pPr>
        <w:pStyle w:val="SingleTxtGR"/>
        <w:tabs>
          <w:tab w:val="clear" w:pos="1701"/>
          <w:tab w:val="clear" w:pos="2268"/>
          <w:tab w:val="left" w:pos="1980"/>
          <w:tab w:val="left" w:pos="2520"/>
        </w:tabs>
      </w:pPr>
      <w:r w:rsidRPr="00CB2C86">
        <w:t>15.4</w:t>
      </w:r>
      <w:r w:rsidRPr="00CB2C86">
        <w:tab/>
        <w:t>Правительство продолжает оказывать инфраструктурную поддержку развитию культурной и художественной деятельности, предоставляя объекты культуры и финансируя соответствующие программы. Через ДРКУ правител</w:t>
      </w:r>
      <w:r w:rsidRPr="00CB2C86">
        <w:t>ь</w:t>
      </w:r>
      <w:r w:rsidRPr="00CB2C86">
        <w:t>ство управляет рядом объектов культуры, включая зрительные и выставочные залы и общественные центры искусств, которые доступны организациям за низкую плату. Он также ставит и поддерживает различные культурные и худ</w:t>
      </w:r>
      <w:r w:rsidRPr="00CB2C86">
        <w:t>о</w:t>
      </w:r>
      <w:r w:rsidRPr="00CB2C86">
        <w:t>жественные программы, и в его ведении находятся музеи, публичные библиот</w:t>
      </w:r>
      <w:r w:rsidRPr="00CB2C86">
        <w:t>е</w:t>
      </w:r>
      <w:r w:rsidRPr="00CB2C86">
        <w:t>ки, а также спортивные сооружения Гонконга.</w:t>
      </w:r>
    </w:p>
    <w:p w:rsidR="00F936A8" w:rsidRPr="00CB2C86" w:rsidRDefault="00F936A8" w:rsidP="00F91733">
      <w:pPr>
        <w:pStyle w:val="SingleTxtGR"/>
        <w:tabs>
          <w:tab w:val="clear" w:pos="1701"/>
          <w:tab w:val="clear" w:pos="2268"/>
          <w:tab w:val="left" w:pos="1980"/>
          <w:tab w:val="left" w:pos="2520"/>
        </w:tabs>
      </w:pPr>
      <w:r w:rsidRPr="00CB2C86">
        <w:t>15.5</w:t>
      </w:r>
      <w:r w:rsidRPr="00CB2C86">
        <w:tab/>
        <w:t>Комиссия по вопросам культуры и национального наследия, на кот</w:t>
      </w:r>
      <w:r w:rsidRPr="00CB2C86">
        <w:t>о</w:t>
      </w:r>
      <w:r w:rsidRPr="00CB2C86">
        <w:t>рую возложена обязанность консультировать правительство по вопросам долг</w:t>
      </w:r>
      <w:r w:rsidRPr="00CB2C86">
        <w:t>о</w:t>
      </w:r>
      <w:r w:rsidRPr="00CB2C86">
        <w:t>срочного развития культуры в Гонконге, о чем было сказано в пункте 15.3 пр</w:t>
      </w:r>
      <w:r w:rsidRPr="00CB2C86">
        <w:t>е</w:t>
      </w:r>
      <w:r w:rsidRPr="00CB2C86">
        <w:t>дыдущего доклада, в 2003</w:t>
      </w:r>
      <w:r w:rsidR="00B92291">
        <w:t> год</w:t>
      </w:r>
      <w:r w:rsidRPr="00CB2C86">
        <w:t>у представила правительству концептуальный доклад, содержащий соответствующие рекомендации. Приняв во внимание эти рекомендации, правительство также активизирует свои усилия по развитию х</w:t>
      </w:r>
      <w:r w:rsidRPr="00CB2C86">
        <w:t>у</w:t>
      </w:r>
      <w:r w:rsidRPr="00CB2C86">
        <w:t xml:space="preserve">дожественных программ, зрительных залов, художественного образования и подготовки творческих кадров для укрепления нашего культурного обеспечения через продолжающееся партнерство между Гонконгским советом по развитию искусств (ГСРИ), Гонконгской академией исполнительских искусств (ГАИИ) и другими партнерами по сектору искусств. </w:t>
      </w:r>
    </w:p>
    <w:p w:rsidR="00F936A8" w:rsidRPr="00CB2C86" w:rsidRDefault="00F936A8" w:rsidP="00F91733">
      <w:pPr>
        <w:pStyle w:val="SingleTxtGR"/>
        <w:tabs>
          <w:tab w:val="clear" w:pos="1701"/>
          <w:tab w:val="clear" w:pos="2268"/>
          <w:tab w:val="left" w:pos="1980"/>
          <w:tab w:val="left" w:pos="2520"/>
        </w:tabs>
      </w:pPr>
      <w:r w:rsidRPr="00CB2C86">
        <w:t>15.6</w:t>
      </w:r>
      <w:r w:rsidRPr="00CB2C86">
        <w:tab/>
        <w:t>Развитие событий и обновленная информация по РУКЗК, объекты культуры, вопросы сохранения национального наследия и другие программам обсуждаются в нижеследующих пунктах.</w:t>
      </w:r>
    </w:p>
    <w:p w:rsidR="00F936A8" w:rsidRPr="00CB2C86" w:rsidRDefault="00F936A8" w:rsidP="00F91733">
      <w:pPr>
        <w:pStyle w:val="H1GR"/>
        <w:tabs>
          <w:tab w:val="left" w:pos="1980"/>
          <w:tab w:val="left" w:pos="2520"/>
        </w:tabs>
      </w:pPr>
      <w:r w:rsidRPr="00CB2C86">
        <w:tab/>
      </w:r>
      <w:r w:rsidRPr="00CB2C86">
        <w:tab/>
        <w:t>Доступ к культурным и художественным мероприятиям и программам</w:t>
      </w:r>
    </w:p>
    <w:p w:rsidR="00F936A8" w:rsidRPr="00CB2C86" w:rsidRDefault="00F936A8" w:rsidP="00F91733">
      <w:pPr>
        <w:pStyle w:val="H23GR"/>
        <w:tabs>
          <w:tab w:val="left" w:pos="1980"/>
          <w:tab w:val="left" w:pos="2520"/>
        </w:tabs>
      </w:pPr>
      <w:r w:rsidRPr="00CB2C86">
        <w:tab/>
      </w:r>
      <w:r w:rsidRPr="00CB2C86">
        <w:tab/>
        <w:t xml:space="preserve">Район учреждений культуры Западный </w:t>
      </w:r>
      <w:proofErr w:type="spellStart"/>
      <w:r w:rsidRPr="00CB2C86">
        <w:t>Коулун</w:t>
      </w:r>
      <w:proofErr w:type="spellEnd"/>
      <w:r w:rsidRPr="00CB2C86">
        <w:t xml:space="preserve"> </w:t>
      </w:r>
    </w:p>
    <w:p w:rsidR="00F936A8" w:rsidRPr="00CB2C86" w:rsidRDefault="00F936A8" w:rsidP="00F91733">
      <w:pPr>
        <w:pStyle w:val="SingleTxtGR"/>
        <w:tabs>
          <w:tab w:val="clear" w:pos="1701"/>
          <w:tab w:val="clear" w:pos="2268"/>
          <w:tab w:val="left" w:pos="1980"/>
          <w:tab w:val="left" w:pos="2520"/>
        </w:tabs>
      </w:pPr>
      <w:r w:rsidRPr="00CB2C86">
        <w:t>15.7</w:t>
      </w:r>
      <w:r w:rsidRPr="00CB2C86">
        <w:tab/>
        <w:t>АРУКЗК энергично разрабатывает план застройки Района учреждений культуры РУКЗК и планировку основных объектов культуры и искусства. Для</w:t>
      </w:r>
      <w:r>
        <w:t> </w:t>
      </w:r>
      <w:r w:rsidRPr="00CB2C86">
        <w:t>подготовки плана застройки в начале января 2010</w:t>
      </w:r>
      <w:r w:rsidR="00B92291">
        <w:t> год</w:t>
      </w:r>
      <w:r w:rsidRPr="00CB2C86">
        <w:t>а АРУКС завершила первый этап опроса общественного мнения, преследуя цель изучить точку зр</w:t>
      </w:r>
      <w:r w:rsidRPr="00CB2C86">
        <w:t>е</w:t>
      </w:r>
      <w:r w:rsidRPr="00CB2C86">
        <w:t>ния населения и заинтересованных сторон, и в конце марта 2010 опубликовала р</w:t>
      </w:r>
      <w:r w:rsidRPr="00CB2C86">
        <w:t>е</w:t>
      </w:r>
      <w:r w:rsidRPr="00CB2C86">
        <w:t>зультаты этого исследования.</w:t>
      </w:r>
    </w:p>
    <w:p w:rsidR="00F936A8" w:rsidRPr="00CB2C86" w:rsidRDefault="00F936A8" w:rsidP="00F91733">
      <w:pPr>
        <w:pStyle w:val="H1GR"/>
        <w:tabs>
          <w:tab w:val="left" w:pos="1980"/>
          <w:tab w:val="left" w:pos="2520"/>
        </w:tabs>
      </w:pPr>
      <w:r w:rsidRPr="00CB2C86">
        <w:tab/>
      </w:r>
      <w:r w:rsidRPr="00CB2C86">
        <w:tab/>
        <w:t>Учреждения культуры</w:t>
      </w:r>
    </w:p>
    <w:p w:rsidR="00F936A8" w:rsidRPr="00CB2C86" w:rsidRDefault="00F936A8" w:rsidP="00F91733">
      <w:pPr>
        <w:pStyle w:val="H4GR"/>
        <w:tabs>
          <w:tab w:val="left" w:pos="1980"/>
          <w:tab w:val="left" w:pos="2520"/>
        </w:tabs>
        <w:spacing w:before="240"/>
        <w:ind w:left="1134" w:right="1179" w:hanging="1134"/>
      </w:pPr>
      <w:r w:rsidRPr="00CB2C86">
        <w:tab/>
      </w:r>
      <w:r w:rsidRPr="00CB2C86">
        <w:tab/>
        <w:t>Библиотеки</w:t>
      </w:r>
    </w:p>
    <w:p w:rsidR="00F936A8" w:rsidRPr="00CB2C86" w:rsidRDefault="00F936A8" w:rsidP="00F91733">
      <w:pPr>
        <w:pStyle w:val="SingleTxtGR"/>
        <w:tabs>
          <w:tab w:val="clear" w:pos="1701"/>
          <w:tab w:val="clear" w:pos="2268"/>
          <w:tab w:val="left" w:pos="1980"/>
          <w:tab w:val="left" w:pos="2520"/>
        </w:tabs>
      </w:pPr>
      <w:r w:rsidRPr="00CB2C86">
        <w:t>15.8</w:t>
      </w:r>
      <w:r w:rsidRPr="00CB2C86">
        <w:tab/>
        <w:t>В дополнение к сказанному в пункте 15.12 предыдущего доклада сеть публичных библиотек, находящихся в ведении ДРКУ, была расширена до 76 с общим библиотечным фондом 12,34</w:t>
      </w:r>
      <w:r w:rsidR="004F720A">
        <w:t> млн.</w:t>
      </w:r>
      <w:r w:rsidRPr="00CB2C86">
        <w:t xml:space="preserve"> единиц. Центральная библиотека Го</w:t>
      </w:r>
      <w:r w:rsidRPr="00CB2C86">
        <w:t>н</w:t>
      </w:r>
      <w:r w:rsidRPr="00CB2C86">
        <w:t>конга, открытая в 2001</w:t>
      </w:r>
      <w:r w:rsidR="00B92291">
        <w:t> год</w:t>
      </w:r>
      <w:r w:rsidRPr="00CB2C86">
        <w:t>у, оснащена самой большой в мире двуязычной би</w:t>
      </w:r>
      <w:r w:rsidRPr="00CB2C86">
        <w:t>б</w:t>
      </w:r>
      <w:r w:rsidRPr="00CB2C86">
        <w:t xml:space="preserve">лиотечной автоматизированной системой, самой современной </w:t>
      </w:r>
      <w:proofErr w:type="spellStart"/>
      <w:r w:rsidRPr="00CB2C86">
        <w:t>мультимедийной</w:t>
      </w:r>
      <w:proofErr w:type="spellEnd"/>
      <w:r w:rsidRPr="00CB2C86">
        <w:t xml:space="preserve"> информационной системой и центральным каталогом с шестью тематическими отделами. Центральная библиотека быстро превратилась в главный центр и</w:t>
      </w:r>
      <w:r w:rsidRPr="00CB2C86">
        <w:t>н</w:t>
      </w:r>
      <w:r w:rsidRPr="00CB2C86">
        <w:t>формации и непрерывного образования. Публичные библиотеки Гонконга п</w:t>
      </w:r>
      <w:r w:rsidRPr="00CB2C86">
        <w:t>о</w:t>
      </w:r>
      <w:r w:rsidRPr="00CB2C86">
        <w:t>стоянно повышают качество обслуживания, увеличивая часы работы, пополняя библиотечный фонд, расширяя справочные и информационные услуги, опир</w:t>
      </w:r>
      <w:r w:rsidRPr="00CB2C86">
        <w:t>а</w:t>
      </w:r>
      <w:r w:rsidRPr="00CB2C86">
        <w:t>ясь на использование информационной технологии и повышая культуру чтения. В мае 2008</w:t>
      </w:r>
      <w:r w:rsidR="00B92291">
        <w:t> год</w:t>
      </w:r>
      <w:r w:rsidRPr="00CB2C86">
        <w:t>а был также создан Консультативный комитет публичных би</w:t>
      </w:r>
      <w:r w:rsidRPr="00CB2C86">
        <w:t>б</w:t>
      </w:r>
      <w:r w:rsidRPr="00CB2C86">
        <w:t>лиотек, призванный консультировать правительство по вопросам общей страт</w:t>
      </w:r>
      <w:r w:rsidRPr="00CB2C86">
        <w:t>е</w:t>
      </w:r>
      <w:r w:rsidRPr="00CB2C86">
        <w:t>гии развития библиотечного дела.</w:t>
      </w:r>
    </w:p>
    <w:p w:rsidR="00F936A8" w:rsidRPr="004963F6" w:rsidRDefault="00F936A8" w:rsidP="00F91733">
      <w:pPr>
        <w:pStyle w:val="H4GR"/>
        <w:tabs>
          <w:tab w:val="left" w:pos="1980"/>
          <w:tab w:val="left" w:pos="2520"/>
        </w:tabs>
        <w:spacing w:before="240"/>
        <w:ind w:left="1134" w:right="1179" w:hanging="1134"/>
      </w:pPr>
      <w:r w:rsidRPr="004963F6">
        <w:tab/>
      </w:r>
      <w:r w:rsidRPr="004963F6">
        <w:tab/>
        <w:t>Музеи</w:t>
      </w:r>
    </w:p>
    <w:p w:rsidR="00F936A8" w:rsidRPr="00CB2C86" w:rsidRDefault="00F936A8" w:rsidP="00F91733">
      <w:pPr>
        <w:pStyle w:val="SingleTxtGR"/>
        <w:tabs>
          <w:tab w:val="clear" w:pos="1701"/>
          <w:tab w:val="clear" w:pos="2268"/>
          <w:tab w:val="left" w:pos="1980"/>
          <w:tab w:val="left" w:pos="2520"/>
        </w:tabs>
      </w:pPr>
      <w:r w:rsidRPr="00CB2C86">
        <w:t>15.9</w:t>
      </w:r>
      <w:r w:rsidRPr="00CB2C86">
        <w:tab/>
        <w:t xml:space="preserve">В дополнение к положению, упомянутому в пункте 15.13 предыдущего доклада, события, касающиеся общественных музеев, включают открытие </w:t>
      </w:r>
      <w:proofErr w:type="spellStart"/>
      <w:r w:rsidRPr="00CB2C86">
        <w:t>А</w:t>
      </w:r>
      <w:r w:rsidRPr="00CB2C86">
        <w:t>с</w:t>
      </w:r>
      <w:r w:rsidRPr="00CB2C86">
        <w:t>тропарка</w:t>
      </w:r>
      <w:proofErr w:type="spellEnd"/>
      <w:r w:rsidRPr="00CB2C86">
        <w:t xml:space="preserve"> в округе </w:t>
      </w:r>
      <w:proofErr w:type="spellStart"/>
      <w:r w:rsidRPr="00CB2C86">
        <w:t>Сайкун</w:t>
      </w:r>
      <w:proofErr w:type="spellEnd"/>
      <w:r w:rsidRPr="00CB2C86">
        <w:t>, одного из просветительских проектов Музея косм</w:t>
      </w:r>
      <w:r w:rsidRPr="00CB2C86">
        <w:t>о</w:t>
      </w:r>
      <w:r w:rsidRPr="00CB2C86">
        <w:t>навтики Гонконга, который был оборудован и открыт для посетителей 30 января 2010</w:t>
      </w:r>
      <w:r w:rsidR="00B92291">
        <w:t> год</w:t>
      </w:r>
      <w:r w:rsidRPr="00CB2C86">
        <w:t>а. В настоящее время в ведении ДРКУ находится 14 музеев, которые приобретают, исследуют, сохраняют, выставляют и толкуют материальное и н</w:t>
      </w:r>
      <w:r w:rsidRPr="00CB2C86">
        <w:t>е</w:t>
      </w:r>
      <w:r w:rsidRPr="00CB2C86">
        <w:t>материальное наследие и коллекции, связанные с культурой, историей, искусс</w:t>
      </w:r>
      <w:r w:rsidRPr="00CB2C86">
        <w:t>т</w:t>
      </w:r>
      <w:r w:rsidRPr="00CB2C86">
        <w:t>вом и наукой для изучения, образования и эстетического удовольствия общес</w:t>
      </w:r>
      <w:r w:rsidRPr="00CB2C86">
        <w:t>т</w:t>
      </w:r>
      <w:r w:rsidRPr="00CB2C86">
        <w:t xml:space="preserve">венности. В ведении Департамента также находится </w:t>
      </w:r>
      <w:proofErr w:type="spellStart"/>
      <w:r w:rsidRPr="00CB2C86">
        <w:t>киноархив</w:t>
      </w:r>
      <w:proofErr w:type="spellEnd"/>
      <w:r w:rsidRPr="00CB2C86">
        <w:t>. Чтобы улу</w:t>
      </w:r>
      <w:r w:rsidRPr="00CB2C86">
        <w:t>ч</w:t>
      </w:r>
      <w:r w:rsidRPr="00CB2C86">
        <w:t>шить музейное обслуживание и работу музеев, в мае 2007</w:t>
      </w:r>
      <w:r w:rsidR="00B92291">
        <w:t> год</w:t>
      </w:r>
      <w:r w:rsidRPr="00CB2C86">
        <w:t>а правительство, приняв во внимание рекомендации Комитета по музеям, приняло соответс</w:t>
      </w:r>
      <w:r w:rsidRPr="00CB2C86">
        <w:t>т</w:t>
      </w:r>
      <w:r w:rsidRPr="00CB2C86">
        <w:t xml:space="preserve">вующие меры. </w:t>
      </w:r>
    </w:p>
    <w:p w:rsidR="00F936A8" w:rsidRPr="00CB2C86" w:rsidRDefault="00F936A8" w:rsidP="00F91733">
      <w:pPr>
        <w:pStyle w:val="SingleTxtGR"/>
        <w:tabs>
          <w:tab w:val="clear" w:pos="1701"/>
          <w:tab w:val="clear" w:pos="2268"/>
          <w:tab w:val="left" w:pos="1980"/>
          <w:tab w:val="left" w:pos="2520"/>
        </w:tabs>
      </w:pPr>
      <w:r w:rsidRPr="00CB2C86">
        <w:t>15.10</w:t>
      </w:r>
      <w:r w:rsidRPr="00CB2C86">
        <w:tab/>
        <w:t>Мы приветствуем и поощряем создание частных музеев, дополня</w:t>
      </w:r>
      <w:r w:rsidRPr="00CB2C86">
        <w:t>ю</w:t>
      </w:r>
      <w:r w:rsidRPr="00CB2C86">
        <w:t>щих музейную деятельность государственных музеев в Гонконге. Мы также приветствуем сотрудничество между государственными и частными музеями. По</w:t>
      </w:r>
      <w:r>
        <w:t> </w:t>
      </w:r>
      <w:r w:rsidRPr="00CB2C86">
        <w:t>имеющейся информации в Гонконге функционируют 12 частных музейных коллекций.</w:t>
      </w:r>
    </w:p>
    <w:p w:rsidR="00F936A8" w:rsidRPr="00CB2C86" w:rsidRDefault="00F936A8" w:rsidP="00F91733">
      <w:pPr>
        <w:pStyle w:val="SingleTxtGR"/>
        <w:tabs>
          <w:tab w:val="clear" w:pos="1701"/>
          <w:tab w:val="clear" w:pos="2268"/>
          <w:tab w:val="left" w:pos="1980"/>
          <w:tab w:val="left" w:pos="2520"/>
        </w:tabs>
      </w:pPr>
      <w:r w:rsidRPr="00CB2C86">
        <w:t>15.11</w:t>
      </w:r>
      <w:r w:rsidRPr="00CB2C86">
        <w:tab/>
        <w:t>Некоторые комментаторы выразили озабоченность в связи с решением не торопиться с учреждением статутного Совета по музеям для передачи управления музеями, находящимися в ведении ДРКУ. Мы тщательно изучили все соответствующие факторы и пришли к выводу, что  качество государстве</w:t>
      </w:r>
      <w:r w:rsidRPr="00CB2C86">
        <w:t>н</w:t>
      </w:r>
      <w:r w:rsidRPr="00CB2C86">
        <w:t>ного музейного обслуживания можно было бы улучшить еще больше при сущ</w:t>
      </w:r>
      <w:r w:rsidRPr="00CB2C86">
        <w:t>е</w:t>
      </w:r>
      <w:r w:rsidRPr="00CB2C86">
        <w:t>ству</w:t>
      </w:r>
      <w:r w:rsidRPr="00CB2C86">
        <w:t>ю</w:t>
      </w:r>
      <w:r w:rsidRPr="00CB2C86">
        <w:t>щей форме управления. Зарубежный опыт свидетельствует о том, что разные формы управления имеют свои преимущества и недостатки. На стру</w:t>
      </w:r>
      <w:r w:rsidRPr="00CB2C86">
        <w:t>к</w:t>
      </w:r>
      <w:r w:rsidRPr="00CB2C86">
        <w:t>туру управления их музеями всегда оказывал влияние исторический и культу</w:t>
      </w:r>
      <w:r w:rsidRPr="00CB2C86">
        <w:t>р</w:t>
      </w:r>
      <w:r w:rsidRPr="00CB2C86">
        <w:t>ный контекст страны или города. Поэтому было бы не правильно ратовать тол</w:t>
      </w:r>
      <w:r w:rsidRPr="00CB2C86">
        <w:t>ь</w:t>
      </w:r>
      <w:r w:rsidRPr="00CB2C86">
        <w:t>ко за одну универсальную форму управления, которая была бы применима и приго</w:t>
      </w:r>
      <w:r w:rsidRPr="00CB2C86">
        <w:t>д</w:t>
      </w:r>
      <w:r w:rsidRPr="00CB2C86">
        <w:t>на для всех музеев. Различные формы управления могут сосуществовать и удовлетворять конкретным обстоятельствам и местной обстановке. К тому же музеи ДРКУ создают благоприятную среду для практической подготовки кур</w:t>
      </w:r>
      <w:r w:rsidRPr="00CB2C86">
        <w:t>и</w:t>
      </w:r>
      <w:r w:rsidRPr="00CB2C86">
        <w:t>рующих экспертов и профессионального персонала в области музейного дела. Решение сохранить существующую форму управления создало бы более усто</w:t>
      </w:r>
      <w:r w:rsidRPr="00CB2C86">
        <w:t>й</w:t>
      </w:r>
      <w:r w:rsidRPr="00CB2C86">
        <w:t>чивые условия для подготовки профессиональных музейных работников, на к</w:t>
      </w:r>
      <w:r w:rsidRPr="00CB2C86">
        <w:t>о</w:t>
      </w:r>
      <w:r w:rsidRPr="00CB2C86">
        <w:t xml:space="preserve">торых в ближайшем будущем будет большой спрос, особенно после открытия в РУКЗК </w:t>
      </w:r>
      <w:r w:rsidRPr="00CB2C86">
        <w:rPr>
          <w:lang w:val="en-GB"/>
        </w:rPr>
        <w:t>M</w:t>
      </w:r>
      <w:r w:rsidRPr="00CB2C86">
        <w:t>+</w:t>
      </w:r>
      <w:r w:rsidRPr="004F0ED8">
        <w:rPr>
          <w:sz w:val="18"/>
          <w:szCs w:val="18"/>
          <w:vertAlign w:val="superscript"/>
          <w:lang w:val="en-GB"/>
        </w:rPr>
        <w:footnoteReference w:id="23"/>
      </w:r>
      <w:r w:rsidRPr="00CB2C86">
        <w:t xml:space="preserve">. </w:t>
      </w:r>
    </w:p>
    <w:p w:rsidR="00F936A8" w:rsidRPr="00CB2C86" w:rsidRDefault="00F936A8" w:rsidP="00F91733">
      <w:pPr>
        <w:pStyle w:val="SingleTxtGR"/>
        <w:tabs>
          <w:tab w:val="clear" w:pos="1701"/>
          <w:tab w:val="clear" w:pos="2268"/>
          <w:tab w:val="left" w:pos="1980"/>
          <w:tab w:val="left" w:pos="2520"/>
        </w:tabs>
      </w:pPr>
      <w:r w:rsidRPr="00CB2C86">
        <w:t>15.12</w:t>
      </w:r>
      <w:r w:rsidRPr="00CB2C86">
        <w:tab/>
        <w:t>Некоторые комментаторы также предложили создать музей для детей. При Музее наследия Гонконга существует детская галерея, и еще одну планир</w:t>
      </w:r>
      <w:r w:rsidRPr="00CB2C86">
        <w:t>у</w:t>
      </w:r>
      <w:r w:rsidRPr="00CB2C86">
        <w:t>ется создать при Музее науки Гонконга. Кроме того, для повышения интереса школьников к знаниям и их приобретения на основе музейных экспозиций при наших музеях функционируют уголки знаний, есть книги отзывов и организ</w:t>
      </w:r>
      <w:r w:rsidRPr="00CB2C86">
        <w:t>у</w:t>
      </w:r>
      <w:r w:rsidRPr="00CB2C86">
        <w:t xml:space="preserve">ются экскурсии, а для учителей разработаны комплекты учебных материалов, помогающих им формировать у учеников интерес к музейным экспозициям. Интерес детей учитывается и в наших музейных программах. </w:t>
      </w:r>
    </w:p>
    <w:p w:rsidR="00F936A8" w:rsidRPr="004963F6" w:rsidRDefault="00F936A8" w:rsidP="00F91733">
      <w:pPr>
        <w:pStyle w:val="H4GR"/>
        <w:tabs>
          <w:tab w:val="left" w:pos="1980"/>
          <w:tab w:val="left" w:pos="2520"/>
        </w:tabs>
        <w:spacing w:before="240"/>
        <w:ind w:left="1134" w:right="1179" w:hanging="1134"/>
      </w:pPr>
      <w:r w:rsidRPr="004963F6">
        <w:tab/>
      </w:r>
      <w:r w:rsidRPr="004963F6">
        <w:tab/>
        <w:t>Концертные залы</w:t>
      </w:r>
    </w:p>
    <w:p w:rsidR="00F936A8" w:rsidRPr="00CB2C86" w:rsidRDefault="00F936A8" w:rsidP="00F91733">
      <w:pPr>
        <w:pStyle w:val="SingleTxtGR"/>
        <w:tabs>
          <w:tab w:val="clear" w:pos="1701"/>
          <w:tab w:val="clear" w:pos="2268"/>
          <w:tab w:val="left" w:pos="1980"/>
          <w:tab w:val="left" w:pos="2520"/>
        </w:tabs>
      </w:pPr>
      <w:r w:rsidRPr="00CB2C86">
        <w:t>15.13</w:t>
      </w:r>
      <w:r w:rsidRPr="00CB2C86">
        <w:tab/>
        <w:t>Существует несколько центров искусств и учреждений культуры, к</w:t>
      </w:r>
      <w:r w:rsidRPr="00CB2C86">
        <w:t>о</w:t>
      </w:r>
      <w:r w:rsidRPr="00CB2C86">
        <w:t>торые финансируются как государством, так и частным сектором. В ведении ДРКУ находится 15 концертных залов, которые служат центрами культурной жизни всей территории. К ним относятся два концертных зала, 11 окружных гражда</w:t>
      </w:r>
      <w:r w:rsidRPr="00CB2C86">
        <w:t>н</w:t>
      </w:r>
      <w:r w:rsidRPr="00CB2C86">
        <w:t>ско-культурных центров, а также две закрытых сцены вместимостью от 400 до 12</w:t>
      </w:r>
      <w:r w:rsidR="009C6500">
        <w:t> </w:t>
      </w:r>
      <w:r w:rsidRPr="00CB2C86">
        <w:t>500 сидячих мест. Они открыты для пользования всеми слоями нас</w:t>
      </w:r>
      <w:r w:rsidRPr="00CB2C86">
        <w:t>е</w:t>
      </w:r>
      <w:r w:rsidRPr="00CB2C86">
        <w:t xml:space="preserve">ления и широкой общественности. Комплекс </w:t>
      </w:r>
      <w:r>
        <w:t>"</w:t>
      </w:r>
      <w:r w:rsidRPr="00CB2C86">
        <w:t>Юс Сквер</w:t>
      </w:r>
      <w:r>
        <w:t>"</w:t>
      </w:r>
      <w:r w:rsidRPr="00CB2C86">
        <w:t>, находящийся в вед</w:t>
      </w:r>
      <w:r w:rsidRPr="00CB2C86">
        <w:t>е</w:t>
      </w:r>
      <w:r w:rsidRPr="00CB2C86">
        <w:t>нии БВД, который был открыт в 2009</w:t>
      </w:r>
      <w:r w:rsidR="00B92291">
        <w:t> год</w:t>
      </w:r>
      <w:r w:rsidRPr="00CB2C86">
        <w:t>у, также оснащен сценическими пл</w:t>
      </w:r>
      <w:r w:rsidRPr="00CB2C86">
        <w:t>о</w:t>
      </w:r>
      <w:r w:rsidRPr="00CB2C86">
        <w:t>щадками для занятия молодежи художественной самодеятельностью.</w:t>
      </w:r>
    </w:p>
    <w:p w:rsidR="00F936A8" w:rsidRPr="00CB2C86" w:rsidRDefault="00F936A8" w:rsidP="00F91733">
      <w:pPr>
        <w:pStyle w:val="SingleTxtGR"/>
        <w:tabs>
          <w:tab w:val="clear" w:pos="1701"/>
          <w:tab w:val="clear" w:pos="2268"/>
          <w:tab w:val="left" w:pos="1980"/>
          <w:tab w:val="left" w:pos="2520"/>
        </w:tabs>
      </w:pPr>
      <w:r w:rsidRPr="00CB2C86">
        <w:t>15.14</w:t>
      </w:r>
      <w:r w:rsidRPr="00CB2C86">
        <w:tab/>
        <w:t>Не находящиеся под эгидой правительства концертные залы разных размеров, расположенные в разных районах, отличаются разнообразием и мн</w:t>
      </w:r>
      <w:r w:rsidRPr="00CB2C86">
        <w:t>о</w:t>
      </w:r>
      <w:r w:rsidRPr="00CB2C86">
        <w:t xml:space="preserve">гофункциональностью, которые удовлетворяют потребности исполнительских коллективов, представляющих различные художественные жанры. В качестве примера можно привести Центр художественного творчества Жокейского клуба и  поселение художников </w:t>
      </w:r>
      <w:r>
        <w:t>"</w:t>
      </w:r>
      <w:proofErr w:type="spellStart"/>
      <w:r w:rsidRPr="00CB2C86">
        <w:t>Кэттл</w:t>
      </w:r>
      <w:proofErr w:type="spellEnd"/>
      <w:r w:rsidRPr="00CB2C86">
        <w:t xml:space="preserve"> Депо</w:t>
      </w:r>
      <w:r>
        <w:t>"</w:t>
      </w:r>
      <w:r w:rsidRPr="00CB2C86">
        <w:t xml:space="preserve">, размещенных в отремонтированных помещениях, ГМОР Художественной школы Ли </w:t>
      </w:r>
      <w:proofErr w:type="spellStart"/>
      <w:r w:rsidRPr="00CB2C86">
        <w:t>Шауки</w:t>
      </w:r>
      <w:proofErr w:type="spellEnd"/>
      <w:r w:rsidRPr="00CB2C86">
        <w:t>, зрительный зал Жоке</w:t>
      </w:r>
      <w:r w:rsidRPr="00CB2C86">
        <w:t>й</w:t>
      </w:r>
      <w:r w:rsidRPr="00CB2C86">
        <w:t>ского клуба при Гонконгском политехническом институте и Гонконгский центр искусств.</w:t>
      </w:r>
    </w:p>
    <w:p w:rsidR="00F936A8" w:rsidRPr="00CB2C86" w:rsidRDefault="00F936A8" w:rsidP="00F91733">
      <w:pPr>
        <w:pStyle w:val="SingleTxtGR"/>
        <w:tabs>
          <w:tab w:val="clear" w:pos="1701"/>
          <w:tab w:val="clear" w:pos="2268"/>
          <w:tab w:val="left" w:pos="1980"/>
          <w:tab w:val="left" w:pos="2520"/>
        </w:tabs>
      </w:pPr>
      <w:r w:rsidRPr="00CB2C86">
        <w:t>15.15</w:t>
      </w:r>
      <w:r w:rsidRPr="00CB2C86">
        <w:tab/>
        <w:t>Политические инициативы, направленные на стимулирование пер</w:t>
      </w:r>
      <w:r w:rsidRPr="00CB2C86">
        <w:t>е</w:t>
      </w:r>
      <w:r w:rsidRPr="00CB2C86">
        <w:t>планировки и переоборудования промышленных зданий для непромышленного и</w:t>
      </w:r>
      <w:r w:rsidRPr="00CB2C86">
        <w:t>с</w:t>
      </w:r>
      <w:r w:rsidRPr="00CB2C86">
        <w:t>пользования, позволят высвободить готовые земельные участки и здания для удовлетворения потребностей различных отраслей, в том числе сектора иску</w:t>
      </w:r>
      <w:r w:rsidRPr="00CB2C86">
        <w:t>с</w:t>
      </w:r>
      <w:r w:rsidRPr="00CB2C86">
        <w:t>ства и культуры по разумным арендным ставкам. Перепланировка и полное п</w:t>
      </w:r>
      <w:r w:rsidRPr="00CB2C86">
        <w:t>е</w:t>
      </w:r>
      <w:r w:rsidRPr="00CB2C86">
        <w:t>реоборудование промышленных зданий также позволят снять озабоченности в отношении безопасности, вызванные смешанным промышленным и коммерч</w:t>
      </w:r>
      <w:r w:rsidRPr="00CB2C86">
        <w:t>е</w:t>
      </w:r>
      <w:r w:rsidRPr="00CB2C86">
        <w:t>ским использованием этих же зданий, и создадут благоприятные рабочие усл</w:t>
      </w:r>
      <w:r w:rsidRPr="00CB2C86">
        <w:t>о</w:t>
      </w:r>
      <w:r w:rsidRPr="00CB2C86">
        <w:t>вия для сектора искусства и культуры.</w:t>
      </w:r>
    </w:p>
    <w:p w:rsidR="00F936A8" w:rsidRPr="00CB2C86" w:rsidRDefault="00F936A8" w:rsidP="00F91733">
      <w:pPr>
        <w:pStyle w:val="H23GR"/>
        <w:tabs>
          <w:tab w:val="left" w:pos="1980"/>
          <w:tab w:val="left" w:pos="2520"/>
        </w:tabs>
      </w:pPr>
      <w:r w:rsidRPr="00CB2C86">
        <w:tab/>
      </w:r>
      <w:r w:rsidRPr="00CB2C86">
        <w:tab/>
        <w:t>Развитие культуры и искусства и участие в культурной и худ</w:t>
      </w:r>
      <w:r w:rsidRPr="00CB2C86">
        <w:t>о</w:t>
      </w:r>
      <w:r w:rsidRPr="00CB2C86">
        <w:t>жественной деятельности</w:t>
      </w:r>
    </w:p>
    <w:p w:rsidR="00F936A8" w:rsidRPr="004963F6" w:rsidRDefault="00F936A8" w:rsidP="00F91733">
      <w:pPr>
        <w:pStyle w:val="H4GR"/>
        <w:tabs>
          <w:tab w:val="left" w:pos="1980"/>
          <w:tab w:val="left" w:pos="2520"/>
        </w:tabs>
        <w:spacing w:before="240"/>
        <w:ind w:left="1134" w:right="1179" w:hanging="1134"/>
      </w:pPr>
      <w:r w:rsidRPr="004963F6">
        <w:tab/>
      </w:r>
      <w:r w:rsidRPr="004963F6">
        <w:tab/>
        <w:t>Обеспечение программами и поддержкой</w:t>
      </w:r>
    </w:p>
    <w:p w:rsidR="00F936A8" w:rsidRPr="00CB2C86" w:rsidRDefault="00F936A8" w:rsidP="00F91733">
      <w:pPr>
        <w:pStyle w:val="SingleTxtGR"/>
        <w:tabs>
          <w:tab w:val="clear" w:pos="1701"/>
          <w:tab w:val="clear" w:pos="2268"/>
          <w:tab w:val="left" w:pos="1980"/>
          <w:tab w:val="left" w:pos="2520"/>
        </w:tabs>
      </w:pPr>
      <w:r w:rsidRPr="00CB2C86">
        <w:t>15.16</w:t>
      </w:r>
      <w:r w:rsidRPr="00CB2C86">
        <w:tab/>
        <w:t>Как уже отмечалось в пунктах 15.9 и 15.10 предыдущего доклада, ДРКУ продолжает обеспечивать подготовку различных культурных программ и поддерживать исполнителей и исполнительские коллективы. Департамент в т</w:t>
      </w:r>
      <w:r w:rsidRPr="00CB2C86">
        <w:t>е</w:t>
      </w:r>
      <w:r w:rsidRPr="00CB2C86">
        <w:t>чение</w:t>
      </w:r>
      <w:r w:rsidR="00B92291">
        <w:t> год</w:t>
      </w:r>
      <w:r w:rsidRPr="00CB2C86">
        <w:t>а ставит различные спектакли, принадлежащие к разным художес</w:t>
      </w:r>
      <w:r w:rsidRPr="00CB2C86">
        <w:t>т</w:t>
      </w:r>
      <w:r w:rsidRPr="00CB2C86">
        <w:t>венным жанрам, в которых заняты местные и приезжие исполнители и колле</w:t>
      </w:r>
      <w:r w:rsidRPr="00CB2C86">
        <w:t>к</w:t>
      </w:r>
      <w:r w:rsidRPr="00CB2C86">
        <w:t>тивы со всех концов мира. Он обогащает культурную жизнь путем презентации кул</w:t>
      </w:r>
      <w:r w:rsidRPr="00CB2C86">
        <w:t>ь</w:t>
      </w:r>
      <w:r w:rsidRPr="00CB2C86">
        <w:t>турно-развлекательных программ, программ художественного воспитания и привлечения зрительской аудитории, а также принимает тематические фестив</w:t>
      </w:r>
      <w:r w:rsidRPr="00CB2C86">
        <w:t>а</w:t>
      </w:r>
      <w:r w:rsidRPr="00CB2C86">
        <w:t xml:space="preserve">ли, </w:t>
      </w:r>
      <w:r w:rsidR="00254ACE">
        <w:t>в частности такие, как</w:t>
      </w:r>
      <w:r w:rsidRPr="00CB2C86">
        <w:t xml:space="preserve"> Международный карнавал искусств и осенние тем</w:t>
      </w:r>
      <w:r w:rsidRPr="00CB2C86">
        <w:t>а</w:t>
      </w:r>
      <w:r w:rsidRPr="00CB2C86">
        <w:t>тические фестивали. Он также продолжает субсидировать Гонконгский фест</w:t>
      </w:r>
      <w:r w:rsidRPr="00CB2C86">
        <w:t>и</w:t>
      </w:r>
      <w:r w:rsidRPr="00CB2C86">
        <w:t>валь искусств.</w:t>
      </w:r>
    </w:p>
    <w:p w:rsidR="00F936A8" w:rsidRPr="00CB2C86" w:rsidRDefault="00F936A8" w:rsidP="00F91733">
      <w:pPr>
        <w:pStyle w:val="SingleTxtGR"/>
        <w:tabs>
          <w:tab w:val="clear" w:pos="1701"/>
          <w:tab w:val="clear" w:pos="2268"/>
          <w:tab w:val="left" w:pos="1980"/>
          <w:tab w:val="left" w:pos="2520"/>
        </w:tabs>
      </w:pPr>
      <w:r w:rsidRPr="00CB2C86">
        <w:t>15.17</w:t>
      </w:r>
      <w:r w:rsidRPr="00CB2C86">
        <w:tab/>
        <w:t>БВД ежегодно выделяет более 2,6</w:t>
      </w:r>
      <w:r w:rsidR="004F720A">
        <w:t> </w:t>
      </w:r>
      <w:r w:rsidR="00B63D5C">
        <w:t>млрд. долл.</w:t>
      </w:r>
      <w:r w:rsidRPr="00CB2C86">
        <w:t xml:space="preserve"> на поддержку крупных профессиональных исполнительских коллективов с целью производства качес</w:t>
      </w:r>
      <w:r w:rsidRPr="00CB2C86">
        <w:t>т</w:t>
      </w:r>
      <w:r w:rsidRPr="00CB2C86">
        <w:t>венных программ, массовых культурно-развлекательных программ и развитие культурных обменов. Чтобы помочь становлению молодых исполнителей и н</w:t>
      </w:r>
      <w:r w:rsidRPr="00CB2C86">
        <w:t>е</w:t>
      </w:r>
      <w:r w:rsidRPr="00CB2C86">
        <w:t>больших и средних исполнительских коллективов, ДРКУ разработал спланир</w:t>
      </w:r>
      <w:r w:rsidRPr="00CB2C86">
        <w:t>о</w:t>
      </w:r>
      <w:r w:rsidRPr="00CB2C86">
        <w:t>ванную и устойчивую стратегию для расширения исполнительских возможн</w:t>
      </w:r>
      <w:r w:rsidRPr="00CB2C86">
        <w:t>о</w:t>
      </w:r>
      <w:r w:rsidRPr="00CB2C86">
        <w:t>стей и рекламу спектаклей этих коллективов/исполнителей. Например, ДРКУ устанавливает льготные ставки для некоммерческих организаций по аренде зрительных залов (за исключением Колизея Гонконга), которые находятся в его ведении для организации художественных мероприятий. К тому же, в апреле 2009</w:t>
      </w:r>
      <w:r w:rsidR="00B92291">
        <w:t> год</w:t>
      </w:r>
      <w:r w:rsidRPr="00CB2C86">
        <w:t>а в полном объеме была запущена Программа партнерства между в</w:t>
      </w:r>
      <w:r w:rsidRPr="00CB2C86">
        <w:t>ы</w:t>
      </w:r>
      <w:r w:rsidRPr="00CB2C86">
        <w:t>ставочными и концертными залами, в рамках которой партнерские исполн</w:t>
      </w:r>
      <w:r w:rsidRPr="00CB2C86">
        <w:t>и</w:t>
      </w:r>
      <w:r w:rsidRPr="00CB2C86">
        <w:t>тельские художественные коллективы получают такую помощь, как активная рекламная деятельность и дополнительное финансирование программ для фо</w:t>
      </w:r>
      <w:r w:rsidRPr="00CB2C86">
        <w:t>р</w:t>
      </w:r>
      <w:r w:rsidRPr="00CB2C86">
        <w:t>мирования облика этих залов, разработки коммерческой стратегии на основе этих центров, направленной на охват ближайших районов и привлечение нас</w:t>
      </w:r>
      <w:r w:rsidRPr="00CB2C86">
        <w:t>е</w:t>
      </w:r>
      <w:r w:rsidRPr="00CB2C86">
        <w:t>ления к участию в развитии исполнительского искусства.</w:t>
      </w:r>
    </w:p>
    <w:p w:rsidR="00F936A8" w:rsidRPr="00CB2C86" w:rsidRDefault="00F936A8" w:rsidP="00F91733">
      <w:pPr>
        <w:pStyle w:val="SingleTxtGR"/>
        <w:tabs>
          <w:tab w:val="clear" w:pos="1701"/>
          <w:tab w:val="clear" w:pos="2268"/>
          <w:tab w:val="left" w:pos="1980"/>
          <w:tab w:val="left" w:pos="2520"/>
        </w:tabs>
      </w:pPr>
      <w:r w:rsidRPr="00CB2C86">
        <w:t>15.18</w:t>
      </w:r>
      <w:r w:rsidRPr="00CB2C86">
        <w:tab/>
        <w:t>В партнерстве с художественными коллективами и окружными орг</w:t>
      </w:r>
      <w:r w:rsidRPr="00CB2C86">
        <w:t>а</w:t>
      </w:r>
      <w:r w:rsidRPr="00CB2C86">
        <w:t>низациями правительство продолжит совершенствовать культурные программы, представлять известных исполнителей и заказывать новые спектакли местных артистов. Мы также продолжим поощрять и облегчать художественные и кул</w:t>
      </w:r>
      <w:r w:rsidRPr="00CB2C86">
        <w:t>ь</w:t>
      </w:r>
      <w:r w:rsidRPr="00CB2C86">
        <w:t>турные обмены с материковым Китаем и зарубежьем, чтобы Гонконг превр</w:t>
      </w:r>
      <w:r w:rsidRPr="00CB2C86">
        <w:t>а</w:t>
      </w:r>
      <w:r w:rsidRPr="00CB2C86">
        <w:t xml:space="preserve">тился в </w:t>
      </w:r>
      <w:r>
        <w:t>"</w:t>
      </w:r>
      <w:r w:rsidRPr="00CB2C86">
        <w:t>плавильный котел</w:t>
      </w:r>
      <w:r>
        <w:t>"</w:t>
      </w:r>
      <w:r w:rsidRPr="00CB2C86">
        <w:t xml:space="preserve"> культурных достижений. Мы также разрабатываем план выставок художественных работ в государственных выставочных залах и организации большего количества массовых художественных мероприятий и программ для пропаганды искусства среди населения.</w:t>
      </w:r>
    </w:p>
    <w:p w:rsidR="00F936A8" w:rsidRPr="004963F6" w:rsidRDefault="00F936A8" w:rsidP="00F91733">
      <w:pPr>
        <w:pStyle w:val="H4GR"/>
        <w:tabs>
          <w:tab w:val="left" w:pos="1980"/>
          <w:tab w:val="left" w:pos="2520"/>
        </w:tabs>
        <w:spacing w:before="240"/>
        <w:ind w:left="1134" w:right="1179" w:hanging="1134"/>
      </w:pPr>
      <w:r w:rsidRPr="004963F6">
        <w:tab/>
      </w:r>
      <w:r w:rsidRPr="004963F6">
        <w:tab/>
        <w:t>Поддержка киноиндустрии</w:t>
      </w:r>
    </w:p>
    <w:p w:rsidR="00F936A8" w:rsidRPr="00CB2C86" w:rsidRDefault="00F936A8" w:rsidP="00F91733">
      <w:pPr>
        <w:pStyle w:val="SingleTxtGR"/>
        <w:tabs>
          <w:tab w:val="clear" w:pos="1701"/>
          <w:tab w:val="clear" w:pos="2268"/>
          <w:tab w:val="left" w:pos="1980"/>
          <w:tab w:val="left" w:pos="2520"/>
        </w:tabs>
      </w:pPr>
      <w:r w:rsidRPr="00CB2C86">
        <w:t>15.19</w:t>
      </w:r>
      <w:r w:rsidRPr="00CB2C86">
        <w:tab/>
        <w:t>Чтобы создать благоприятные условия для долгосрочного развития кинематографии в Гонконге, в апреле 1998</w:t>
      </w:r>
      <w:r w:rsidR="00B92291">
        <w:t> год</w:t>
      </w:r>
      <w:r w:rsidRPr="00CB2C86">
        <w:t>а правительство создало Упра</w:t>
      </w:r>
      <w:r w:rsidRPr="00CB2C86">
        <w:t>в</w:t>
      </w:r>
      <w:r w:rsidRPr="00CB2C86">
        <w:t>ление кинематографических услуг для содействия местному производству к</w:t>
      </w:r>
      <w:r w:rsidRPr="00CB2C86">
        <w:t>и</w:t>
      </w:r>
      <w:r w:rsidRPr="00CB2C86">
        <w:t>нофил</w:t>
      </w:r>
      <w:r w:rsidRPr="00CB2C86">
        <w:t>ь</w:t>
      </w:r>
      <w:r w:rsidRPr="00CB2C86">
        <w:t>мов и продвижению гонконгских кинофильмов в Гонконге и за рубежом. На</w:t>
      </w:r>
      <w:r>
        <w:t> </w:t>
      </w:r>
      <w:r w:rsidRPr="00CB2C86">
        <w:t>Управление кинематографических услуг также возложена обязанность по регулированию через лицензионный механизм выпуска материалов для прои</w:t>
      </w:r>
      <w:r w:rsidRPr="00CB2C86">
        <w:t>з</w:t>
      </w:r>
      <w:r w:rsidRPr="00CB2C86">
        <w:t>водства специальных эффектов, предназначенных для съемок фильмов.</w:t>
      </w:r>
    </w:p>
    <w:p w:rsidR="00F936A8" w:rsidRPr="00CB2C86" w:rsidRDefault="00F936A8" w:rsidP="00F91733">
      <w:pPr>
        <w:pStyle w:val="SingleTxtGR"/>
        <w:tabs>
          <w:tab w:val="clear" w:pos="1701"/>
          <w:tab w:val="clear" w:pos="2268"/>
          <w:tab w:val="left" w:pos="1980"/>
          <w:tab w:val="left" w:pos="2520"/>
        </w:tabs>
      </w:pPr>
      <w:r w:rsidRPr="00CB2C86">
        <w:t>15.20</w:t>
      </w:r>
      <w:r w:rsidRPr="00CB2C86">
        <w:tab/>
        <w:t>Чтобы заручиться рекомендациями кинопромышленности при форм</w:t>
      </w:r>
      <w:r w:rsidRPr="00CB2C86">
        <w:t>у</w:t>
      </w:r>
      <w:r w:rsidRPr="00CB2C86">
        <w:t>лировании соответствующей политической линии и стратегий, в апреле 2007</w:t>
      </w:r>
      <w:r w:rsidR="00B92291">
        <w:t> год</w:t>
      </w:r>
      <w:r w:rsidRPr="00CB2C86">
        <w:t>а правительство учредило Гонконгский совет по развитию кинопр</w:t>
      </w:r>
      <w:r w:rsidRPr="00CB2C86">
        <w:t>о</w:t>
      </w:r>
      <w:r w:rsidRPr="00CB2C86">
        <w:t>мышленности (ГСРК). Кроме консультирования по вопросам продвижения и развития кинематографии ГСРК также дает рекомендации правительству в о</w:t>
      </w:r>
      <w:r w:rsidRPr="00CB2C86">
        <w:t>т</w:t>
      </w:r>
      <w:r w:rsidRPr="00CB2C86">
        <w:t>ношении управления Фондом развития кинематографии, цель которого обесп</w:t>
      </w:r>
      <w:r w:rsidRPr="00CB2C86">
        <w:t>е</w:t>
      </w:r>
      <w:r w:rsidRPr="00CB2C86">
        <w:t xml:space="preserve">чить частичное финансирование производства короткометражных и </w:t>
      </w:r>
      <w:proofErr w:type="spellStart"/>
      <w:r w:rsidRPr="00CB2C86">
        <w:t>среднеме</w:t>
      </w:r>
      <w:r w:rsidRPr="00CB2C86">
        <w:t>т</w:t>
      </w:r>
      <w:r w:rsidRPr="00CB2C86">
        <w:t>ражных</w:t>
      </w:r>
      <w:proofErr w:type="spellEnd"/>
      <w:r w:rsidRPr="00CB2C86">
        <w:t xml:space="preserve"> кинофильмов и финансировать связанную с кинематографом деятел</w:t>
      </w:r>
      <w:r w:rsidRPr="00CB2C86">
        <w:t>ь</w:t>
      </w:r>
      <w:r w:rsidRPr="00CB2C86">
        <w:t>ность/проекты, благоприятствующие долгосрочному развитию этой промы</w:t>
      </w:r>
      <w:r w:rsidRPr="00CB2C86">
        <w:t>ш</w:t>
      </w:r>
      <w:r w:rsidRPr="00CB2C86">
        <w:t>ленности.</w:t>
      </w:r>
    </w:p>
    <w:p w:rsidR="00F936A8" w:rsidRPr="00CB2C86" w:rsidRDefault="00F936A8" w:rsidP="00F91733">
      <w:pPr>
        <w:pStyle w:val="SingleTxtGR"/>
        <w:tabs>
          <w:tab w:val="clear" w:pos="1701"/>
          <w:tab w:val="clear" w:pos="2268"/>
          <w:tab w:val="left" w:pos="1980"/>
          <w:tab w:val="left" w:pos="2520"/>
        </w:tabs>
      </w:pPr>
      <w:r w:rsidRPr="00CB2C86">
        <w:t>15.21</w:t>
      </w:r>
      <w:r w:rsidRPr="00CB2C86">
        <w:tab/>
        <w:t>В декабре 2008</w:t>
      </w:r>
      <w:r w:rsidR="00B92291">
        <w:t> год</w:t>
      </w:r>
      <w:r w:rsidRPr="00CB2C86">
        <w:t>а ГСРК приступил к реализации крупномасштабн</w:t>
      </w:r>
      <w:r w:rsidRPr="00CB2C86">
        <w:t>о</w:t>
      </w:r>
      <w:r w:rsidRPr="00CB2C86">
        <w:t xml:space="preserve">го проекта под названием </w:t>
      </w:r>
      <w:r>
        <w:t>"</w:t>
      </w:r>
      <w:r w:rsidRPr="00CB2C86">
        <w:t>Новая серия гонконгского фильма</w:t>
      </w:r>
      <w:r>
        <w:t>"</w:t>
      </w:r>
      <w:r w:rsidRPr="00CB2C86">
        <w:t>. Для оживления кинорынков Гонконга, поддержки поколения молодых гонконгских режиссеров и развитию технологии производства фильмов в формате 3</w:t>
      </w:r>
      <w:r w:rsidRPr="00CB2C86">
        <w:rPr>
          <w:lang w:val="en-US"/>
        </w:rPr>
        <w:t>D</w:t>
      </w:r>
      <w:r w:rsidRPr="00CB2C86">
        <w:t xml:space="preserve"> и соответству</w:t>
      </w:r>
      <w:r w:rsidRPr="00CB2C86">
        <w:t>ю</w:t>
      </w:r>
      <w:r w:rsidRPr="00CB2C86">
        <w:t>щих услуг в Гонконге был организован ряд мероприятий.</w:t>
      </w:r>
    </w:p>
    <w:p w:rsidR="00F936A8" w:rsidRPr="004963F6" w:rsidRDefault="00F936A8" w:rsidP="00F91733">
      <w:pPr>
        <w:pStyle w:val="H4GR"/>
        <w:tabs>
          <w:tab w:val="left" w:pos="1980"/>
          <w:tab w:val="left" w:pos="2520"/>
        </w:tabs>
        <w:spacing w:before="240"/>
        <w:ind w:left="1134" w:right="1179" w:hanging="1134"/>
      </w:pPr>
      <w:r w:rsidRPr="004963F6">
        <w:tab/>
      </w:r>
      <w:r w:rsidRPr="004963F6">
        <w:tab/>
        <w:t>Нематериальное культурное наследие</w:t>
      </w:r>
    </w:p>
    <w:p w:rsidR="00F936A8" w:rsidRPr="00CB2C86" w:rsidRDefault="00F936A8" w:rsidP="00F91733">
      <w:pPr>
        <w:pStyle w:val="SingleTxtGR"/>
        <w:tabs>
          <w:tab w:val="clear" w:pos="1701"/>
          <w:tab w:val="clear" w:pos="2268"/>
          <w:tab w:val="left" w:pos="1980"/>
          <w:tab w:val="left" w:pos="2520"/>
        </w:tabs>
      </w:pPr>
      <w:r w:rsidRPr="00CB2C86">
        <w:t xml:space="preserve">15.22 </w:t>
      </w:r>
      <w:r w:rsidRPr="00CB2C86">
        <w:tab/>
        <w:t>Для сохранения местного нематериального культурного наследия (НКН) правительство проводит территориальное обследование имеющегося в Гонконге нематериального культурного наследия с целью составления первого реестра НКН. В июле 2008</w:t>
      </w:r>
      <w:r w:rsidR="00B92291">
        <w:t> год</w:t>
      </w:r>
      <w:r w:rsidRPr="00CB2C86">
        <w:t>а был создан Консультативный комитет по нем</w:t>
      </w:r>
      <w:r w:rsidRPr="00CB2C86">
        <w:t>а</w:t>
      </w:r>
      <w:r w:rsidRPr="00CB2C86">
        <w:t>териальному культурному наследию, который призван профессионально ко</w:t>
      </w:r>
      <w:r w:rsidRPr="00CB2C86">
        <w:t>н</w:t>
      </w:r>
      <w:r w:rsidRPr="00CB2C86">
        <w:t>сультировать правительство  по этому обследованию. Первый этап этого обсл</w:t>
      </w:r>
      <w:r w:rsidRPr="00CB2C86">
        <w:t>е</w:t>
      </w:r>
      <w:r w:rsidRPr="00CB2C86">
        <w:t xml:space="preserve">дования уже начался. </w:t>
      </w:r>
    </w:p>
    <w:p w:rsidR="00F936A8" w:rsidRPr="00CB2C86" w:rsidRDefault="00F936A8" w:rsidP="00F91733">
      <w:pPr>
        <w:pStyle w:val="SingleTxtGR"/>
        <w:tabs>
          <w:tab w:val="clear" w:pos="1701"/>
          <w:tab w:val="clear" w:pos="2268"/>
          <w:tab w:val="left" w:pos="1980"/>
          <w:tab w:val="left" w:pos="2520"/>
        </w:tabs>
      </w:pPr>
      <w:r w:rsidRPr="00CB2C86">
        <w:t>15.23</w:t>
      </w:r>
      <w:r w:rsidRPr="00CB2C86">
        <w:tab/>
        <w:t>Благодаря совместной заявке правительств провинци</w:t>
      </w:r>
      <w:r w:rsidR="009C6500">
        <w:t>й</w:t>
      </w:r>
      <w:r w:rsidRPr="00CB2C86">
        <w:t xml:space="preserve"> </w:t>
      </w:r>
      <w:proofErr w:type="spellStart"/>
      <w:r w:rsidRPr="00CB2C86">
        <w:t>Гуандун</w:t>
      </w:r>
      <w:proofErr w:type="spellEnd"/>
      <w:r w:rsidRPr="00CB2C86">
        <w:t>, М</w:t>
      </w:r>
      <w:r w:rsidRPr="00CB2C86">
        <w:t>а</w:t>
      </w:r>
      <w:r w:rsidRPr="00CB2C86">
        <w:t>као и Гонконга, поданной через центральное правительство, в сентябре 2009</w:t>
      </w:r>
      <w:r w:rsidR="00B92291">
        <w:t> год</w:t>
      </w:r>
      <w:r w:rsidRPr="00CB2C86">
        <w:t>а Кантонская опера была включена в Репрезентативный список немат</w:t>
      </w:r>
      <w:r w:rsidRPr="00CB2C86">
        <w:t>е</w:t>
      </w:r>
      <w:r w:rsidRPr="00CB2C86">
        <w:t>риального культурного наследия человечества Организации Объединенных Наций по в</w:t>
      </w:r>
      <w:r w:rsidRPr="00CB2C86">
        <w:t>о</w:t>
      </w:r>
      <w:r w:rsidRPr="00CB2C86">
        <w:t>просам образования, науки и культуры (ЮНЕСКО), став первым вс</w:t>
      </w:r>
      <w:r w:rsidRPr="00CB2C86">
        <w:t>е</w:t>
      </w:r>
      <w:r w:rsidRPr="00CB2C86">
        <w:t xml:space="preserve">мирным элементом НКН в Гонконге. </w:t>
      </w:r>
    </w:p>
    <w:p w:rsidR="00F936A8" w:rsidRPr="00CB2C86" w:rsidRDefault="00F936A8" w:rsidP="00F91733">
      <w:pPr>
        <w:pStyle w:val="SingleTxtGR"/>
        <w:tabs>
          <w:tab w:val="clear" w:pos="1701"/>
          <w:tab w:val="clear" w:pos="2268"/>
          <w:tab w:val="left" w:pos="1980"/>
          <w:tab w:val="left" w:pos="2520"/>
        </w:tabs>
      </w:pPr>
      <w:r w:rsidRPr="00CB2C86">
        <w:t>15.24</w:t>
      </w:r>
      <w:r w:rsidRPr="00CB2C86">
        <w:tab/>
        <w:t xml:space="preserve">Правительство продолжит свои усилия по сохранению, продвижению и развитию Кантонской оперы через различные каналы, </w:t>
      </w:r>
      <w:r w:rsidR="00254ACE">
        <w:t>в частности такие, как</w:t>
      </w:r>
      <w:r w:rsidRPr="00CB2C86">
        <w:t xml:space="preserve"> ДРКУ, ГСРИ и ГАИИ. С целью мобилизации средств на поддержку программ и мероприятий по сохранению, продвижению и устойчивому развитию Канто</w:t>
      </w:r>
      <w:r w:rsidRPr="00CB2C86">
        <w:t>н</w:t>
      </w:r>
      <w:r w:rsidRPr="00CB2C86">
        <w:t>ской оперы в 2005</w:t>
      </w:r>
      <w:r w:rsidR="00B92291">
        <w:t> год</w:t>
      </w:r>
      <w:r w:rsidRPr="00CB2C86">
        <w:t>у был учрежден Фонд развития Кантонской оперы. К н</w:t>
      </w:r>
      <w:r w:rsidRPr="00CB2C86">
        <w:t>а</w:t>
      </w:r>
      <w:r w:rsidRPr="00CB2C86">
        <w:t>стоящему времени Фонд выделил в качестве субсидий 29,8</w:t>
      </w:r>
      <w:r w:rsidR="004F720A">
        <w:t> </w:t>
      </w:r>
      <w:r w:rsidR="00B63D5C">
        <w:t>млн. долл.</w:t>
      </w:r>
      <w:r w:rsidRPr="00CB2C86">
        <w:t xml:space="preserve"> на реал</w:t>
      </w:r>
      <w:r w:rsidRPr="00CB2C86">
        <w:t>и</w:t>
      </w:r>
      <w:r w:rsidRPr="00CB2C86">
        <w:t>зацию примерно 300 проектов.</w:t>
      </w:r>
    </w:p>
    <w:p w:rsidR="00F936A8" w:rsidRPr="004963F6" w:rsidRDefault="00F936A8" w:rsidP="00F91733">
      <w:pPr>
        <w:pStyle w:val="H4GR"/>
        <w:tabs>
          <w:tab w:val="left" w:pos="1980"/>
          <w:tab w:val="left" w:pos="2520"/>
        </w:tabs>
        <w:spacing w:before="240"/>
        <w:ind w:left="1134" w:right="1179" w:hanging="1134"/>
      </w:pPr>
      <w:r w:rsidRPr="004963F6">
        <w:tab/>
      </w:r>
      <w:r w:rsidRPr="004963F6">
        <w:tab/>
        <w:t xml:space="preserve">Гонконгский совет по развитию искусств </w:t>
      </w:r>
    </w:p>
    <w:p w:rsidR="00F936A8" w:rsidRPr="00CB2C86" w:rsidRDefault="00F936A8" w:rsidP="00F91733">
      <w:pPr>
        <w:pStyle w:val="SingleTxtGR"/>
        <w:tabs>
          <w:tab w:val="clear" w:pos="1701"/>
          <w:tab w:val="clear" w:pos="2268"/>
          <w:tab w:val="left" w:pos="1980"/>
          <w:tab w:val="left" w:pos="2520"/>
        </w:tabs>
      </w:pPr>
      <w:r w:rsidRPr="00CB2C86">
        <w:t>15.25</w:t>
      </w:r>
      <w:r w:rsidRPr="00CB2C86">
        <w:tab/>
        <w:t>В течение ряда лет ГСРИ продолжал планирование, продвижение и поддержку всемерному развитию искусств, включая литературу, исполнител</w:t>
      </w:r>
      <w:r w:rsidRPr="00CB2C86">
        <w:t>ь</w:t>
      </w:r>
      <w:r w:rsidRPr="00CB2C86">
        <w:t xml:space="preserve">ские виды искусств, изобразительное искусство, а также киноискусство и </w:t>
      </w:r>
      <w:proofErr w:type="spellStart"/>
      <w:r w:rsidRPr="00CB2C86">
        <w:t>м</w:t>
      </w:r>
      <w:r w:rsidRPr="00CB2C86">
        <w:t>е</w:t>
      </w:r>
      <w:r w:rsidRPr="00CB2C86">
        <w:t>дийное</w:t>
      </w:r>
      <w:proofErr w:type="spellEnd"/>
      <w:r w:rsidRPr="00CB2C86">
        <w:t xml:space="preserve"> искусство в Гонконге. ГСРИ завершил трехлетний план на 2001</w:t>
      </w:r>
      <w:r>
        <w:t>−</w:t>
      </w:r>
      <w:r w:rsidRPr="00CB2C86">
        <w:t>2004</w:t>
      </w:r>
      <w:r w:rsidR="00B92291">
        <w:t> год</w:t>
      </w:r>
      <w:r w:rsidRPr="00CB2C86">
        <w:t>ы, о котором упоминалось в пункте 15.5 предыдущего доклада, и в настоящее время приступил к осуществлению нового плана на 2009</w:t>
      </w:r>
      <w:r>
        <w:t>−</w:t>
      </w:r>
      <w:r w:rsidRPr="00CB2C86">
        <w:t>2011</w:t>
      </w:r>
      <w:r w:rsidR="00B92291">
        <w:t> год</w:t>
      </w:r>
      <w:r w:rsidRPr="00CB2C86">
        <w:t>ы, используя стр</w:t>
      </w:r>
      <w:r w:rsidRPr="00CB2C86">
        <w:t>а</w:t>
      </w:r>
      <w:r w:rsidRPr="00CB2C86">
        <w:t>тегии развития, направленные на продвижение и поддержку развитию искусств путем исследований, привлечения зрителей, художественного образования, помощи художественным коллективам и испо</w:t>
      </w:r>
      <w:r w:rsidRPr="00CB2C86">
        <w:t>л</w:t>
      </w:r>
      <w:r w:rsidRPr="00CB2C86">
        <w:t xml:space="preserve">нителям, расширения культурных обменов, использования местных ресурсов и расширения партнерских связей. </w:t>
      </w:r>
    </w:p>
    <w:p w:rsidR="00F936A8" w:rsidRPr="00CB2C86" w:rsidRDefault="00F936A8" w:rsidP="00F91733">
      <w:pPr>
        <w:pStyle w:val="H23GR"/>
        <w:tabs>
          <w:tab w:val="left" w:pos="1980"/>
          <w:tab w:val="left" w:pos="2520"/>
        </w:tabs>
      </w:pPr>
      <w:r w:rsidRPr="00CB2C86">
        <w:tab/>
      </w:r>
      <w:r w:rsidRPr="00CB2C86">
        <w:tab/>
        <w:t>Доступ к культурной деятельности для всех</w:t>
      </w:r>
    </w:p>
    <w:p w:rsidR="00F936A8" w:rsidRPr="00CB2C86" w:rsidRDefault="00F936A8" w:rsidP="00F91733">
      <w:pPr>
        <w:pStyle w:val="SingleTxtGR"/>
        <w:tabs>
          <w:tab w:val="clear" w:pos="1701"/>
          <w:tab w:val="clear" w:pos="2268"/>
          <w:tab w:val="left" w:pos="1980"/>
          <w:tab w:val="left" w:pos="2520"/>
        </w:tabs>
      </w:pPr>
      <w:r w:rsidRPr="00CB2C86">
        <w:t>15.26</w:t>
      </w:r>
      <w:r w:rsidRPr="00CB2C86">
        <w:tab/>
        <w:t>Правительство продолжает уделять большое внимание обеспечению равного доступа к культурной деятельности. Например, чтобы развивать у д</w:t>
      </w:r>
      <w:r w:rsidRPr="00CB2C86">
        <w:t>е</w:t>
      </w:r>
      <w:r w:rsidRPr="00CB2C86">
        <w:t>тей способность ценить искусство и стимулировать их творчество, ДРКУ пре</w:t>
      </w:r>
      <w:r w:rsidRPr="00CB2C86">
        <w:t>д</w:t>
      </w:r>
      <w:r w:rsidRPr="00CB2C86">
        <w:t>ставляет в течение всего</w:t>
      </w:r>
      <w:r w:rsidR="00B92291">
        <w:t> год</w:t>
      </w:r>
      <w:r w:rsidRPr="00CB2C86">
        <w:t>а программы, которые интересны для детей и мол</w:t>
      </w:r>
      <w:r w:rsidRPr="00CB2C86">
        <w:t>о</w:t>
      </w:r>
      <w:r w:rsidRPr="00CB2C86">
        <w:t>дежи, и продает билеты за полцены студентам очных отделений на сценические постановки, поставленные в различных художественных жанрах, или предлаг</w:t>
      </w:r>
      <w:r w:rsidRPr="00CB2C86">
        <w:t>а</w:t>
      </w:r>
      <w:r w:rsidRPr="00CB2C86">
        <w:t>ет бесплатные и льготные билеты на образовательные программы и семинары. Ежегодно с июля по август ДРКУ проводит Международный карнавал искусств, который является фестивалем искусств в масштабах всей территории, в рамках которого детям, молодым людям и их семьям предлагаются высококачестве</w:t>
      </w:r>
      <w:r w:rsidRPr="00CB2C86">
        <w:t>н</w:t>
      </w:r>
      <w:r w:rsidRPr="00CB2C86">
        <w:t>ные, образовательные и развлекательные сценические постановки и культурные мероприятия в период летних каникул. Кроме того, для учеников начальных, средних и специализированных школ организуется целый ряд массовых и х</w:t>
      </w:r>
      <w:r w:rsidRPr="00CB2C86">
        <w:t>у</w:t>
      </w:r>
      <w:r w:rsidRPr="00CB2C86">
        <w:t>дожественных образовательных программ, адресованных студентам, включая Программу школьного дня культуры, Программу приобщения школьников к и</w:t>
      </w:r>
      <w:r w:rsidRPr="00CB2C86">
        <w:t>с</w:t>
      </w:r>
      <w:r w:rsidRPr="00CB2C86">
        <w:t xml:space="preserve">кусству, Программу художественного опыта, предназначенную для учащихся старших ступеней средней школы, и программу </w:t>
      </w:r>
      <w:r>
        <w:t>"</w:t>
      </w:r>
      <w:r w:rsidRPr="00CB2C86">
        <w:t>Насладимся Кантонской оп</w:t>
      </w:r>
      <w:r w:rsidRPr="00CB2C86">
        <w:t>е</w:t>
      </w:r>
      <w:r w:rsidRPr="00CB2C86">
        <w:t>рой в бамбуковом театре</w:t>
      </w:r>
      <w:r>
        <w:t>"</w:t>
      </w:r>
      <w:r w:rsidRPr="00CB2C86">
        <w:t xml:space="preserve">. ДРКУ предлагает специализированным школам </w:t>
      </w:r>
      <w:r w:rsidR="004C23B7">
        <w:br/>
      </w:r>
      <w:r w:rsidRPr="00CB2C86">
        <w:t>50</w:t>
      </w:r>
      <w:r w:rsidR="004C23B7">
        <w:t xml:space="preserve">-процентную </w:t>
      </w:r>
      <w:r w:rsidRPr="00CB2C86">
        <w:t>скидку на оплату посещений семинаров в рамках Программы приобщения школьников к искусству. Кроме студентов очных отделений ДРКУ также продает билеты за полцены пожилым гражданам, ЛОВ и получателям СВСО, чтобы привлечь их к посещению регулярных программ исполнител</w:t>
      </w:r>
      <w:r w:rsidRPr="00CB2C86">
        <w:t>ь</w:t>
      </w:r>
      <w:r w:rsidRPr="00CB2C86">
        <w:t>ских видов искусств. Музеи ДРКУ также продают за полцены входные билеты студентам очных отделений, ЛОВ и пожилым гражданам в возрасте 60 лет и старше.</w:t>
      </w:r>
      <w:r w:rsidRPr="00CB2C86" w:rsidDel="00AA6DE1">
        <w:t xml:space="preserve"> </w:t>
      </w:r>
    </w:p>
    <w:p w:rsidR="00F936A8" w:rsidRPr="004963F6" w:rsidRDefault="00F936A8" w:rsidP="00F91733">
      <w:pPr>
        <w:pStyle w:val="H4GR"/>
        <w:tabs>
          <w:tab w:val="left" w:pos="1980"/>
          <w:tab w:val="left" w:pos="2520"/>
        </w:tabs>
        <w:spacing w:before="240"/>
        <w:ind w:left="1134" w:right="1179" w:hanging="1134"/>
      </w:pPr>
      <w:r w:rsidRPr="004963F6">
        <w:tab/>
      </w:r>
      <w:r w:rsidRPr="004963F6">
        <w:tab/>
        <w:t xml:space="preserve">Район культурных учреждений Западный </w:t>
      </w:r>
      <w:proofErr w:type="spellStart"/>
      <w:r w:rsidRPr="004963F6">
        <w:t>Коулун</w:t>
      </w:r>
      <w:proofErr w:type="spellEnd"/>
    </w:p>
    <w:p w:rsidR="00F936A8" w:rsidRPr="00CB2C86" w:rsidRDefault="00F936A8" w:rsidP="00F91733">
      <w:pPr>
        <w:pStyle w:val="SingleTxtGR"/>
        <w:tabs>
          <w:tab w:val="clear" w:pos="1701"/>
          <w:tab w:val="clear" w:pos="2268"/>
          <w:tab w:val="left" w:pos="1980"/>
          <w:tab w:val="left" w:pos="2520"/>
        </w:tabs>
      </w:pPr>
      <w:r w:rsidRPr="00CB2C86">
        <w:t>15.27</w:t>
      </w:r>
      <w:r w:rsidRPr="00CB2C86">
        <w:tab/>
        <w:t>Принципы планировочного проектирования, применяемые АРУКЗК при проектировании РУКЗК, включают, в частности, принцип доступности и непрерывности. Эти задачи поставлены, чтобы сделать искусство и культуру доступными для всех и связать жизнь людей с РУКЗК. При разработке плана застро</w:t>
      </w:r>
      <w:r w:rsidRPr="00CB2C86">
        <w:t>й</w:t>
      </w:r>
      <w:r w:rsidRPr="00CB2C86">
        <w:t>ки РУКЗК консультанты АРУКЗК будут консультироваться с населением и заинтересованными сторонами, включая молодежь, ЛОВ и представителей различных социальных групп и т.д., и учитывать их мнение.</w:t>
      </w:r>
    </w:p>
    <w:p w:rsidR="00F936A8" w:rsidRPr="00CB2C86" w:rsidRDefault="00F936A8" w:rsidP="00F91733">
      <w:pPr>
        <w:pStyle w:val="SingleTxtGR"/>
        <w:tabs>
          <w:tab w:val="clear" w:pos="1701"/>
          <w:tab w:val="clear" w:pos="2268"/>
          <w:tab w:val="left" w:pos="1980"/>
          <w:tab w:val="left" w:pos="2520"/>
        </w:tabs>
      </w:pPr>
      <w:r w:rsidRPr="00CB2C86">
        <w:t>15.28</w:t>
      </w:r>
      <w:r w:rsidRPr="00CB2C86">
        <w:tab/>
        <w:t>Кроме того, 23 гектара РУКЗК должно быть спланировано под общ</w:t>
      </w:r>
      <w:r w:rsidRPr="00CB2C86">
        <w:t>е</w:t>
      </w:r>
      <w:r w:rsidRPr="00CB2C86">
        <w:t>ственное открытое пространство для бесплатного отдыха всех категорий гра</w:t>
      </w:r>
      <w:r w:rsidRPr="00CB2C86">
        <w:t>ж</w:t>
      </w:r>
      <w:r w:rsidRPr="00CB2C86">
        <w:t>дан.</w:t>
      </w:r>
    </w:p>
    <w:p w:rsidR="00F936A8" w:rsidRPr="004963F6" w:rsidRDefault="00F936A8" w:rsidP="00F91733">
      <w:pPr>
        <w:pStyle w:val="H4GR"/>
        <w:tabs>
          <w:tab w:val="left" w:pos="1980"/>
          <w:tab w:val="left" w:pos="2520"/>
        </w:tabs>
        <w:spacing w:before="240"/>
        <w:ind w:left="1134" w:right="1179" w:hanging="1134"/>
      </w:pPr>
      <w:r w:rsidRPr="004963F6">
        <w:tab/>
      </w:r>
      <w:r w:rsidRPr="004963F6">
        <w:tab/>
        <w:t>Иностранные исполнительские/художественные коллективы</w:t>
      </w:r>
    </w:p>
    <w:p w:rsidR="00F936A8" w:rsidRPr="00CB2C86" w:rsidRDefault="00F936A8" w:rsidP="00F91733">
      <w:pPr>
        <w:pStyle w:val="SingleTxtGR"/>
        <w:tabs>
          <w:tab w:val="clear" w:pos="1701"/>
          <w:tab w:val="clear" w:pos="2268"/>
          <w:tab w:val="left" w:pos="1980"/>
          <w:tab w:val="left" w:pos="2520"/>
        </w:tabs>
      </w:pPr>
      <w:r w:rsidRPr="00CB2C86">
        <w:t>15.29</w:t>
      </w:r>
      <w:r w:rsidRPr="00CB2C86">
        <w:tab/>
        <w:t>Некоторые комментаторы выразили обеспокоенность в связи с пол</w:t>
      </w:r>
      <w:r w:rsidRPr="00CB2C86">
        <w:t>и</w:t>
      </w:r>
      <w:r w:rsidRPr="00CB2C86">
        <w:t>тикой выдачи рабочих виз участникам иностранных исполнительских и худ</w:t>
      </w:r>
      <w:r w:rsidRPr="00CB2C86">
        <w:t>о</w:t>
      </w:r>
      <w:r w:rsidRPr="00CB2C86">
        <w:t>жественных коллективов. Лица, которые не имеют прав</w:t>
      </w:r>
      <w:r w:rsidR="004C23B7">
        <w:t>а</w:t>
      </w:r>
      <w:r w:rsidRPr="00CB2C86">
        <w:t xml:space="preserve"> на жительство или права на высадку в Гонконге, но которые желают въехать в Гонконг для труд</w:t>
      </w:r>
      <w:r w:rsidRPr="00CB2C86">
        <w:t>о</w:t>
      </w:r>
      <w:r w:rsidRPr="00CB2C86">
        <w:t>устройства, должны обращаться за рабочей визой. В целом ходатайство о тр</w:t>
      </w:r>
      <w:r w:rsidRPr="00CB2C86">
        <w:t>у</w:t>
      </w:r>
      <w:r w:rsidRPr="00CB2C86">
        <w:t>доустройстве может быть рассмотрено положительно, если среди прочих кр</w:t>
      </w:r>
      <w:r w:rsidRPr="00CB2C86">
        <w:t>и</w:t>
      </w:r>
      <w:r w:rsidRPr="00CB2C86">
        <w:t>териев прос</w:t>
      </w:r>
      <w:r w:rsidRPr="00CB2C86">
        <w:t>и</w:t>
      </w:r>
      <w:r w:rsidRPr="00CB2C86">
        <w:t>тель обладает особыми навыками, знаниями или опытом, которые представляют ценность для Гонконга и которые можно редко встретить в Го</w:t>
      </w:r>
      <w:r w:rsidRPr="00CB2C86">
        <w:t>н</w:t>
      </w:r>
      <w:r w:rsidRPr="00CB2C86">
        <w:t xml:space="preserve">конге. К другим критериям, подлежащим рассмотрению, но не только </w:t>
      </w:r>
      <w:r w:rsidR="004C23B7">
        <w:t>к ним</w:t>
      </w:r>
      <w:r w:rsidRPr="00CB2C86">
        <w:t>, относятся вопросы, может ли рабочая вакансия быть заполнена местными гр</w:t>
      </w:r>
      <w:r w:rsidRPr="00CB2C86">
        <w:t>а</w:t>
      </w:r>
      <w:r w:rsidRPr="00CB2C86">
        <w:t xml:space="preserve">жданами, или оправдан ли для работодателя </w:t>
      </w:r>
      <w:proofErr w:type="spellStart"/>
      <w:r w:rsidRPr="00CB2C86">
        <w:t>найм</w:t>
      </w:r>
      <w:proofErr w:type="spellEnd"/>
      <w:r w:rsidRPr="00CB2C86">
        <w:t xml:space="preserve"> привлеченного иностранного персонала. Каждое ходатайство о трудоустройстве рассматривается в индив</w:t>
      </w:r>
      <w:r w:rsidRPr="00CB2C86">
        <w:t>и</w:t>
      </w:r>
      <w:r w:rsidRPr="00CB2C86">
        <w:t>дуальном порядке и по существу в соответствии с действующей политикой и установленными пр</w:t>
      </w:r>
      <w:r w:rsidRPr="00CB2C86">
        <w:t>о</w:t>
      </w:r>
      <w:r w:rsidRPr="00CB2C86">
        <w:t xml:space="preserve">цедурами. </w:t>
      </w:r>
    </w:p>
    <w:p w:rsidR="00F936A8" w:rsidRPr="00CB2C86" w:rsidRDefault="00F936A8" w:rsidP="00F91733">
      <w:pPr>
        <w:pStyle w:val="SingleTxtGR"/>
        <w:tabs>
          <w:tab w:val="clear" w:pos="1701"/>
          <w:tab w:val="clear" w:pos="2268"/>
          <w:tab w:val="left" w:pos="1980"/>
          <w:tab w:val="left" w:pos="2520"/>
        </w:tabs>
      </w:pPr>
      <w:r w:rsidRPr="00CB2C86">
        <w:t>15.30</w:t>
      </w:r>
      <w:r w:rsidRPr="00CB2C86">
        <w:tab/>
        <w:t>Есть уже созданный механизм, которым могут воспользоваться прос</w:t>
      </w:r>
      <w:r w:rsidRPr="00CB2C86">
        <w:t>и</w:t>
      </w:r>
      <w:r w:rsidRPr="00CB2C86">
        <w:t>тели для подачи апелляции, если они не удовлетворены каким-либо решением. Соответственно, они могут искать правовой защиты в виде обращения в суд, которое будет рассмотрено независимым судебным органом.</w:t>
      </w:r>
    </w:p>
    <w:p w:rsidR="00F936A8" w:rsidRPr="00CB2C86" w:rsidRDefault="00F936A8" w:rsidP="00F91733">
      <w:pPr>
        <w:pStyle w:val="H1GR"/>
        <w:tabs>
          <w:tab w:val="left" w:pos="1980"/>
          <w:tab w:val="left" w:pos="2520"/>
        </w:tabs>
      </w:pPr>
      <w:r w:rsidRPr="00CB2C86">
        <w:tab/>
      </w:r>
      <w:r w:rsidRPr="00CB2C86">
        <w:tab/>
        <w:t>Образование и развитие культуры и искусств</w:t>
      </w:r>
    </w:p>
    <w:p w:rsidR="00F936A8" w:rsidRPr="00CB2C86" w:rsidRDefault="00F936A8" w:rsidP="00F91733">
      <w:pPr>
        <w:pStyle w:val="H23GR"/>
        <w:tabs>
          <w:tab w:val="left" w:pos="1980"/>
          <w:tab w:val="left" w:pos="2520"/>
        </w:tabs>
      </w:pPr>
      <w:r w:rsidRPr="00CB2C86">
        <w:tab/>
      </w:r>
      <w:r w:rsidRPr="00CB2C86">
        <w:tab/>
        <w:t>Гонконгская академия исполнительских искусств и Гонкон</w:t>
      </w:r>
      <w:r w:rsidRPr="00CB2C86">
        <w:t>г</w:t>
      </w:r>
      <w:r w:rsidRPr="00CB2C86">
        <w:t>ский центр искусств</w:t>
      </w:r>
    </w:p>
    <w:p w:rsidR="00F936A8" w:rsidRPr="00CB2C86" w:rsidRDefault="00F936A8" w:rsidP="00F91733">
      <w:pPr>
        <w:pStyle w:val="SingleTxtGR"/>
        <w:tabs>
          <w:tab w:val="clear" w:pos="1701"/>
          <w:tab w:val="clear" w:pos="2268"/>
          <w:tab w:val="left" w:pos="1980"/>
          <w:tab w:val="left" w:pos="2520"/>
        </w:tabs>
      </w:pPr>
      <w:r w:rsidRPr="00CB2C86">
        <w:t>15.31</w:t>
      </w:r>
      <w:r w:rsidRPr="00CB2C86">
        <w:tab/>
        <w:t>Положение ГАИИ и Гонконгского центра искусств остается таким же, каким оно изложено в пунктах 15.6 и 15.7 предыдущего доклада. Они продо</w:t>
      </w:r>
      <w:r w:rsidRPr="00CB2C86">
        <w:t>л</w:t>
      </w:r>
      <w:r w:rsidRPr="00CB2C86">
        <w:t>жают и дальше развивать различные виды искусств и художественного образ</w:t>
      </w:r>
      <w:r w:rsidRPr="00CB2C86">
        <w:t>о</w:t>
      </w:r>
      <w:r w:rsidRPr="00CB2C86">
        <w:t>вания: ГАИИ развивает и осуществляет подготовку, дает образование и пров</w:t>
      </w:r>
      <w:r w:rsidRPr="00CB2C86">
        <w:t>о</w:t>
      </w:r>
      <w:r w:rsidRPr="00CB2C86">
        <w:t>дит исследования в области исполнительских видов искусств и смежных спец</w:t>
      </w:r>
      <w:r w:rsidRPr="00CB2C86">
        <w:t>и</w:t>
      </w:r>
      <w:r w:rsidRPr="00CB2C86">
        <w:t>альных видов; Гонконгский центр искусств ведет многие программы художес</w:t>
      </w:r>
      <w:r w:rsidRPr="00CB2C86">
        <w:t>т</w:t>
      </w:r>
      <w:r w:rsidRPr="00CB2C86">
        <w:t>венного образования, дающие право на получение диплома. С момента своего создания в 1984</w:t>
      </w:r>
      <w:r w:rsidR="00B92291">
        <w:t> год</w:t>
      </w:r>
      <w:r w:rsidRPr="00CB2C86">
        <w:t xml:space="preserve">у ГАИИ выпустила более 6 100 специалистов. </w:t>
      </w:r>
    </w:p>
    <w:p w:rsidR="00F936A8" w:rsidRPr="00CB2C86" w:rsidRDefault="00F936A8" w:rsidP="00F91733">
      <w:pPr>
        <w:pStyle w:val="H23GR"/>
        <w:tabs>
          <w:tab w:val="left" w:pos="1980"/>
          <w:tab w:val="left" w:pos="2520"/>
        </w:tabs>
      </w:pPr>
      <w:r w:rsidRPr="00CB2C86">
        <w:tab/>
      </w:r>
      <w:r w:rsidRPr="00CB2C86">
        <w:tab/>
        <w:t>Школьное и профессиональное образование</w:t>
      </w:r>
    </w:p>
    <w:p w:rsidR="00F936A8" w:rsidRPr="00CB2C86" w:rsidRDefault="00F936A8" w:rsidP="00F91733">
      <w:pPr>
        <w:pStyle w:val="SingleTxtGR"/>
        <w:tabs>
          <w:tab w:val="clear" w:pos="1701"/>
          <w:tab w:val="clear" w:pos="2268"/>
          <w:tab w:val="left" w:pos="1980"/>
          <w:tab w:val="left" w:pos="2520"/>
        </w:tabs>
      </w:pPr>
      <w:r w:rsidRPr="00CB2C86">
        <w:t>15.32</w:t>
      </w:r>
      <w:r w:rsidRPr="00CB2C86">
        <w:tab/>
        <w:t xml:space="preserve">БО ратует за художественное воспитание в школах. Учащиеся имеют право изучать искусство путем восприятия, созидания и исполнения на всех школьных уровнях. В системе базового образования обычно преподают музыку и изобразительное искусство, хотя в некоторых школах учащихся обучают и другим жанрам, в частности драматическим, </w:t>
      </w:r>
      <w:proofErr w:type="spellStart"/>
      <w:r w:rsidRPr="00CB2C86">
        <w:t>медийным</w:t>
      </w:r>
      <w:proofErr w:type="spellEnd"/>
      <w:r w:rsidRPr="00CB2C86">
        <w:t xml:space="preserve"> и танцевальным видам искусства, чтобы обогатить их художественный вкус. Чтобы дополнить занятия на уроках, обучение учащихся тесно увязывается с реальной жизнью путем о</w:t>
      </w:r>
      <w:r w:rsidRPr="00CB2C86">
        <w:t>р</w:t>
      </w:r>
      <w:r w:rsidRPr="00CB2C86">
        <w:t>ганизации посещений выставок, музеев и концертов и выступлений в составе оркестров, участия в конкурсах и общественных художественных мероприят</w:t>
      </w:r>
      <w:r w:rsidRPr="00CB2C86">
        <w:t>и</w:t>
      </w:r>
      <w:r w:rsidRPr="00CB2C86">
        <w:t xml:space="preserve">ях. Другие параллельные учебные возможности также позволяют учащимся изучать искусство с разных углов зрения и глубже проникать в его суть и суть других отраслей знаний. </w:t>
      </w:r>
    </w:p>
    <w:p w:rsidR="00F936A8" w:rsidRPr="00CB2C86" w:rsidRDefault="00F936A8" w:rsidP="00F91733">
      <w:pPr>
        <w:pStyle w:val="SingleTxtGR"/>
        <w:tabs>
          <w:tab w:val="clear" w:pos="1701"/>
          <w:tab w:val="clear" w:pos="2268"/>
          <w:tab w:val="left" w:pos="1980"/>
          <w:tab w:val="left" w:pos="2520"/>
        </w:tabs>
      </w:pPr>
      <w:r w:rsidRPr="00CB2C86">
        <w:t>15.33</w:t>
      </w:r>
      <w:r w:rsidRPr="00CB2C86">
        <w:tab/>
        <w:t>С 2009</w:t>
      </w:r>
      <w:r w:rsidR="00B92291">
        <w:t> год</w:t>
      </w:r>
      <w:r w:rsidRPr="00CB2C86">
        <w:t>а учебная программа НСШ предоставляет каждому учащ</w:t>
      </w:r>
      <w:r w:rsidRPr="00CB2C86">
        <w:t>е</w:t>
      </w:r>
      <w:r w:rsidRPr="00CB2C86">
        <w:t>муся широкие возможности для развития своего художественного вкуса и фо</w:t>
      </w:r>
      <w:r w:rsidRPr="00CB2C86">
        <w:t>р</w:t>
      </w:r>
      <w:r w:rsidRPr="00CB2C86">
        <w:t>мирования постоянного интереса к искусству и всестороннего повышения кул</w:t>
      </w:r>
      <w:r w:rsidRPr="00CB2C86">
        <w:t>ь</w:t>
      </w:r>
      <w:r w:rsidRPr="00CB2C86">
        <w:t>турного и художественного уровня путем изучения музыки, изобразительного искусства и смежных с искусством прикладных дисциплин. БО также разраб</w:t>
      </w:r>
      <w:r w:rsidRPr="00CB2C86">
        <w:t>а</w:t>
      </w:r>
      <w:r w:rsidRPr="00CB2C86">
        <w:t>тывает для учителей программы повышения профессиональной квалификации и обеспечивает их учебными и методическими материалами по широкому ряду направлений, чтобы повысить педагогический потенциал учителей, препода</w:t>
      </w:r>
      <w:r w:rsidRPr="00CB2C86">
        <w:t>ю</w:t>
      </w:r>
      <w:r w:rsidRPr="00CB2C86">
        <w:t xml:space="preserve">щих культуру и искусство. </w:t>
      </w:r>
    </w:p>
    <w:p w:rsidR="00F936A8" w:rsidRPr="00CB2C86" w:rsidRDefault="00F936A8" w:rsidP="00F91733">
      <w:pPr>
        <w:pStyle w:val="SingleTxtGR"/>
        <w:tabs>
          <w:tab w:val="clear" w:pos="1701"/>
          <w:tab w:val="clear" w:pos="2268"/>
          <w:tab w:val="left" w:pos="1980"/>
          <w:tab w:val="left" w:pos="2520"/>
        </w:tabs>
      </w:pPr>
      <w:r w:rsidRPr="00CB2C86">
        <w:t>15.34</w:t>
      </w:r>
      <w:r w:rsidRPr="00CB2C86">
        <w:tab/>
        <w:t>Ежегодно БО организует в школах ряд мероприятий, включая выста</w:t>
      </w:r>
      <w:r w:rsidRPr="00CB2C86">
        <w:t>в</w:t>
      </w:r>
      <w:r w:rsidRPr="00CB2C86">
        <w:t>ки художественных работ учащихся и музыкальные, драматические и танц</w:t>
      </w:r>
      <w:r w:rsidRPr="00CB2C86">
        <w:t>е</w:t>
      </w:r>
      <w:r w:rsidRPr="00CB2C86">
        <w:t>вальные фестивали. Оно также сотрудничает с другими государственными д</w:t>
      </w:r>
      <w:r w:rsidRPr="00CB2C86">
        <w:t>е</w:t>
      </w:r>
      <w:r w:rsidRPr="00CB2C86">
        <w:t>партаментами и НПО в организации самых разнообразных мероприятий, н</w:t>
      </w:r>
      <w:r w:rsidRPr="00CB2C86">
        <w:t>а</w:t>
      </w:r>
      <w:r w:rsidRPr="00CB2C86">
        <w:t>пример Гонконгской международной выставки художественного творчества учащихся</w:t>
      </w:r>
      <w:r w:rsidR="004C23B7">
        <w:t xml:space="preserve"> и</w:t>
      </w:r>
      <w:r w:rsidRPr="00CB2C86">
        <w:t xml:space="preserve"> Фестиваль </w:t>
      </w:r>
      <w:proofErr w:type="spellStart"/>
      <w:r w:rsidRPr="00CB2C86">
        <w:t>рэпа</w:t>
      </w:r>
      <w:proofErr w:type="spellEnd"/>
      <w:r w:rsidRPr="00CB2C86">
        <w:t>, чтобы расширить художественные горизонты уч</w:t>
      </w:r>
      <w:r w:rsidRPr="00CB2C86">
        <w:t>а</w:t>
      </w:r>
      <w:r w:rsidRPr="00CB2C86">
        <w:t>щихся и пр</w:t>
      </w:r>
      <w:r w:rsidRPr="00CB2C86">
        <w:t>о</w:t>
      </w:r>
      <w:r w:rsidRPr="00CB2C86">
        <w:t>демонстрировать их творческий потенциал в реальных условиях.</w:t>
      </w:r>
    </w:p>
    <w:p w:rsidR="00F936A8" w:rsidRPr="00CB2C86" w:rsidRDefault="00F936A8" w:rsidP="00F91733">
      <w:pPr>
        <w:pStyle w:val="SingleTxtGR"/>
        <w:tabs>
          <w:tab w:val="clear" w:pos="1701"/>
          <w:tab w:val="clear" w:pos="2268"/>
          <w:tab w:val="left" w:pos="1980"/>
          <w:tab w:val="left" w:pos="2520"/>
        </w:tabs>
      </w:pPr>
      <w:r w:rsidRPr="00CB2C86">
        <w:t>15.35</w:t>
      </w:r>
      <w:r w:rsidRPr="00CB2C86">
        <w:tab/>
        <w:t>Помимо упомянутых выше в пункте 15.31 учреждений, наши местные территориальные высшие учебные заведения ведут ряд связанных с искусством и культурой курсов, призванных содействовать накоплению специальных худ</w:t>
      </w:r>
      <w:r w:rsidRPr="00CB2C86">
        <w:t>о</w:t>
      </w:r>
      <w:r w:rsidRPr="00CB2C86">
        <w:t>жественных знаний в интересах города, а учебные заведения, имеющие соо</w:t>
      </w:r>
      <w:r w:rsidRPr="00CB2C86">
        <w:t>т</w:t>
      </w:r>
      <w:r w:rsidRPr="00CB2C86">
        <w:t>ветствующие отделения или факультеты</w:t>
      </w:r>
      <w:r w:rsidR="004C23B7">
        <w:t>,</w:t>
      </w:r>
      <w:r w:rsidRPr="00CB2C86">
        <w:t xml:space="preserve"> выдают выпускникам дипломы маг</w:t>
      </w:r>
      <w:r w:rsidRPr="00CB2C86">
        <w:t>и</w:t>
      </w:r>
      <w:r w:rsidRPr="00CB2C86">
        <w:t>стра и бакалавра по художественным специальностям, преследуя цель разв</w:t>
      </w:r>
      <w:r w:rsidRPr="00CB2C86">
        <w:t>и</w:t>
      </w:r>
      <w:r w:rsidRPr="00CB2C86">
        <w:t xml:space="preserve">вать профессиональный потенциал художественного воспитания в школах. </w:t>
      </w:r>
    </w:p>
    <w:p w:rsidR="00F936A8" w:rsidRPr="00CB2C86" w:rsidRDefault="00F936A8" w:rsidP="00F91733">
      <w:pPr>
        <w:pStyle w:val="H1GR"/>
        <w:tabs>
          <w:tab w:val="left" w:pos="1980"/>
          <w:tab w:val="left" w:pos="2520"/>
        </w:tabs>
      </w:pPr>
      <w:r w:rsidRPr="00CB2C86">
        <w:tab/>
      </w:r>
      <w:r w:rsidRPr="00CB2C86">
        <w:tab/>
        <w:t>Политика в области сохранения культурного наследия</w:t>
      </w:r>
    </w:p>
    <w:p w:rsidR="00F936A8" w:rsidRPr="00CB2C86" w:rsidRDefault="00F936A8" w:rsidP="00F91733">
      <w:pPr>
        <w:pStyle w:val="SingleTxtGR"/>
        <w:tabs>
          <w:tab w:val="clear" w:pos="1701"/>
          <w:tab w:val="clear" w:pos="2268"/>
          <w:tab w:val="left" w:pos="1980"/>
          <w:tab w:val="left" w:pos="2520"/>
        </w:tabs>
      </w:pPr>
      <w:r w:rsidRPr="00CB2C86">
        <w:t>15.36</w:t>
      </w:r>
      <w:r w:rsidRPr="00CB2C86">
        <w:tab/>
        <w:t>В ответ на растущий в последние</w:t>
      </w:r>
      <w:r w:rsidR="00B92291">
        <w:t> год</w:t>
      </w:r>
      <w:r w:rsidRPr="00CB2C86">
        <w:t>ы в Гонконге общественный и</w:t>
      </w:r>
      <w:r w:rsidRPr="00CB2C86">
        <w:t>н</w:t>
      </w:r>
      <w:r w:rsidRPr="00CB2C86">
        <w:t>терес к сохранению культурного наследия в октябре 2007</w:t>
      </w:r>
      <w:r w:rsidR="00B92291">
        <w:t> год</w:t>
      </w:r>
      <w:r w:rsidRPr="00CB2C86">
        <w:t>а правительство объявило о новой политике в области сохранения мест исторического и кул</w:t>
      </w:r>
      <w:r w:rsidRPr="00CB2C86">
        <w:t>ь</w:t>
      </w:r>
      <w:r w:rsidRPr="00CB2C86">
        <w:t xml:space="preserve">турного наследия и комплексе инициатив по их сохранению под политическим лозунгом </w:t>
      </w:r>
      <w:r w:rsidR="004C23B7">
        <w:t>"</w:t>
      </w:r>
      <w:r w:rsidRPr="00CB2C86">
        <w:t>Защитить, сохранить и восстановить должным образом места ист</w:t>
      </w:r>
      <w:r w:rsidRPr="00CB2C86">
        <w:t>о</w:t>
      </w:r>
      <w:r w:rsidRPr="00CB2C86">
        <w:t>рического и культурного наследия и зданий путем соответствующих и устойч</w:t>
      </w:r>
      <w:r w:rsidRPr="00CB2C86">
        <w:t>и</w:t>
      </w:r>
      <w:r w:rsidRPr="00CB2C86">
        <w:t>вых подходов на благо и эстетического удовольствия нынешнего и будущих п</w:t>
      </w:r>
      <w:r w:rsidRPr="00CB2C86">
        <w:t>о</w:t>
      </w:r>
      <w:r w:rsidRPr="00CB2C86">
        <w:t>колений</w:t>
      </w:r>
      <w:r w:rsidR="004C23B7">
        <w:t>"</w:t>
      </w:r>
      <w:r w:rsidRPr="00CB2C86">
        <w:t>. При осуществлении этой политики должное внимание должно уд</w:t>
      </w:r>
      <w:r w:rsidRPr="00CB2C86">
        <w:t>е</w:t>
      </w:r>
      <w:r w:rsidRPr="00CB2C86">
        <w:t>ляться потребностям развития города в общественных интересах, уважению права ч</w:t>
      </w:r>
      <w:r w:rsidRPr="00CB2C86">
        <w:t>а</w:t>
      </w:r>
      <w:r w:rsidRPr="00CB2C86">
        <w:t>стной собственности, бюджетным соображениям, межведомственному сотрудничеству и активному участию заинтересованных сторон и широкой о</w:t>
      </w:r>
      <w:r w:rsidRPr="00CB2C86">
        <w:t>б</w:t>
      </w:r>
      <w:r w:rsidRPr="00CB2C86">
        <w:t>щественности.</w:t>
      </w:r>
    </w:p>
    <w:p w:rsidR="00F936A8" w:rsidRPr="00CB2C86" w:rsidRDefault="00F936A8" w:rsidP="00F91733">
      <w:pPr>
        <w:pStyle w:val="H23GR"/>
        <w:tabs>
          <w:tab w:val="left" w:pos="1980"/>
          <w:tab w:val="left" w:pos="2520"/>
        </w:tabs>
      </w:pPr>
      <w:r w:rsidRPr="00CB2C86">
        <w:tab/>
      </w:r>
      <w:r w:rsidRPr="00CB2C86">
        <w:tab/>
        <w:t>Институциональная структура сохранения культурного насл</w:t>
      </w:r>
      <w:r w:rsidRPr="00CB2C86">
        <w:t>е</w:t>
      </w:r>
      <w:r w:rsidRPr="00CB2C86">
        <w:t>дия</w:t>
      </w:r>
    </w:p>
    <w:p w:rsidR="00F936A8" w:rsidRPr="004963F6" w:rsidRDefault="00F936A8" w:rsidP="00F91733">
      <w:pPr>
        <w:pStyle w:val="H4GR"/>
        <w:tabs>
          <w:tab w:val="left" w:pos="1980"/>
          <w:tab w:val="left" w:pos="2520"/>
        </w:tabs>
        <w:spacing w:before="240"/>
        <w:ind w:left="1134" w:right="1179" w:hanging="1134"/>
      </w:pPr>
      <w:r w:rsidRPr="004963F6">
        <w:tab/>
      </w:r>
      <w:r w:rsidRPr="004963F6">
        <w:tab/>
        <w:t>Управление комиссара по культурному наследию</w:t>
      </w:r>
    </w:p>
    <w:p w:rsidR="00F936A8" w:rsidRPr="00CB2C86" w:rsidRDefault="00F936A8" w:rsidP="00F91733">
      <w:pPr>
        <w:pStyle w:val="SingleTxtGR"/>
        <w:tabs>
          <w:tab w:val="clear" w:pos="1701"/>
          <w:tab w:val="clear" w:pos="2268"/>
          <w:tab w:val="left" w:pos="1980"/>
          <w:tab w:val="left" w:pos="2520"/>
        </w:tabs>
      </w:pPr>
      <w:r w:rsidRPr="00CB2C86">
        <w:t>15.37</w:t>
      </w:r>
      <w:r w:rsidRPr="00CB2C86">
        <w:tab/>
        <w:t>Управление комиссара по культурному наследию (УККН) было созд</w:t>
      </w:r>
      <w:r w:rsidRPr="00CB2C86">
        <w:t>а</w:t>
      </w:r>
      <w:r w:rsidRPr="00CB2C86">
        <w:t>но в апреле 2008</w:t>
      </w:r>
      <w:r w:rsidR="00B92291">
        <w:t> год</w:t>
      </w:r>
      <w:r w:rsidRPr="00CB2C86">
        <w:t>а при Бюро развития в качестве специализированного о</w:t>
      </w:r>
      <w:r w:rsidRPr="00CB2C86">
        <w:t>р</w:t>
      </w:r>
      <w:r w:rsidRPr="00CB2C86">
        <w:t>гана для продвижения различных инициатив в области сохранения культурного н</w:t>
      </w:r>
      <w:r w:rsidRPr="00CB2C86">
        <w:t>а</w:t>
      </w:r>
      <w:r w:rsidRPr="00CB2C86">
        <w:t>следия. К этим инициативам относятся:</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a</w:t>
      </w:r>
      <w:proofErr w:type="spellEnd"/>
      <w:r>
        <w:t>)</w:t>
      </w:r>
      <w:r w:rsidRPr="00CB2C86">
        <w:tab/>
        <w:t>реализация механизма оценки воздействия всех государстве</w:t>
      </w:r>
      <w:r w:rsidRPr="00CB2C86">
        <w:t>н</w:t>
      </w:r>
      <w:r w:rsidRPr="00CB2C86">
        <w:t>ных проектов капитального строительства на культурное наследие (ОВКН) с целью избежать их воздействия или свести к минимуму это воздействие на ме</w:t>
      </w:r>
      <w:r w:rsidRPr="00CB2C86">
        <w:t>с</w:t>
      </w:r>
      <w:r w:rsidRPr="00CB2C86">
        <w:t>та культурного наследия, разработав щадящие меры, если такое воздействие неизбе</w:t>
      </w:r>
      <w:r w:rsidRPr="00CB2C86">
        <w:t>ж</w:t>
      </w:r>
      <w:r w:rsidRPr="00CB2C86">
        <w:t>но;</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b</w:t>
      </w:r>
      <w:proofErr w:type="spellEnd"/>
      <w:r>
        <w:t>)</w:t>
      </w:r>
      <w:r w:rsidRPr="00CB2C86">
        <w:tab/>
        <w:t>введение в действие Программы восстановления исторических зданий, находящихся в собственности государства, на основе партнерства с ц</w:t>
      </w:r>
      <w:r w:rsidRPr="00CB2C86">
        <w:t>е</w:t>
      </w:r>
      <w:r w:rsidRPr="00CB2C86">
        <w:t>лью их адаптивного повторного использования некоммерческими организаци</w:t>
      </w:r>
      <w:r w:rsidRPr="00CB2C86">
        <w:t>я</w:t>
      </w:r>
      <w:r w:rsidRPr="00CB2C86">
        <w:t>ми, превратив их в социальные учреждения;</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c</w:t>
      </w:r>
      <w:proofErr w:type="spellEnd"/>
      <w:r>
        <w:t>)</w:t>
      </w:r>
      <w:r w:rsidRPr="00CB2C86">
        <w:tab/>
        <w:t>создание соответствующих экономических стимулов для соде</w:t>
      </w:r>
      <w:r w:rsidRPr="00CB2C86">
        <w:t>й</w:t>
      </w:r>
      <w:r w:rsidRPr="00CB2C86">
        <w:t>ствия сохранению исторических зданий, находящихся в частной собственности;</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d</w:t>
      </w:r>
      <w:proofErr w:type="spellEnd"/>
      <w:r>
        <w:t>)</w:t>
      </w:r>
      <w:r w:rsidRPr="00CB2C86">
        <w:tab/>
        <w:t>осуществление программы финансовой помощи, способству</w:t>
      </w:r>
      <w:r w:rsidRPr="00CB2C86">
        <w:t>ю</w:t>
      </w:r>
      <w:r w:rsidRPr="00CB2C86">
        <w:t>щей содержанию частных исторических зданий; и</w:t>
      </w:r>
    </w:p>
    <w:p w:rsidR="00F936A8" w:rsidRPr="00CB2C86" w:rsidRDefault="00F936A8" w:rsidP="00F91733">
      <w:pPr>
        <w:pStyle w:val="SingleTxtGR"/>
        <w:tabs>
          <w:tab w:val="clear" w:pos="1701"/>
          <w:tab w:val="clear" w:pos="2268"/>
          <w:tab w:val="left" w:pos="1980"/>
          <w:tab w:val="left" w:pos="2520"/>
        </w:tabs>
      </w:pPr>
      <w:r w:rsidRPr="00CB2C86">
        <w:tab/>
      </w:r>
      <w:proofErr w:type="spellStart"/>
      <w:r>
        <w:t>e</w:t>
      </w:r>
      <w:proofErr w:type="spellEnd"/>
      <w:r>
        <w:t>)</w:t>
      </w:r>
      <w:r w:rsidRPr="00CB2C86">
        <w:tab/>
        <w:t>развитие общественного интереса и знаний, касающихся сохр</w:t>
      </w:r>
      <w:r w:rsidRPr="00CB2C86">
        <w:t>а</w:t>
      </w:r>
      <w:r w:rsidRPr="00CB2C86">
        <w:t>нения культурного наследия путем различных общественных и информацио</w:t>
      </w:r>
      <w:r w:rsidRPr="00CB2C86">
        <w:t>н</w:t>
      </w:r>
      <w:r w:rsidRPr="00CB2C86">
        <w:t xml:space="preserve">но-пропагандистских программ и специальных </w:t>
      </w:r>
      <w:proofErr w:type="spellStart"/>
      <w:r>
        <w:t>вебсайт</w:t>
      </w:r>
      <w:r w:rsidRPr="00CB2C86">
        <w:t>ов</w:t>
      </w:r>
      <w:proofErr w:type="spellEnd"/>
      <w:r w:rsidRPr="00CB2C86">
        <w:t xml:space="preserve"> по культурному н</w:t>
      </w:r>
      <w:r w:rsidRPr="00CB2C86">
        <w:t>а</w:t>
      </w:r>
      <w:r w:rsidRPr="00CB2C86">
        <w:t>следию и бюллетеней для распространения информации о культурном насл</w:t>
      </w:r>
      <w:r w:rsidRPr="00CB2C86">
        <w:t>е</w:t>
      </w:r>
      <w:r w:rsidRPr="00CB2C86">
        <w:t>дии.</w:t>
      </w:r>
    </w:p>
    <w:p w:rsidR="00F936A8" w:rsidRPr="004963F6" w:rsidRDefault="00F936A8" w:rsidP="00F91733">
      <w:pPr>
        <w:pStyle w:val="H4GR"/>
        <w:tabs>
          <w:tab w:val="left" w:pos="1980"/>
          <w:tab w:val="left" w:pos="2520"/>
        </w:tabs>
        <w:spacing w:before="240"/>
        <w:ind w:left="1134" w:right="1179" w:hanging="1134"/>
      </w:pPr>
      <w:r w:rsidRPr="004963F6">
        <w:tab/>
      </w:r>
      <w:r w:rsidRPr="004963F6">
        <w:tab/>
        <w:t>Управление исторических ценностей и памятников</w:t>
      </w:r>
    </w:p>
    <w:p w:rsidR="00F936A8" w:rsidRPr="00CB2C86" w:rsidRDefault="00F936A8" w:rsidP="00F91733">
      <w:pPr>
        <w:pStyle w:val="SingleTxtGR"/>
        <w:tabs>
          <w:tab w:val="clear" w:pos="1701"/>
          <w:tab w:val="clear" w:pos="2268"/>
          <w:tab w:val="left" w:pos="1980"/>
          <w:tab w:val="left" w:pos="2520"/>
        </w:tabs>
      </w:pPr>
      <w:r w:rsidRPr="00CB2C86">
        <w:t>15.38</w:t>
      </w:r>
      <w:r w:rsidRPr="00CB2C86">
        <w:tab/>
        <w:t>В дополнение к сказанному в пунктах 15.14 и 15.15 предыдущего до</w:t>
      </w:r>
      <w:r w:rsidRPr="00CB2C86">
        <w:t>к</w:t>
      </w:r>
      <w:r w:rsidRPr="00CB2C86">
        <w:t>лада Управление исторических ценностей и памятников (УИЦП) при ДРКУ продолжает оказывать профессиональную и исполнительскую помощь прав</w:t>
      </w:r>
      <w:r w:rsidRPr="00CB2C86">
        <w:t>и</w:t>
      </w:r>
      <w:r w:rsidRPr="00CB2C86">
        <w:t>тельству и УККН по вопросам сохранения культурного наследия. Оно также осуществляет проекты по реставрации и сохранению исторических памятников и зданий, проводит археологические раскопки и обеспечивает сохранение мест археологических раскопов</w:t>
      </w:r>
      <w:r w:rsidR="00C6773A">
        <w:t xml:space="preserve">, а также </w:t>
      </w:r>
      <w:r w:rsidRPr="00CB2C86">
        <w:t>осуществляет образовательные програ</w:t>
      </w:r>
      <w:r w:rsidRPr="00CB2C86">
        <w:t>м</w:t>
      </w:r>
      <w:r w:rsidRPr="00CB2C86">
        <w:t xml:space="preserve">мы и организует информационно-пропагандистские кампании. </w:t>
      </w:r>
    </w:p>
    <w:p w:rsidR="00F936A8" w:rsidRPr="00CB2C86" w:rsidRDefault="00F936A8" w:rsidP="00F91733">
      <w:pPr>
        <w:pStyle w:val="SingleTxtGR"/>
        <w:tabs>
          <w:tab w:val="clear" w:pos="1701"/>
          <w:tab w:val="clear" w:pos="2268"/>
          <w:tab w:val="left" w:pos="1980"/>
          <w:tab w:val="left" w:pos="2520"/>
        </w:tabs>
      </w:pPr>
      <w:r w:rsidRPr="00CB2C86">
        <w:t>15.39</w:t>
      </w:r>
      <w:r w:rsidRPr="00CB2C86">
        <w:tab/>
        <w:t>По состоянию на конец 2009</w:t>
      </w:r>
      <w:r w:rsidR="00B92291">
        <w:t> год</w:t>
      </w:r>
      <w:r w:rsidRPr="00CB2C86">
        <w:t>а в Гонконге имелось 94 охраняемых памятника, из которых 70 представляли собой здания, а 24 наскальные надписи, форты, места археологических раскопок и водохранилища. Предполагается, что углубленная оценка 1 444 исторических зданий в Гонконге, которая была начата в 2005</w:t>
      </w:r>
      <w:r w:rsidR="00B92291">
        <w:t> год</w:t>
      </w:r>
      <w:r w:rsidRPr="00CB2C86">
        <w:t>у, будет завершена в 2010</w:t>
      </w:r>
      <w:r w:rsidR="00B92291">
        <w:t> год</w:t>
      </w:r>
      <w:r w:rsidRPr="00CB2C86">
        <w:t>у вместе с установлением окончательн</w:t>
      </w:r>
      <w:r w:rsidRPr="00CB2C86">
        <w:t>о</w:t>
      </w:r>
      <w:r w:rsidRPr="00CB2C86">
        <w:t>го исторического статуса зданий, что облегчит их будущее сохранение.</w:t>
      </w:r>
    </w:p>
    <w:p w:rsidR="00F936A8" w:rsidRPr="00CB2C86" w:rsidRDefault="00F936A8" w:rsidP="00F91733">
      <w:pPr>
        <w:pStyle w:val="SingleTxtGR"/>
        <w:tabs>
          <w:tab w:val="clear" w:pos="1701"/>
          <w:tab w:val="clear" w:pos="2268"/>
          <w:tab w:val="left" w:pos="1980"/>
          <w:tab w:val="left" w:pos="2520"/>
        </w:tabs>
      </w:pPr>
      <w:r w:rsidRPr="00CB2C86">
        <w:t>15.40</w:t>
      </w:r>
      <w:r w:rsidRPr="00CB2C86">
        <w:tab/>
        <w:t>В 2007</w:t>
      </w:r>
      <w:r w:rsidR="00B92291">
        <w:t> год</w:t>
      </w:r>
      <w:r w:rsidRPr="00CB2C86">
        <w:t xml:space="preserve">у УИЦП сохранило и открыло Галерею </w:t>
      </w:r>
      <w:proofErr w:type="spellStart"/>
      <w:r w:rsidRPr="00CB2C86">
        <w:t>Пин</w:t>
      </w:r>
      <w:proofErr w:type="spellEnd"/>
      <w:r w:rsidRPr="00CB2C86">
        <w:t xml:space="preserve"> </w:t>
      </w:r>
      <w:proofErr w:type="spellStart"/>
      <w:r w:rsidRPr="00CB2C86">
        <w:t>Шань</w:t>
      </w:r>
      <w:proofErr w:type="spellEnd"/>
      <w:r w:rsidRPr="00CB2C86">
        <w:t xml:space="preserve"> Клан с туристическим Центром тропа наследия в </w:t>
      </w:r>
      <w:proofErr w:type="spellStart"/>
      <w:r w:rsidRPr="00CB2C86">
        <w:t>Пин</w:t>
      </w:r>
      <w:proofErr w:type="spellEnd"/>
      <w:r w:rsidRPr="00CB2C86">
        <w:t xml:space="preserve"> </w:t>
      </w:r>
      <w:proofErr w:type="spellStart"/>
      <w:r w:rsidRPr="00CB2C86">
        <w:t>Шань</w:t>
      </w:r>
      <w:proofErr w:type="spellEnd"/>
      <w:r w:rsidRPr="00CB2C86">
        <w:t>, Юн Лонг. Переоборуд</w:t>
      </w:r>
      <w:r w:rsidRPr="00CB2C86">
        <w:t>о</w:t>
      </w:r>
      <w:r w:rsidRPr="00CB2C86">
        <w:t xml:space="preserve">ванный из двухэтажного полицейского участка Старый </w:t>
      </w:r>
      <w:proofErr w:type="spellStart"/>
      <w:r w:rsidRPr="00CB2C86">
        <w:t>Пин</w:t>
      </w:r>
      <w:proofErr w:type="spellEnd"/>
      <w:r w:rsidRPr="00CB2C86">
        <w:t xml:space="preserve"> </w:t>
      </w:r>
      <w:proofErr w:type="spellStart"/>
      <w:r w:rsidRPr="00CB2C86">
        <w:t>Шань</w:t>
      </w:r>
      <w:proofErr w:type="spellEnd"/>
      <w:r w:rsidRPr="00CB2C86">
        <w:t>, который о</w:t>
      </w:r>
      <w:r w:rsidRPr="00CB2C86">
        <w:t>б</w:t>
      </w:r>
      <w:r w:rsidRPr="00CB2C86">
        <w:t>рамляет, выгнутая веранда, построенная в 1899 голу, Центр состоит из трех г</w:t>
      </w:r>
      <w:r w:rsidRPr="00CB2C86">
        <w:t>а</w:t>
      </w:r>
      <w:r w:rsidRPr="00CB2C86">
        <w:t xml:space="preserve">лерей, т.е. Галереи </w:t>
      </w:r>
      <w:proofErr w:type="spellStart"/>
      <w:r w:rsidRPr="00CB2C86">
        <w:t>Пин</w:t>
      </w:r>
      <w:proofErr w:type="spellEnd"/>
      <w:r w:rsidRPr="00CB2C86">
        <w:t xml:space="preserve"> </w:t>
      </w:r>
      <w:proofErr w:type="spellStart"/>
      <w:r w:rsidRPr="00CB2C86">
        <w:t>Шань</w:t>
      </w:r>
      <w:proofErr w:type="spellEnd"/>
      <w:r w:rsidRPr="00CB2C86">
        <w:t xml:space="preserve"> Клан, Галереи Тропа наследия </w:t>
      </w:r>
      <w:proofErr w:type="spellStart"/>
      <w:r w:rsidRPr="00CB2C86">
        <w:t>Пин</w:t>
      </w:r>
      <w:proofErr w:type="spellEnd"/>
      <w:r w:rsidRPr="00CB2C86">
        <w:t xml:space="preserve"> </w:t>
      </w:r>
      <w:proofErr w:type="spellStart"/>
      <w:r w:rsidRPr="00CB2C86">
        <w:t>Шань</w:t>
      </w:r>
      <w:proofErr w:type="spellEnd"/>
      <w:r w:rsidRPr="00CB2C86">
        <w:t xml:space="preserve"> и Гал</w:t>
      </w:r>
      <w:r w:rsidRPr="00CB2C86">
        <w:t>е</w:t>
      </w:r>
      <w:r w:rsidRPr="00CB2C86">
        <w:t>реи общинного наследия.</w:t>
      </w:r>
    </w:p>
    <w:p w:rsidR="00F936A8" w:rsidRPr="00CB2C86" w:rsidRDefault="00F936A8" w:rsidP="00F91733">
      <w:pPr>
        <w:pStyle w:val="H23GR"/>
        <w:tabs>
          <w:tab w:val="left" w:pos="1980"/>
          <w:tab w:val="left" w:pos="2520"/>
        </w:tabs>
      </w:pPr>
      <w:r w:rsidRPr="00CB2C86">
        <w:tab/>
      </w:r>
      <w:r w:rsidRPr="00CB2C86">
        <w:tab/>
        <w:t xml:space="preserve">Образование и информация в области сохранения культурного наследия </w:t>
      </w:r>
    </w:p>
    <w:p w:rsidR="00F936A8" w:rsidRPr="00CB2C86" w:rsidRDefault="00F936A8" w:rsidP="00F91733">
      <w:pPr>
        <w:pStyle w:val="SingleTxtGR"/>
        <w:tabs>
          <w:tab w:val="clear" w:pos="1701"/>
          <w:tab w:val="clear" w:pos="2268"/>
          <w:tab w:val="left" w:pos="1980"/>
          <w:tab w:val="left" w:pos="2520"/>
        </w:tabs>
      </w:pPr>
      <w:r w:rsidRPr="00CB2C86">
        <w:t>15.41</w:t>
      </w:r>
      <w:r w:rsidRPr="00CB2C86">
        <w:tab/>
        <w:t>Как отмечалось в предыдущем докладе, в октябре 2005</w:t>
      </w:r>
      <w:r w:rsidR="00B92291">
        <w:t> год</w:t>
      </w:r>
      <w:r w:rsidRPr="00CB2C86">
        <w:t xml:space="preserve">а УИЦП создало Центр </w:t>
      </w:r>
      <w:proofErr w:type="spellStart"/>
      <w:r w:rsidRPr="00CB2C86">
        <w:t>Херитадж</w:t>
      </w:r>
      <w:proofErr w:type="spellEnd"/>
      <w:r w:rsidRPr="00CB2C86">
        <w:t xml:space="preserve"> </w:t>
      </w:r>
      <w:proofErr w:type="spellStart"/>
      <w:r w:rsidRPr="00CB2C86">
        <w:t>Дискавери</w:t>
      </w:r>
      <w:proofErr w:type="spellEnd"/>
      <w:r w:rsidRPr="00CB2C86">
        <w:t>. Он служит центром подготовки по сохр</w:t>
      </w:r>
      <w:r w:rsidRPr="00CB2C86">
        <w:t>а</w:t>
      </w:r>
      <w:r w:rsidRPr="00CB2C86">
        <w:t xml:space="preserve">нению культурного наследия и исследований. В Центре </w:t>
      </w:r>
      <w:proofErr w:type="spellStart"/>
      <w:r w:rsidRPr="00CB2C86">
        <w:t>Херитадж</w:t>
      </w:r>
      <w:proofErr w:type="spellEnd"/>
      <w:r w:rsidRPr="00CB2C86">
        <w:t xml:space="preserve"> </w:t>
      </w:r>
      <w:proofErr w:type="spellStart"/>
      <w:r w:rsidRPr="00CB2C86">
        <w:t>Дискавери</w:t>
      </w:r>
      <w:proofErr w:type="spellEnd"/>
      <w:r w:rsidRPr="00CB2C86">
        <w:t xml:space="preserve"> был организован ряд выставок, публичных лекций и конференций, а также а</w:t>
      </w:r>
      <w:r w:rsidRPr="00CB2C86">
        <w:t>р</w:t>
      </w:r>
      <w:r w:rsidRPr="00CB2C86">
        <w:t>хеологических семинаров, нацеленных на сохранение культурного наследия. В</w:t>
      </w:r>
      <w:r w:rsidR="00C6773A">
        <w:t> </w:t>
      </w:r>
      <w:r w:rsidRPr="00CB2C86">
        <w:t>первом полугодии 2010</w:t>
      </w:r>
      <w:r w:rsidR="00B92291">
        <w:t> год</w:t>
      </w:r>
      <w:r w:rsidRPr="00CB2C86">
        <w:t xml:space="preserve">а будет открыта постоянная выставка культурного наследия Гонконга. </w:t>
      </w:r>
    </w:p>
    <w:p w:rsidR="00F936A8" w:rsidRPr="00CB2C86" w:rsidRDefault="00F936A8" w:rsidP="00F91733">
      <w:pPr>
        <w:pStyle w:val="SingleTxtGR"/>
        <w:tabs>
          <w:tab w:val="clear" w:pos="1701"/>
          <w:tab w:val="clear" w:pos="2268"/>
          <w:tab w:val="left" w:pos="1980"/>
          <w:tab w:val="left" w:pos="2520"/>
        </w:tabs>
      </w:pPr>
      <w:r w:rsidRPr="00CB2C86">
        <w:t>15.42</w:t>
      </w:r>
      <w:r w:rsidRPr="00CB2C86">
        <w:tab/>
        <w:t>В сотрудничестве с Бюро ЮНЕСКО в Бангкоке и Гонконгским униве</w:t>
      </w:r>
      <w:r w:rsidRPr="00CB2C86">
        <w:t>р</w:t>
      </w:r>
      <w:r w:rsidRPr="00CB2C86">
        <w:t xml:space="preserve">ситетом УИЦП устроило выставку </w:t>
      </w:r>
      <w:r>
        <w:t>"</w:t>
      </w:r>
      <w:r w:rsidRPr="00CB2C86">
        <w:t>Живое наследие: Проекты Гонконга, пол</w:t>
      </w:r>
      <w:r w:rsidRPr="00CB2C86">
        <w:t>у</w:t>
      </w:r>
      <w:r w:rsidRPr="00CB2C86">
        <w:t>чившие награду ЮНЕСКО за сохранение культурного наследия в Азиатско-Тихоокеанском регионе</w:t>
      </w:r>
      <w:r>
        <w:t>"</w:t>
      </w:r>
      <w:r w:rsidRPr="00CB2C86">
        <w:t>, которая будет действовать с ноября 2009</w:t>
      </w:r>
      <w:r w:rsidR="00B92291">
        <w:t> год</w:t>
      </w:r>
      <w:r w:rsidRPr="00CB2C86">
        <w:t>а по фе</w:t>
      </w:r>
      <w:r w:rsidRPr="00CB2C86">
        <w:t>в</w:t>
      </w:r>
      <w:r w:rsidRPr="00CB2C86">
        <w:t>раль 201</w:t>
      </w:r>
      <w:r w:rsidR="00C6773A">
        <w:t>0</w:t>
      </w:r>
      <w:r w:rsidR="00B92291">
        <w:t> год</w:t>
      </w:r>
      <w:r w:rsidRPr="00CB2C86">
        <w:t>а, чтобы отметить 12 гонконгских проектов, получивших с 2000</w:t>
      </w:r>
      <w:r w:rsidR="00B92291">
        <w:t> год</w:t>
      </w:r>
      <w:r w:rsidRPr="00CB2C86">
        <w:t xml:space="preserve">а награду ЮНЕСКО за сохранение культурного наследия в Азиатско-Тихоокеанском регионе. </w:t>
      </w:r>
    </w:p>
    <w:p w:rsidR="00F936A8" w:rsidRPr="00CB2C86" w:rsidRDefault="00F936A8" w:rsidP="00F91733">
      <w:pPr>
        <w:pStyle w:val="SingleTxtGR"/>
        <w:tabs>
          <w:tab w:val="clear" w:pos="1701"/>
          <w:tab w:val="clear" w:pos="2268"/>
          <w:tab w:val="left" w:pos="1980"/>
          <w:tab w:val="left" w:pos="2520"/>
        </w:tabs>
      </w:pPr>
      <w:r w:rsidRPr="00CB2C86">
        <w:t>15.43</w:t>
      </w:r>
      <w:r w:rsidRPr="00CB2C86">
        <w:tab/>
        <w:t>УККН и УИЦП совместно разрабатывают комплект учебных матери</w:t>
      </w:r>
      <w:r w:rsidRPr="00CB2C86">
        <w:t>а</w:t>
      </w:r>
      <w:r w:rsidRPr="00CB2C86">
        <w:t>лов, предназначенных для включения в школьную программу НСШ по культу</w:t>
      </w:r>
      <w:r w:rsidRPr="00CB2C86">
        <w:t>р</w:t>
      </w:r>
      <w:r w:rsidRPr="00CB2C86">
        <w:t>ному наследию. Предполагается, что комплект будет готов к сентябрю 2010</w:t>
      </w:r>
      <w:r w:rsidR="00B92291">
        <w:t> год</w:t>
      </w:r>
      <w:r w:rsidRPr="00CB2C86">
        <w:t>а.</w:t>
      </w:r>
    </w:p>
    <w:p w:rsidR="00F936A8" w:rsidRPr="00CB2C86" w:rsidRDefault="00F936A8" w:rsidP="00F91733">
      <w:pPr>
        <w:pStyle w:val="SingleTxtGR"/>
        <w:tabs>
          <w:tab w:val="clear" w:pos="1701"/>
          <w:tab w:val="clear" w:pos="2268"/>
          <w:tab w:val="left" w:pos="1980"/>
          <w:tab w:val="left" w:pos="2520"/>
        </w:tabs>
      </w:pPr>
      <w:r w:rsidRPr="00CB2C86">
        <w:t>15.44</w:t>
      </w:r>
      <w:r w:rsidRPr="00CB2C86">
        <w:tab/>
        <w:t>Чтобы облегчить доступ граждан к информации о культурном насл</w:t>
      </w:r>
      <w:r w:rsidRPr="00CB2C86">
        <w:t>е</w:t>
      </w:r>
      <w:r w:rsidRPr="00CB2C86">
        <w:t>дии, УИЦП соответственно в 2005, 2007 и 2008</w:t>
      </w:r>
      <w:r w:rsidR="00B92291">
        <w:t> год</w:t>
      </w:r>
      <w:r w:rsidRPr="00CB2C86">
        <w:t xml:space="preserve">ах создало </w:t>
      </w:r>
      <w:proofErr w:type="spellStart"/>
      <w:r>
        <w:t>вебсайт</w:t>
      </w:r>
      <w:r w:rsidRPr="00CB2C86">
        <w:t>ы</w:t>
      </w:r>
      <w:proofErr w:type="spellEnd"/>
      <w:r w:rsidRPr="00CB2C86">
        <w:t>, в час</w:t>
      </w:r>
      <w:r w:rsidRPr="00CB2C86">
        <w:t>т</w:t>
      </w:r>
      <w:r w:rsidRPr="00CB2C86">
        <w:t xml:space="preserve">ности сайты </w:t>
      </w:r>
      <w:r>
        <w:t>"</w:t>
      </w:r>
      <w:r w:rsidRPr="00CB2C86">
        <w:t>Система географической информации о культурном наследии Гонконга</w:t>
      </w:r>
      <w:r>
        <w:t>"</w:t>
      </w:r>
      <w:r w:rsidRPr="00CB2C86">
        <w:t xml:space="preserve">, </w:t>
      </w:r>
      <w:r>
        <w:t>"</w:t>
      </w:r>
      <w:r w:rsidRPr="00CB2C86">
        <w:t>Виртуальный исследователь культурного наследия</w:t>
      </w:r>
      <w:r>
        <w:t>"</w:t>
      </w:r>
      <w:r w:rsidRPr="00CB2C86">
        <w:t xml:space="preserve"> и </w:t>
      </w:r>
      <w:r>
        <w:t>"</w:t>
      </w:r>
      <w:r w:rsidRPr="00CB2C86">
        <w:t>Система и</w:t>
      </w:r>
      <w:r w:rsidRPr="00CB2C86">
        <w:t>н</w:t>
      </w:r>
      <w:r w:rsidRPr="00CB2C86">
        <w:t>форм</w:t>
      </w:r>
      <w:r w:rsidRPr="00CB2C86">
        <w:t>а</w:t>
      </w:r>
      <w:r w:rsidRPr="00CB2C86">
        <w:t>ции о традиционной китайской архитектуры Гонконга</w:t>
      </w:r>
      <w:r>
        <w:t>"</w:t>
      </w:r>
      <w:r w:rsidRPr="00CB2C86">
        <w:t>.</w:t>
      </w:r>
    </w:p>
    <w:p w:rsidR="00F936A8" w:rsidRPr="00CB2C86" w:rsidRDefault="00F936A8" w:rsidP="00F91733">
      <w:pPr>
        <w:pStyle w:val="H1GR"/>
        <w:tabs>
          <w:tab w:val="left" w:pos="1980"/>
          <w:tab w:val="left" w:pos="2520"/>
        </w:tabs>
      </w:pPr>
      <w:r w:rsidRPr="00CB2C86">
        <w:tab/>
      </w:r>
      <w:r w:rsidRPr="00CB2C86">
        <w:tab/>
        <w:t xml:space="preserve">Архивы </w:t>
      </w:r>
    </w:p>
    <w:p w:rsidR="00F936A8" w:rsidRPr="00CB2C86" w:rsidRDefault="00F936A8" w:rsidP="00F91733">
      <w:pPr>
        <w:pStyle w:val="SingleTxtGR"/>
        <w:tabs>
          <w:tab w:val="clear" w:pos="1701"/>
          <w:tab w:val="clear" w:pos="2268"/>
          <w:tab w:val="left" w:pos="1980"/>
          <w:tab w:val="left" w:pos="2520"/>
        </w:tabs>
      </w:pPr>
      <w:r w:rsidRPr="00CB2C86">
        <w:t>15.45</w:t>
      </w:r>
      <w:r w:rsidRPr="00CB2C86">
        <w:tab/>
        <w:t>В пунктах 15.16 и 15.17 предыдущего доклада мы разъяснили работу Государственной архивной службы (ГАС) по хранению архивных материалов и управлению работой Главного библиотечного хранилища государственных пу</w:t>
      </w:r>
      <w:r w:rsidRPr="00CB2C86">
        <w:t>б</w:t>
      </w:r>
      <w:r w:rsidRPr="00CB2C86">
        <w:t>ликаций через Управление государственных архивов. С ноября 2002</w:t>
      </w:r>
      <w:r w:rsidR="00B92291">
        <w:t> год</w:t>
      </w:r>
      <w:r w:rsidRPr="00CB2C86">
        <w:t xml:space="preserve">а через Интернет в режиме </w:t>
      </w:r>
      <w:proofErr w:type="spellStart"/>
      <w:r w:rsidRPr="00CB2C86">
        <w:t>онлайн</w:t>
      </w:r>
      <w:proofErr w:type="spellEnd"/>
      <w:r w:rsidRPr="00CB2C86">
        <w:t xml:space="preserve"> был организован доступ к различным каталогам и отдельным изображениям. Чтобы повысить уровень информированности нас</w:t>
      </w:r>
      <w:r w:rsidRPr="00CB2C86">
        <w:t>е</w:t>
      </w:r>
      <w:r w:rsidRPr="00CB2C86">
        <w:t>ления о документальном наследии Гонконга и уважения к нему, ГАС регулярно организует семинары, рабочие совещания и тематические выставки. Она также сотрудничает с частным сектором и другими государственными бюро и депа</w:t>
      </w:r>
      <w:r w:rsidRPr="00CB2C86">
        <w:t>р</w:t>
      </w:r>
      <w:r w:rsidRPr="00CB2C86">
        <w:t>таментами по ряду инициатив, включая содействие учителям и учащимся в и</w:t>
      </w:r>
      <w:r w:rsidRPr="00CB2C86">
        <w:t>с</w:t>
      </w:r>
      <w:r w:rsidRPr="00CB2C86">
        <w:t>пользовании архивных материалов, организацию в различных округах фотов</w:t>
      </w:r>
      <w:r w:rsidRPr="00CB2C86">
        <w:t>ы</w:t>
      </w:r>
      <w:r w:rsidRPr="00CB2C86">
        <w:t>ставок, рассказывающих об истории этих округов, осуществление Гонконгского мемориального проекта, который преследует цель сохранить архивные док</w:t>
      </w:r>
      <w:r w:rsidRPr="00CB2C86">
        <w:t>у</w:t>
      </w:r>
      <w:r w:rsidRPr="00CB2C86">
        <w:t xml:space="preserve">менты путем их </w:t>
      </w:r>
      <w:proofErr w:type="spellStart"/>
      <w:r w:rsidRPr="00CB2C86">
        <w:t>оцифрования</w:t>
      </w:r>
      <w:proofErr w:type="spellEnd"/>
      <w:r w:rsidRPr="00CB2C86">
        <w:t xml:space="preserve"> и предоставление бесплатного универсального доступа к цифровым собраниям и архивам по истории Гонконга. Последняя инициатива является ответом на программу ЮНЕСКО </w:t>
      </w:r>
      <w:r>
        <w:t>"</w:t>
      </w:r>
      <w:r w:rsidRPr="00CB2C86">
        <w:t>Память мира</w:t>
      </w:r>
      <w:r>
        <w:t>"</w:t>
      </w:r>
      <w:r w:rsidRPr="00CB2C86">
        <w:t>.</w:t>
      </w:r>
    </w:p>
    <w:p w:rsidR="00F936A8" w:rsidRPr="00CB2C86" w:rsidRDefault="00F936A8" w:rsidP="00F91733">
      <w:pPr>
        <w:pStyle w:val="SingleTxtGR"/>
        <w:tabs>
          <w:tab w:val="clear" w:pos="1701"/>
          <w:tab w:val="clear" w:pos="2268"/>
          <w:tab w:val="left" w:pos="1980"/>
          <w:tab w:val="left" w:pos="2520"/>
        </w:tabs>
      </w:pPr>
      <w:r w:rsidRPr="00CB2C86">
        <w:t>15.46</w:t>
      </w:r>
      <w:r w:rsidRPr="00CB2C86">
        <w:tab/>
        <w:t>Некоторые комментаторы призвали пересмотреть текущие механизмы хранения государственных архивов. Правительство разработало администр</w:t>
      </w:r>
      <w:r w:rsidRPr="00CB2C86">
        <w:t>а</w:t>
      </w:r>
      <w:r w:rsidRPr="00CB2C86">
        <w:t>тивные процедуры, облегчающие выявление, передачу, сохранение и регулир</w:t>
      </w:r>
      <w:r w:rsidRPr="00CB2C86">
        <w:t>о</w:t>
      </w:r>
      <w:r w:rsidRPr="00CB2C86">
        <w:t>вание доступа к архивам и архивным документам, имеющим архивную це</w:t>
      </w:r>
      <w:r w:rsidRPr="00CB2C86">
        <w:t>н</w:t>
      </w:r>
      <w:r w:rsidRPr="00CB2C86">
        <w:t>ность. Доступ к архивным документам, хранящимся в ГАС, регулируется Пр</w:t>
      </w:r>
      <w:r w:rsidRPr="00CB2C86">
        <w:t>а</w:t>
      </w:r>
      <w:r w:rsidRPr="00CB2C86">
        <w:t>вилами доступа к государственным архивам 1996</w:t>
      </w:r>
      <w:r w:rsidR="00B92291">
        <w:t> год</w:t>
      </w:r>
      <w:r w:rsidRPr="00CB2C86">
        <w:t>а. В общем доступ общ</w:t>
      </w:r>
      <w:r w:rsidRPr="00CB2C86">
        <w:t>е</w:t>
      </w:r>
      <w:r w:rsidRPr="00CB2C86">
        <w:t>ственности будет разрешен к архивам, содержащим открытую информацию или архивам, содержащим секретную информацию, которая была закрыта в течение 30 лет. Среди персонала ГАС есть сотрудники, имеющие звание архивариуса, куратора и администратора. В рамках текущих усилий правительство период</w:t>
      </w:r>
      <w:r w:rsidRPr="00CB2C86">
        <w:t>и</w:t>
      </w:r>
      <w:r w:rsidRPr="00CB2C86">
        <w:t>чески рассматривает текущие административные процедуры и продолжит их совершенствование, когда это будет целесообразным. Мы приветствуем пре</w:t>
      </w:r>
      <w:r w:rsidRPr="00CB2C86">
        <w:t>д</w:t>
      </w:r>
      <w:r w:rsidRPr="00CB2C86">
        <w:t>ложения заинтересованных сторон в ходе этого процесса.</w:t>
      </w:r>
      <w:r w:rsidRPr="00CB2C86" w:rsidDel="00BD16DE">
        <w:t xml:space="preserve"> </w:t>
      </w:r>
    </w:p>
    <w:p w:rsidR="00F936A8" w:rsidRPr="00CB2C86" w:rsidRDefault="00F936A8" w:rsidP="00F91733">
      <w:pPr>
        <w:pStyle w:val="H1GR"/>
        <w:tabs>
          <w:tab w:val="left" w:pos="1980"/>
          <w:tab w:val="left" w:pos="2520"/>
        </w:tabs>
      </w:pPr>
      <w:r w:rsidRPr="00CB2C86">
        <w:tab/>
      </w:r>
      <w:r w:rsidRPr="00CB2C86">
        <w:tab/>
        <w:t>Вещание</w:t>
      </w:r>
    </w:p>
    <w:p w:rsidR="00F936A8" w:rsidRPr="00CB2C86" w:rsidRDefault="00F936A8" w:rsidP="00F91733">
      <w:pPr>
        <w:pStyle w:val="SingleTxtGR"/>
        <w:tabs>
          <w:tab w:val="clear" w:pos="1701"/>
          <w:tab w:val="clear" w:pos="2268"/>
          <w:tab w:val="left" w:pos="1980"/>
          <w:tab w:val="left" w:pos="2520"/>
        </w:tabs>
      </w:pPr>
      <w:r w:rsidRPr="00CB2C86">
        <w:t>15.47</w:t>
      </w:r>
      <w:r w:rsidRPr="00CB2C86">
        <w:tab/>
        <w:t>В настоящее время в Гонконге действуют два национальных лиценз</w:t>
      </w:r>
      <w:r w:rsidRPr="00CB2C86">
        <w:t>и</w:t>
      </w:r>
      <w:r w:rsidRPr="00CB2C86">
        <w:t>онных бесплатных коммерческих телевизионных канала и три национальных имеющих лицензию платных канала. Имеются также три коммерческих ради</w:t>
      </w:r>
      <w:r w:rsidRPr="00CB2C86">
        <w:t>о</w:t>
      </w:r>
      <w:r w:rsidRPr="00CB2C86">
        <w:t>вещательных лицензионных канала, из которых действуют только два. Насел</w:t>
      </w:r>
      <w:r w:rsidRPr="00CB2C86">
        <w:t>е</w:t>
      </w:r>
      <w:r w:rsidRPr="00CB2C86">
        <w:t>ние также имеет доступ к зарубежным программам, которые транслируются ч</w:t>
      </w:r>
      <w:r w:rsidRPr="00CB2C86">
        <w:t>е</w:t>
      </w:r>
      <w:r w:rsidRPr="00CB2C86">
        <w:t>рез спутник. В дополнение к двум коммерческим вещателям в Гонконге есть еще один финансируемый государством и проводящий независимую редакц</w:t>
      </w:r>
      <w:r w:rsidRPr="00CB2C86">
        <w:t>и</w:t>
      </w:r>
      <w:r w:rsidRPr="00CB2C86">
        <w:t>онную политику вещатель, Радио и Телевидение Гонконга (РТГ), который и</w:t>
      </w:r>
      <w:r w:rsidRPr="00CB2C86">
        <w:t>н</w:t>
      </w:r>
      <w:r w:rsidRPr="00CB2C86">
        <w:t>формирует, образовывает и развлекает население, транслируя сбалансирова</w:t>
      </w:r>
      <w:r w:rsidRPr="00CB2C86">
        <w:t>н</w:t>
      </w:r>
      <w:r w:rsidRPr="00CB2C86">
        <w:t>ные и объективные радио</w:t>
      </w:r>
      <w:r w:rsidR="00C6773A">
        <w:t>-</w:t>
      </w:r>
      <w:r w:rsidRPr="00CB2C86">
        <w:t xml:space="preserve"> и телевизионные программы. </w:t>
      </w:r>
    </w:p>
    <w:p w:rsidR="00F936A8" w:rsidRPr="00CB2C86" w:rsidRDefault="00F936A8" w:rsidP="00F91733">
      <w:pPr>
        <w:pStyle w:val="SingleTxtGR"/>
        <w:tabs>
          <w:tab w:val="clear" w:pos="1701"/>
          <w:tab w:val="clear" w:pos="2268"/>
          <w:tab w:val="left" w:pos="1980"/>
          <w:tab w:val="left" w:pos="2520"/>
        </w:tabs>
      </w:pPr>
      <w:r w:rsidRPr="00CB2C86">
        <w:t>15.48</w:t>
      </w:r>
      <w:r w:rsidRPr="00CB2C86">
        <w:tab/>
        <w:t>Некоторые комментаторы выразили сомнение в целесообразности н</w:t>
      </w:r>
      <w:r w:rsidRPr="00CB2C86">
        <w:t>е</w:t>
      </w:r>
      <w:r w:rsidRPr="00CB2C86">
        <w:t>давнего решения, согласно которому РТГ должно функционировать в качестве государственного департамента вместо того, чтобы быть независимым от пр</w:t>
      </w:r>
      <w:r w:rsidRPr="00CB2C86">
        <w:t>а</w:t>
      </w:r>
      <w:r w:rsidRPr="00CB2C86">
        <w:t>вительства. Правительство придает большое значение редакционной независ</w:t>
      </w:r>
      <w:r w:rsidRPr="00CB2C86">
        <w:t>и</w:t>
      </w:r>
      <w:r w:rsidRPr="00CB2C86">
        <w:t>мости РТГ. Это положение будет закреплено в уставе РТГ, в котором также б</w:t>
      </w:r>
      <w:r w:rsidRPr="00CB2C86">
        <w:t>у</w:t>
      </w:r>
      <w:r w:rsidRPr="00CB2C86">
        <w:t>дут четко прописаны общественные цели, задача и роль и связи РТГ с соотве</w:t>
      </w:r>
      <w:r w:rsidRPr="00CB2C86">
        <w:t>т</w:t>
      </w:r>
      <w:r w:rsidRPr="00CB2C86">
        <w:t>ствующими сторонами, включая Бюро развития торговли и экономики, Совет консультантов, Управление вещания. Совет консультантов, который еще пре</w:t>
      </w:r>
      <w:r w:rsidRPr="00CB2C86">
        <w:t>д</w:t>
      </w:r>
      <w:r w:rsidRPr="00CB2C86">
        <w:t>стоит создать, будет давать рекомендации РТГ, хотя окончательная ответстве</w:t>
      </w:r>
      <w:r w:rsidRPr="00CB2C86">
        <w:t>н</w:t>
      </w:r>
      <w:r w:rsidRPr="00CB2C86">
        <w:t>ность за редакционную политику РТГ возлагается на директора вещания, кот</w:t>
      </w:r>
      <w:r w:rsidRPr="00CB2C86">
        <w:t>о</w:t>
      </w:r>
      <w:r w:rsidRPr="00CB2C86">
        <w:t>рый является руководителем РТГ. У Совета не будет исполнительных полном</w:t>
      </w:r>
      <w:r w:rsidRPr="00CB2C86">
        <w:t>о</w:t>
      </w:r>
      <w:r w:rsidRPr="00CB2C86">
        <w:t>чий, и он не будет участвовать в повседневной работе РТГ.</w:t>
      </w:r>
    </w:p>
    <w:p w:rsidR="00F936A8" w:rsidRPr="00CB2C86" w:rsidRDefault="00F936A8" w:rsidP="00F91733">
      <w:pPr>
        <w:pStyle w:val="SingleTxtGR"/>
        <w:tabs>
          <w:tab w:val="clear" w:pos="1701"/>
          <w:tab w:val="clear" w:pos="2268"/>
          <w:tab w:val="left" w:pos="1980"/>
          <w:tab w:val="left" w:pos="2520"/>
        </w:tabs>
      </w:pPr>
      <w:r w:rsidRPr="00CB2C86">
        <w:t>15.49</w:t>
      </w:r>
      <w:r w:rsidRPr="00CB2C86">
        <w:tab/>
        <w:t>По мнению некоторых комментаторов, правительству следует пер</w:t>
      </w:r>
      <w:r w:rsidRPr="00CB2C86">
        <w:t>е</w:t>
      </w:r>
      <w:r w:rsidRPr="00CB2C86">
        <w:t>смотреть существующие вещательные политику и практику, чтобы содейств</w:t>
      </w:r>
      <w:r w:rsidRPr="00CB2C86">
        <w:t>о</w:t>
      </w:r>
      <w:r w:rsidRPr="00CB2C86">
        <w:t>вать участию общественности в процессе вещания и учитывать интересы групп меньшинств. В этом отношении правительство намерено учредить при РТГ Фонд участия общественности в процессе вещания и предлагать НПО, общес</w:t>
      </w:r>
      <w:r w:rsidRPr="00CB2C86">
        <w:t>т</w:t>
      </w:r>
      <w:r w:rsidRPr="00CB2C86">
        <w:t>венности и группам меньшинств подавать заявки, чтобы облегчить их участие в процессе вещания. Этим Фондом будет управлять РТГ, обеспечивая платформу для своих цифровых вещательных каналов и необходимую техническую п</w:t>
      </w:r>
      <w:r w:rsidRPr="00CB2C86">
        <w:t>о</w:t>
      </w:r>
      <w:r w:rsidRPr="00CB2C86">
        <w:t>мощь этим группам для облегчения их общественного участия в процессе в</w:t>
      </w:r>
      <w:r w:rsidRPr="00CB2C86">
        <w:t>е</w:t>
      </w:r>
      <w:r w:rsidRPr="00CB2C86">
        <w:t>щания.</w:t>
      </w:r>
      <w:r w:rsidRPr="00CB2C86" w:rsidDel="006850BB">
        <w:t xml:space="preserve"> </w:t>
      </w:r>
    </w:p>
    <w:p w:rsidR="00F936A8" w:rsidRPr="00CB2C86" w:rsidRDefault="00F936A8" w:rsidP="00F91733">
      <w:pPr>
        <w:pStyle w:val="H1GR"/>
        <w:tabs>
          <w:tab w:val="left" w:pos="1980"/>
          <w:tab w:val="left" w:pos="2520"/>
        </w:tabs>
      </w:pPr>
      <w:r w:rsidRPr="00CB2C86">
        <w:tab/>
      </w:r>
      <w:r w:rsidRPr="00CB2C86">
        <w:tab/>
        <w:t>Развитие науки и техники</w:t>
      </w:r>
    </w:p>
    <w:p w:rsidR="00F936A8" w:rsidRPr="00CB2C86" w:rsidRDefault="00F936A8" w:rsidP="00F91733">
      <w:pPr>
        <w:pStyle w:val="SingleTxtGR"/>
        <w:tabs>
          <w:tab w:val="clear" w:pos="1701"/>
          <w:tab w:val="clear" w:pos="2268"/>
          <w:tab w:val="left" w:pos="1980"/>
          <w:tab w:val="left" w:pos="2520"/>
        </w:tabs>
      </w:pPr>
      <w:r w:rsidRPr="00CB2C86">
        <w:t>15.50</w:t>
      </w:r>
      <w:r w:rsidRPr="00CB2C86">
        <w:tab/>
        <w:t>Конституционные положения, о которых сообщалось в пункте 605 перв</w:t>
      </w:r>
      <w:r w:rsidRPr="00CB2C86">
        <w:t>о</w:t>
      </w:r>
      <w:r w:rsidRPr="00CB2C86">
        <w:t>начального доклада, остаются без изменений.</w:t>
      </w:r>
    </w:p>
    <w:p w:rsidR="00F936A8" w:rsidRPr="00CB2C86" w:rsidRDefault="00F936A8" w:rsidP="00F91733">
      <w:pPr>
        <w:pStyle w:val="H23GR"/>
        <w:tabs>
          <w:tab w:val="left" w:pos="1980"/>
          <w:tab w:val="left" w:pos="2520"/>
        </w:tabs>
      </w:pPr>
      <w:r w:rsidRPr="00CB2C86">
        <w:tab/>
      </w:r>
      <w:r w:rsidRPr="00CB2C86">
        <w:tab/>
        <w:t>Политика, направленная на развитие науки и техники</w:t>
      </w:r>
    </w:p>
    <w:p w:rsidR="00F936A8" w:rsidRPr="00CB2C86" w:rsidRDefault="00F936A8" w:rsidP="00F91733">
      <w:pPr>
        <w:pStyle w:val="SingleTxtGR"/>
        <w:tabs>
          <w:tab w:val="clear" w:pos="1701"/>
          <w:tab w:val="clear" w:pos="2268"/>
          <w:tab w:val="left" w:pos="1980"/>
          <w:tab w:val="left" w:pos="2520"/>
        </w:tabs>
      </w:pPr>
      <w:r w:rsidRPr="00CB2C86">
        <w:t>15.51</w:t>
      </w:r>
      <w:r w:rsidRPr="00CB2C86">
        <w:tab/>
        <w:t>События продолжали развиваться, изменив положение, о котором с</w:t>
      </w:r>
      <w:r w:rsidRPr="00CB2C86">
        <w:t>о</w:t>
      </w:r>
      <w:r w:rsidRPr="00CB2C86">
        <w:t>общалось в пункте 15.21 предыдущего доклада. Правительство активизировало усилия, направленные на развитие инноваций и технологии. Помощь оказыв</w:t>
      </w:r>
      <w:r w:rsidRPr="00CB2C86">
        <w:t>а</w:t>
      </w:r>
      <w:r w:rsidRPr="00CB2C86">
        <w:t>ется путем обеспечения технологической инфраструктуры, людских ресурсов, финансовой поддержки и других программ. После создания в 1999</w:t>
      </w:r>
      <w:r w:rsidR="00B92291">
        <w:t> год</w:t>
      </w:r>
      <w:r w:rsidRPr="00CB2C86">
        <w:t>у Фонда инновационной технологии</w:t>
      </w:r>
      <w:r w:rsidRPr="004F0ED8">
        <w:rPr>
          <w:sz w:val="18"/>
          <w:szCs w:val="18"/>
          <w:vertAlign w:val="superscript"/>
          <w:lang w:val="en-GB"/>
        </w:rPr>
        <w:footnoteReference w:id="24"/>
      </w:r>
      <w:r w:rsidRPr="00CB2C86">
        <w:t xml:space="preserve"> (ФИТ) было утверждено в общей сложности 1</w:t>
      </w:r>
      <w:r>
        <w:t> </w:t>
      </w:r>
      <w:r w:rsidRPr="00CB2C86">
        <w:t>781</w:t>
      </w:r>
      <w:r>
        <w:t> </w:t>
      </w:r>
      <w:r w:rsidRPr="00CB2C86">
        <w:t>проектов, получивших финансовую помощь в размере 4,8</w:t>
      </w:r>
      <w:r w:rsidR="004F720A">
        <w:t> </w:t>
      </w:r>
      <w:r w:rsidR="00B63D5C">
        <w:t>млрд. долларов.</w:t>
      </w:r>
      <w:r w:rsidRPr="00CB2C86">
        <w:t xml:space="preserve"> В 2004</w:t>
      </w:r>
      <w:r w:rsidR="00B92291">
        <w:t> год</w:t>
      </w:r>
      <w:r w:rsidRPr="00CB2C86">
        <w:t>у были начаты строительные работы Этапа 2 по созданию гонкон</w:t>
      </w:r>
      <w:r w:rsidRPr="00CB2C86">
        <w:t>г</w:t>
      </w:r>
      <w:r w:rsidRPr="00CB2C86">
        <w:t>ского Научного парка в рамках программы научно-технических парков Гонко</w:t>
      </w:r>
      <w:r w:rsidRPr="00CB2C86">
        <w:t>н</w:t>
      </w:r>
      <w:r w:rsidRPr="00CB2C86">
        <w:t>га</w:t>
      </w:r>
      <w:r w:rsidRPr="004F0ED8">
        <w:rPr>
          <w:sz w:val="18"/>
          <w:szCs w:val="18"/>
          <w:vertAlign w:val="superscript"/>
          <w:lang w:val="en-GB"/>
        </w:rPr>
        <w:footnoteReference w:id="25"/>
      </w:r>
      <w:r w:rsidRPr="00CB2C86">
        <w:t>, причем предполагается, что они будут завершены в начале 2011</w:t>
      </w:r>
      <w:r w:rsidR="00B92291">
        <w:t> год</w:t>
      </w:r>
      <w:r w:rsidRPr="00CB2C86">
        <w:t>а. В</w:t>
      </w:r>
      <w:r>
        <w:t> </w:t>
      </w:r>
      <w:r w:rsidRPr="00CB2C86">
        <w:t>2006</w:t>
      </w:r>
      <w:r w:rsidR="00B92291">
        <w:t> год</w:t>
      </w:r>
      <w:r w:rsidRPr="00CB2C86">
        <w:t>у правительство создало пять центров научных исследований и опытно-конструкторских разработок (НИОКР)</w:t>
      </w:r>
      <w:r w:rsidRPr="004F0ED8">
        <w:rPr>
          <w:sz w:val="18"/>
          <w:szCs w:val="18"/>
          <w:vertAlign w:val="superscript"/>
          <w:lang w:val="en-GB"/>
        </w:rPr>
        <w:footnoteReference w:id="26"/>
      </w:r>
      <w:r w:rsidRPr="00CB2C86">
        <w:t xml:space="preserve"> для стимулирования прикла</w:t>
      </w:r>
      <w:r w:rsidRPr="00CB2C86">
        <w:t>д</w:t>
      </w:r>
      <w:r w:rsidRPr="00CB2C86">
        <w:t>ных НИОКР в пяти приоритетных технологических областях, а именно в обла</w:t>
      </w:r>
      <w:r w:rsidRPr="00CB2C86">
        <w:t>с</w:t>
      </w:r>
      <w:r w:rsidRPr="00CB2C86">
        <w:t xml:space="preserve">ти производства запасных частей к автомобилям и вспомогательных систем; информационных и коммуникационных технологий; логистики и технологии управления цепочками снабжения; </w:t>
      </w:r>
      <w:proofErr w:type="spellStart"/>
      <w:r w:rsidRPr="00CB2C86">
        <w:t>нанотехнологии</w:t>
      </w:r>
      <w:proofErr w:type="spellEnd"/>
      <w:r w:rsidRPr="00CB2C86">
        <w:t xml:space="preserve"> и прогрессивных матери</w:t>
      </w:r>
      <w:r w:rsidRPr="00CB2C86">
        <w:t>а</w:t>
      </w:r>
      <w:r w:rsidRPr="00CB2C86">
        <w:t>лов; и текстильной и швейной промышленностей. В 2009</w:t>
      </w:r>
      <w:r w:rsidR="00B92291">
        <w:t> год</w:t>
      </w:r>
      <w:r w:rsidRPr="00CB2C86">
        <w:t>у на поддержку центров НИОКР для реализации большего количества проектов и на коммерч</w:t>
      </w:r>
      <w:r w:rsidRPr="00CB2C86">
        <w:t>е</w:t>
      </w:r>
      <w:r w:rsidRPr="00CB2C86">
        <w:t>скую деятельность ФИТ выделил дополнительные ресурсы. В 2009</w:t>
      </w:r>
      <w:r>
        <w:t>−</w:t>
      </w:r>
      <w:r w:rsidRPr="00CB2C86">
        <w:t>2010</w:t>
      </w:r>
      <w:r w:rsidR="00B92291">
        <w:t> год</w:t>
      </w:r>
      <w:r w:rsidRPr="00CB2C86">
        <w:t>ах в своем политическом обращении правительство объявило о мерах по развитию шести промышленных отраслей, в которых Гонконг имеет явные преимущества, и одной из них является сектор инновационной технологии. В апреле 2010</w:t>
      </w:r>
      <w:r w:rsidR="00B92291">
        <w:t> год</w:t>
      </w:r>
      <w:r w:rsidRPr="00CB2C86">
        <w:t>а была запущена Программа денежных скидок от суммы расходов на НИОКР, чтобы сократить расходы на НИОКР и стимулировать больше компаний к ув</w:t>
      </w:r>
      <w:r w:rsidRPr="00CB2C86">
        <w:t>е</w:t>
      </w:r>
      <w:r w:rsidRPr="00CB2C86">
        <w:t>личению расходов на НИОКР. Финансовая поддержка, оказываемая компаниям и изобретателям за их первые патентные заявки по линии Программы грантов на патентные заявки, была увеличена на 50%, т.е. с 100 000 до 150 000 долл</w:t>
      </w:r>
      <w:r w:rsidRPr="00CB2C86">
        <w:t>а</w:t>
      </w:r>
      <w:r w:rsidRPr="00CB2C86">
        <w:t>ров.</w:t>
      </w:r>
    </w:p>
    <w:p w:rsidR="00F936A8" w:rsidRPr="00CB2C86" w:rsidRDefault="00F936A8" w:rsidP="00F91733">
      <w:pPr>
        <w:pStyle w:val="SingleTxtGR"/>
        <w:tabs>
          <w:tab w:val="clear" w:pos="1701"/>
          <w:tab w:val="clear" w:pos="2268"/>
          <w:tab w:val="left" w:pos="1980"/>
          <w:tab w:val="left" w:pos="2520"/>
        </w:tabs>
      </w:pPr>
      <w:r w:rsidRPr="00CB2C86">
        <w:t>15.52</w:t>
      </w:r>
      <w:r w:rsidRPr="00CB2C86">
        <w:tab/>
        <w:t>Чтобы помочь развитию культуры инновационной технологии в общ</w:t>
      </w:r>
      <w:r w:rsidRPr="00CB2C86">
        <w:t>е</w:t>
      </w:r>
      <w:r w:rsidRPr="00CB2C86">
        <w:t>стве, правительство стало реализовывать целый ряд информационно-пропагандистских и массовых образовательных программ, включая ежегодный Инновационный фестиваль</w:t>
      </w:r>
      <w:r w:rsidRPr="004F0ED8">
        <w:rPr>
          <w:sz w:val="18"/>
          <w:szCs w:val="18"/>
          <w:vertAlign w:val="superscript"/>
          <w:lang w:val="en-GB"/>
        </w:rPr>
        <w:footnoteReference w:id="27"/>
      </w:r>
      <w:r>
        <w:t>,</w:t>
      </w:r>
      <w:r w:rsidRPr="00CB2C86">
        <w:t xml:space="preserve"> Гонконгский конкурс студенческих научных пр</w:t>
      </w:r>
      <w:r w:rsidRPr="00CB2C86">
        <w:t>о</w:t>
      </w:r>
      <w:r w:rsidRPr="00CB2C86">
        <w:t>ектов</w:t>
      </w:r>
      <w:r w:rsidRPr="004F0ED8">
        <w:rPr>
          <w:sz w:val="18"/>
          <w:szCs w:val="18"/>
          <w:vertAlign w:val="superscript"/>
          <w:lang w:val="en-GB"/>
        </w:rPr>
        <w:footnoteReference w:id="28"/>
      </w:r>
      <w:r w:rsidRPr="00CB2C86">
        <w:t xml:space="preserve"> и Студенческий клуб инновационной технологии</w:t>
      </w:r>
      <w:r w:rsidRPr="004F0ED8">
        <w:rPr>
          <w:sz w:val="18"/>
          <w:szCs w:val="18"/>
          <w:vertAlign w:val="superscript"/>
          <w:lang w:val="en-GB"/>
        </w:rPr>
        <w:footnoteReference w:id="29"/>
      </w:r>
      <w:r>
        <w:t>.</w:t>
      </w:r>
    </w:p>
    <w:p w:rsidR="00F936A8" w:rsidRPr="00CB2C86" w:rsidRDefault="00F936A8" w:rsidP="00C6773A">
      <w:pPr>
        <w:pStyle w:val="SingleTxtGR"/>
        <w:keepLines/>
        <w:tabs>
          <w:tab w:val="clear" w:pos="1701"/>
          <w:tab w:val="clear" w:pos="2268"/>
          <w:tab w:val="left" w:pos="1980"/>
          <w:tab w:val="left" w:pos="2520"/>
        </w:tabs>
      </w:pPr>
      <w:r w:rsidRPr="00CB2C86">
        <w:t>15.53</w:t>
      </w:r>
      <w:r w:rsidRPr="00CB2C86">
        <w:tab/>
        <w:t>Некоторые комментаторы высказали мнение, что правительство не оказывает необходимой поддержки некоторым направлениям исследований и прикладным применениям их результатов, в частности таким</w:t>
      </w:r>
      <w:r>
        <w:t xml:space="preserve"> как</w:t>
      </w:r>
      <w:r w:rsidRPr="00CB2C86">
        <w:t xml:space="preserve"> биотехнол</w:t>
      </w:r>
      <w:r w:rsidRPr="00CB2C86">
        <w:t>о</w:t>
      </w:r>
      <w:r w:rsidRPr="00CB2C86">
        <w:t>гия и экологически чистая технология. В дополнение к поддержке, описанной в пункте 15.51, Гонконгский научный парк с момента своего создания обязался развивать пять технологических кластеров, которые включают электронику, информационные технологии и телекоммуникации, точное машиностроение, биотехнологию и экологически чистую технологию. Два специально построе</w:t>
      </w:r>
      <w:r w:rsidRPr="00CB2C86">
        <w:t>н</w:t>
      </w:r>
      <w:r w:rsidRPr="00CB2C86">
        <w:t xml:space="preserve">ных лабораторных корпуса, находящиеся на Этапе 2 застройки, предназначены для проведения </w:t>
      </w:r>
      <w:proofErr w:type="spellStart"/>
      <w:r w:rsidRPr="00CB2C86">
        <w:t>биотехнологических</w:t>
      </w:r>
      <w:proofErr w:type="spellEnd"/>
      <w:r w:rsidRPr="00CB2C86">
        <w:t xml:space="preserve"> исследований. Как было объявлено в бю</w:t>
      </w:r>
      <w:r w:rsidRPr="00CB2C86">
        <w:t>д</w:t>
      </w:r>
      <w:r w:rsidRPr="00CB2C86">
        <w:t>жете 2010</w:t>
      </w:r>
      <w:r>
        <w:t>/</w:t>
      </w:r>
      <w:r w:rsidRPr="00CB2C86">
        <w:t>11</w:t>
      </w:r>
      <w:r w:rsidR="00B92291">
        <w:t> год</w:t>
      </w:r>
      <w:r w:rsidRPr="00CB2C86">
        <w:t>а, будет проведена застройка Этапа 3, которая намечена к п</w:t>
      </w:r>
      <w:r w:rsidRPr="00CB2C86">
        <w:t>о</w:t>
      </w:r>
      <w:r w:rsidRPr="00CB2C86">
        <w:t>степенному завершению в период между 2013 и 2016</w:t>
      </w:r>
      <w:r w:rsidR="00B92291">
        <w:t> год</w:t>
      </w:r>
      <w:r w:rsidRPr="00CB2C86">
        <w:t>ами. Комплекс будет построен с особым упором на разработку экологически чистой технологии и возобновляемых источников энергии.</w:t>
      </w:r>
    </w:p>
    <w:p w:rsidR="00F936A8" w:rsidRPr="00CB2C86" w:rsidRDefault="00F936A8" w:rsidP="00F91733">
      <w:pPr>
        <w:pStyle w:val="H23GR"/>
        <w:tabs>
          <w:tab w:val="left" w:pos="1980"/>
          <w:tab w:val="left" w:pos="2520"/>
        </w:tabs>
      </w:pPr>
      <w:r w:rsidRPr="00CB2C86">
        <w:tab/>
      </w:r>
      <w:r w:rsidRPr="00CB2C86">
        <w:tab/>
        <w:t>Предупреждение использования научных/технических разраб</w:t>
      </w:r>
      <w:r w:rsidRPr="00CB2C86">
        <w:t>о</w:t>
      </w:r>
      <w:r w:rsidRPr="00CB2C86">
        <w:t>ток в целях, противоречащих осуществлению прав человека</w:t>
      </w:r>
    </w:p>
    <w:p w:rsidR="00F936A8" w:rsidRPr="00CB2C86" w:rsidRDefault="00F936A8" w:rsidP="00F91733">
      <w:pPr>
        <w:pStyle w:val="SingleTxtGR"/>
        <w:tabs>
          <w:tab w:val="clear" w:pos="1701"/>
          <w:tab w:val="clear" w:pos="2268"/>
          <w:tab w:val="left" w:pos="1980"/>
          <w:tab w:val="left" w:pos="2520"/>
        </w:tabs>
      </w:pPr>
      <w:r w:rsidRPr="00CB2C86">
        <w:t>15.54</w:t>
      </w:r>
      <w:r w:rsidRPr="00CB2C86">
        <w:tab/>
        <w:t>Положение в основном остается таким же, как оно было изложено в пункте 610 первоначального доклада. Доклад в соответствии с Конвенцией пр</w:t>
      </w:r>
      <w:r w:rsidRPr="00CB2C86">
        <w:t>о</w:t>
      </w:r>
      <w:r w:rsidRPr="00CB2C86">
        <w:t>тив пыток и других жестоких, бесчеловечных и унижающих достоинство видов обращения и наказания был представлен Комитету против пыток как часть че</w:t>
      </w:r>
      <w:r w:rsidRPr="00CB2C86">
        <w:t>т</w:t>
      </w:r>
      <w:r w:rsidRPr="00CB2C86">
        <w:t>вертого периодического доклада Китая и был рассмотрен Комитетом против пыток в ноябре 2008</w:t>
      </w:r>
      <w:r w:rsidR="00B92291">
        <w:t> год</w:t>
      </w:r>
      <w:r w:rsidRPr="00CB2C86">
        <w:t>а.</w:t>
      </w:r>
    </w:p>
    <w:p w:rsidR="00F936A8" w:rsidRPr="00CB2C86" w:rsidRDefault="00F936A8" w:rsidP="00F91733">
      <w:pPr>
        <w:pStyle w:val="H23GR"/>
        <w:tabs>
          <w:tab w:val="left" w:pos="1980"/>
          <w:tab w:val="left" w:pos="2520"/>
        </w:tabs>
      </w:pPr>
      <w:r w:rsidRPr="00CB2C86">
        <w:tab/>
      </w:r>
      <w:r w:rsidRPr="00CB2C86">
        <w:tab/>
        <w:t>Защита прав интеллектуальной собственности</w:t>
      </w:r>
    </w:p>
    <w:p w:rsidR="00F936A8" w:rsidRPr="00CB2C86" w:rsidRDefault="00F936A8" w:rsidP="00F91733">
      <w:pPr>
        <w:pStyle w:val="SingleTxtGR"/>
        <w:tabs>
          <w:tab w:val="clear" w:pos="1701"/>
          <w:tab w:val="clear" w:pos="2268"/>
          <w:tab w:val="left" w:pos="1980"/>
          <w:tab w:val="left" w:pos="2520"/>
        </w:tabs>
      </w:pPr>
      <w:r w:rsidRPr="00CB2C86">
        <w:t>15.55</w:t>
      </w:r>
      <w:r w:rsidRPr="00CB2C86">
        <w:tab/>
        <w:t>Общее положение остается таким же, как оно было изложено в пун</w:t>
      </w:r>
      <w:r w:rsidRPr="00CB2C86">
        <w:t>к</w:t>
      </w:r>
      <w:r w:rsidRPr="00CB2C86">
        <w:t>тах</w:t>
      </w:r>
      <w:r>
        <w:t> </w:t>
      </w:r>
      <w:r w:rsidRPr="00CB2C86">
        <w:t>613</w:t>
      </w:r>
      <w:r>
        <w:t>−</w:t>
      </w:r>
      <w:r w:rsidRPr="00CB2C86">
        <w:t>617 первоначального доклада. Кроме того, Договор Всемирной орган</w:t>
      </w:r>
      <w:r w:rsidRPr="00CB2C86">
        <w:t>и</w:t>
      </w:r>
      <w:r w:rsidRPr="00CB2C86">
        <w:t xml:space="preserve">зации интеллектуальной собственности по авторскому праву (ВОИС) и Договор ВОИС по исполнениям и фонограммам (совместно именуемые как </w:t>
      </w:r>
      <w:r>
        <w:t>"</w:t>
      </w:r>
      <w:proofErr w:type="spellStart"/>
      <w:r w:rsidRPr="00CB2C86">
        <w:t>Интернет</w:t>
      </w:r>
      <w:r w:rsidR="00C6773A">
        <w:t>-</w:t>
      </w:r>
      <w:r w:rsidRPr="00CB2C86">
        <w:t>договоры</w:t>
      </w:r>
      <w:proofErr w:type="spellEnd"/>
      <w:r>
        <w:t>"</w:t>
      </w:r>
      <w:r w:rsidRPr="00CB2C86">
        <w:t>) вступили в силу для САРГ 1 октября 2008</w:t>
      </w:r>
      <w:r w:rsidR="00B92291">
        <w:t> год</w:t>
      </w:r>
      <w:r w:rsidRPr="00CB2C86">
        <w:t xml:space="preserve">а. </w:t>
      </w:r>
      <w:proofErr w:type="spellStart"/>
      <w:r w:rsidRPr="00CB2C86">
        <w:t>Интернет</w:t>
      </w:r>
      <w:r w:rsidR="00C6773A">
        <w:t>-</w:t>
      </w:r>
      <w:r w:rsidRPr="00CB2C86">
        <w:t>договоры</w:t>
      </w:r>
      <w:proofErr w:type="spellEnd"/>
      <w:r w:rsidRPr="00CB2C86">
        <w:t xml:space="preserve"> охватывают новейшие нормы защиты авторских и смежных прав в свете п</w:t>
      </w:r>
      <w:r w:rsidRPr="00CB2C86">
        <w:t>о</w:t>
      </w:r>
      <w:r w:rsidRPr="00CB2C86">
        <w:t>следних достижений цифровой технологии.</w:t>
      </w:r>
    </w:p>
    <w:p w:rsidR="00F936A8" w:rsidRPr="00CB2C86" w:rsidRDefault="00F936A8" w:rsidP="00F91733">
      <w:pPr>
        <w:pStyle w:val="H1GR"/>
        <w:tabs>
          <w:tab w:val="left" w:pos="1980"/>
          <w:tab w:val="left" w:pos="2520"/>
        </w:tabs>
      </w:pPr>
      <w:r w:rsidRPr="00CB2C86">
        <w:tab/>
      </w:r>
      <w:r w:rsidRPr="00CB2C86">
        <w:tab/>
        <w:t>Природные парки и природоохранные зоны</w:t>
      </w:r>
    </w:p>
    <w:p w:rsidR="00F936A8" w:rsidRPr="00CB2C86" w:rsidRDefault="00F936A8" w:rsidP="00F91733">
      <w:pPr>
        <w:pStyle w:val="SingleTxtGR"/>
        <w:tabs>
          <w:tab w:val="clear" w:pos="1701"/>
          <w:tab w:val="clear" w:pos="2268"/>
          <w:tab w:val="left" w:pos="1980"/>
          <w:tab w:val="left" w:pos="2520"/>
        </w:tabs>
      </w:pPr>
      <w:r w:rsidRPr="00CB2C86">
        <w:t>15.56</w:t>
      </w:r>
      <w:r w:rsidRPr="00CB2C86">
        <w:tab/>
        <w:t>После представления предыдущего доклада на основании соответс</w:t>
      </w:r>
      <w:r w:rsidRPr="00CB2C86">
        <w:t>т</w:t>
      </w:r>
      <w:r w:rsidRPr="00CB2C86">
        <w:t xml:space="preserve">вующего статута мы </w:t>
      </w:r>
      <w:r w:rsidR="00CF1236">
        <w:t xml:space="preserve">спроектировали </w:t>
      </w:r>
      <w:r w:rsidRPr="00CB2C86">
        <w:t>еще один природный парк и еще две пр</w:t>
      </w:r>
      <w:r w:rsidRPr="00CB2C86">
        <w:t>и</w:t>
      </w:r>
      <w:r w:rsidRPr="00CB2C86">
        <w:t xml:space="preserve">родоохранных зоны. Кроме создания природоохранных зон для сохранения в Гонконге богатого </w:t>
      </w:r>
      <w:proofErr w:type="spellStart"/>
      <w:r w:rsidRPr="00CB2C86">
        <w:t>биоразнообразия</w:t>
      </w:r>
      <w:proofErr w:type="spellEnd"/>
      <w:r w:rsidRPr="00CB2C86">
        <w:t>, чтобы лучше сохранить наше обширное разнообразие геологических ресурсов и повысить уровень информированности широкой общественности о геологических науках, в ноябре 2009</w:t>
      </w:r>
      <w:r w:rsidR="00B92291">
        <w:t> год</w:t>
      </w:r>
      <w:r w:rsidRPr="00CB2C86">
        <w:t>а мы со</w:t>
      </w:r>
      <w:r w:rsidRPr="00CB2C86">
        <w:t>з</w:t>
      </w:r>
      <w:r w:rsidRPr="00CB2C86">
        <w:t xml:space="preserve">дали </w:t>
      </w:r>
      <w:proofErr w:type="spellStart"/>
      <w:r w:rsidRPr="00CB2C86">
        <w:t>Геопарк</w:t>
      </w:r>
      <w:proofErr w:type="spellEnd"/>
      <w:r w:rsidRPr="00CB2C86">
        <w:t xml:space="preserve"> Гонконга. К тому же, мы присоединились к национальной сети </w:t>
      </w:r>
      <w:proofErr w:type="spellStart"/>
      <w:r w:rsidRPr="00CB2C86">
        <w:t>геопарков</w:t>
      </w:r>
      <w:proofErr w:type="spellEnd"/>
      <w:r w:rsidRPr="00CB2C86">
        <w:t xml:space="preserve"> и установили породненные связи с четырьмя </w:t>
      </w:r>
      <w:proofErr w:type="spellStart"/>
      <w:r w:rsidRPr="00CB2C86">
        <w:t>геопарками</w:t>
      </w:r>
      <w:proofErr w:type="spellEnd"/>
      <w:r w:rsidRPr="00CB2C86">
        <w:t xml:space="preserve"> в разных частях мира, которые формируют важную зарубежную сеть для содействия со</w:t>
      </w:r>
      <w:r w:rsidRPr="00CB2C86">
        <w:t>з</w:t>
      </w:r>
      <w:r w:rsidRPr="00CB2C86">
        <w:t xml:space="preserve">данию </w:t>
      </w:r>
      <w:proofErr w:type="spellStart"/>
      <w:r w:rsidRPr="00CB2C86">
        <w:t>геопа</w:t>
      </w:r>
      <w:r w:rsidRPr="00CB2C86">
        <w:t>р</w:t>
      </w:r>
      <w:r w:rsidRPr="00CB2C86">
        <w:t>ков</w:t>
      </w:r>
      <w:proofErr w:type="spellEnd"/>
      <w:r w:rsidRPr="00CB2C86">
        <w:t>, управлению ими и их развитию.</w:t>
      </w:r>
    </w:p>
    <w:p w:rsidR="00F936A8" w:rsidRPr="00CB2C86" w:rsidRDefault="00F936A8" w:rsidP="00F91733">
      <w:pPr>
        <w:pStyle w:val="HChGR"/>
        <w:tabs>
          <w:tab w:val="left" w:pos="1980"/>
          <w:tab w:val="left" w:pos="2520"/>
        </w:tabs>
      </w:pPr>
      <w:r w:rsidRPr="00CB2C86">
        <w:br w:type="page"/>
        <w:t>Приложение 2</w:t>
      </w:r>
      <w:r w:rsidRPr="00CB2C86">
        <w:rPr>
          <w:lang w:val="en-GB"/>
        </w:rPr>
        <w:t>A</w:t>
      </w:r>
    </w:p>
    <w:p w:rsidR="00F936A8" w:rsidRPr="00CB2C86" w:rsidRDefault="00F936A8" w:rsidP="00F91733">
      <w:pPr>
        <w:pStyle w:val="H1GR"/>
        <w:tabs>
          <w:tab w:val="left" w:pos="1980"/>
          <w:tab w:val="left" w:pos="2520"/>
        </w:tabs>
      </w:pPr>
      <w:r w:rsidRPr="003A2D3D">
        <w:rPr>
          <w:i/>
        </w:rPr>
        <w:tab/>
      </w:r>
      <w:r w:rsidRPr="003A2D3D">
        <w:rPr>
          <w:i/>
        </w:rPr>
        <w:tab/>
        <w:t xml:space="preserve">Секретарь юстиции против </w:t>
      </w:r>
      <w:proofErr w:type="spellStart"/>
      <w:r w:rsidRPr="003A2D3D">
        <w:rPr>
          <w:i/>
        </w:rPr>
        <w:t>Яу</w:t>
      </w:r>
      <w:proofErr w:type="spellEnd"/>
      <w:r w:rsidRPr="003A2D3D">
        <w:rPr>
          <w:i/>
        </w:rPr>
        <w:t xml:space="preserve"> </w:t>
      </w:r>
      <w:proofErr w:type="spellStart"/>
      <w:r w:rsidRPr="003A2D3D">
        <w:rPr>
          <w:i/>
        </w:rPr>
        <w:t>Юклунга</w:t>
      </w:r>
      <w:proofErr w:type="spellEnd"/>
      <w:r w:rsidRPr="00CB2C86">
        <w:t xml:space="preserve"> [2007] 3 </w:t>
      </w:r>
      <w:r w:rsidRPr="00CB2C86">
        <w:rPr>
          <w:lang w:val="en-GB"/>
        </w:rPr>
        <w:t>HKLRD</w:t>
      </w:r>
      <w:r w:rsidRPr="00CB2C86">
        <w:t xml:space="preserve"> 903</w:t>
      </w:r>
    </w:p>
    <w:p w:rsidR="00F936A8" w:rsidRPr="00CB2C86" w:rsidRDefault="00F936A8" w:rsidP="00CF1236">
      <w:pPr>
        <w:pStyle w:val="SingleTxtGR"/>
        <w:tabs>
          <w:tab w:val="clear" w:pos="1701"/>
          <w:tab w:val="clear" w:pos="2268"/>
          <w:tab w:val="left" w:pos="1708"/>
          <w:tab w:val="left" w:pos="2520"/>
        </w:tabs>
      </w:pPr>
      <w:r w:rsidRPr="00CB2C86">
        <w:tab/>
        <w:t>Ответчики были обвинены в открытом совершении гомосексуального а</w:t>
      </w:r>
      <w:r w:rsidRPr="00CB2C86">
        <w:t>к</w:t>
      </w:r>
      <w:r w:rsidRPr="00CB2C86">
        <w:t>та в нарушение раздела 118</w:t>
      </w:r>
      <w:r w:rsidRPr="00CB2C86">
        <w:rPr>
          <w:lang w:val="en-GB"/>
        </w:rPr>
        <w:t>F</w:t>
      </w:r>
      <w:r w:rsidRPr="00CB2C86">
        <w:t>(1) Указа о преступлениях (</w:t>
      </w:r>
      <w:r>
        <w:t xml:space="preserve">статья </w:t>
      </w:r>
      <w:r w:rsidRPr="00CB2C86">
        <w:t>200). Утвержд</w:t>
      </w:r>
      <w:r w:rsidRPr="00CB2C86">
        <w:t>а</w:t>
      </w:r>
      <w:r w:rsidRPr="00CB2C86">
        <w:t>лось, что они познакомились через Интернет и совершили гомосексуальный акт в частном автомобиле, припаркованном у обочины дороги общественного пол</w:t>
      </w:r>
      <w:r w:rsidRPr="00CB2C86">
        <w:t>ь</w:t>
      </w:r>
      <w:r w:rsidRPr="00CB2C86">
        <w:t>зования.</w:t>
      </w:r>
    </w:p>
    <w:p w:rsidR="00F936A8" w:rsidRPr="00CB2C86" w:rsidRDefault="00F936A8" w:rsidP="00CF1236">
      <w:pPr>
        <w:pStyle w:val="SingleTxtGR"/>
        <w:tabs>
          <w:tab w:val="clear" w:pos="1701"/>
          <w:tab w:val="clear" w:pos="2268"/>
          <w:tab w:val="left" w:pos="1708"/>
          <w:tab w:val="left" w:pos="2520"/>
        </w:tabs>
      </w:pPr>
      <w:r w:rsidRPr="00CB2C86">
        <w:tab/>
        <w:t>Указ о преступлениях предусматривает, что мужчина, открыто сове</w:t>
      </w:r>
      <w:r w:rsidRPr="00CB2C86">
        <w:t>р</w:t>
      </w:r>
      <w:r w:rsidRPr="00CB2C86">
        <w:t>шающий гомосексуальный акт с другим мужчиной, виновен в совершении уг</w:t>
      </w:r>
      <w:r w:rsidRPr="00CB2C86">
        <w:t>о</w:t>
      </w:r>
      <w:r w:rsidRPr="00CB2C86">
        <w:t>ловно наказуемого деяния. Магистратский суд указал, что раздел 118</w:t>
      </w:r>
      <w:r w:rsidRPr="00CB2C86">
        <w:rPr>
          <w:lang w:val="en-GB"/>
        </w:rPr>
        <w:t>F</w:t>
      </w:r>
      <w:r w:rsidRPr="00CB2C86">
        <w:t>(1) пр</w:t>
      </w:r>
      <w:r w:rsidRPr="00CB2C86">
        <w:t>о</w:t>
      </w:r>
      <w:r w:rsidRPr="00CB2C86">
        <w:t xml:space="preserve">тиворечит </w:t>
      </w:r>
      <w:r w:rsidR="00FB2793">
        <w:t>Конституц</w:t>
      </w:r>
      <w:r w:rsidRPr="00CB2C86">
        <w:t>ии</w:t>
      </w:r>
      <w:r w:rsidR="00CF1236">
        <w:t>,</w:t>
      </w:r>
      <w:r w:rsidRPr="00CB2C86">
        <w:t xml:space="preserve"> и отклонил обвинение. Протест Секретаря юстиции, поданный в порядке надзора, был отклонен. Он подал апелляцию в Высший апелляционный суд.</w:t>
      </w:r>
    </w:p>
    <w:p w:rsidR="00F936A8" w:rsidRPr="00CB2C86" w:rsidRDefault="00F936A8" w:rsidP="00CF1236">
      <w:pPr>
        <w:pStyle w:val="SingleTxtGR"/>
        <w:tabs>
          <w:tab w:val="clear" w:pos="1701"/>
          <w:tab w:val="clear" w:pos="2268"/>
          <w:tab w:val="left" w:pos="1708"/>
          <w:tab w:val="left" w:pos="2520"/>
        </w:tabs>
      </w:pPr>
      <w:r>
        <w:tab/>
      </w:r>
      <w:r w:rsidRPr="00CB2C86">
        <w:t>Высший апелляционный суд отклонил апелляцию, поданную Секрет</w:t>
      </w:r>
      <w:r w:rsidRPr="00CB2C86">
        <w:t>а</w:t>
      </w:r>
      <w:r w:rsidRPr="00CB2C86">
        <w:t>рем юстиции. Верховный судья Ли указал, что равенство перед законом является основным правом человека и по существу является правом не подвергаться дискр</w:t>
      </w:r>
      <w:r w:rsidRPr="00CB2C86">
        <w:t>и</w:t>
      </w:r>
      <w:r w:rsidRPr="00CB2C86">
        <w:t>минации. Дискриминация по признаку сексуальной ориентации явно против</w:t>
      </w:r>
      <w:r w:rsidRPr="00CB2C86">
        <w:t>о</w:t>
      </w:r>
      <w:r w:rsidRPr="00CB2C86">
        <w:t xml:space="preserve">речит как статье 25 Основного закона, так и статье 22 гонконгского Билля о правах, поскольку сексуальная ориентация упоминается во фразе </w:t>
      </w:r>
      <w:r>
        <w:t>"</w:t>
      </w:r>
      <w:r w:rsidRPr="00CB2C86">
        <w:t>др</w:t>
      </w:r>
      <w:r w:rsidRPr="00CB2C86">
        <w:t>у</w:t>
      </w:r>
      <w:r w:rsidRPr="00CB2C86">
        <w:t>гому ст</w:t>
      </w:r>
      <w:r w:rsidRPr="00CB2C86">
        <w:t>а</w:t>
      </w:r>
      <w:r w:rsidRPr="00CB2C86">
        <w:t>тусу</w:t>
      </w:r>
      <w:r>
        <w:t>"</w:t>
      </w:r>
      <w:r w:rsidRPr="00CB2C86">
        <w:t>.</w:t>
      </w:r>
    </w:p>
    <w:p w:rsidR="00F936A8" w:rsidRPr="00CB2C86" w:rsidRDefault="00F936A8" w:rsidP="00CF1236">
      <w:pPr>
        <w:pStyle w:val="SingleTxtGR"/>
        <w:tabs>
          <w:tab w:val="clear" w:pos="1701"/>
          <w:tab w:val="clear" w:pos="2268"/>
          <w:tab w:val="left" w:pos="1708"/>
          <w:tab w:val="left" w:pos="2520"/>
        </w:tabs>
      </w:pPr>
      <w:r w:rsidRPr="00CB2C86">
        <w:tab/>
        <w:t>Верховный судья Ли далее указал, что в общем закон должен обеспеч</w:t>
      </w:r>
      <w:r w:rsidRPr="00CB2C86">
        <w:t>и</w:t>
      </w:r>
      <w:r w:rsidRPr="00CB2C86">
        <w:t>вать равное обращение в сопоставимых ситуациях. Однако раздел 118</w:t>
      </w:r>
      <w:r w:rsidRPr="00CB2C86">
        <w:rPr>
          <w:lang w:val="en-GB"/>
        </w:rPr>
        <w:t>F</w:t>
      </w:r>
      <w:r w:rsidRPr="00CB2C86">
        <w:t>(1) явл</w:t>
      </w:r>
      <w:r w:rsidRPr="00CB2C86">
        <w:t>я</w:t>
      </w:r>
      <w:r w:rsidRPr="00CB2C86">
        <w:t>ется дискриминационным и антиконституционным. Во-первых, раздел 118</w:t>
      </w:r>
      <w:r w:rsidRPr="00CB2C86">
        <w:rPr>
          <w:lang w:val="en-GB"/>
        </w:rPr>
        <w:t>F</w:t>
      </w:r>
      <w:r w:rsidRPr="00CB2C86">
        <w:t>(1) дает основание для дифференцированного обращения по признаку се</w:t>
      </w:r>
      <w:r w:rsidRPr="00CB2C86">
        <w:t>к</w:t>
      </w:r>
      <w:r w:rsidRPr="00CB2C86">
        <w:t>суальной ориентации. Все лица, независимо от сексуальной ориентации, подлежат уг</w:t>
      </w:r>
      <w:r w:rsidRPr="00CB2C86">
        <w:t>о</w:t>
      </w:r>
      <w:r w:rsidRPr="00CB2C86">
        <w:t>ловной ответственности по общему праву за совершения акта, о</w:t>
      </w:r>
      <w:r w:rsidRPr="00CB2C86">
        <w:t>с</w:t>
      </w:r>
      <w:r w:rsidRPr="00CB2C86">
        <w:t>корбляющего общественную нравственность. Однако только гомосексуалисты в разделе 118</w:t>
      </w:r>
      <w:r w:rsidRPr="00CB2C86">
        <w:rPr>
          <w:lang w:val="en-GB"/>
        </w:rPr>
        <w:t>F</w:t>
      </w:r>
      <w:r w:rsidRPr="00CB2C86">
        <w:t>(1) подлежат ответственности по статутному праву, хотя гетеросексуал</w:t>
      </w:r>
      <w:r w:rsidRPr="00CB2C86">
        <w:t>ь</w:t>
      </w:r>
      <w:r w:rsidRPr="00CB2C86">
        <w:t>ные лица не подлежат сопоставимой ответственности за половой акт с прони</w:t>
      </w:r>
      <w:r w:rsidRPr="00CB2C86">
        <w:t>к</w:t>
      </w:r>
      <w:r w:rsidRPr="00CB2C86">
        <w:t>новением или открытый противоестественный половой акт. Во-вторых, не было продемонстрировано реальной необходимости в дифференцированном обращ</w:t>
      </w:r>
      <w:r w:rsidRPr="00CB2C86">
        <w:t>е</w:t>
      </w:r>
      <w:r w:rsidRPr="00CB2C86">
        <w:t>нии для достижения какой-либо законной цели.</w:t>
      </w:r>
    </w:p>
    <w:p w:rsidR="00F936A8" w:rsidRPr="00CB2C86" w:rsidRDefault="00F936A8" w:rsidP="00122DDF">
      <w:pPr>
        <w:pStyle w:val="HChGR"/>
        <w:tabs>
          <w:tab w:val="left" w:pos="1980"/>
        </w:tabs>
      </w:pPr>
      <w:r w:rsidRPr="00CB2C86">
        <w:br w:type="page"/>
        <w:t>Приложение 6</w:t>
      </w:r>
      <w:r w:rsidRPr="00CB2C86">
        <w:rPr>
          <w:lang w:val="en-GB"/>
        </w:rPr>
        <w:t>A</w:t>
      </w:r>
    </w:p>
    <w:p w:rsidR="00F936A8" w:rsidRDefault="00F936A8" w:rsidP="00122DDF">
      <w:pPr>
        <w:pStyle w:val="H1GR"/>
        <w:tabs>
          <w:tab w:val="left" w:pos="1980"/>
        </w:tabs>
      </w:pPr>
      <w:r w:rsidRPr="00CB2C86">
        <w:tab/>
      </w:r>
      <w:r w:rsidRPr="00CB2C86">
        <w:tab/>
        <w:t xml:space="preserve">Профессиональная подготовка: количество учащихся </w:t>
      </w:r>
      <w:r>
        <w:br/>
      </w:r>
      <w:r w:rsidRPr="00CB2C86">
        <w:t xml:space="preserve">в 2008/09 </w:t>
      </w:r>
      <w:r w:rsidR="00A35E26">
        <w:t>учебном году</w:t>
      </w:r>
    </w:p>
    <w:p w:rsidR="00F936A8" w:rsidRPr="00CB2C86" w:rsidRDefault="00F936A8" w:rsidP="00122DDF">
      <w:pPr>
        <w:pStyle w:val="H23GR"/>
        <w:tabs>
          <w:tab w:val="left" w:pos="1980"/>
        </w:tabs>
      </w:pPr>
      <w:r>
        <w:tab/>
      </w:r>
      <w:proofErr w:type="spellStart"/>
      <w:r>
        <w:t>a</w:t>
      </w:r>
      <w:proofErr w:type="spellEnd"/>
      <w:r>
        <w:t>)</w:t>
      </w:r>
      <w:r w:rsidRPr="00CB2C86">
        <w:t xml:space="preserve"> </w:t>
      </w:r>
      <w:r>
        <w:tab/>
      </w:r>
      <w:r w:rsidRPr="00CB2C86">
        <w:t>По виду обучения</w:t>
      </w:r>
    </w:p>
    <w:tbl>
      <w:tblPr>
        <w:tblStyle w:val="TabNum"/>
        <w:tblW w:w="7370" w:type="dxa"/>
        <w:tblInd w:w="1134" w:type="dxa"/>
        <w:tblLayout w:type="fixed"/>
        <w:tblLook w:val="01E0" w:firstRow="1" w:lastRow="1" w:firstColumn="1" w:lastColumn="1" w:noHBand="0" w:noVBand="0"/>
      </w:tblPr>
      <w:tblGrid>
        <w:gridCol w:w="2968"/>
        <w:gridCol w:w="616"/>
        <w:gridCol w:w="1085"/>
        <w:gridCol w:w="1112"/>
        <w:gridCol w:w="910"/>
        <w:gridCol w:w="679"/>
      </w:tblGrid>
      <w:tr w:rsidR="00F936A8" w:rsidRPr="003A2D3D" w:rsidTr="00F936A8">
        <w:trPr>
          <w:tblHeader/>
        </w:trPr>
        <w:tc>
          <w:tcPr>
            <w:cnfStyle w:val="001000000000" w:firstRow="0" w:lastRow="0" w:firstColumn="1" w:lastColumn="0" w:oddVBand="0" w:evenVBand="0" w:oddHBand="0" w:evenHBand="0" w:firstRowFirstColumn="0" w:firstRowLastColumn="0" w:lastRowFirstColumn="0" w:lastRowLastColumn="0"/>
            <w:tcW w:w="2968" w:type="dxa"/>
            <w:tcBorders>
              <w:bottom w:val="single" w:sz="12" w:space="0" w:color="auto"/>
            </w:tcBorders>
            <w:shd w:val="clear" w:color="auto" w:fill="auto"/>
          </w:tcPr>
          <w:p w:rsidR="00F936A8" w:rsidRPr="003A2D3D" w:rsidRDefault="00F936A8" w:rsidP="00122DDF">
            <w:pPr>
              <w:tabs>
                <w:tab w:val="left" w:pos="1980"/>
              </w:tabs>
              <w:spacing w:before="80" w:after="80" w:line="200" w:lineRule="exact"/>
              <w:rPr>
                <w:i/>
                <w:sz w:val="16"/>
              </w:rPr>
            </w:pPr>
            <w:r w:rsidRPr="003A2D3D">
              <w:rPr>
                <w:i/>
                <w:sz w:val="16"/>
              </w:rPr>
              <w:t>Уровень</w:t>
            </w:r>
          </w:p>
        </w:tc>
        <w:tc>
          <w:tcPr>
            <w:tcW w:w="616" w:type="dxa"/>
            <w:tcBorders>
              <w:top w:val="single" w:sz="4" w:space="0" w:color="auto"/>
              <w:bottom w:val="single" w:sz="12" w:space="0" w:color="auto"/>
            </w:tcBorders>
            <w:shd w:val="clear" w:color="auto" w:fill="auto"/>
          </w:tcPr>
          <w:p w:rsidR="00F936A8" w:rsidRPr="003A2D3D"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3A2D3D">
              <w:rPr>
                <w:i/>
                <w:sz w:val="16"/>
              </w:rPr>
              <w:t>О</w:t>
            </w:r>
            <w:r w:rsidRPr="003A2D3D">
              <w:rPr>
                <w:i/>
                <w:sz w:val="16"/>
              </w:rPr>
              <w:t>ч</w:t>
            </w:r>
            <w:r w:rsidRPr="003A2D3D">
              <w:rPr>
                <w:i/>
                <w:sz w:val="16"/>
              </w:rPr>
              <w:t>ное</w:t>
            </w:r>
          </w:p>
        </w:tc>
        <w:tc>
          <w:tcPr>
            <w:tcW w:w="1085" w:type="dxa"/>
            <w:tcBorders>
              <w:top w:val="single" w:sz="4" w:space="0" w:color="auto"/>
              <w:bottom w:val="single" w:sz="12" w:space="0" w:color="auto"/>
            </w:tcBorders>
            <w:shd w:val="clear" w:color="auto" w:fill="auto"/>
          </w:tcPr>
          <w:p w:rsidR="00F936A8" w:rsidRPr="003A2D3D"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roofErr w:type="spellStart"/>
            <w:r w:rsidRPr="003A2D3D">
              <w:rPr>
                <w:i/>
                <w:sz w:val="16"/>
              </w:rPr>
              <w:t>Очно-заочное</w:t>
            </w:r>
            <w:proofErr w:type="spellEnd"/>
            <w:r w:rsidRPr="003A2D3D">
              <w:rPr>
                <w:i/>
                <w:sz w:val="16"/>
              </w:rPr>
              <w:t xml:space="preserve"> дневное</w:t>
            </w:r>
          </w:p>
        </w:tc>
        <w:tc>
          <w:tcPr>
            <w:tcW w:w="1112" w:type="dxa"/>
            <w:tcBorders>
              <w:top w:val="single" w:sz="4" w:space="0" w:color="auto"/>
              <w:bottom w:val="single" w:sz="12" w:space="0" w:color="auto"/>
            </w:tcBorders>
            <w:shd w:val="clear" w:color="auto" w:fill="auto"/>
          </w:tcPr>
          <w:p w:rsidR="00F936A8" w:rsidRPr="003A2D3D"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roofErr w:type="spellStart"/>
            <w:r w:rsidRPr="003A2D3D">
              <w:rPr>
                <w:i/>
                <w:sz w:val="16"/>
              </w:rPr>
              <w:t>Очно-заочное</w:t>
            </w:r>
            <w:proofErr w:type="spellEnd"/>
            <w:r w:rsidRPr="003A2D3D">
              <w:rPr>
                <w:i/>
                <w:sz w:val="16"/>
              </w:rPr>
              <w:t xml:space="preserve"> вечернее</w:t>
            </w:r>
          </w:p>
        </w:tc>
        <w:tc>
          <w:tcPr>
            <w:tcW w:w="910" w:type="dxa"/>
            <w:tcBorders>
              <w:top w:val="single" w:sz="4" w:space="0" w:color="auto"/>
              <w:bottom w:val="single" w:sz="12" w:space="0" w:color="auto"/>
            </w:tcBorders>
            <w:shd w:val="clear" w:color="auto" w:fill="auto"/>
          </w:tcPr>
          <w:p w:rsidR="00F936A8" w:rsidRPr="003A2D3D"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3A2D3D">
              <w:rPr>
                <w:i/>
                <w:sz w:val="16"/>
              </w:rPr>
              <w:t>Самообр</w:t>
            </w:r>
            <w:r w:rsidRPr="003A2D3D">
              <w:rPr>
                <w:i/>
                <w:sz w:val="16"/>
              </w:rPr>
              <w:t>а</w:t>
            </w:r>
            <w:r w:rsidRPr="003A2D3D">
              <w:rPr>
                <w:i/>
                <w:sz w:val="16"/>
              </w:rPr>
              <w:t>зов</w:t>
            </w:r>
            <w:r w:rsidRPr="003A2D3D">
              <w:rPr>
                <w:i/>
                <w:sz w:val="16"/>
              </w:rPr>
              <w:t>а</w:t>
            </w:r>
            <w:r w:rsidRPr="003A2D3D">
              <w:rPr>
                <w:i/>
                <w:sz w:val="16"/>
              </w:rPr>
              <w:t>ние</w:t>
            </w:r>
          </w:p>
        </w:tc>
        <w:tc>
          <w:tcPr>
            <w:tcW w:w="679" w:type="dxa"/>
            <w:tcBorders>
              <w:top w:val="single" w:sz="4" w:space="0" w:color="auto"/>
              <w:bottom w:val="single" w:sz="12" w:space="0" w:color="auto"/>
            </w:tcBorders>
            <w:shd w:val="clear" w:color="auto" w:fill="auto"/>
          </w:tcPr>
          <w:p w:rsidR="00F936A8" w:rsidRPr="003A2D3D"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3A2D3D">
              <w:rPr>
                <w:i/>
                <w:sz w:val="16"/>
              </w:rPr>
              <w:t>Итого</w:t>
            </w:r>
          </w:p>
        </w:tc>
      </w:tr>
      <w:tr w:rsidR="00F936A8" w:rsidRPr="003A2D3D" w:rsidTr="00F936A8">
        <w:tc>
          <w:tcPr>
            <w:cnfStyle w:val="001000000000" w:firstRow="0" w:lastRow="0" w:firstColumn="1" w:lastColumn="0" w:oddVBand="0" w:evenVBand="0" w:oddHBand="0" w:evenHBand="0" w:firstRowFirstColumn="0" w:firstRowLastColumn="0" w:lastRowFirstColumn="0" w:lastRowLastColumn="0"/>
            <w:tcW w:w="2968" w:type="dxa"/>
            <w:tcBorders>
              <w:top w:val="single" w:sz="12" w:space="0" w:color="auto"/>
            </w:tcBorders>
            <w:noWrap/>
          </w:tcPr>
          <w:p w:rsidR="00F936A8" w:rsidRPr="003A2D3D" w:rsidRDefault="00F936A8" w:rsidP="00122DDF">
            <w:pPr>
              <w:tabs>
                <w:tab w:val="left" w:pos="1980"/>
              </w:tabs>
            </w:pPr>
            <w:r w:rsidRPr="003A2D3D">
              <w:t>ИПТО, Гонконгский Институт д</w:t>
            </w:r>
            <w:r w:rsidRPr="003A2D3D">
              <w:t>и</w:t>
            </w:r>
            <w:r w:rsidRPr="003A2D3D">
              <w:t>зайна, ШБИС и Молодежный ко</w:t>
            </w:r>
            <w:r w:rsidRPr="003A2D3D">
              <w:t>л</w:t>
            </w:r>
            <w:r w:rsidRPr="003A2D3D">
              <w:t>ледж</w:t>
            </w:r>
          </w:p>
        </w:tc>
        <w:tc>
          <w:tcPr>
            <w:tcW w:w="616" w:type="dxa"/>
            <w:tcBorders>
              <w:top w:val="single" w:sz="12" w:space="0" w:color="auto"/>
            </w:tcBorders>
            <w:noWrap/>
          </w:tcPr>
          <w:p w:rsidR="00F936A8" w:rsidRPr="003A2D3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3A2D3D">
              <w:t>44 819</w:t>
            </w:r>
          </w:p>
        </w:tc>
        <w:tc>
          <w:tcPr>
            <w:tcW w:w="1085" w:type="dxa"/>
            <w:tcBorders>
              <w:top w:val="single" w:sz="12" w:space="0" w:color="auto"/>
            </w:tcBorders>
            <w:noWrap/>
          </w:tcPr>
          <w:p w:rsidR="00F936A8" w:rsidRPr="003A2D3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3A2D3D">
              <w:t>2 640</w:t>
            </w:r>
          </w:p>
        </w:tc>
        <w:tc>
          <w:tcPr>
            <w:tcW w:w="1112" w:type="dxa"/>
            <w:tcBorders>
              <w:top w:val="single" w:sz="12" w:space="0" w:color="auto"/>
            </w:tcBorders>
            <w:noWrap/>
          </w:tcPr>
          <w:p w:rsidR="00F936A8" w:rsidRPr="003A2D3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3A2D3D">
              <w:t>13 555</w:t>
            </w:r>
          </w:p>
        </w:tc>
        <w:tc>
          <w:tcPr>
            <w:tcW w:w="910" w:type="dxa"/>
            <w:tcBorders>
              <w:top w:val="single" w:sz="12" w:space="0" w:color="auto"/>
            </w:tcBorders>
            <w:noWrap/>
          </w:tcPr>
          <w:p w:rsidR="00F936A8" w:rsidRPr="003A2D3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3A2D3D">
              <w:t>0</w:t>
            </w:r>
          </w:p>
        </w:tc>
        <w:tc>
          <w:tcPr>
            <w:tcW w:w="679" w:type="dxa"/>
            <w:tcBorders>
              <w:top w:val="single" w:sz="12" w:space="0" w:color="auto"/>
            </w:tcBorders>
            <w:noWrap/>
          </w:tcPr>
          <w:p w:rsidR="00F936A8" w:rsidRPr="003A2D3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3A2D3D">
              <w:t>61 014</w:t>
            </w:r>
          </w:p>
        </w:tc>
      </w:tr>
      <w:tr w:rsidR="00F936A8" w:rsidRPr="003A2D3D" w:rsidTr="00F936A8">
        <w:tc>
          <w:tcPr>
            <w:cnfStyle w:val="001000000000" w:firstRow="0" w:lastRow="0" w:firstColumn="1" w:lastColumn="0" w:oddVBand="0" w:evenVBand="0" w:oddHBand="0" w:evenHBand="0" w:firstRowFirstColumn="0" w:firstRowLastColumn="0" w:lastRowFirstColumn="0" w:lastRowLastColumn="0"/>
            <w:tcW w:w="2968" w:type="dxa"/>
            <w:noWrap/>
          </w:tcPr>
          <w:p w:rsidR="00F936A8" w:rsidRPr="003A2D3D" w:rsidRDefault="00F936A8" w:rsidP="00122DDF">
            <w:pPr>
              <w:tabs>
                <w:tab w:val="left" w:pos="1980"/>
              </w:tabs>
            </w:pPr>
            <w:r w:rsidRPr="003A2D3D">
              <w:t>Мужчины</w:t>
            </w:r>
          </w:p>
        </w:tc>
        <w:tc>
          <w:tcPr>
            <w:tcW w:w="616" w:type="dxa"/>
            <w:noWrap/>
          </w:tcPr>
          <w:p w:rsidR="00F936A8" w:rsidRPr="003A2D3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3A2D3D">
              <w:t>26 823</w:t>
            </w:r>
          </w:p>
        </w:tc>
        <w:tc>
          <w:tcPr>
            <w:tcW w:w="1085" w:type="dxa"/>
            <w:noWrap/>
          </w:tcPr>
          <w:p w:rsidR="00F936A8" w:rsidRPr="003A2D3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3A2D3D">
              <w:t>2 583</w:t>
            </w:r>
          </w:p>
        </w:tc>
        <w:tc>
          <w:tcPr>
            <w:tcW w:w="1112" w:type="dxa"/>
            <w:noWrap/>
          </w:tcPr>
          <w:p w:rsidR="00F936A8" w:rsidRPr="003A2D3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3A2D3D">
              <w:t>10 180</w:t>
            </w:r>
          </w:p>
        </w:tc>
        <w:tc>
          <w:tcPr>
            <w:tcW w:w="910" w:type="dxa"/>
            <w:noWrap/>
          </w:tcPr>
          <w:p w:rsidR="00F936A8" w:rsidRPr="003A2D3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t>−</w:t>
            </w:r>
          </w:p>
        </w:tc>
        <w:tc>
          <w:tcPr>
            <w:tcW w:w="679" w:type="dxa"/>
            <w:noWrap/>
          </w:tcPr>
          <w:p w:rsidR="00F936A8" w:rsidRPr="003A2D3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3A2D3D">
              <w:t>39 586</w:t>
            </w:r>
          </w:p>
        </w:tc>
      </w:tr>
      <w:tr w:rsidR="00F936A8" w:rsidRPr="003A2D3D" w:rsidTr="00F936A8">
        <w:tc>
          <w:tcPr>
            <w:cnfStyle w:val="001000000000" w:firstRow="0" w:lastRow="0" w:firstColumn="1" w:lastColumn="0" w:oddVBand="0" w:evenVBand="0" w:oddHBand="0" w:evenHBand="0" w:firstRowFirstColumn="0" w:firstRowLastColumn="0" w:lastRowFirstColumn="0" w:lastRowLastColumn="0"/>
            <w:tcW w:w="2968" w:type="dxa"/>
            <w:noWrap/>
          </w:tcPr>
          <w:p w:rsidR="00F936A8" w:rsidRPr="003A2D3D" w:rsidRDefault="00F936A8" w:rsidP="00122DDF">
            <w:pPr>
              <w:tabs>
                <w:tab w:val="left" w:pos="1980"/>
              </w:tabs>
            </w:pPr>
            <w:r w:rsidRPr="003A2D3D">
              <w:t>Женщины</w:t>
            </w:r>
          </w:p>
        </w:tc>
        <w:tc>
          <w:tcPr>
            <w:tcW w:w="616" w:type="dxa"/>
            <w:noWrap/>
          </w:tcPr>
          <w:p w:rsidR="00F936A8" w:rsidRPr="003A2D3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3A2D3D">
              <w:t>17 996</w:t>
            </w:r>
          </w:p>
        </w:tc>
        <w:tc>
          <w:tcPr>
            <w:tcW w:w="1085" w:type="dxa"/>
            <w:noWrap/>
          </w:tcPr>
          <w:p w:rsidR="00F936A8" w:rsidRPr="003A2D3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3A2D3D">
              <w:t>57</w:t>
            </w:r>
          </w:p>
        </w:tc>
        <w:tc>
          <w:tcPr>
            <w:tcW w:w="1112" w:type="dxa"/>
            <w:noWrap/>
          </w:tcPr>
          <w:p w:rsidR="00F936A8" w:rsidRPr="003A2D3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3A2D3D">
              <w:t>3 375</w:t>
            </w:r>
          </w:p>
        </w:tc>
        <w:tc>
          <w:tcPr>
            <w:tcW w:w="910" w:type="dxa"/>
            <w:noWrap/>
          </w:tcPr>
          <w:p w:rsidR="00F936A8" w:rsidRPr="003A2D3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t>−</w:t>
            </w:r>
          </w:p>
        </w:tc>
        <w:tc>
          <w:tcPr>
            <w:tcW w:w="679" w:type="dxa"/>
            <w:noWrap/>
          </w:tcPr>
          <w:p w:rsidR="00F936A8" w:rsidRPr="003A2D3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3A2D3D">
              <w:t>21 428</w:t>
            </w:r>
          </w:p>
        </w:tc>
      </w:tr>
      <w:tr w:rsidR="00F936A8" w:rsidRPr="003A2D3D" w:rsidTr="00F936A8">
        <w:tc>
          <w:tcPr>
            <w:cnfStyle w:val="001000000000" w:firstRow="0" w:lastRow="0" w:firstColumn="1" w:lastColumn="0" w:oddVBand="0" w:evenVBand="0" w:oddHBand="0" w:evenHBand="0" w:firstRowFirstColumn="0" w:firstRowLastColumn="0" w:lastRowFirstColumn="0" w:lastRowLastColumn="0"/>
            <w:tcW w:w="2968" w:type="dxa"/>
            <w:tcBorders>
              <w:bottom w:val="single" w:sz="4" w:space="0" w:color="auto"/>
            </w:tcBorders>
            <w:noWrap/>
          </w:tcPr>
          <w:p w:rsidR="00F936A8" w:rsidRPr="003A2D3D" w:rsidRDefault="00F936A8" w:rsidP="00122DDF">
            <w:pPr>
              <w:tabs>
                <w:tab w:val="left" w:pos="1980"/>
              </w:tabs>
            </w:pPr>
            <w:r w:rsidRPr="003A2D3D">
              <w:t>Центры профессиональной подг</w:t>
            </w:r>
            <w:r w:rsidRPr="003A2D3D">
              <w:t>о</w:t>
            </w:r>
            <w:r w:rsidRPr="003A2D3D">
              <w:t>товки (включая Центр подг</w:t>
            </w:r>
            <w:r w:rsidRPr="003A2D3D">
              <w:t>о</w:t>
            </w:r>
            <w:r w:rsidRPr="003A2D3D">
              <w:t>товки кадров для индустрии т</w:t>
            </w:r>
            <w:r w:rsidRPr="003A2D3D">
              <w:t>у</w:t>
            </w:r>
            <w:r w:rsidRPr="003A2D3D">
              <w:t>ризма и повышения квалификации, Инст</w:t>
            </w:r>
            <w:r w:rsidRPr="003A2D3D">
              <w:t>и</w:t>
            </w:r>
            <w:r w:rsidRPr="003A2D3D">
              <w:t>тут подготовки поваров кита</w:t>
            </w:r>
            <w:r w:rsidRPr="003A2D3D">
              <w:t>й</w:t>
            </w:r>
            <w:r w:rsidRPr="003A2D3D">
              <w:t>ской кухни, Институт торгового флота и 12 центров профессиональной подготовки и повышения квал</w:t>
            </w:r>
            <w:r w:rsidRPr="003A2D3D">
              <w:t>и</w:t>
            </w:r>
            <w:r w:rsidRPr="003A2D3D">
              <w:t>фикации)</w:t>
            </w:r>
            <w:r w:rsidRPr="00B80BEF">
              <w:rPr>
                <w:i/>
                <w:vertAlign w:val="superscript"/>
              </w:rPr>
              <w:t>Пр</w:t>
            </w:r>
            <w:r w:rsidRPr="00B80BEF">
              <w:rPr>
                <w:i/>
                <w:vertAlign w:val="superscript"/>
              </w:rPr>
              <w:t>и</w:t>
            </w:r>
            <w:r w:rsidRPr="00B80BEF">
              <w:rPr>
                <w:i/>
                <w:vertAlign w:val="superscript"/>
              </w:rPr>
              <w:t>мечание</w:t>
            </w:r>
          </w:p>
        </w:tc>
        <w:tc>
          <w:tcPr>
            <w:tcW w:w="616" w:type="dxa"/>
            <w:tcBorders>
              <w:bottom w:val="single" w:sz="4" w:space="0" w:color="auto"/>
            </w:tcBorders>
            <w:noWrap/>
          </w:tcPr>
          <w:p w:rsidR="00F936A8" w:rsidRPr="003A2D3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3A2D3D">
              <w:t>7 534</w:t>
            </w:r>
          </w:p>
        </w:tc>
        <w:tc>
          <w:tcPr>
            <w:tcW w:w="1085" w:type="dxa"/>
            <w:tcBorders>
              <w:bottom w:val="single" w:sz="4" w:space="0" w:color="auto"/>
            </w:tcBorders>
            <w:noWrap/>
          </w:tcPr>
          <w:p w:rsidR="00F936A8" w:rsidRPr="003A2D3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3A2D3D">
              <w:t>9 580</w:t>
            </w:r>
          </w:p>
        </w:tc>
        <w:tc>
          <w:tcPr>
            <w:tcW w:w="1112" w:type="dxa"/>
            <w:tcBorders>
              <w:bottom w:val="single" w:sz="4" w:space="0" w:color="auto"/>
            </w:tcBorders>
            <w:noWrap/>
          </w:tcPr>
          <w:p w:rsidR="00F936A8" w:rsidRPr="003A2D3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3A2D3D">
              <w:t>4 975</w:t>
            </w:r>
          </w:p>
        </w:tc>
        <w:tc>
          <w:tcPr>
            <w:tcW w:w="910" w:type="dxa"/>
            <w:tcBorders>
              <w:bottom w:val="single" w:sz="4" w:space="0" w:color="auto"/>
            </w:tcBorders>
            <w:noWrap/>
          </w:tcPr>
          <w:p w:rsidR="00F936A8" w:rsidRPr="003A2D3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3A2D3D">
              <w:t>616</w:t>
            </w:r>
          </w:p>
        </w:tc>
        <w:tc>
          <w:tcPr>
            <w:tcW w:w="679" w:type="dxa"/>
            <w:tcBorders>
              <w:bottom w:val="single" w:sz="4" w:space="0" w:color="auto"/>
            </w:tcBorders>
            <w:noWrap/>
          </w:tcPr>
          <w:p w:rsidR="00F936A8" w:rsidRPr="003A2D3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3A2D3D">
              <w:t>22 705</w:t>
            </w:r>
          </w:p>
        </w:tc>
      </w:tr>
      <w:tr w:rsidR="00F936A8" w:rsidRPr="003A2D3D" w:rsidTr="00F936A8">
        <w:tc>
          <w:tcPr>
            <w:cnfStyle w:val="001000000000" w:firstRow="0" w:lastRow="0" w:firstColumn="1" w:lastColumn="0" w:oddVBand="0" w:evenVBand="0" w:oddHBand="0" w:evenHBand="0" w:firstRowFirstColumn="0" w:firstRowLastColumn="0" w:lastRowFirstColumn="0" w:lastRowLastColumn="0"/>
            <w:tcW w:w="2968" w:type="dxa"/>
            <w:tcBorders>
              <w:top w:val="single" w:sz="4" w:space="0" w:color="auto"/>
            </w:tcBorders>
            <w:noWrap/>
          </w:tcPr>
          <w:p w:rsidR="00F936A8" w:rsidRPr="003A2D3D" w:rsidRDefault="00F936A8" w:rsidP="00122DDF">
            <w:pPr>
              <w:tabs>
                <w:tab w:val="left" w:pos="1980"/>
              </w:tabs>
              <w:rPr>
                <w:b/>
              </w:rPr>
            </w:pPr>
            <w:r w:rsidRPr="003A2D3D">
              <w:rPr>
                <w:b/>
              </w:rPr>
              <w:t>Итого</w:t>
            </w:r>
          </w:p>
        </w:tc>
        <w:tc>
          <w:tcPr>
            <w:tcW w:w="616" w:type="dxa"/>
            <w:tcBorders>
              <w:top w:val="single" w:sz="4" w:space="0" w:color="auto"/>
              <w:bottom w:val="single" w:sz="12" w:space="0" w:color="auto"/>
            </w:tcBorders>
            <w:noWrap/>
          </w:tcPr>
          <w:p w:rsidR="00F936A8" w:rsidRPr="003A2D3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3A2D3D">
              <w:rPr>
                <w:b/>
              </w:rPr>
              <w:t>52 353</w:t>
            </w:r>
          </w:p>
        </w:tc>
        <w:tc>
          <w:tcPr>
            <w:tcW w:w="1085" w:type="dxa"/>
            <w:tcBorders>
              <w:top w:val="single" w:sz="4" w:space="0" w:color="auto"/>
              <w:bottom w:val="single" w:sz="12" w:space="0" w:color="auto"/>
            </w:tcBorders>
            <w:noWrap/>
          </w:tcPr>
          <w:p w:rsidR="00F936A8" w:rsidRPr="003A2D3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3A2D3D">
              <w:rPr>
                <w:b/>
              </w:rPr>
              <w:t>12 220</w:t>
            </w:r>
          </w:p>
        </w:tc>
        <w:tc>
          <w:tcPr>
            <w:tcW w:w="1112" w:type="dxa"/>
            <w:tcBorders>
              <w:top w:val="single" w:sz="4" w:space="0" w:color="auto"/>
              <w:bottom w:val="single" w:sz="12" w:space="0" w:color="auto"/>
            </w:tcBorders>
            <w:noWrap/>
          </w:tcPr>
          <w:p w:rsidR="00F936A8" w:rsidRPr="003A2D3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3A2D3D">
              <w:rPr>
                <w:b/>
              </w:rPr>
              <w:t xml:space="preserve">18 530 </w:t>
            </w:r>
          </w:p>
        </w:tc>
        <w:tc>
          <w:tcPr>
            <w:tcW w:w="910" w:type="dxa"/>
            <w:tcBorders>
              <w:top w:val="single" w:sz="4" w:space="0" w:color="auto"/>
              <w:bottom w:val="single" w:sz="12" w:space="0" w:color="auto"/>
            </w:tcBorders>
            <w:noWrap/>
          </w:tcPr>
          <w:p w:rsidR="00F936A8" w:rsidRPr="003A2D3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3A2D3D">
              <w:rPr>
                <w:b/>
              </w:rPr>
              <w:t>616</w:t>
            </w:r>
          </w:p>
        </w:tc>
        <w:tc>
          <w:tcPr>
            <w:tcW w:w="679" w:type="dxa"/>
            <w:tcBorders>
              <w:top w:val="single" w:sz="4" w:space="0" w:color="auto"/>
              <w:bottom w:val="single" w:sz="12" w:space="0" w:color="auto"/>
            </w:tcBorders>
            <w:noWrap/>
          </w:tcPr>
          <w:p w:rsidR="00F936A8" w:rsidRPr="003A2D3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3A2D3D">
              <w:rPr>
                <w:b/>
              </w:rPr>
              <w:t>83 719</w:t>
            </w:r>
          </w:p>
        </w:tc>
      </w:tr>
    </w:tbl>
    <w:p w:rsidR="00F936A8" w:rsidRPr="006745BA" w:rsidRDefault="00F936A8" w:rsidP="00122DDF">
      <w:pPr>
        <w:pStyle w:val="SingleTxtGR"/>
        <w:tabs>
          <w:tab w:val="left" w:pos="1980"/>
        </w:tabs>
        <w:suppressAutoHyphens/>
        <w:spacing w:before="120" w:after="240"/>
        <w:ind w:left="1316"/>
        <w:rPr>
          <w:sz w:val="18"/>
          <w:szCs w:val="18"/>
        </w:rPr>
      </w:pPr>
      <w:r w:rsidRPr="006745BA">
        <w:rPr>
          <w:i/>
          <w:sz w:val="18"/>
          <w:szCs w:val="18"/>
        </w:rPr>
        <w:t>Примечание:</w:t>
      </w:r>
      <w:r w:rsidRPr="006745BA">
        <w:rPr>
          <w:sz w:val="18"/>
          <w:szCs w:val="18"/>
        </w:rPr>
        <w:t xml:space="preserve"> Центры подготовки не ведут статистических данных в разбивке по полу. </w:t>
      </w:r>
    </w:p>
    <w:p w:rsidR="00F936A8" w:rsidRDefault="00F936A8" w:rsidP="00122DDF">
      <w:pPr>
        <w:pStyle w:val="H23GR"/>
        <w:tabs>
          <w:tab w:val="left" w:pos="1980"/>
        </w:tabs>
      </w:pPr>
      <w:r w:rsidRPr="00CB2C86">
        <w:tab/>
      </w:r>
      <w:proofErr w:type="spellStart"/>
      <w:r>
        <w:t>b</w:t>
      </w:r>
      <w:proofErr w:type="spellEnd"/>
      <w:r>
        <w:t>)</w:t>
      </w:r>
      <w:r w:rsidRPr="00CB2C86">
        <w:t xml:space="preserve"> </w:t>
      </w:r>
      <w:r>
        <w:tab/>
      </w:r>
      <w:r w:rsidRPr="00CB2C86">
        <w:t>По уровню обучения</w:t>
      </w:r>
    </w:p>
    <w:p w:rsidR="00F936A8" w:rsidRPr="00CB2C86" w:rsidRDefault="00F936A8" w:rsidP="00122DDF">
      <w:pPr>
        <w:pStyle w:val="H23GR"/>
        <w:tabs>
          <w:tab w:val="left" w:pos="1980"/>
        </w:tabs>
      </w:pPr>
      <w:r>
        <w:tab/>
      </w:r>
      <w:r>
        <w:tab/>
      </w:r>
      <w:r w:rsidRPr="00CB2C86">
        <w:t xml:space="preserve">1) ИПТО, Гонконгский институт дизайна, ШБИС и Молодежный колледж </w:t>
      </w:r>
    </w:p>
    <w:tbl>
      <w:tblPr>
        <w:tblStyle w:val="TabNum"/>
        <w:tblW w:w="7370" w:type="dxa"/>
        <w:tblInd w:w="1134" w:type="dxa"/>
        <w:tblLayout w:type="fixed"/>
        <w:tblLook w:val="01E0" w:firstRow="1" w:lastRow="1" w:firstColumn="1" w:lastColumn="1" w:noHBand="0" w:noVBand="0"/>
      </w:tblPr>
      <w:tblGrid>
        <w:gridCol w:w="1162"/>
        <w:gridCol w:w="616"/>
        <w:gridCol w:w="602"/>
        <w:gridCol w:w="714"/>
        <w:gridCol w:w="504"/>
        <w:gridCol w:w="532"/>
        <w:gridCol w:w="727"/>
        <w:gridCol w:w="560"/>
        <w:gridCol w:w="616"/>
        <w:gridCol w:w="717"/>
        <w:gridCol w:w="620"/>
      </w:tblGrid>
      <w:tr w:rsidR="00F936A8" w:rsidRPr="006745BA" w:rsidTr="00F936A8">
        <w:trPr>
          <w:trHeight w:val="20"/>
          <w:tblHeader/>
        </w:trPr>
        <w:tc>
          <w:tcPr>
            <w:cnfStyle w:val="001000000000" w:firstRow="0" w:lastRow="0" w:firstColumn="1" w:lastColumn="0" w:oddVBand="0" w:evenVBand="0" w:oddHBand="0" w:evenHBand="0" w:firstRowFirstColumn="0" w:firstRowLastColumn="0" w:lastRowFirstColumn="0" w:lastRowLastColumn="0"/>
            <w:tcW w:w="1162" w:type="dxa"/>
            <w:vMerge w:val="restart"/>
            <w:shd w:val="clear" w:color="auto" w:fill="auto"/>
            <w:noWrap/>
          </w:tcPr>
          <w:p w:rsidR="00F936A8" w:rsidRPr="006745BA" w:rsidRDefault="00F936A8" w:rsidP="00122DDF">
            <w:pPr>
              <w:tabs>
                <w:tab w:val="left" w:pos="1980"/>
              </w:tabs>
              <w:spacing w:before="80" w:after="80" w:line="180" w:lineRule="exact"/>
              <w:rPr>
                <w:i/>
                <w:sz w:val="16"/>
              </w:rPr>
            </w:pPr>
            <w:r w:rsidRPr="006745BA">
              <w:rPr>
                <w:i/>
                <w:sz w:val="16"/>
              </w:rPr>
              <w:t>Уровень</w:t>
            </w:r>
          </w:p>
        </w:tc>
        <w:tc>
          <w:tcPr>
            <w:tcW w:w="1932" w:type="dxa"/>
            <w:gridSpan w:val="3"/>
            <w:tcBorders>
              <w:top w:val="single" w:sz="4" w:space="0" w:color="auto"/>
              <w:bottom w:val="single" w:sz="4" w:space="0" w:color="auto"/>
            </w:tcBorders>
            <w:shd w:val="clear" w:color="auto" w:fill="auto"/>
            <w:noWrap/>
          </w:tcPr>
          <w:p w:rsidR="00F936A8" w:rsidRPr="006745BA" w:rsidRDefault="00F936A8" w:rsidP="00122DDF">
            <w:pPr>
              <w:tabs>
                <w:tab w:val="left" w:pos="1980"/>
              </w:tabs>
              <w:spacing w:before="80" w:after="80" w:line="180" w:lineRule="exact"/>
              <w:jc w:val="center"/>
              <w:cnfStyle w:val="000000000000" w:firstRow="0" w:lastRow="0" w:firstColumn="0" w:lastColumn="0" w:oddVBand="0" w:evenVBand="0" w:oddHBand="0" w:evenHBand="0" w:firstRowFirstColumn="0" w:firstRowLastColumn="0" w:lastRowFirstColumn="0" w:lastRowLastColumn="0"/>
              <w:rPr>
                <w:i/>
                <w:sz w:val="16"/>
              </w:rPr>
            </w:pPr>
            <w:r w:rsidRPr="006745BA">
              <w:rPr>
                <w:i/>
                <w:sz w:val="16"/>
              </w:rPr>
              <w:t>Очное</w:t>
            </w:r>
          </w:p>
        </w:tc>
        <w:tc>
          <w:tcPr>
            <w:tcW w:w="1763" w:type="dxa"/>
            <w:gridSpan w:val="3"/>
            <w:tcBorders>
              <w:top w:val="single" w:sz="4" w:space="0" w:color="auto"/>
              <w:bottom w:val="single" w:sz="4" w:space="0" w:color="auto"/>
            </w:tcBorders>
            <w:shd w:val="clear" w:color="auto" w:fill="auto"/>
            <w:noWrap/>
          </w:tcPr>
          <w:p w:rsidR="00F936A8" w:rsidRPr="006745BA" w:rsidRDefault="00F936A8" w:rsidP="00122DDF">
            <w:pPr>
              <w:tabs>
                <w:tab w:val="left" w:pos="1980"/>
              </w:tabs>
              <w:spacing w:before="80" w:after="80" w:line="180" w:lineRule="exact"/>
              <w:jc w:val="center"/>
              <w:cnfStyle w:val="000000000000" w:firstRow="0" w:lastRow="0" w:firstColumn="0" w:lastColumn="0" w:oddVBand="0" w:evenVBand="0" w:oddHBand="0" w:evenHBand="0" w:firstRowFirstColumn="0" w:firstRowLastColumn="0" w:lastRowFirstColumn="0" w:lastRowLastColumn="0"/>
              <w:rPr>
                <w:i/>
                <w:sz w:val="16"/>
              </w:rPr>
            </w:pPr>
            <w:proofErr w:type="spellStart"/>
            <w:r w:rsidRPr="006745BA">
              <w:rPr>
                <w:i/>
                <w:sz w:val="16"/>
              </w:rPr>
              <w:t>Очно-заочное</w:t>
            </w:r>
            <w:proofErr w:type="spellEnd"/>
            <w:r w:rsidRPr="006745BA">
              <w:rPr>
                <w:i/>
                <w:sz w:val="16"/>
              </w:rPr>
              <w:t xml:space="preserve"> дне</w:t>
            </w:r>
            <w:r w:rsidRPr="006745BA">
              <w:rPr>
                <w:i/>
                <w:sz w:val="16"/>
              </w:rPr>
              <w:t>в</w:t>
            </w:r>
            <w:r w:rsidRPr="006745BA">
              <w:rPr>
                <w:i/>
                <w:sz w:val="16"/>
              </w:rPr>
              <w:t>ное</w:t>
            </w:r>
          </w:p>
        </w:tc>
        <w:tc>
          <w:tcPr>
            <w:tcW w:w="1893" w:type="dxa"/>
            <w:gridSpan w:val="3"/>
            <w:tcBorders>
              <w:top w:val="single" w:sz="4" w:space="0" w:color="auto"/>
              <w:bottom w:val="single" w:sz="4" w:space="0" w:color="auto"/>
            </w:tcBorders>
            <w:shd w:val="clear" w:color="auto" w:fill="auto"/>
            <w:noWrap/>
          </w:tcPr>
          <w:p w:rsidR="00F936A8" w:rsidRPr="006745BA" w:rsidRDefault="00F936A8" w:rsidP="00122DDF">
            <w:pPr>
              <w:tabs>
                <w:tab w:val="left" w:pos="1980"/>
              </w:tabs>
              <w:spacing w:before="80" w:after="80" w:line="180" w:lineRule="exact"/>
              <w:jc w:val="center"/>
              <w:cnfStyle w:val="000000000000" w:firstRow="0" w:lastRow="0" w:firstColumn="0" w:lastColumn="0" w:oddVBand="0" w:evenVBand="0" w:oddHBand="0" w:evenHBand="0" w:firstRowFirstColumn="0" w:firstRowLastColumn="0" w:lastRowFirstColumn="0" w:lastRowLastColumn="0"/>
              <w:rPr>
                <w:i/>
                <w:sz w:val="16"/>
              </w:rPr>
            </w:pPr>
            <w:proofErr w:type="spellStart"/>
            <w:r w:rsidRPr="006745BA">
              <w:rPr>
                <w:i/>
                <w:sz w:val="16"/>
              </w:rPr>
              <w:t>Очно-заочное</w:t>
            </w:r>
            <w:proofErr w:type="spellEnd"/>
            <w:r w:rsidRPr="006745BA">
              <w:rPr>
                <w:i/>
                <w:sz w:val="16"/>
              </w:rPr>
              <w:t xml:space="preserve"> вече</w:t>
            </w:r>
            <w:r w:rsidRPr="006745BA">
              <w:rPr>
                <w:i/>
                <w:sz w:val="16"/>
              </w:rPr>
              <w:t>р</w:t>
            </w:r>
            <w:r w:rsidRPr="006745BA">
              <w:rPr>
                <w:i/>
                <w:sz w:val="16"/>
              </w:rPr>
              <w:t>нее</w:t>
            </w:r>
          </w:p>
        </w:tc>
        <w:tc>
          <w:tcPr>
            <w:tcW w:w="620" w:type="dxa"/>
            <w:vMerge w:val="restart"/>
            <w:tcBorders>
              <w:top w:val="single" w:sz="4" w:space="0" w:color="auto"/>
              <w:bottom w:val="nil"/>
            </w:tcBorders>
            <w:shd w:val="clear" w:color="auto" w:fill="auto"/>
            <w:noWrap/>
          </w:tcPr>
          <w:p w:rsidR="00F936A8" w:rsidRPr="00284265" w:rsidRDefault="00F936A8" w:rsidP="00122DDF">
            <w:pPr>
              <w:tabs>
                <w:tab w:val="left" w:pos="1980"/>
              </w:tabs>
              <w:spacing w:before="80" w:after="80" w:line="180" w:lineRule="exact"/>
              <w:cnfStyle w:val="000000000000" w:firstRow="0" w:lastRow="0" w:firstColumn="0" w:lastColumn="0" w:oddVBand="0" w:evenVBand="0" w:oddHBand="0" w:evenHBand="0" w:firstRowFirstColumn="0" w:firstRowLastColumn="0" w:lastRowFirstColumn="0" w:lastRowLastColumn="0"/>
              <w:rPr>
                <w:b/>
                <w:i/>
                <w:sz w:val="16"/>
              </w:rPr>
            </w:pPr>
            <w:r w:rsidRPr="00284265">
              <w:rPr>
                <w:b/>
                <w:i/>
                <w:sz w:val="16"/>
              </w:rPr>
              <w:t>Итого</w:t>
            </w:r>
          </w:p>
        </w:tc>
      </w:tr>
      <w:tr w:rsidR="00F936A8" w:rsidRPr="006745BA" w:rsidTr="00F936A8">
        <w:trPr>
          <w:trHeight w:val="20"/>
          <w:tblHeader/>
        </w:trPr>
        <w:tc>
          <w:tcPr>
            <w:cnfStyle w:val="001000000000" w:firstRow="0" w:lastRow="0" w:firstColumn="1" w:lastColumn="0" w:oddVBand="0" w:evenVBand="0" w:oddHBand="0" w:evenHBand="0" w:firstRowFirstColumn="0" w:firstRowLastColumn="0" w:lastRowFirstColumn="0" w:lastRowLastColumn="0"/>
            <w:tcW w:w="1162" w:type="dxa"/>
            <w:vMerge/>
            <w:tcBorders>
              <w:top w:val="nil"/>
              <w:bottom w:val="single" w:sz="12" w:space="0" w:color="auto"/>
            </w:tcBorders>
            <w:shd w:val="clear" w:color="auto" w:fill="auto"/>
            <w:noWrap/>
          </w:tcPr>
          <w:p w:rsidR="00F936A8" w:rsidRPr="006745BA" w:rsidRDefault="00F936A8" w:rsidP="00122DDF">
            <w:pPr>
              <w:tabs>
                <w:tab w:val="left" w:pos="1980"/>
              </w:tabs>
              <w:spacing w:before="80" w:after="80" w:line="180" w:lineRule="exact"/>
              <w:rPr>
                <w:i/>
                <w:sz w:val="16"/>
              </w:rPr>
            </w:pPr>
          </w:p>
        </w:tc>
        <w:tc>
          <w:tcPr>
            <w:tcW w:w="616" w:type="dxa"/>
            <w:tcBorders>
              <w:top w:val="single" w:sz="4" w:space="0" w:color="auto"/>
              <w:bottom w:val="single" w:sz="12" w:space="0" w:color="auto"/>
            </w:tcBorders>
            <w:shd w:val="clear" w:color="auto" w:fill="auto"/>
            <w:noWrap/>
          </w:tcPr>
          <w:p w:rsidR="00F936A8" w:rsidRPr="00865C59" w:rsidRDefault="00F936A8" w:rsidP="00122DDF">
            <w:pPr>
              <w:tabs>
                <w:tab w:val="left" w:pos="1980"/>
              </w:tabs>
              <w:spacing w:before="80" w:after="80" w:line="180" w:lineRule="exact"/>
              <w:cnfStyle w:val="000000000000" w:firstRow="0" w:lastRow="0" w:firstColumn="0" w:lastColumn="0" w:oddVBand="0" w:evenVBand="0" w:oddHBand="0" w:evenHBand="0" w:firstRowFirstColumn="0" w:firstRowLastColumn="0" w:lastRowFirstColumn="0" w:lastRowLastColumn="0"/>
              <w:rPr>
                <w:i/>
                <w:sz w:val="14"/>
                <w:szCs w:val="14"/>
              </w:rPr>
            </w:pPr>
            <w:proofErr w:type="spellStart"/>
            <w:r w:rsidRPr="00865C59">
              <w:rPr>
                <w:i/>
                <w:sz w:val="14"/>
                <w:szCs w:val="14"/>
              </w:rPr>
              <w:t>Женщ</w:t>
            </w:r>
            <w:proofErr w:type="spellEnd"/>
            <w:r>
              <w:rPr>
                <w:i/>
                <w:sz w:val="14"/>
                <w:szCs w:val="14"/>
              </w:rPr>
              <w:t>.</w:t>
            </w:r>
          </w:p>
        </w:tc>
        <w:tc>
          <w:tcPr>
            <w:tcW w:w="602" w:type="dxa"/>
            <w:tcBorders>
              <w:top w:val="single" w:sz="4" w:space="0" w:color="auto"/>
              <w:bottom w:val="single" w:sz="12" w:space="0" w:color="auto"/>
            </w:tcBorders>
            <w:shd w:val="clear" w:color="auto" w:fill="auto"/>
            <w:noWrap/>
          </w:tcPr>
          <w:p w:rsidR="00F936A8" w:rsidRPr="00865C59" w:rsidRDefault="00F936A8" w:rsidP="00122DDF">
            <w:pPr>
              <w:tabs>
                <w:tab w:val="left" w:pos="1980"/>
              </w:tabs>
              <w:spacing w:before="80" w:after="80" w:line="180" w:lineRule="exact"/>
              <w:cnfStyle w:val="000000000000" w:firstRow="0" w:lastRow="0" w:firstColumn="0" w:lastColumn="0" w:oddVBand="0" w:evenVBand="0" w:oddHBand="0" w:evenHBand="0" w:firstRowFirstColumn="0" w:firstRowLastColumn="0" w:lastRowFirstColumn="0" w:lastRowLastColumn="0"/>
              <w:rPr>
                <w:i/>
                <w:sz w:val="14"/>
                <w:szCs w:val="14"/>
              </w:rPr>
            </w:pPr>
            <w:r w:rsidRPr="00865C59">
              <w:rPr>
                <w:i/>
                <w:sz w:val="14"/>
                <w:szCs w:val="14"/>
              </w:rPr>
              <w:t>Муж</w:t>
            </w:r>
            <w:r>
              <w:rPr>
                <w:i/>
                <w:sz w:val="14"/>
                <w:szCs w:val="14"/>
              </w:rPr>
              <w:t>.</w:t>
            </w:r>
          </w:p>
        </w:tc>
        <w:tc>
          <w:tcPr>
            <w:tcW w:w="714" w:type="dxa"/>
            <w:tcBorders>
              <w:top w:val="single" w:sz="4" w:space="0" w:color="auto"/>
              <w:bottom w:val="single" w:sz="12" w:space="0" w:color="auto"/>
            </w:tcBorders>
            <w:shd w:val="clear" w:color="auto" w:fill="auto"/>
            <w:noWrap/>
          </w:tcPr>
          <w:p w:rsidR="00F936A8" w:rsidRPr="00865C59" w:rsidRDefault="00F936A8" w:rsidP="00122DDF">
            <w:pPr>
              <w:tabs>
                <w:tab w:val="left" w:pos="1980"/>
              </w:tabs>
              <w:spacing w:before="80" w:after="80" w:line="180" w:lineRule="exact"/>
              <w:cnfStyle w:val="000000000000" w:firstRow="0" w:lastRow="0" w:firstColumn="0" w:lastColumn="0" w:oddVBand="0" w:evenVBand="0" w:oddHBand="0" w:evenHBand="0" w:firstRowFirstColumn="0" w:firstRowLastColumn="0" w:lastRowFirstColumn="0" w:lastRowLastColumn="0"/>
              <w:rPr>
                <w:b/>
                <w:i/>
                <w:sz w:val="14"/>
                <w:szCs w:val="14"/>
              </w:rPr>
            </w:pPr>
            <w:r w:rsidRPr="00865C59">
              <w:rPr>
                <w:b/>
                <w:i/>
                <w:sz w:val="14"/>
                <w:szCs w:val="14"/>
              </w:rPr>
              <w:t>Час</w:t>
            </w:r>
            <w:r w:rsidRPr="00865C59">
              <w:rPr>
                <w:b/>
                <w:i/>
                <w:sz w:val="14"/>
                <w:szCs w:val="14"/>
              </w:rPr>
              <w:t>т</w:t>
            </w:r>
            <w:r w:rsidRPr="00865C59">
              <w:rPr>
                <w:b/>
                <w:i/>
                <w:sz w:val="14"/>
                <w:szCs w:val="14"/>
              </w:rPr>
              <w:t>ный итог</w:t>
            </w:r>
          </w:p>
        </w:tc>
        <w:tc>
          <w:tcPr>
            <w:tcW w:w="504" w:type="dxa"/>
            <w:tcBorders>
              <w:top w:val="single" w:sz="4" w:space="0" w:color="auto"/>
              <w:bottom w:val="single" w:sz="12" w:space="0" w:color="auto"/>
            </w:tcBorders>
            <w:shd w:val="clear" w:color="auto" w:fill="auto"/>
            <w:noWrap/>
          </w:tcPr>
          <w:p w:rsidR="00F936A8" w:rsidRPr="00865C59" w:rsidRDefault="00F936A8" w:rsidP="00122DDF">
            <w:pPr>
              <w:tabs>
                <w:tab w:val="left" w:pos="1980"/>
              </w:tabs>
              <w:spacing w:before="80" w:after="80" w:line="180" w:lineRule="exact"/>
              <w:cnfStyle w:val="000000000000" w:firstRow="0" w:lastRow="0" w:firstColumn="0" w:lastColumn="0" w:oddVBand="0" w:evenVBand="0" w:oddHBand="0" w:evenHBand="0" w:firstRowFirstColumn="0" w:firstRowLastColumn="0" w:lastRowFirstColumn="0" w:lastRowLastColumn="0"/>
              <w:rPr>
                <w:i/>
                <w:sz w:val="14"/>
                <w:szCs w:val="14"/>
              </w:rPr>
            </w:pPr>
            <w:proofErr w:type="spellStart"/>
            <w:r w:rsidRPr="00865C59">
              <w:rPr>
                <w:i/>
                <w:sz w:val="14"/>
                <w:szCs w:val="14"/>
              </w:rPr>
              <w:t>Жен</w:t>
            </w:r>
            <w:r w:rsidRPr="00865C59">
              <w:rPr>
                <w:i/>
                <w:sz w:val="14"/>
                <w:szCs w:val="14"/>
              </w:rPr>
              <w:t>щ</w:t>
            </w:r>
            <w:proofErr w:type="spellEnd"/>
            <w:r>
              <w:rPr>
                <w:i/>
                <w:sz w:val="14"/>
                <w:szCs w:val="14"/>
              </w:rPr>
              <w:t>.</w:t>
            </w:r>
          </w:p>
        </w:tc>
        <w:tc>
          <w:tcPr>
            <w:tcW w:w="532" w:type="dxa"/>
            <w:tcBorders>
              <w:top w:val="single" w:sz="4" w:space="0" w:color="auto"/>
              <w:bottom w:val="single" w:sz="12" w:space="0" w:color="auto"/>
            </w:tcBorders>
            <w:shd w:val="clear" w:color="auto" w:fill="auto"/>
            <w:noWrap/>
          </w:tcPr>
          <w:p w:rsidR="00F936A8" w:rsidRPr="00865C59" w:rsidRDefault="00F936A8" w:rsidP="00122DDF">
            <w:pPr>
              <w:tabs>
                <w:tab w:val="left" w:pos="1980"/>
              </w:tabs>
              <w:spacing w:before="80" w:after="80" w:line="180" w:lineRule="exact"/>
              <w:cnfStyle w:val="000000000000" w:firstRow="0" w:lastRow="0" w:firstColumn="0" w:lastColumn="0" w:oddVBand="0" w:evenVBand="0" w:oddHBand="0" w:evenHBand="0" w:firstRowFirstColumn="0" w:firstRowLastColumn="0" w:lastRowFirstColumn="0" w:lastRowLastColumn="0"/>
              <w:rPr>
                <w:i/>
                <w:sz w:val="14"/>
                <w:szCs w:val="14"/>
              </w:rPr>
            </w:pPr>
            <w:r w:rsidRPr="00865C59">
              <w:rPr>
                <w:i/>
                <w:sz w:val="14"/>
                <w:szCs w:val="14"/>
              </w:rPr>
              <w:t>М</w:t>
            </w:r>
            <w:r w:rsidRPr="00865C59">
              <w:rPr>
                <w:i/>
                <w:sz w:val="14"/>
                <w:szCs w:val="14"/>
              </w:rPr>
              <w:t>у</w:t>
            </w:r>
            <w:r w:rsidRPr="00865C59">
              <w:rPr>
                <w:i/>
                <w:sz w:val="14"/>
                <w:szCs w:val="14"/>
              </w:rPr>
              <w:t>ж</w:t>
            </w:r>
            <w:r>
              <w:rPr>
                <w:i/>
                <w:sz w:val="14"/>
                <w:szCs w:val="14"/>
              </w:rPr>
              <w:t>.</w:t>
            </w:r>
          </w:p>
        </w:tc>
        <w:tc>
          <w:tcPr>
            <w:tcW w:w="727" w:type="dxa"/>
            <w:tcBorders>
              <w:top w:val="single" w:sz="4" w:space="0" w:color="auto"/>
              <w:bottom w:val="single" w:sz="12" w:space="0" w:color="auto"/>
            </w:tcBorders>
            <w:shd w:val="clear" w:color="auto" w:fill="auto"/>
            <w:noWrap/>
          </w:tcPr>
          <w:p w:rsidR="00F936A8" w:rsidRPr="00865C59" w:rsidRDefault="00F936A8" w:rsidP="00122DDF">
            <w:pPr>
              <w:tabs>
                <w:tab w:val="left" w:pos="1980"/>
              </w:tabs>
              <w:spacing w:before="80" w:after="80" w:line="180" w:lineRule="exact"/>
              <w:cnfStyle w:val="000000000000" w:firstRow="0" w:lastRow="0" w:firstColumn="0" w:lastColumn="0" w:oddVBand="0" w:evenVBand="0" w:oddHBand="0" w:evenHBand="0" w:firstRowFirstColumn="0" w:firstRowLastColumn="0" w:lastRowFirstColumn="0" w:lastRowLastColumn="0"/>
              <w:rPr>
                <w:b/>
                <w:i/>
                <w:sz w:val="14"/>
                <w:szCs w:val="14"/>
              </w:rPr>
            </w:pPr>
            <w:r w:rsidRPr="00865C59">
              <w:rPr>
                <w:b/>
                <w:i/>
                <w:sz w:val="14"/>
                <w:szCs w:val="14"/>
              </w:rPr>
              <w:t>Час</w:t>
            </w:r>
            <w:r w:rsidRPr="00865C59">
              <w:rPr>
                <w:b/>
                <w:i/>
                <w:sz w:val="14"/>
                <w:szCs w:val="14"/>
              </w:rPr>
              <w:t>т</w:t>
            </w:r>
            <w:r w:rsidRPr="00865C59">
              <w:rPr>
                <w:b/>
                <w:i/>
                <w:sz w:val="14"/>
                <w:szCs w:val="14"/>
              </w:rPr>
              <w:t>ный итог</w:t>
            </w:r>
          </w:p>
        </w:tc>
        <w:tc>
          <w:tcPr>
            <w:tcW w:w="560" w:type="dxa"/>
            <w:tcBorders>
              <w:top w:val="single" w:sz="4" w:space="0" w:color="auto"/>
              <w:bottom w:val="single" w:sz="12" w:space="0" w:color="auto"/>
            </w:tcBorders>
            <w:shd w:val="clear" w:color="auto" w:fill="auto"/>
            <w:noWrap/>
          </w:tcPr>
          <w:p w:rsidR="00F936A8" w:rsidRPr="00865C59" w:rsidRDefault="00F936A8" w:rsidP="00122DDF">
            <w:pPr>
              <w:tabs>
                <w:tab w:val="left" w:pos="1980"/>
              </w:tabs>
              <w:spacing w:before="80" w:after="80" w:line="180" w:lineRule="exact"/>
              <w:cnfStyle w:val="000000000000" w:firstRow="0" w:lastRow="0" w:firstColumn="0" w:lastColumn="0" w:oddVBand="0" w:evenVBand="0" w:oddHBand="0" w:evenHBand="0" w:firstRowFirstColumn="0" w:firstRowLastColumn="0" w:lastRowFirstColumn="0" w:lastRowLastColumn="0"/>
              <w:rPr>
                <w:i/>
                <w:sz w:val="14"/>
                <w:szCs w:val="14"/>
              </w:rPr>
            </w:pPr>
            <w:proofErr w:type="spellStart"/>
            <w:r w:rsidRPr="00865C59">
              <w:rPr>
                <w:i/>
                <w:sz w:val="14"/>
                <w:szCs w:val="14"/>
              </w:rPr>
              <w:t>Жен</w:t>
            </w:r>
            <w:r w:rsidRPr="00865C59">
              <w:rPr>
                <w:i/>
                <w:sz w:val="14"/>
                <w:szCs w:val="14"/>
              </w:rPr>
              <w:t>щ</w:t>
            </w:r>
            <w:proofErr w:type="spellEnd"/>
            <w:r>
              <w:rPr>
                <w:i/>
                <w:sz w:val="14"/>
                <w:szCs w:val="14"/>
              </w:rPr>
              <w:t>.</w:t>
            </w:r>
          </w:p>
        </w:tc>
        <w:tc>
          <w:tcPr>
            <w:tcW w:w="616" w:type="dxa"/>
            <w:tcBorders>
              <w:top w:val="single" w:sz="4" w:space="0" w:color="auto"/>
              <w:bottom w:val="single" w:sz="12" w:space="0" w:color="auto"/>
            </w:tcBorders>
            <w:shd w:val="clear" w:color="auto" w:fill="auto"/>
            <w:noWrap/>
          </w:tcPr>
          <w:p w:rsidR="00F936A8" w:rsidRPr="00865C59" w:rsidRDefault="00F936A8" w:rsidP="00122DDF">
            <w:pPr>
              <w:tabs>
                <w:tab w:val="left" w:pos="1980"/>
              </w:tabs>
              <w:spacing w:before="80" w:after="80" w:line="180" w:lineRule="exact"/>
              <w:cnfStyle w:val="000000000000" w:firstRow="0" w:lastRow="0" w:firstColumn="0" w:lastColumn="0" w:oddVBand="0" w:evenVBand="0" w:oddHBand="0" w:evenHBand="0" w:firstRowFirstColumn="0" w:firstRowLastColumn="0" w:lastRowFirstColumn="0" w:lastRowLastColumn="0"/>
              <w:rPr>
                <w:i/>
                <w:sz w:val="14"/>
                <w:szCs w:val="14"/>
              </w:rPr>
            </w:pPr>
            <w:r w:rsidRPr="00865C59">
              <w:rPr>
                <w:i/>
                <w:sz w:val="14"/>
                <w:szCs w:val="14"/>
              </w:rPr>
              <w:t>Муж</w:t>
            </w:r>
            <w:r>
              <w:rPr>
                <w:i/>
                <w:sz w:val="14"/>
                <w:szCs w:val="14"/>
              </w:rPr>
              <w:t>.</w:t>
            </w:r>
          </w:p>
        </w:tc>
        <w:tc>
          <w:tcPr>
            <w:tcW w:w="717" w:type="dxa"/>
            <w:tcBorders>
              <w:top w:val="single" w:sz="4" w:space="0" w:color="auto"/>
              <w:bottom w:val="single" w:sz="12" w:space="0" w:color="auto"/>
            </w:tcBorders>
            <w:shd w:val="clear" w:color="auto" w:fill="auto"/>
            <w:noWrap/>
          </w:tcPr>
          <w:p w:rsidR="00F936A8" w:rsidRPr="00865C59" w:rsidRDefault="00F936A8" w:rsidP="00122DDF">
            <w:pPr>
              <w:tabs>
                <w:tab w:val="left" w:pos="1980"/>
              </w:tabs>
              <w:spacing w:before="80" w:after="80" w:line="180" w:lineRule="exact"/>
              <w:cnfStyle w:val="000000000000" w:firstRow="0" w:lastRow="0" w:firstColumn="0" w:lastColumn="0" w:oddVBand="0" w:evenVBand="0" w:oddHBand="0" w:evenHBand="0" w:firstRowFirstColumn="0" w:firstRowLastColumn="0" w:lastRowFirstColumn="0" w:lastRowLastColumn="0"/>
              <w:rPr>
                <w:b/>
                <w:i/>
                <w:sz w:val="14"/>
                <w:szCs w:val="14"/>
              </w:rPr>
            </w:pPr>
            <w:r w:rsidRPr="00865C59">
              <w:rPr>
                <w:b/>
                <w:i/>
                <w:sz w:val="14"/>
                <w:szCs w:val="14"/>
              </w:rPr>
              <w:t>Час</w:t>
            </w:r>
            <w:r w:rsidRPr="00865C59">
              <w:rPr>
                <w:b/>
                <w:i/>
                <w:sz w:val="14"/>
                <w:szCs w:val="14"/>
              </w:rPr>
              <w:t>т</w:t>
            </w:r>
            <w:r w:rsidRPr="00865C59">
              <w:rPr>
                <w:b/>
                <w:i/>
                <w:sz w:val="14"/>
                <w:szCs w:val="14"/>
              </w:rPr>
              <w:t>ный итог</w:t>
            </w:r>
          </w:p>
        </w:tc>
        <w:tc>
          <w:tcPr>
            <w:tcW w:w="620" w:type="dxa"/>
            <w:vMerge/>
            <w:tcBorders>
              <w:top w:val="nil"/>
              <w:bottom w:val="single" w:sz="12" w:space="0" w:color="auto"/>
            </w:tcBorders>
            <w:shd w:val="clear" w:color="auto" w:fill="auto"/>
            <w:noWrap/>
          </w:tcPr>
          <w:p w:rsidR="00F936A8" w:rsidRPr="00284265" w:rsidRDefault="00F936A8" w:rsidP="00122DDF">
            <w:pPr>
              <w:tabs>
                <w:tab w:val="left" w:pos="1980"/>
              </w:tabs>
              <w:spacing w:before="80" w:after="80" w:line="180" w:lineRule="exact"/>
              <w:cnfStyle w:val="000000000000" w:firstRow="0" w:lastRow="0" w:firstColumn="0" w:lastColumn="0" w:oddVBand="0" w:evenVBand="0" w:oddHBand="0" w:evenHBand="0" w:firstRowFirstColumn="0" w:firstRowLastColumn="0" w:lastRowFirstColumn="0" w:lastRowLastColumn="0"/>
              <w:rPr>
                <w:b/>
                <w:i/>
                <w:sz w:val="16"/>
              </w:rPr>
            </w:pPr>
          </w:p>
        </w:tc>
      </w:tr>
      <w:tr w:rsidR="00F936A8" w:rsidRPr="006745BA" w:rsidTr="00F936A8">
        <w:trPr>
          <w:trHeight w:val="20"/>
        </w:trPr>
        <w:tc>
          <w:tcPr>
            <w:cnfStyle w:val="001000000000" w:firstRow="0" w:lastRow="0" w:firstColumn="1" w:lastColumn="0" w:oddVBand="0" w:evenVBand="0" w:oddHBand="0" w:evenHBand="0" w:firstRowFirstColumn="0" w:firstRowLastColumn="0" w:lastRowFirstColumn="0" w:lastRowLastColumn="0"/>
            <w:tcW w:w="1162" w:type="dxa"/>
            <w:tcBorders>
              <w:top w:val="single" w:sz="12" w:space="0" w:color="auto"/>
            </w:tcBorders>
            <w:noWrap/>
          </w:tcPr>
          <w:p w:rsidR="00F936A8" w:rsidRPr="006745BA" w:rsidRDefault="00F936A8" w:rsidP="00122DDF">
            <w:pPr>
              <w:tabs>
                <w:tab w:val="left" w:pos="1980"/>
              </w:tabs>
            </w:pPr>
            <w:r w:rsidRPr="006745BA">
              <w:t xml:space="preserve">Инженер </w:t>
            </w:r>
          </w:p>
        </w:tc>
        <w:tc>
          <w:tcPr>
            <w:tcW w:w="616" w:type="dxa"/>
            <w:tcBorders>
              <w:top w:val="single" w:sz="12" w:space="0" w:color="auto"/>
            </w:tcBorders>
            <w:noWrap/>
          </w:tcPr>
          <w:p w:rsidR="00F936A8" w:rsidRPr="006745BA"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6745BA">
              <w:t>14 296</w:t>
            </w:r>
          </w:p>
        </w:tc>
        <w:tc>
          <w:tcPr>
            <w:tcW w:w="602" w:type="dxa"/>
            <w:tcBorders>
              <w:top w:val="single" w:sz="12" w:space="0" w:color="auto"/>
            </w:tcBorders>
            <w:noWrap/>
          </w:tcPr>
          <w:p w:rsidR="00F936A8" w:rsidRPr="006745BA"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6745BA">
              <w:t>20 706</w:t>
            </w:r>
          </w:p>
        </w:tc>
        <w:tc>
          <w:tcPr>
            <w:tcW w:w="714" w:type="dxa"/>
            <w:tcBorders>
              <w:top w:val="single" w:sz="12" w:space="0" w:color="auto"/>
            </w:tcBorders>
            <w:noWrap/>
          </w:tcPr>
          <w:p w:rsidR="00F936A8" w:rsidRPr="00865C59"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865C59">
              <w:rPr>
                <w:b/>
              </w:rPr>
              <w:t>35 002</w:t>
            </w:r>
          </w:p>
        </w:tc>
        <w:tc>
          <w:tcPr>
            <w:tcW w:w="504" w:type="dxa"/>
            <w:tcBorders>
              <w:top w:val="single" w:sz="12" w:space="0" w:color="auto"/>
            </w:tcBorders>
            <w:noWrap/>
          </w:tcPr>
          <w:p w:rsidR="00F936A8" w:rsidRPr="006745BA"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6745BA">
              <w:t>17</w:t>
            </w:r>
          </w:p>
        </w:tc>
        <w:tc>
          <w:tcPr>
            <w:tcW w:w="532" w:type="dxa"/>
            <w:tcBorders>
              <w:top w:val="single" w:sz="12" w:space="0" w:color="auto"/>
            </w:tcBorders>
            <w:noWrap/>
          </w:tcPr>
          <w:p w:rsidR="00F936A8" w:rsidRPr="006745BA"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6745BA">
              <w:t>758</w:t>
            </w:r>
          </w:p>
        </w:tc>
        <w:tc>
          <w:tcPr>
            <w:tcW w:w="727" w:type="dxa"/>
            <w:tcBorders>
              <w:top w:val="single" w:sz="12" w:space="0" w:color="auto"/>
            </w:tcBorders>
            <w:noWrap/>
          </w:tcPr>
          <w:p w:rsidR="00F936A8" w:rsidRPr="00865C59"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865C59">
              <w:rPr>
                <w:b/>
              </w:rPr>
              <w:t>775</w:t>
            </w:r>
          </w:p>
        </w:tc>
        <w:tc>
          <w:tcPr>
            <w:tcW w:w="560" w:type="dxa"/>
            <w:tcBorders>
              <w:top w:val="single" w:sz="12" w:space="0" w:color="auto"/>
            </w:tcBorders>
            <w:noWrap/>
          </w:tcPr>
          <w:p w:rsidR="00F936A8" w:rsidRPr="006745BA"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6745BA">
              <w:t>2 307</w:t>
            </w:r>
          </w:p>
        </w:tc>
        <w:tc>
          <w:tcPr>
            <w:tcW w:w="616" w:type="dxa"/>
            <w:tcBorders>
              <w:top w:val="single" w:sz="12" w:space="0" w:color="auto"/>
            </w:tcBorders>
            <w:noWrap/>
          </w:tcPr>
          <w:p w:rsidR="00F936A8" w:rsidRPr="006745BA"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6745BA">
              <w:t>6 391</w:t>
            </w:r>
          </w:p>
        </w:tc>
        <w:tc>
          <w:tcPr>
            <w:tcW w:w="717" w:type="dxa"/>
            <w:tcBorders>
              <w:top w:val="single" w:sz="12" w:space="0" w:color="auto"/>
            </w:tcBorders>
            <w:noWrap/>
          </w:tcPr>
          <w:p w:rsidR="00F936A8" w:rsidRPr="00865C59"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865C59">
              <w:rPr>
                <w:b/>
              </w:rPr>
              <w:t>8 698</w:t>
            </w:r>
          </w:p>
        </w:tc>
        <w:tc>
          <w:tcPr>
            <w:tcW w:w="620" w:type="dxa"/>
            <w:tcBorders>
              <w:top w:val="single" w:sz="12" w:space="0" w:color="auto"/>
            </w:tcBorders>
            <w:noWrap/>
          </w:tcPr>
          <w:p w:rsidR="00F936A8" w:rsidRPr="00284265"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284265">
              <w:rPr>
                <w:b/>
              </w:rPr>
              <w:t>44 475</w:t>
            </w:r>
          </w:p>
        </w:tc>
      </w:tr>
      <w:tr w:rsidR="00F936A8" w:rsidRPr="006745BA" w:rsidTr="00F936A8">
        <w:trPr>
          <w:trHeight w:val="20"/>
        </w:trPr>
        <w:tc>
          <w:tcPr>
            <w:cnfStyle w:val="001000000000" w:firstRow="0" w:lastRow="0" w:firstColumn="1" w:lastColumn="0" w:oddVBand="0" w:evenVBand="0" w:oddHBand="0" w:evenHBand="0" w:firstRowFirstColumn="0" w:firstRowLastColumn="0" w:lastRowFirstColumn="0" w:lastRowLastColumn="0"/>
            <w:tcW w:w="1162" w:type="dxa"/>
            <w:noWrap/>
          </w:tcPr>
          <w:p w:rsidR="00F936A8" w:rsidRPr="006745BA" w:rsidRDefault="00F936A8" w:rsidP="00122DDF">
            <w:pPr>
              <w:tabs>
                <w:tab w:val="left" w:pos="1980"/>
              </w:tabs>
            </w:pPr>
            <w:r w:rsidRPr="006745BA">
              <w:t xml:space="preserve">Техник </w:t>
            </w:r>
          </w:p>
        </w:tc>
        <w:tc>
          <w:tcPr>
            <w:tcW w:w="616" w:type="dxa"/>
            <w:noWrap/>
          </w:tcPr>
          <w:p w:rsidR="00F936A8" w:rsidRPr="006745BA"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6745BA">
              <w:t>3 463</w:t>
            </w:r>
          </w:p>
        </w:tc>
        <w:tc>
          <w:tcPr>
            <w:tcW w:w="602" w:type="dxa"/>
            <w:noWrap/>
          </w:tcPr>
          <w:p w:rsidR="00F936A8" w:rsidRPr="006745BA"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6745BA">
              <w:t>5 556</w:t>
            </w:r>
          </w:p>
        </w:tc>
        <w:tc>
          <w:tcPr>
            <w:tcW w:w="714" w:type="dxa"/>
            <w:noWrap/>
          </w:tcPr>
          <w:p w:rsidR="00F936A8" w:rsidRPr="00865C59"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865C59">
              <w:rPr>
                <w:b/>
              </w:rPr>
              <w:t>9 019</w:t>
            </w:r>
          </w:p>
        </w:tc>
        <w:tc>
          <w:tcPr>
            <w:tcW w:w="504" w:type="dxa"/>
            <w:noWrap/>
          </w:tcPr>
          <w:p w:rsidR="00F936A8" w:rsidRPr="006745BA"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6745BA">
              <w:t>31</w:t>
            </w:r>
          </w:p>
        </w:tc>
        <w:tc>
          <w:tcPr>
            <w:tcW w:w="532" w:type="dxa"/>
            <w:noWrap/>
          </w:tcPr>
          <w:p w:rsidR="00F936A8" w:rsidRPr="006745BA"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6745BA">
              <w:t>200</w:t>
            </w:r>
          </w:p>
        </w:tc>
        <w:tc>
          <w:tcPr>
            <w:tcW w:w="727" w:type="dxa"/>
            <w:noWrap/>
          </w:tcPr>
          <w:p w:rsidR="00F936A8" w:rsidRPr="00865C59"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865C59">
              <w:rPr>
                <w:b/>
              </w:rPr>
              <w:t>231</w:t>
            </w:r>
          </w:p>
        </w:tc>
        <w:tc>
          <w:tcPr>
            <w:tcW w:w="560" w:type="dxa"/>
            <w:noWrap/>
          </w:tcPr>
          <w:p w:rsidR="00F936A8" w:rsidRPr="006745BA"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6745BA">
              <w:t>1 036</w:t>
            </w:r>
          </w:p>
        </w:tc>
        <w:tc>
          <w:tcPr>
            <w:tcW w:w="616" w:type="dxa"/>
            <w:noWrap/>
          </w:tcPr>
          <w:p w:rsidR="00F936A8" w:rsidRPr="006745BA"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6745BA">
              <w:t>2 307</w:t>
            </w:r>
          </w:p>
        </w:tc>
        <w:tc>
          <w:tcPr>
            <w:tcW w:w="717" w:type="dxa"/>
            <w:noWrap/>
          </w:tcPr>
          <w:p w:rsidR="00F936A8" w:rsidRPr="00865C59"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865C59">
              <w:rPr>
                <w:b/>
              </w:rPr>
              <w:t>3 343</w:t>
            </w:r>
          </w:p>
        </w:tc>
        <w:tc>
          <w:tcPr>
            <w:tcW w:w="620" w:type="dxa"/>
            <w:noWrap/>
          </w:tcPr>
          <w:p w:rsidR="00F936A8" w:rsidRPr="00284265"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284265">
              <w:rPr>
                <w:b/>
              </w:rPr>
              <w:t>12 593</w:t>
            </w:r>
          </w:p>
        </w:tc>
      </w:tr>
      <w:tr w:rsidR="00F936A8" w:rsidRPr="006745BA" w:rsidTr="00F936A8">
        <w:trPr>
          <w:trHeight w:val="20"/>
        </w:trPr>
        <w:tc>
          <w:tcPr>
            <w:cnfStyle w:val="001000000000" w:firstRow="0" w:lastRow="0" w:firstColumn="1" w:lastColumn="0" w:oddVBand="0" w:evenVBand="0" w:oddHBand="0" w:evenHBand="0" w:firstRowFirstColumn="0" w:firstRowLastColumn="0" w:lastRowFirstColumn="0" w:lastRowLastColumn="0"/>
            <w:tcW w:w="1162" w:type="dxa"/>
            <w:tcBorders>
              <w:bottom w:val="single" w:sz="4" w:space="0" w:color="auto"/>
            </w:tcBorders>
            <w:noWrap/>
          </w:tcPr>
          <w:p w:rsidR="00F936A8" w:rsidRPr="006745BA" w:rsidRDefault="00F936A8" w:rsidP="00122DDF">
            <w:pPr>
              <w:tabs>
                <w:tab w:val="left" w:pos="1980"/>
              </w:tabs>
            </w:pPr>
            <w:r w:rsidRPr="006745BA">
              <w:t>Специ</w:t>
            </w:r>
            <w:r w:rsidRPr="006745BA">
              <w:t>а</w:t>
            </w:r>
            <w:r w:rsidRPr="006745BA">
              <w:t>лист</w:t>
            </w:r>
          </w:p>
        </w:tc>
        <w:tc>
          <w:tcPr>
            <w:tcW w:w="616" w:type="dxa"/>
            <w:tcBorders>
              <w:bottom w:val="single" w:sz="4" w:space="0" w:color="auto"/>
            </w:tcBorders>
            <w:noWrap/>
          </w:tcPr>
          <w:p w:rsidR="00F936A8" w:rsidRPr="006745BA"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6745BA">
              <w:t>237</w:t>
            </w:r>
          </w:p>
        </w:tc>
        <w:tc>
          <w:tcPr>
            <w:tcW w:w="602" w:type="dxa"/>
            <w:tcBorders>
              <w:bottom w:val="single" w:sz="4" w:space="0" w:color="auto"/>
            </w:tcBorders>
            <w:noWrap/>
          </w:tcPr>
          <w:p w:rsidR="00F936A8" w:rsidRPr="006745BA"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6745BA">
              <w:t>561</w:t>
            </w:r>
          </w:p>
        </w:tc>
        <w:tc>
          <w:tcPr>
            <w:tcW w:w="714" w:type="dxa"/>
            <w:tcBorders>
              <w:bottom w:val="single" w:sz="4" w:space="0" w:color="auto"/>
            </w:tcBorders>
            <w:noWrap/>
          </w:tcPr>
          <w:p w:rsidR="00F936A8" w:rsidRPr="00865C59"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865C59">
              <w:rPr>
                <w:b/>
              </w:rPr>
              <w:t>798</w:t>
            </w:r>
          </w:p>
        </w:tc>
        <w:tc>
          <w:tcPr>
            <w:tcW w:w="504" w:type="dxa"/>
            <w:tcBorders>
              <w:bottom w:val="single" w:sz="4" w:space="0" w:color="auto"/>
            </w:tcBorders>
            <w:noWrap/>
          </w:tcPr>
          <w:p w:rsidR="00F936A8" w:rsidRPr="006745BA"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6745BA">
              <w:t>9</w:t>
            </w:r>
          </w:p>
        </w:tc>
        <w:tc>
          <w:tcPr>
            <w:tcW w:w="532" w:type="dxa"/>
            <w:tcBorders>
              <w:bottom w:val="single" w:sz="4" w:space="0" w:color="auto"/>
            </w:tcBorders>
            <w:noWrap/>
          </w:tcPr>
          <w:p w:rsidR="00F936A8" w:rsidRPr="006745BA"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6745BA">
              <w:t>1 625</w:t>
            </w:r>
          </w:p>
        </w:tc>
        <w:tc>
          <w:tcPr>
            <w:tcW w:w="727" w:type="dxa"/>
            <w:tcBorders>
              <w:bottom w:val="single" w:sz="4" w:space="0" w:color="auto"/>
            </w:tcBorders>
            <w:noWrap/>
          </w:tcPr>
          <w:p w:rsidR="00F936A8" w:rsidRPr="00865C59"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865C59">
              <w:rPr>
                <w:b/>
              </w:rPr>
              <w:t>1 634</w:t>
            </w:r>
          </w:p>
        </w:tc>
        <w:tc>
          <w:tcPr>
            <w:tcW w:w="560" w:type="dxa"/>
            <w:tcBorders>
              <w:bottom w:val="single" w:sz="4" w:space="0" w:color="auto"/>
            </w:tcBorders>
            <w:noWrap/>
          </w:tcPr>
          <w:p w:rsidR="00F936A8" w:rsidRPr="006745BA"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6745BA">
              <w:t>32</w:t>
            </w:r>
          </w:p>
        </w:tc>
        <w:tc>
          <w:tcPr>
            <w:tcW w:w="616" w:type="dxa"/>
            <w:tcBorders>
              <w:bottom w:val="single" w:sz="4" w:space="0" w:color="auto"/>
            </w:tcBorders>
            <w:noWrap/>
          </w:tcPr>
          <w:p w:rsidR="00F936A8" w:rsidRPr="006745BA"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6745BA">
              <w:t>1 482</w:t>
            </w:r>
          </w:p>
        </w:tc>
        <w:tc>
          <w:tcPr>
            <w:tcW w:w="717" w:type="dxa"/>
            <w:tcBorders>
              <w:bottom w:val="single" w:sz="4" w:space="0" w:color="auto"/>
            </w:tcBorders>
            <w:noWrap/>
          </w:tcPr>
          <w:p w:rsidR="00F936A8" w:rsidRPr="00865C59"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865C59">
              <w:rPr>
                <w:b/>
              </w:rPr>
              <w:t>1 514</w:t>
            </w:r>
          </w:p>
        </w:tc>
        <w:tc>
          <w:tcPr>
            <w:tcW w:w="620" w:type="dxa"/>
            <w:tcBorders>
              <w:bottom w:val="single" w:sz="4" w:space="0" w:color="auto"/>
            </w:tcBorders>
            <w:noWrap/>
          </w:tcPr>
          <w:p w:rsidR="00F936A8" w:rsidRPr="00284265"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284265">
              <w:rPr>
                <w:b/>
              </w:rPr>
              <w:t>3 946</w:t>
            </w:r>
          </w:p>
        </w:tc>
      </w:tr>
      <w:tr w:rsidR="00F936A8" w:rsidRPr="006745BA" w:rsidTr="00F936A8">
        <w:trPr>
          <w:trHeight w:val="20"/>
        </w:trPr>
        <w:tc>
          <w:tcPr>
            <w:cnfStyle w:val="001000000000" w:firstRow="0" w:lastRow="0" w:firstColumn="1" w:lastColumn="0" w:oddVBand="0" w:evenVBand="0" w:oddHBand="0" w:evenHBand="0" w:firstRowFirstColumn="0" w:firstRowLastColumn="0" w:lastRowFirstColumn="0" w:lastRowLastColumn="0"/>
            <w:tcW w:w="1162" w:type="dxa"/>
            <w:tcBorders>
              <w:top w:val="single" w:sz="4" w:space="0" w:color="auto"/>
            </w:tcBorders>
            <w:noWrap/>
          </w:tcPr>
          <w:p w:rsidR="00F936A8" w:rsidRPr="006745BA" w:rsidRDefault="00F936A8" w:rsidP="00122DDF">
            <w:pPr>
              <w:tabs>
                <w:tab w:val="left" w:pos="1980"/>
              </w:tabs>
              <w:rPr>
                <w:b/>
              </w:rPr>
            </w:pPr>
            <w:r w:rsidRPr="006745BA">
              <w:rPr>
                <w:b/>
              </w:rPr>
              <w:t>Итого</w:t>
            </w:r>
          </w:p>
        </w:tc>
        <w:tc>
          <w:tcPr>
            <w:tcW w:w="616" w:type="dxa"/>
            <w:tcBorders>
              <w:top w:val="single" w:sz="4" w:space="0" w:color="auto"/>
              <w:bottom w:val="single" w:sz="12" w:space="0" w:color="auto"/>
            </w:tcBorders>
            <w:noWrap/>
          </w:tcPr>
          <w:p w:rsidR="00F936A8" w:rsidRPr="006745BA"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6745BA">
              <w:rPr>
                <w:b/>
              </w:rPr>
              <w:t>17 996</w:t>
            </w:r>
          </w:p>
        </w:tc>
        <w:tc>
          <w:tcPr>
            <w:tcW w:w="602" w:type="dxa"/>
            <w:tcBorders>
              <w:top w:val="single" w:sz="4" w:space="0" w:color="auto"/>
              <w:bottom w:val="single" w:sz="12" w:space="0" w:color="auto"/>
            </w:tcBorders>
            <w:noWrap/>
          </w:tcPr>
          <w:p w:rsidR="00F936A8" w:rsidRPr="006745BA"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6745BA">
              <w:rPr>
                <w:b/>
              </w:rPr>
              <w:t>26 823</w:t>
            </w:r>
          </w:p>
        </w:tc>
        <w:tc>
          <w:tcPr>
            <w:tcW w:w="714" w:type="dxa"/>
            <w:tcBorders>
              <w:top w:val="single" w:sz="4" w:space="0" w:color="auto"/>
              <w:bottom w:val="single" w:sz="12" w:space="0" w:color="auto"/>
            </w:tcBorders>
            <w:noWrap/>
          </w:tcPr>
          <w:p w:rsidR="00F936A8" w:rsidRPr="006745BA"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6745BA">
              <w:rPr>
                <w:b/>
              </w:rPr>
              <w:t>44 819</w:t>
            </w:r>
          </w:p>
        </w:tc>
        <w:tc>
          <w:tcPr>
            <w:tcW w:w="504" w:type="dxa"/>
            <w:tcBorders>
              <w:top w:val="single" w:sz="4" w:space="0" w:color="auto"/>
              <w:bottom w:val="single" w:sz="12" w:space="0" w:color="auto"/>
            </w:tcBorders>
            <w:noWrap/>
          </w:tcPr>
          <w:p w:rsidR="00F936A8" w:rsidRPr="006745BA"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6745BA">
              <w:rPr>
                <w:b/>
              </w:rPr>
              <w:t>57</w:t>
            </w:r>
          </w:p>
        </w:tc>
        <w:tc>
          <w:tcPr>
            <w:tcW w:w="532" w:type="dxa"/>
            <w:tcBorders>
              <w:top w:val="single" w:sz="4" w:space="0" w:color="auto"/>
              <w:bottom w:val="single" w:sz="12" w:space="0" w:color="auto"/>
            </w:tcBorders>
            <w:noWrap/>
          </w:tcPr>
          <w:p w:rsidR="00F936A8" w:rsidRPr="006745BA"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6745BA">
              <w:rPr>
                <w:b/>
              </w:rPr>
              <w:t>2 583</w:t>
            </w:r>
          </w:p>
        </w:tc>
        <w:tc>
          <w:tcPr>
            <w:tcW w:w="727" w:type="dxa"/>
            <w:tcBorders>
              <w:top w:val="single" w:sz="4" w:space="0" w:color="auto"/>
              <w:bottom w:val="single" w:sz="12" w:space="0" w:color="auto"/>
            </w:tcBorders>
            <w:noWrap/>
          </w:tcPr>
          <w:p w:rsidR="00F936A8" w:rsidRPr="006745BA"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6745BA">
              <w:rPr>
                <w:b/>
              </w:rPr>
              <w:t>2 640</w:t>
            </w:r>
          </w:p>
        </w:tc>
        <w:tc>
          <w:tcPr>
            <w:tcW w:w="560" w:type="dxa"/>
            <w:tcBorders>
              <w:top w:val="single" w:sz="4" w:space="0" w:color="auto"/>
              <w:bottom w:val="single" w:sz="12" w:space="0" w:color="auto"/>
            </w:tcBorders>
            <w:noWrap/>
          </w:tcPr>
          <w:p w:rsidR="00F936A8" w:rsidRPr="006745BA"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6745BA">
              <w:rPr>
                <w:b/>
              </w:rPr>
              <w:t>3 375</w:t>
            </w:r>
          </w:p>
        </w:tc>
        <w:tc>
          <w:tcPr>
            <w:tcW w:w="616" w:type="dxa"/>
            <w:tcBorders>
              <w:top w:val="single" w:sz="4" w:space="0" w:color="auto"/>
              <w:bottom w:val="single" w:sz="12" w:space="0" w:color="auto"/>
            </w:tcBorders>
            <w:noWrap/>
          </w:tcPr>
          <w:p w:rsidR="00F936A8" w:rsidRPr="006745BA"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6745BA">
              <w:rPr>
                <w:b/>
              </w:rPr>
              <w:t>10 180</w:t>
            </w:r>
          </w:p>
        </w:tc>
        <w:tc>
          <w:tcPr>
            <w:tcW w:w="717" w:type="dxa"/>
            <w:tcBorders>
              <w:top w:val="single" w:sz="4" w:space="0" w:color="auto"/>
              <w:bottom w:val="single" w:sz="12" w:space="0" w:color="auto"/>
            </w:tcBorders>
            <w:noWrap/>
          </w:tcPr>
          <w:p w:rsidR="00F936A8" w:rsidRPr="006745BA"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6745BA">
              <w:rPr>
                <w:b/>
              </w:rPr>
              <w:t>13 555</w:t>
            </w:r>
          </w:p>
        </w:tc>
        <w:tc>
          <w:tcPr>
            <w:tcW w:w="620" w:type="dxa"/>
            <w:tcBorders>
              <w:top w:val="single" w:sz="4" w:space="0" w:color="auto"/>
              <w:bottom w:val="single" w:sz="12" w:space="0" w:color="auto"/>
            </w:tcBorders>
            <w:noWrap/>
          </w:tcPr>
          <w:p w:rsidR="00F936A8" w:rsidRPr="006745BA"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6745BA">
              <w:rPr>
                <w:b/>
              </w:rPr>
              <w:t>61 014</w:t>
            </w:r>
          </w:p>
        </w:tc>
      </w:tr>
    </w:tbl>
    <w:p w:rsidR="00F936A8" w:rsidRPr="00B80BEF" w:rsidRDefault="00F936A8" w:rsidP="00122DDF">
      <w:pPr>
        <w:pStyle w:val="H23GR"/>
        <w:tabs>
          <w:tab w:val="left" w:pos="1980"/>
        </w:tabs>
        <w:rPr>
          <w:b w:val="0"/>
          <w:i/>
          <w:vertAlign w:val="superscript"/>
        </w:rPr>
      </w:pPr>
      <w:r w:rsidRPr="00CB2C86">
        <w:tab/>
      </w:r>
      <w:r w:rsidRPr="00CB2C86">
        <w:tab/>
        <w:t>2) Центры профессиональной подготовки (включая Институт подготовки кадров для индустрии туризма и повышения квалификации, Институт подготовки поваров китайской кухни, Институт торгового флота и 12</w:t>
      </w:r>
      <w:r>
        <w:t> </w:t>
      </w:r>
      <w:r w:rsidRPr="00CB2C86">
        <w:t>других центров профессиональной подготовки)</w:t>
      </w:r>
      <w:r w:rsidRPr="00B80BEF">
        <w:rPr>
          <w:b w:val="0"/>
          <w:i/>
          <w:vertAlign w:val="superscript"/>
        </w:rPr>
        <w:t>Примечание</w:t>
      </w:r>
    </w:p>
    <w:tbl>
      <w:tblPr>
        <w:tblStyle w:val="TabNum"/>
        <w:tblW w:w="7370" w:type="dxa"/>
        <w:tblInd w:w="1134" w:type="dxa"/>
        <w:tblLayout w:type="fixed"/>
        <w:tblLook w:val="01E0" w:firstRow="1" w:lastRow="1" w:firstColumn="1" w:lastColumn="1" w:noHBand="0" w:noVBand="0"/>
      </w:tblPr>
      <w:tblGrid>
        <w:gridCol w:w="2842"/>
        <w:gridCol w:w="616"/>
        <w:gridCol w:w="1189"/>
        <w:gridCol w:w="1092"/>
        <w:gridCol w:w="854"/>
        <w:gridCol w:w="777"/>
      </w:tblGrid>
      <w:tr w:rsidR="00F936A8" w:rsidRPr="00284265" w:rsidTr="00F936A8">
        <w:trPr>
          <w:tblHeader/>
        </w:trPr>
        <w:tc>
          <w:tcPr>
            <w:cnfStyle w:val="001000000000" w:firstRow="0" w:lastRow="0" w:firstColumn="1" w:lastColumn="0" w:oddVBand="0" w:evenVBand="0" w:oddHBand="0" w:evenHBand="0" w:firstRowFirstColumn="0" w:firstRowLastColumn="0" w:lastRowFirstColumn="0" w:lastRowLastColumn="0"/>
            <w:tcW w:w="2842" w:type="dxa"/>
            <w:tcBorders>
              <w:bottom w:val="single" w:sz="12" w:space="0" w:color="auto"/>
            </w:tcBorders>
            <w:shd w:val="clear" w:color="auto" w:fill="auto"/>
          </w:tcPr>
          <w:p w:rsidR="00F936A8" w:rsidRPr="00284265" w:rsidRDefault="00F936A8" w:rsidP="00122DDF">
            <w:pPr>
              <w:keepNext/>
              <w:tabs>
                <w:tab w:val="left" w:pos="1980"/>
              </w:tabs>
              <w:spacing w:before="80" w:after="80" w:line="200" w:lineRule="exact"/>
              <w:rPr>
                <w:i/>
                <w:sz w:val="16"/>
              </w:rPr>
            </w:pPr>
            <w:r w:rsidRPr="00284265">
              <w:rPr>
                <w:i/>
                <w:sz w:val="16"/>
              </w:rPr>
              <w:t>Уровень</w:t>
            </w:r>
          </w:p>
        </w:tc>
        <w:tc>
          <w:tcPr>
            <w:tcW w:w="616" w:type="dxa"/>
            <w:tcBorders>
              <w:top w:val="single" w:sz="4" w:space="0" w:color="auto"/>
              <w:bottom w:val="single" w:sz="12" w:space="0" w:color="auto"/>
            </w:tcBorders>
            <w:shd w:val="clear" w:color="auto" w:fill="auto"/>
          </w:tcPr>
          <w:p w:rsidR="00F936A8" w:rsidRPr="00284265" w:rsidRDefault="00F936A8" w:rsidP="00122DDF">
            <w:pPr>
              <w:keepNext/>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84265">
              <w:rPr>
                <w:i/>
                <w:sz w:val="16"/>
              </w:rPr>
              <w:t>Очное</w:t>
            </w:r>
          </w:p>
        </w:tc>
        <w:tc>
          <w:tcPr>
            <w:tcW w:w="1189" w:type="dxa"/>
            <w:tcBorders>
              <w:top w:val="single" w:sz="4" w:space="0" w:color="auto"/>
              <w:bottom w:val="single" w:sz="12" w:space="0" w:color="auto"/>
            </w:tcBorders>
            <w:shd w:val="clear" w:color="auto" w:fill="auto"/>
          </w:tcPr>
          <w:p w:rsidR="00F936A8" w:rsidRPr="00284265" w:rsidRDefault="00F936A8" w:rsidP="00122DDF">
            <w:pPr>
              <w:keepNext/>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roofErr w:type="spellStart"/>
            <w:r w:rsidRPr="00284265">
              <w:rPr>
                <w:i/>
                <w:sz w:val="16"/>
              </w:rPr>
              <w:t>Очно-заочное</w:t>
            </w:r>
            <w:proofErr w:type="spellEnd"/>
            <w:r w:rsidRPr="00284265">
              <w:rPr>
                <w:i/>
                <w:sz w:val="16"/>
              </w:rPr>
              <w:t xml:space="preserve"> дневное</w:t>
            </w:r>
          </w:p>
        </w:tc>
        <w:tc>
          <w:tcPr>
            <w:tcW w:w="1092" w:type="dxa"/>
            <w:tcBorders>
              <w:top w:val="single" w:sz="4" w:space="0" w:color="auto"/>
              <w:bottom w:val="single" w:sz="12" w:space="0" w:color="auto"/>
            </w:tcBorders>
            <w:shd w:val="clear" w:color="auto" w:fill="auto"/>
          </w:tcPr>
          <w:p w:rsidR="00F936A8" w:rsidRPr="00284265" w:rsidRDefault="00F936A8" w:rsidP="00122DDF">
            <w:pPr>
              <w:keepNext/>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roofErr w:type="spellStart"/>
            <w:r w:rsidRPr="00284265">
              <w:rPr>
                <w:i/>
                <w:sz w:val="16"/>
              </w:rPr>
              <w:t>Очно-заочное</w:t>
            </w:r>
            <w:proofErr w:type="spellEnd"/>
            <w:r w:rsidRPr="00284265">
              <w:rPr>
                <w:i/>
                <w:sz w:val="16"/>
              </w:rPr>
              <w:t xml:space="preserve"> в</w:t>
            </w:r>
            <w:r w:rsidRPr="00284265">
              <w:rPr>
                <w:i/>
                <w:sz w:val="16"/>
              </w:rPr>
              <w:t>е</w:t>
            </w:r>
            <w:r w:rsidRPr="00284265">
              <w:rPr>
                <w:i/>
                <w:sz w:val="16"/>
              </w:rPr>
              <w:t>чернее</w:t>
            </w:r>
          </w:p>
        </w:tc>
        <w:tc>
          <w:tcPr>
            <w:tcW w:w="854" w:type="dxa"/>
            <w:tcBorders>
              <w:top w:val="single" w:sz="4" w:space="0" w:color="auto"/>
              <w:bottom w:val="single" w:sz="12" w:space="0" w:color="auto"/>
            </w:tcBorders>
            <w:shd w:val="clear" w:color="auto" w:fill="auto"/>
          </w:tcPr>
          <w:p w:rsidR="00F936A8" w:rsidRPr="00284265" w:rsidRDefault="00F936A8" w:rsidP="00122DDF">
            <w:pPr>
              <w:keepNext/>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84265">
              <w:rPr>
                <w:i/>
                <w:sz w:val="16"/>
              </w:rPr>
              <w:t>Самоо</w:t>
            </w:r>
            <w:r w:rsidRPr="00284265">
              <w:rPr>
                <w:i/>
                <w:sz w:val="16"/>
              </w:rPr>
              <w:t>б</w:t>
            </w:r>
            <w:r w:rsidRPr="00284265">
              <w:rPr>
                <w:i/>
                <w:sz w:val="16"/>
              </w:rPr>
              <w:t>разование</w:t>
            </w:r>
          </w:p>
        </w:tc>
        <w:tc>
          <w:tcPr>
            <w:tcW w:w="777" w:type="dxa"/>
            <w:tcBorders>
              <w:top w:val="single" w:sz="4" w:space="0" w:color="auto"/>
              <w:bottom w:val="single" w:sz="12" w:space="0" w:color="auto"/>
            </w:tcBorders>
            <w:shd w:val="clear" w:color="auto" w:fill="auto"/>
          </w:tcPr>
          <w:p w:rsidR="00F936A8" w:rsidRPr="00801C72" w:rsidRDefault="00F936A8" w:rsidP="00122DDF">
            <w:pPr>
              <w:keepNext/>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rPr>
            </w:pPr>
            <w:r w:rsidRPr="00801C72">
              <w:rPr>
                <w:b/>
                <w:i/>
                <w:sz w:val="16"/>
              </w:rPr>
              <w:t>Итого</w:t>
            </w:r>
          </w:p>
        </w:tc>
      </w:tr>
      <w:tr w:rsidR="00F936A8" w:rsidRPr="00284265" w:rsidTr="00F936A8">
        <w:tc>
          <w:tcPr>
            <w:cnfStyle w:val="001000000000" w:firstRow="0" w:lastRow="0" w:firstColumn="1" w:lastColumn="0" w:oddVBand="0" w:evenVBand="0" w:oddHBand="0" w:evenHBand="0" w:firstRowFirstColumn="0" w:firstRowLastColumn="0" w:lastRowFirstColumn="0" w:lastRowLastColumn="0"/>
            <w:tcW w:w="2842" w:type="dxa"/>
            <w:tcBorders>
              <w:top w:val="single" w:sz="12" w:space="0" w:color="auto"/>
            </w:tcBorders>
          </w:tcPr>
          <w:p w:rsidR="00F936A8" w:rsidRPr="00284265" w:rsidRDefault="00F936A8" w:rsidP="00122DDF">
            <w:pPr>
              <w:keepNext/>
              <w:tabs>
                <w:tab w:val="left" w:pos="1980"/>
              </w:tabs>
            </w:pPr>
            <w:r w:rsidRPr="00284265">
              <w:t>Технолог</w:t>
            </w:r>
          </w:p>
        </w:tc>
        <w:tc>
          <w:tcPr>
            <w:tcW w:w="616" w:type="dxa"/>
            <w:tcBorders>
              <w:top w:val="single" w:sz="12" w:space="0" w:color="auto"/>
            </w:tcBorders>
          </w:tcPr>
          <w:p w:rsidR="00F936A8" w:rsidRPr="00284265" w:rsidRDefault="00F936A8" w:rsidP="00122DDF">
            <w:pPr>
              <w:keepNext/>
              <w:tabs>
                <w:tab w:val="left" w:pos="1980"/>
              </w:tabs>
              <w:cnfStyle w:val="000000000000" w:firstRow="0" w:lastRow="0" w:firstColumn="0" w:lastColumn="0" w:oddVBand="0" w:evenVBand="0" w:oddHBand="0" w:evenHBand="0" w:firstRowFirstColumn="0" w:firstRowLastColumn="0" w:lastRowFirstColumn="0" w:lastRowLastColumn="0"/>
            </w:pPr>
            <w:r w:rsidRPr="00284265">
              <w:t>257</w:t>
            </w:r>
          </w:p>
        </w:tc>
        <w:tc>
          <w:tcPr>
            <w:tcW w:w="1189" w:type="dxa"/>
            <w:tcBorders>
              <w:top w:val="single" w:sz="12" w:space="0" w:color="auto"/>
            </w:tcBorders>
          </w:tcPr>
          <w:p w:rsidR="00F936A8" w:rsidRPr="00284265" w:rsidRDefault="00F936A8" w:rsidP="00122DDF">
            <w:pPr>
              <w:keepNext/>
              <w:tabs>
                <w:tab w:val="left" w:pos="1980"/>
              </w:tabs>
              <w:cnfStyle w:val="000000000000" w:firstRow="0" w:lastRow="0" w:firstColumn="0" w:lastColumn="0" w:oddVBand="0" w:evenVBand="0" w:oddHBand="0" w:evenHBand="0" w:firstRowFirstColumn="0" w:firstRowLastColumn="0" w:lastRowFirstColumn="0" w:lastRowLastColumn="0"/>
            </w:pPr>
            <w:r w:rsidRPr="00284265">
              <w:t>67</w:t>
            </w:r>
          </w:p>
        </w:tc>
        <w:tc>
          <w:tcPr>
            <w:tcW w:w="1092" w:type="dxa"/>
            <w:tcBorders>
              <w:top w:val="single" w:sz="12" w:space="0" w:color="auto"/>
            </w:tcBorders>
          </w:tcPr>
          <w:p w:rsidR="00F936A8" w:rsidRPr="00284265" w:rsidRDefault="00F936A8" w:rsidP="00122DDF">
            <w:pPr>
              <w:keepNext/>
              <w:tabs>
                <w:tab w:val="left" w:pos="1980"/>
              </w:tabs>
              <w:cnfStyle w:val="000000000000" w:firstRow="0" w:lastRow="0" w:firstColumn="0" w:lastColumn="0" w:oddVBand="0" w:evenVBand="0" w:oddHBand="0" w:evenHBand="0" w:firstRowFirstColumn="0" w:firstRowLastColumn="0" w:lastRowFirstColumn="0" w:lastRowLastColumn="0"/>
            </w:pPr>
            <w:r w:rsidRPr="00284265">
              <w:t>0</w:t>
            </w:r>
          </w:p>
        </w:tc>
        <w:tc>
          <w:tcPr>
            <w:tcW w:w="854" w:type="dxa"/>
            <w:tcBorders>
              <w:top w:val="single" w:sz="12" w:space="0" w:color="auto"/>
            </w:tcBorders>
          </w:tcPr>
          <w:p w:rsidR="00F936A8" w:rsidRPr="00284265" w:rsidRDefault="00F936A8" w:rsidP="00122DDF">
            <w:pPr>
              <w:keepNext/>
              <w:tabs>
                <w:tab w:val="left" w:pos="1980"/>
              </w:tabs>
              <w:cnfStyle w:val="000000000000" w:firstRow="0" w:lastRow="0" w:firstColumn="0" w:lastColumn="0" w:oddVBand="0" w:evenVBand="0" w:oddHBand="0" w:evenHBand="0" w:firstRowFirstColumn="0" w:firstRowLastColumn="0" w:lastRowFirstColumn="0" w:lastRowLastColumn="0"/>
            </w:pPr>
            <w:r w:rsidRPr="00284265">
              <w:t>0</w:t>
            </w:r>
          </w:p>
        </w:tc>
        <w:tc>
          <w:tcPr>
            <w:tcW w:w="777" w:type="dxa"/>
            <w:tcBorders>
              <w:top w:val="single" w:sz="12" w:space="0" w:color="auto"/>
            </w:tcBorders>
          </w:tcPr>
          <w:p w:rsidR="00F936A8" w:rsidRPr="00801C72" w:rsidRDefault="00F936A8" w:rsidP="00122DDF">
            <w:pPr>
              <w:keepNext/>
              <w:tabs>
                <w:tab w:val="left" w:pos="1980"/>
              </w:tabs>
              <w:cnfStyle w:val="000000000000" w:firstRow="0" w:lastRow="0" w:firstColumn="0" w:lastColumn="0" w:oddVBand="0" w:evenVBand="0" w:oddHBand="0" w:evenHBand="0" w:firstRowFirstColumn="0" w:firstRowLastColumn="0" w:lastRowFirstColumn="0" w:lastRowLastColumn="0"/>
              <w:rPr>
                <w:b/>
              </w:rPr>
            </w:pPr>
            <w:r w:rsidRPr="00801C72">
              <w:rPr>
                <w:b/>
              </w:rPr>
              <w:t>324</w:t>
            </w:r>
          </w:p>
        </w:tc>
      </w:tr>
      <w:tr w:rsidR="00F936A8" w:rsidRPr="00284265" w:rsidTr="00F936A8">
        <w:tc>
          <w:tcPr>
            <w:cnfStyle w:val="001000000000" w:firstRow="0" w:lastRow="0" w:firstColumn="1" w:lastColumn="0" w:oddVBand="0" w:evenVBand="0" w:oddHBand="0" w:evenHBand="0" w:firstRowFirstColumn="0" w:firstRowLastColumn="0" w:lastRowFirstColumn="0" w:lastRowLastColumn="0"/>
            <w:tcW w:w="2842" w:type="dxa"/>
          </w:tcPr>
          <w:p w:rsidR="00F936A8" w:rsidRPr="00284265" w:rsidRDefault="00F936A8" w:rsidP="00122DDF">
            <w:pPr>
              <w:tabs>
                <w:tab w:val="left" w:pos="1980"/>
              </w:tabs>
            </w:pPr>
            <w:r w:rsidRPr="00284265">
              <w:t>Администр</w:t>
            </w:r>
            <w:r w:rsidRPr="00284265">
              <w:t>а</w:t>
            </w:r>
            <w:r w:rsidRPr="00284265">
              <w:t>тор</w:t>
            </w:r>
          </w:p>
        </w:tc>
        <w:tc>
          <w:tcPr>
            <w:tcW w:w="616" w:type="dxa"/>
          </w:tcPr>
          <w:p w:rsidR="00F936A8" w:rsidRPr="00284265"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84265">
              <w:t>1 219</w:t>
            </w:r>
          </w:p>
        </w:tc>
        <w:tc>
          <w:tcPr>
            <w:tcW w:w="1189" w:type="dxa"/>
          </w:tcPr>
          <w:p w:rsidR="00F936A8" w:rsidRPr="00284265"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84265">
              <w:t>5 411</w:t>
            </w:r>
          </w:p>
        </w:tc>
        <w:tc>
          <w:tcPr>
            <w:tcW w:w="1092" w:type="dxa"/>
          </w:tcPr>
          <w:p w:rsidR="00F936A8" w:rsidRPr="00284265"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84265">
              <w:t>411</w:t>
            </w:r>
          </w:p>
        </w:tc>
        <w:tc>
          <w:tcPr>
            <w:tcW w:w="854" w:type="dxa"/>
          </w:tcPr>
          <w:p w:rsidR="00F936A8" w:rsidRPr="00284265"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84265">
              <w:t>0</w:t>
            </w:r>
          </w:p>
        </w:tc>
        <w:tc>
          <w:tcPr>
            <w:tcW w:w="777"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801C72">
              <w:rPr>
                <w:b/>
              </w:rPr>
              <w:t>7 041</w:t>
            </w:r>
          </w:p>
        </w:tc>
      </w:tr>
      <w:tr w:rsidR="00F936A8" w:rsidRPr="00284265" w:rsidTr="00F936A8">
        <w:tc>
          <w:tcPr>
            <w:cnfStyle w:val="001000000000" w:firstRow="0" w:lastRow="0" w:firstColumn="1" w:lastColumn="0" w:oddVBand="0" w:evenVBand="0" w:oddHBand="0" w:evenHBand="0" w:firstRowFirstColumn="0" w:firstRowLastColumn="0" w:lastRowFirstColumn="0" w:lastRowLastColumn="0"/>
            <w:tcW w:w="2842" w:type="dxa"/>
          </w:tcPr>
          <w:p w:rsidR="00F936A8" w:rsidRPr="00284265" w:rsidRDefault="00F936A8" w:rsidP="00122DDF">
            <w:pPr>
              <w:tabs>
                <w:tab w:val="left" w:pos="1980"/>
              </w:tabs>
            </w:pPr>
            <w:r w:rsidRPr="00284265">
              <w:t xml:space="preserve">Техник </w:t>
            </w:r>
          </w:p>
        </w:tc>
        <w:tc>
          <w:tcPr>
            <w:tcW w:w="616" w:type="dxa"/>
          </w:tcPr>
          <w:p w:rsidR="00F936A8" w:rsidRPr="00284265"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84265">
              <w:t>1 496</w:t>
            </w:r>
          </w:p>
        </w:tc>
        <w:tc>
          <w:tcPr>
            <w:tcW w:w="1189" w:type="dxa"/>
          </w:tcPr>
          <w:p w:rsidR="00F936A8" w:rsidRPr="00284265"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84265">
              <w:t>1 031</w:t>
            </w:r>
          </w:p>
        </w:tc>
        <w:tc>
          <w:tcPr>
            <w:tcW w:w="1092" w:type="dxa"/>
          </w:tcPr>
          <w:p w:rsidR="00F936A8" w:rsidRPr="00284265"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84265">
              <w:t>592</w:t>
            </w:r>
          </w:p>
        </w:tc>
        <w:tc>
          <w:tcPr>
            <w:tcW w:w="854" w:type="dxa"/>
          </w:tcPr>
          <w:p w:rsidR="00F936A8" w:rsidRPr="00284265"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84265">
              <w:t>616</w:t>
            </w:r>
          </w:p>
        </w:tc>
        <w:tc>
          <w:tcPr>
            <w:tcW w:w="777"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801C72">
              <w:rPr>
                <w:b/>
              </w:rPr>
              <w:t>3 735</w:t>
            </w:r>
          </w:p>
        </w:tc>
      </w:tr>
      <w:tr w:rsidR="00F936A8" w:rsidRPr="00284265" w:rsidTr="00F936A8">
        <w:tc>
          <w:tcPr>
            <w:cnfStyle w:val="001000000000" w:firstRow="0" w:lastRow="0" w:firstColumn="1" w:lastColumn="0" w:oddVBand="0" w:evenVBand="0" w:oddHBand="0" w:evenHBand="0" w:firstRowFirstColumn="0" w:firstRowLastColumn="0" w:lastRowFirstColumn="0" w:lastRowLastColumn="0"/>
            <w:tcW w:w="2842" w:type="dxa"/>
          </w:tcPr>
          <w:p w:rsidR="00F936A8" w:rsidRPr="00284265" w:rsidRDefault="00F936A8" w:rsidP="00122DDF">
            <w:pPr>
              <w:tabs>
                <w:tab w:val="left" w:pos="1980"/>
              </w:tabs>
            </w:pPr>
            <w:r w:rsidRPr="00284265">
              <w:t>Младший специалист</w:t>
            </w:r>
          </w:p>
        </w:tc>
        <w:tc>
          <w:tcPr>
            <w:tcW w:w="616" w:type="dxa"/>
          </w:tcPr>
          <w:p w:rsidR="00F936A8" w:rsidRPr="00284265"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84265">
              <w:t>3 138</w:t>
            </w:r>
          </w:p>
        </w:tc>
        <w:tc>
          <w:tcPr>
            <w:tcW w:w="1189" w:type="dxa"/>
          </w:tcPr>
          <w:p w:rsidR="00F936A8" w:rsidRPr="00284265"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84265">
              <w:t>1 654</w:t>
            </w:r>
          </w:p>
        </w:tc>
        <w:tc>
          <w:tcPr>
            <w:tcW w:w="1092" w:type="dxa"/>
          </w:tcPr>
          <w:p w:rsidR="00F936A8" w:rsidRPr="00284265"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84265">
              <w:t>2 604</w:t>
            </w:r>
          </w:p>
        </w:tc>
        <w:tc>
          <w:tcPr>
            <w:tcW w:w="854" w:type="dxa"/>
          </w:tcPr>
          <w:p w:rsidR="00F936A8" w:rsidRPr="00284265"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84265">
              <w:t>0</w:t>
            </w:r>
          </w:p>
        </w:tc>
        <w:tc>
          <w:tcPr>
            <w:tcW w:w="777"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801C72">
              <w:rPr>
                <w:b/>
              </w:rPr>
              <w:t>7 396</w:t>
            </w:r>
          </w:p>
        </w:tc>
      </w:tr>
      <w:tr w:rsidR="00F936A8" w:rsidRPr="00284265" w:rsidTr="00F936A8">
        <w:tc>
          <w:tcPr>
            <w:cnfStyle w:val="001000000000" w:firstRow="0" w:lastRow="0" w:firstColumn="1" w:lastColumn="0" w:oddVBand="0" w:evenVBand="0" w:oddHBand="0" w:evenHBand="0" w:firstRowFirstColumn="0" w:firstRowLastColumn="0" w:lastRowFirstColumn="0" w:lastRowLastColumn="0"/>
            <w:tcW w:w="2842" w:type="dxa"/>
          </w:tcPr>
          <w:p w:rsidR="00F936A8" w:rsidRPr="00284265" w:rsidRDefault="00F936A8" w:rsidP="00122DDF">
            <w:pPr>
              <w:tabs>
                <w:tab w:val="left" w:pos="1980"/>
              </w:tabs>
            </w:pPr>
            <w:r w:rsidRPr="00284265">
              <w:t>Квалифицированный раб</w:t>
            </w:r>
            <w:r w:rsidRPr="00284265">
              <w:t>о</w:t>
            </w:r>
            <w:r w:rsidRPr="00284265">
              <w:t>чий</w:t>
            </w:r>
          </w:p>
        </w:tc>
        <w:tc>
          <w:tcPr>
            <w:tcW w:w="616" w:type="dxa"/>
          </w:tcPr>
          <w:p w:rsidR="00F936A8" w:rsidRPr="00284265"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84265">
              <w:t>1 424</w:t>
            </w:r>
          </w:p>
        </w:tc>
        <w:tc>
          <w:tcPr>
            <w:tcW w:w="1189" w:type="dxa"/>
          </w:tcPr>
          <w:p w:rsidR="00F936A8" w:rsidRPr="00284265"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84265">
              <w:t>1 417</w:t>
            </w:r>
          </w:p>
        </w:tc>
        <w:tc>
          <w:tcPr>
            <w:tcW w:w="1092" w:type="dxa"/>
          </w:tcPr>
          <w:p w:rsidR="00F936A8" w:rsidRPr="00284265"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84265">
              <w:t>1 368</w:t>
            </w:r>
          </w:p>
        </w:tc>
        <w:tc>
          <w:tcPr>
            <w:tcW w:w="854" w:type="dxa"/>
          </w:tcPr>
          <w:p w:rsidR="00F936A8" w:rsidRPr="00284265"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284265">
              <w:t>0</w:t>
            </w:r>
          </w:p>
        </w:tc>
        <w:tc>
          <w:tcPr>
            <w:tcW w:w="777"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801C72">
              <w:rPr>
                <w:b/>
              </w:rPr>
              <w:t>4 209</w:t>
            </w:r>
          </w:p>
        </w:tc>
      </w:tr>
    </w:tbl>
    <w:p w:rsidR="00F936A8" w:rsidRPr="00801C72" w:rsidRDefault="00F936A8" w:rsidP="00122DDF">
      <w:pPr>
        <w:pStyle w:val="SingleTxtGR"/>
        <w:tabs>
          <w:tab w:val="left" w:pos="1980"/>
        </w:tabs>
        <w:suppressAutoHyphens/>
        <w:spacing w:before="120" w:after="240"/>
        <w:ind w:left="1358"/>
        <w:jc w:val="left"/>
        <w:rPr>
          <w:sz w:val="18"/>
          <w:szCs w:val="18"/>
        </w:rPr>
      </w:pPr>
      <w:r w:rsidRPr="00801C72">
        <w:rPr>
          <w:i/>
          <w:sz w:val="18"/>
          <w:szCs w:val="18"/>
        </w:rPr>
        <w:t>Примечание:</w:t>
      </w:r>
      <w:r w:rsidRPr="00801C72">
        <w:rPr>
          <w:sz w:val="18"/>
          <w:szCs w:val="18"/>
        </w:rPr>
        <w:t xml:space="preserve"> Учебные центры не ведут статистических данных в разбивке по полу.</w:t>
      </w:r>
    </w:p>
    <w:p w:rsidR="00F936A8" w:rsidRPr="00CB2C86" w:rsidRDefault="00F936A8" w:rsidP="00122DDF">
      <w:pPr>
        <w:pStyle w:val="HChGR"/>
        <w:tabs>
          <w:tab w:val="left" w:pos="1980"/>
        </w:tabs>
        <w:spacing w:before="240"/>
      </w:pPr>
      <w:r w:rsidRPr="00CB2C86">
        <w:br w:type="page"/>
        <w:t>Приложение 6</w:t>
      </w:r>
      <w:r w:rsidRPr="00CB2C86">
        <w:rPr>
          <w:lang w:val="en-GB"/>
        </w:rPr>
        <w:t>B</w:t>
      </w:r>
    </w:p>
    <w:p w:rsidR="00F936A8" w:rsidRDefault="00F936A8" w:rsidP="00122DDF">
      <w:pPr>
        <w:pStyle w:val="H1GR"/>
        <w:tabs>
          <w:tab w:val="left" w:pos="1980"/>
        </w:tabs>
      </w:pPr>
      <w:r w:rsidRPr="00CB2C86">
        <w:tab/>
      </w:r>
      <w:r w:rsidRPr="00CB2C86">
        <w:tab/>
        <w:t xml:space="preserve">Статистика занятости, безработицы и неполной занятости </w:t>
      </w:r>
    </w:p>
    <w:p w:rsidR="00F936A8" w:rsidRPr="00CB2C86" w:rsidRDefault="00F936A8" w:rsidP="00122DDF">
      <w:pPr>
        <w:pStyle w:val="H23GR"/>
        <w:tabs>
          <w:tab w:val="left" w:pos="1980"/>
        </w:tabs>
      </w:pPr>
      <w:r>
        <w:tab/>
      </w:r>
      <w:r>
        <w:tab/>
      </w:r>
      <w:r w:rsidRPr="00CB2C86">
        <w:t>Занятость</w:t>
      </w:r>
    </w:p>
    <w:tbl>
      <w:tblPr>
        <w:tblStyle w:val="TabNum"/>
        <w:tblW w:w="8504" w:type="dxa"/>
        <w:tblInd w:w="1134" w:type="dxa"/>
        <w:tblLayout w:type="fixed"/>
        <w:tblLook w:val="01E0" w:firstRow="1" w:lastRow="1" w:firstColumn="1" w:lastColumn="1" w:noHBand="0" w:noVBand="0"/>
      </w:tblPr>
      <w:tblGrid>
        <w:gridCol w:w="2534"/>
        <w:gridCol w:w="1194"/>
        <w:gridCol w:w="1194"/>
        <w:gridCol w:w="1194"/>
        <w:gridCol w:w="1194"/>
        <w:gridCol w:w="1194"/>
      </w:tblGrid>
      <w:tr w:rsidR="00F936A8" w:rsidRPr="00801C72" w:rsidTr="00F936A8">
        <w:trPr>
          <w:tblHeader/>
        </w:trPr>
        <w:tc>
          <w:tcPr>
            <w:cnfStyle w:val="001000000000" w:firstRow="0" w:lastRow="0" w:firstColumn="1" w:lastColumn="0" w:oddVBand="0" w:evenVBand="0" w:oddHBand="0" w:evenHBand="0" w:firstRowFirstColumn="0" w:firstRowLastColumn="0" w:lastRowFirstColumn="0" w:lastRowLastColumn="0"/>
            <w:tcW w:w="2534" w:type="dxa"/>
            <w:tcBorders>
              <w:bottom w:val="single" w:sz="12" w:space="0" w:color="auto"/>
            </w:tcBorders>
            <w:shd w:val="clear" w:color="auto" w:fill="auto"/>
          </w:tcPr>
          <w:p w:rsidR="00F936A8" w:rsidRPr="00801C72" w:rsidRDefault="00F936A8" w:rsidP="00122DDF">
            <w:pPr>
              <w:tabs>
                <w:tab w:val="left" w:pos="1980"/>
              </w:tabs>
              <w:spacing w:before="80" w:after="80" w:line="200" w:lineRule="exact"/>
              <w:rPr>
                <w:i/>
                <w:sz w:val="16"/>
              </w:rPr>
            </w:pPr>
            <w:r w:rsidRPr="00801C72">
              <w:rPr>
                <w:i/>
                <w:sz w:val="16"/>
              </w:rPr>
              <w:t>Период</w:t>
            </w:r>
          </w:p>
        </w:tc>
        <w:tc>
          <w:tcPr>
            <w:tcW w:w="1194" w:type="dxa"/>
            <w:tcBorders>
              <w:top w:val="single" w:sz="4" w:space="0" w:color="auto"/>
              <w:bottom w:val="single" w:sz="12" w:space="0" w:color="auto"/>
            </w:tcBorders>
            <w:shd w:val="clear" w:color="auto" w:fill="auto"/>
          </w:tcPr>
          <w:p w:rsidR="00F936A8" w:rsidRPr="00801C72"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01C72">
              <w:rPr>
                <w:i/>
                <w:sz w:val="16"/>
              </w:rPr>
              <w:t>4-й квартал</w:t>
            </w:r>
            <w:r>
              <w:rPr>
                <w:i/>
                <w:sz w:val="16"/>
              </w:rPr>
              <w:t xml:space="preserve"> 1</w:t>
            </w:r>
            <w:r w:rsidRPr="00801C72">
              <w:rPr>
                <w:i/>
                <w:sz w:val="16"/>
              </w:rPr>
              <w:t>987</w:t>
            </w:r>
          </w:p>
        </w:tc>
        <w:tc>
          <w:tcPr>
            <w:tcW w:w="1194" w:type="dxa"/>
            <w:tcBorders>
              <w:top w:val="single" w:sz="4" w:space="0" w:color="auto"/>
              <w:bottom w:val="single" w:sz="12" w:space="0" w:color="auto"/>
            </w:tcBorders>
            <w:shd w:val="clear" w:color="auto" w:fill="auto"/>
          </w:tcPr>
          <w:p w:rsidR="00F936A8" w:rsidRPr="00801C72"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01C72">
              <w:rPr>
                <w:i/>
                <w:sz w:val="16"/>
              </w:rPr>
              <w:t xml:space="preserve">4-й квартал 1992 </w:t>
            </w:r>
          </w:p>
        </w:tc>
        <w:tc>
          <w:tcPr>
            <w:tcW w:w="1194" w:type="dxa"/>
            <w:tcBorders>
              <w:top w:val="single" w:sz="4" w:space="0" w:color="auto"/>
              <w:bottom w:val="single" w:sz="12" w:space="0" w:color="auto"/>
            </w:tcBorders>
            <w:shd w:val="clear" w:color="auto" w:fill="auto"/>
          </w:tcPr>
          <w:p w:rsidR="00F936A8" w:rsidRPr="00801C72"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01C72">
              <w:rPr>
                <w:i/>
                <w:sz w:val="16"/>
              </w:rPr>
              <w:t>4-й квартал 1997*</w:t>
            </w:r>
          </w:p>
        </w:tc>
        <w:tc>
          <w:tcPr>
            <w:tcW w:w="1194" w:type="dxa"/>
            <w:tcBorders>
              <w:top w:val="single" w:sz="4" w:space="0" w:color="auto"/>
              <w:bottom w:val="single" w:sz="12" w:space="0" w:color="auto"/>
            </w:tcBorders>
            <w:shd w:val="clear" w:color="auto" w:fill="auto"/>
          </w:tcPr>
          <w:p w:rsidR="00F936A8" w:rsidRPr="00801C72"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01C72">
              <w:rPr>
                <w:i/>
                <w:sz w:val="16"/>
              </w:rPr>
              <w:t xml:space="preserve">4-й квартал 2002 </w:t>
            </w:r>
          </w:p>
        </w:tc>
        <w:tc>
          <w:tcPr>
            <w:tcW w:w="1194" w:type="dxa"/>
            <w:tcBorders>
              <w:top w:val="single" w:sz="4" w:space="0" w:color="auto"/>
              <w:bottom w:val="single" w:sz="12" w:space="0" w:color="auto"/>
            </w:tcBorders>
            <w:shd w:val="clear" w:color="auto" w:fill="auto"/>
          </w:tcPr>
          <w:p w:rsidR="00F936A8" w:rsidRPr="00801C72"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01C72">
              <w:rPr>
                <w:i/>
                <w:sz w:val="16"/>
              </w:rPr>
              <w:t xml:space="preserve">4-й квартал 2009 </w:t>
            </w:r>
          </w:p>
        </w:tc>
      </w:tr>
      <w:tr w:rsidR="00F936A8" w:rsidRPr="00801C72" w:rsidTr="00F936A8">
        <w:tc>
          <w:tcPr>
            <w:cnfStyle w:val="001000000000" w:firstRow="0" w:lastRow="0" w:firstColumn="1" w:lastColumn="0" w:oddVBand="0" w:evenVBand="0" w:oddHBand="0" w:evenHBand="0" w:firstRowFirstColumn="0" w:firstRowLastColumn="0" w:lastRowFirstColumn="0" w:lastRowLastColumn="0"/>
            <w:tcW w:w="2534" w:type="dxa"/>
            <w:tcBorders>
              <w:top w:val="single" w:sz="12" w:space="0" w:color="auto"/>
            </w:tcBorders>
          </w:tcPr>
          <w:p w:rsidR="00F936A8" w:rsidRPr="00801C72" w:rsidRDefault="00F936A8" w:rsidP="00122DDF">
            <w:pPr>
              <w:tabs>
                <w:tab w:val="left" w:pos="1980"/>
              </w:tabs>
            </w:pPr>
            <w:r w:rsidRPr="00801C72">
              <w:t>Рабочая сила</w:t>
            </w:r>
          </w:p>
        </w:tc>
        <w:tc>
          <w:tcPr>
            <w:tcW w:w="1194" w:type="dxa"/>
            <w:tcBorders>
              <w:top w:val="single" w:sz="12" w:space="0" w:color="auto"/>
            </w:tcBorders>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2 782 900</w:t>
            </w:r>
          </w:p>
        </w:tc>
        <w:tc>
          <w:tcPr>
            <w:tcW w:w="1194" w:type="dxa"/>
            <w:tcBorders>
              <w:top w:val="single" w:sz="12" w:space="0" w:color="auto"/>
            </w:tcBorders>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2 817 100</w:t>
            </w:r>
          </w:p>
        </w:tc>
        <w:tc>
          <w:tcPr>
            <w:tcW w:w="1194" w:type="dxa"/>
            <w:tcBorders>
              <w:top w:val="single" w:sz="12" w:space="0" w:color="auto"/>
            </w:tcBorders>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3 296 900</w:t>
            </w:r>
          </w:p>
        </w:tc>
        <w:tc>
          <w:tcPr>
            <w:tcW w:w="1194" w:type="dxa"/>
            <w:tcBorders>
              <w:top w:val="single" w:sz="12" w:space="0" w:color="auto"/>
            </w:tcBorders>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3 518 800</w:t>
            </w:r>
          </w:p>
        </w:tc>
        <w:tc>
          <w:tcPr>
            <w:tcW w:w="1194" w:type="dxa"/>
            <w:tcBorders>
              <w:top w:val="single" w:sz="12" w:space="0" w:color="auto"/>
            </w:tcBorders>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3 669 900</w:t>
            </w:r>
          </w:p>
        </w:tc>
      </w:tr>
      <w:tr w:rsidR="00F936A8" w:rsidRPr="00801C72" w:rsidTr="00F936A8">
        <w:tc>
          <w:tcPr>
            <w:cnfStyle w:val="001000000000" w:firstRow="0" w:lastRow="0" w:firstColumn="1" w:lastColumn="0" w:oddVBand="0" w:evenVBand="0" w:oddHBand="0" w:evenHBand="0" w:firstRowFirstColumn="0" w:firstRowLastColumn="0" w:lastRowFirstColumn="0" w:lastRowLastColumn="0"/>
            <w:tcW w:w="2534" w:type="dxa"/>
          </w:tcPr>
          <w:p w:rsidR="00F936A8" w:rsidRPr="00801C72" w:rsidRDefault="00F936A8" w:rsidP="00122DDF">
            <w:pPr>
              <w:tabs>
                <w:tab w:val="left" w:pos="1980"/>
              </w:tabs>
            </w:pPr>
            <w:r w:rsidRPr="00801C72">
              <w:t>Лица, работающие по найму</w:t>
            </w:r>
          </w:p>
        </w:tc>
        <w:tc>
          <w:tcPr>
            <w:tcW w:w="1194"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2 735 200</w:t>
            </w:r>
          </w:p>
        </w:tc>
        <w:tc>
          <w:tcPr>
            <w:tcW w:w="1194"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2 760 600</w:t>
            </w:r>
          </w:p>
        </w:tc>
        <w:tc>
          <w:tcPr>
            <w:tcW w:w="1194"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3 221 300</w:t>
            </w:r>
          </w:p>
        </w:tc>
        <w:tc>
          <w:tcPr>
            <w:tcW w:w="1194"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3 266 200</w:t>
            </w:r>
          </w:p>
        </w:tc>
        <w:tc>
          <w:tcPr>
            <w:tcW w:w="1194"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3 497 100</w:t>
            </w:r>
          </w:p>
        </w:tc>
      </w:tr>
      <w:tr w:rsidR="00F936A8" w:rsidRPr="00801C72" w:rsidTr="00F936A8">
        <w:tc>
          <w:tcPr>
            <w:cnfStyle w:val="001000000000" w:firstRow="0" w:lastRow="0" w:firstColumn="1" w:lastColumn="0" w:oddVBand="0" w:evenVBand="0" w:oddHBand="0" w:evenHBand="0" w:firstRowFirstColumn="0" w:firstRowLastColumn="0" w:lastRowFirstColumn="0" w:lastRowLastColumn="0"/>
            <w:tcW w:w="2534" w:type="dxa"/>
          </w:tcPr>
          <w:p w:rsidR="00F936A8" w:rsidRPr="00801C72" w:rsidRDefault="00F936A8" w:rsidP="00122DDF">
            <w:pPr>
              <w:tabs>
                <w:tab w:val="left" w:pos="1980"/>
              </w:tabs>
            </w:pPr>
            <w:r w:rsidRPr="00801C72">
              <w:t>Мужчины</w:t>
            </w:r>
          </w:p>
        </w:tc>
        <w:tc>
          <w:tcPr>
            <w:tcW w:w="1194"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1 716 500</w:t>
            </w:r>
          </w:p>
        </w:tc>
        <w:tc>
          <w:tcPr>
            <w:tcW w:w="1194"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1 750 900</w:t>
            </w:r>
          </w:p>
        </w:tc>
        <w:tc>
          <w:tcPr>
            <w:tcW w:w="1194"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1 925 400</w:t>
            </w:r>
          </w:p>
        </w:tc>
        <w:tc>
          <w:tcPr>
            <w:tcW w:w="1194"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1 803 700</w:t>
            </w:r>
          </w:p>
        </w:tc>
        <w:tc>
          <w:tcPr>
            <w:tcW w:w="1194"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1 941 700</w:t>
            </w:r>
          </w:p>
        </w:tc>
      </w:tr>
      <w:tr w:rsidR="00F936A8" w:rsidRPr="00801C72" w:rsidTr="00F936A8">
        <w:tc>
          <w:tcPr>
            <w:cnfStyle w:val="001000000000" w:firstRow="0" w:lastRow="0" w:firstColumn="1" w:lastColumn="0" w:oddVBand="0" w:evenVBand="0" w:oddHBand="0" w:evenHBand="0" w:firstRowFirstColumn="0" w:firstRowLastColumn="0" w:lastRowFirstColumn="0" w:lastRowLastColumn="0"/>
            <w:tcW w:w="2534" w:type="dxa"/>
          </w:tcPr>
          <w:p w:rsidR="00F936A8" w:rsidRPr="00801C72" w:rsidRDefault="00F936A8" w:rsidP="00122DDF">
            <w:pPr>
              <w:tabs>
                <w:tab w:val="left" w:pos="1980"/>
              </w:tabs>
            </w:pPr>
            <w:r w:rsidRPr="00801C72">
              <w:t>Женщины</w:t>
            </w:r>
          </w:p>
        </w:tc>
        <w:tc>
          <w:tcPr>
            <w:tcW w:w="1194"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1 018 700</w:t>
            </w:r>
          </w:p>
        </w:tc>
        <w:tc>
          <w:tcPr>
            <w:tcW w:w="1194"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1 009 700</w:t>
            </w:r>
          </w:p>
        </w:tc>
        <w:tc>
          <w:tcPr>
            <w:tcW w:w="1194"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1 295 900</w:t>
            </w:r>
          </w:p>
        </w:tc>
        <w:tc>
          <w:tcPr>
            <w:tcW w:w="1194"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1 462 500</w:t>
            </w:r>
          </w:p>
        </w:tc>
        <w:tc>
          <w:tcPr>
            <w:tcW w:w="1194"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1 728 200</w:t>
            </w:r>
          </w:p>
        </w:tc>
      </w:tr>
      <w:tr w:rsidR="00F936A8" w:rsidRPr="00801C72" w:rsidTr="00F936A8">
        <w:tc>
          <w:tcPr>
            <w:cnfStyle w:val="001000000000" w:firstRow="0" w:lastRow="0" w:firstColumn="1" w:lastColumn="0" w:oddVBand="0" w:evenVBand="0" w:oddHBand="0" w:evenHBand="0" w:firstRowFirstColumn="0" w:firstRowLastColumn="0" w:lastRowFirstColumn="0" w:lastRowLastColumn="0"/>
            <w:tcW w:w="2534" w:type="dxa"/>
          </w:tcPr>
          <w:p w:rsidR="00F936A8" w:rsidRPr="00801C72" w:rsidRDefault="00F936A8" w:rsidP="00122DDF">
            <w:pPr>
              <w:tabs>
                <w:tab w:val="left" w:pos="1980"/>
              </w:tabs>
            </w:pPr>
            <w:r w:rsidRPr="00801C72">
              <w:t>Лица младше 20 лет</w:t>
            </w:r>
          </w:p>
        </w:tc>
        <w:tc>
          <w:tcPr>
            <w:tcW w:w="1194"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127 500</w:t>
            </w:r>
          </w:p>
        </w:tc>
        <w:tc>
          <w:tcPr>
            <w:tcW w:w="1194"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103 800</w:t>
            </w:r>
          </w:p>
        </w:tc>
        <w:tc>
          <w:tcPr>
            <w:tcW w:w="1194"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84 700</w:t>
            </w:r>
          </w:p>
        </w:tc>
        <w:tc>
          <w:tcPr>
            <w:tcW w:w="1194"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54 700</w:t>
            </w:r>
          </w:p>
        </w:tc>
        <w:tc>
          <w:tcPr>
            <w:tcW w:w="1194"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50 900</w:t>
            </w:r>
          </w:p>
        </w:tc>
      </w:tr>
      <w:tr w:rsidR="00F936A8" w:rsidRPr="00801C72" w:rsidTr="00F936A8">
        <w:tc>
          <w:tcPr>
            <w:cnfStyle w:val="001000000000" w:firstRow="0" w:lastRow="0" w:firstColumn="1" w:lastColumn="0" w:oddVBand="0" w:evenVBand="0" w:oddHBand="0" w:evenHBand="0" w:firstRowFirstColumn="0" w:firstRowLastColumn="0" w:lastRowFirstColumn="0" w:lastRowLastColumn="0"/>
            <w:tcW w:w="2534" w:type="dxa"/>
          </w:tcPr>
          <w:p w:rsidR="00F936A8" w:rsidRPr="00801C72" w:rsidRDefault="00F936A8" w:rsidP="00122DDF">
            <w:pPr>
              <w:tabs>
                <w:tab w:val="left" w:pos="1980"/>
              </w:tabs>
            </w:pPr>
            <w:r w:rsidRPr="00801C72">
              <w:t>Лица в возрасте 60 лет и старше</w:t>
            </w:r>
          </w:p>
        </w:tc>
        <w:tc>
          <w:tcPr>
            <w:tcW w:w="1194"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172 200</w:t>
            </w:r>
          </w:p>
        </w:tc>
        <w:tc>
          <w:tcPr>
            <w:tcW w:w="1194"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157 100</w:t>
            </w:r>
          </w:p>
        </w:tc>
        <w:tc>
          <w:tcPr>
            <w:tcW w:w="1194"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124 200</w:t>
            </w:r>
          </w:p>
        </w:tc>
        <w:tc>
          <w:tcPr>
            <w:tcW w:w="1194"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113 500</w:t>
            </w:r>
          </w:p>
        </w:tc>
        <w:tc>
          <w:tcPr>
            <w:tcW w:w="1194"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164 800</w:t>
            </w:r>
          </w:p>
        </w:tc>
      </w:tr>
    </w:tbl>
    <w:p w:rsidR="00F936A8" w:rsidRPr="00CB2C86" w:rsidRDefault="00F936A8" w:rsidP="00122DDF">
      <w:pPr>
        <w:pStyle w:val="H23GR"/>
        <w:tabs>
          <w:tab w:val="left" w:pos="1980"/>
        </w:tabs>
      </w:pPr>
      <w:r w:rsidRPr="00CB2C86">
        <w:rPr>
          <w:lang w:val="en-GB"/>
        </w:rPr>
        <w:tab/>
      </w:r>
      <w:r w:rsidRPr="00CB2C86">
        <w:rPr>
          <w:lang w:val="en-GB"/>
        </w:rPr>
        <w:tab/>
      </w:r>
      <w:r w:rsidRPr="00CB2C86">
        <w:t>Безработица</w:t>
      </w:r>
    </w:p>
    <w:tbl>
      <w:tblPr>
        <w:tblStyle w:val="TabNum"/>
        <w:tblW w:w="8504" w:type="dxa"/>
        <w:tblInd w:w="1134" w:type="dxa"/>
        <w:tblLayout w:type="fixed"/>
        <w:tblLook w:val="01E0" w:firstRow="1" w:lastRow="1" w:firstColumn="1" w:lastColumn="1" w:noHBand="0" w:noVBand="0"/>
      </w:tblPr>
      <w:tblGrid>
        <w:gridCol w:w="2562"/>
        <w:gridCol w:w="1188"/>
        <w:gridCol w:w="1188"/>
        <w:gridCol w:w="1189"/>
        <w:gridCol w:w="1188"/>
        <w:gridCol w:w="1189"/>
      </w:tblGrid>
      <w:tr w:rsidR="00F936A8" w:rsidRPr="00461E2E" w:rsidTr="00F936A8">
        <w:trPr>
          <w:tblHeader/>
        </w:trPr>
        <w:tc>
          <w:tcPr>
            <w:cnfStyle w:val="001000000000" w:firstRow="0" w:lastRow="0" w:firstColumn="1" w:lastColumn="0" w:oddVBand="0" w:evenVBand="0" w:oddHBand="0" w:evenHBand="0" w:firstRowFirstColumn="0" w:firstRowLastColumn="0" w:lastRowFirstColumn="0" w:lastRowLastColumn="0"/>
            <w:tcW w:w="2562" w:type="dxa"/>
            <w:tcBorders>
              <w:bottom w:val="single" w:sz="12" w:space="0" w:color="auto"/>
            </w:tcBorders>
            <w:shd w:val="clear" w:color="auto" w:fill="auto"/>
          </w:tcPr>
          <w:p w:rsidR="00F936A8" w:rsidRPr="00461E2E" w:rsidRDefault="00F936A8" w:rsidP="00122DDF">
            <w:pPr>
              <w:tabs>
                <w:tab w:val="left" w:pos="1980"/>
              </w:tabs>
              <w:spacing w:before="80" w:after="80" w:line="200" w:lineRule="exact"/>
              <w:rPr>
                <w:i/>
                <w:sz w:val="16"/>
              </w:rPr>
            </w:pPr>
            <w:r w:rsidRPr="00461E2E">
              <w:rPr>
                <w:i/>
                <w:sz w:val="16"/>
              </w:rPr>
              <w:t>Период</w:t>
            </w:r>
          </w:p>
        </w:tc>
        <w:tc>
          <w:tcPr>
            <w:tcW w:w="1188" w:type="dxa"/>
            <w:tcBorders>
              <w:top w:val="single" w:sz="4" w:space="0" w:color="auto"/>
              <w:bottom w:val="single" w:sz="12" w:space="0" w:color="auto"/>
            </w:tcBorders>
            <w:shd w:val="clear" w:color="auto" w:fill="auto"/>
          </w:tcPr>
          <w:p w:rsidR="00F936A8" w:rsidRPr="00461E2E"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61E2E">
              <w:rPr>
                <w:i/>
                <w:sz w:val="16"/>
              </w:rPr>
              <w:t>4-й квартал 1987</w:t>
            </w:r>
          </w:p>
        </w:tc>
        <w:tc>
          <w:tcPr>
            <w:tcW w:w="1188" w:type="dxa"/>
            <w:tcBorders>
              <w:top w:val="single" w:sz="4" w:space="0" w:color="auto"/>
              <w:bottom w:val="single" w:sz="12" w:space="0" w:color="auto"/>
            </w:tcBorders>
            <w:shd w:val="clear" w:color="auto" w:fill="auto"/>
          </w:tcPr>
          <w:p w:rsidR="00F936A8" w:rsidRPr="00461E2E"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61E2E">
              <w:rPr>
                <w:i/>
                <w:sz w:val="16"/>
              </w:rPr>
              <w:t>4-й квартал 1992</w:t>
            </w:r>
          </w:p>
        </w:tc>
        <w:tc>
          <w:tcPr>
            <w:tcW w:w="1189" w:type="dxa"/>
            <w:tcBorders>
              <w:top w:val="single" w:sz="4" w:space="0" w:color="auto"/>
              <w:bottom w:val="single" w:sz="12" w:space="0" w:color="auto"/>
            </w:tcBorders>
            <w:shd w:val="clear" w:color="auto" w:fill="auto"/>
          </w:tcPr>
          <w:p w:rsidR="00F936A8" w:rsidRPr="00461E2E"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61E2E">
              <w:rPr>
                <w:i/>
                <w:sz w:val="16"/>
              </w:rPr>
              <w:t>4-й квартал 1997*</w:t>
            </w:r>
          </w:p>
        </w:tc>
        <w:tc>
          <w:tcPr>
            <w:tcW w:w="1188" w:type="dxa"/>
            <w:tcBorders>
              <w:top w:val="single" w:sz="4" w:space="0" w:color="auto"/>
              <w:bottom w:val="single" w:sz="12" w:space="0" w:color="auto"/>
            </w:tcBorders>
            <w:shd w:val="clear" w:color="auto" w:fill="auto"/>
          </w:tcPr>
          <w:p w:rsidR="00F936A8" w:rsidRPr="00461E2E"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61E2E">
              <w:rPr>
                <w:i/>
                <w:sz w:val="16"/>
              </w:rPr>
              <w:t>4-й квартал 2002</w:t>
            </w:r>
          </w:p>
        </w:tc>
        <w:tc>
          <w:tcPr>
            <w:tcW w:w="1189" w:type="dxa"/>
            <w:tcBorders>
              <w:top w:val="single" w:sz="4" w:space="0" w:color="auto"/>
              <w:bottom w:val="single" w:sz="12" w:space="0" w:color="auto"/>
            </w:tcBorders>
            <w:shd w:val="clear" w:color="auto" w:fill="auto"/>
          </w:tcPr>
          <w:p w:rsidR="00F936A8" w:rsidRPr="00461E2E"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61E2E">
              <w:rPr>
                <w:i/>
                <w:sz w:val="16"/>
              </w:rPr>
              <w:t>4-й квартал 2009</w:t>
            </w:r>
          </w:p>
        </w:tc>
      </w:tr>
      <w:tr w:rsidR="00F936A8" w:rsidRPr="00801C72" w:rsidTr="00F936A8">
        <w:tc>
          <w:tcPr>
            <w:cnfStyle w:val="001000000000" w:firstRow="0" w:lastRow="0" w:firstColumn="1" w:lastColumn="0" w:oddVBand="0" w:evenVBand="0" w:oddHBand="0" w:evenHBand="0" w:firstRowFirstColumn="0" w:firstRowLastColumn="0" w:lastRowFirstColumn="0" w:lastRowLastColumn="0"/>
            <w:tcW w:w="2562" w:type="dxa"/>
            <w:tcBorders>
              <w:top w:val="single" w:sz="12" w:space="0" w:color="auto"/>
            </w:tcBorders>
          </w:tcPr>
          <w:p w:rsidR="00F936A8" w:rsidRPr="00801C72" w:rsidRDefault="00F936A8" w:rsidP="00122DDF">
            <w:pPr>
              <w:tabs>
                <w:tab w:val="left" w:pos="1980"/>
              </w:tabs>
            </w:pPr>
            <w:r w:rsidRPr="00801C72">
              <w:t>Количество безрабо</w:t>
            </w:r>
            <w:r w:rsidRPr="00801C72">
              <w:t>т</w:t>
            </w:r>
            <w:r w:rsidRPr="00801C72">
              <w:t xml:space="preserve">ных </w:t>
            </w:r>
          </w:p>
        </w:tc>
        <w:tc>
          <w:tcPr>
            <w:tcW w:w="1188" w:type="dxa"/>
            <w:tcBorders>
              <w:top w:val="single" w:sz="12" w:space="0" w:color="auto"/>
            </w:tcBorders>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47 700</w:t>
            </w:r>
          </w:p>
        </w:tc>
        <w:tc>
          <w:tcPr>
            <w:tcW w:w="1188" w:type="dxa"/>
            <w:tcBorders>
              <w:top w:val="single" w:sz="12" w:space="0" w:color="auto"/>
            </w:tcBorders>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56 500</w:t>
            </w:r>
          </w:p>
        </w:tc>
        <w:tc>
          <w:tcPr>
            <w:tcW w:w="1189" w:type="dxa"/>
            <w:tcBorders>
              <w:top w:val="single" w:sz="12" w:space="0" w:color="auto"/>
            </w:tcBorders>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75 600</w:t>
            </w:r>
          </w:p>
        </w:tc>
        <w:tc>
          <w:tcPr>
            <w:tcW w:w="1188" w:type="dxa"/>
            <w:tcBorders>
              <w:top w:val="single" w:sz="12" w:space="0" w:color="auto"/>
            </w:tcBorders>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252 600</w:t>
            </w:r>
          </w:p>
        </w:tc>
        <w:tc>
          <w:tcPr>
            <w:tcW w:w="1189" w:type="dxa"/>
            <w:tcBorders>
              <w:top w:val="single" w:sz="12" w:space="0" w:color="auto"/>
            </w:tcBorders>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172 800</w:t>
            </w:r>
          </w:p>
        </w:tc>
      </w:tr>
      <w:tr w:rsidR="00F936A8" w:rsidRPr="00801C72" w:rsidTr="00F936A8">
        <w:tc>
          <w:tcPr>
            <w:cnfStyle w:val="001000000000" w:firstRow="0" w:lastRow="0" w:firstColumn="1" w:lastColumn="0" w:oddVBand="0" w:evenVBand="0" w:oddHBand="0" w:evenHBand="0" w:firstRowFirstColumn="0" w:firstRowLastColumn="0" w:lastRowFirstColumn="0" w:lastRowLastColumn="0"/>
            <w:tcW w:w="2562" w:type="dxa"/>
          </w:tcPr>
          <w:p w:rsidR="00F936A8" w:rsidRPr="00801C72" w:rsidRDefault="00F936A8" w:rsidP="00122DDF">
            <w:pPr>
              <w:tabs>
                <w:tab w:val="left" w:pos="1980"/>
              </w:tabs>
            </w:pPr>
            <w:r w:rsidRPr="00801C72">
              <w:t>Мужчины</w:t>
            </w:r>
          </w:p>
        </w:tc>
        <w:tc>
          <w:tcPr>
            <w:tcW w:w="1188"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29 900</w:t>
            </w:r>
          </w:p>
        </w:tc>
        <w:tc>
          <w:tcPr>
            <w:tcW w:w="1188"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35 000</w:t>
            </w:r>
          </w:p>
        </w:tc>
        <w:tc>
          <w:tcPr>
            <w:tcW w:w="1189"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46 100</w:t>
            </w:r>
          </w:p>
        </w:tc>
        <w:tc>
          <w:tcPr>
            <w:tcW w:w="1188"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160 500</w:t>
            </w:r>
          </w:p>
        </w:tc>
        <w:tc>
          <w:tcPr>
            <w:tcW w:w="1189"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106 000</w:t>
            </w:r>
          </w:p>
        </w:tc>
      </w:tr>
      <w:tr w:rsidR="00F936A8" w:rsidRPr="00801C72" w:rsidTr="00F936A8">
        <w:tc>
          <w:tcPr>
            <w:cnfStyle w:val="001000000000" w:firstRow="0" w:lastRow="0" w:firstColumn="1" w:lastColumn="0" w:oddVBand="0" w:evenVBand="0" w:oddHBand="0" w:evenHBand="0" w:firstRowFirstColumn="0" w:firstRowLastColumn="0" w:lastRowFirstColumn="0" w:lastRowLastColumn="0"/>
            <w:tcW w:w="2562" w:type="dxa"/>
          </w:tcPr>
          <w:p w:rsidR="00F936A8" w:rsidRPr="00801C72" w:rsidRDefault="00F936A8" w:rsidP="00122DDF">
            <w:pPr>
              <w:tabs>
                <w:tab w:val="left" w:pos="1980"/>
              </w:tabs>
            </w:pPr>
            <w:r w:rsidRPr="00801C72">
              <w:t>Женщины</w:t>
            </w:r>
          </w:p>
        </w:tc>
        <w:tc>
          <w:tcPr>
            <w:tcW w:w="1188"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17 700</w:t>
            </w:r>
          </w:p>
        </w:tc>
        <w:tc>
          <w:tcPr>
            <w:tcW w:w="1188"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21 500</w:t>
            </w:r>
          </w:p>
        </w:tc>
        <w:tc>
          <w:tcPr>
            <w:tcW w:w="1189"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29 600</w:t>
            </w:r>
          </w:p>
        </w:tc>
        <w:tc>
          <w:tcPr>
            <w:tcW w:w="1188"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92 100</w:t>
            </w:r>
          </w:p>
        </w:tc>
        <w:tc>
          <w:tcPr>
            <w:tcW w:w="1189"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66 800</w:t>
            </w:r>
          </w:p>
        </w:tc>
      </w:tr>
      <w:tr w:rsidR="00F936A8" w:rsidRPr="00801C72" w:rsidTr="00F936A8">
        <w:tc>
          <w:tcPr>
            <w:cnfStyle w:val="001000000000" w:firstRow="0" w:lastRow="0" w:firstColumn="1" w:lastColumn="0" w:oddVBand="0" w:evenVBand="0" w:oddHBand="0" w:evenHBand="0" w:firstRowFirstColumn="0" w:firstRowLastColumn="0" w:lastRowFirstColumn="0" w:lastRowLastColumn="0"/>
            <w:tcW w:w="2562" w:type="dxa"/>
          </w:tcPr>
          <w:p w:rsidR="00F936A8" w:rsidRPr="00801C72" w:rsidRDefault="00F936A8" w:rsidP="00122DDF">
            <w:pPr>
              <w:tabs>
                <w:tab w:val="left" w:pos="1980"/>
              </w:tabs>
            </w:pPr>
            <w:r w:rsidRPr="00801C72">
              <w:t>Лица моложе 20 лет</w:t>
            </w:r>
          </w:p>
        </w:tc>
        <w:tc>
          <w:tcPr>
            <w:tcW w:w="1188"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8 400</w:t>
            </w:r>
          </w:p>
        </w:tc>
        <w:tc>
          <w:tcPr>
            <w:tcW w:w="1188"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8 000</w:t>
            </w:r>
          </w:p>
        </w:tc>
        <w:tc>
          <w:tcPr>
            <w:tcW w:w="1189"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9 900</w:t>
            </w:r>
          </w:p>
        </w:tc>
        <w:tc>
          <w:tcPr>
            <w:tcW w:w="1188"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22 800</w:t>
            </w:r>
          </w:p>
        </w:tc>
        <w:tc>
          <w:tcPr>
            <w:tcW w:w="1189"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10 200</w:t>
            </w:r>
          </w:p>
        </w:tc>
      </w:tr>
      <w:tr w:rsidR="00F936A8" w:rsidRPr="00801C72" w:rsidTr="00F936A8">
        <w:tc>
          <w:tcPr>
            <w:cnfStyle w:val="001000000000" w:firstRow="0" w:lastRow="0" w:firstColumn="1" w:lastColumn="0" w:oddVBand="0" w:evenVBand="0" w:oddHBand="0" w:evenHBand="0" w:firstRowFirstColumn="0" w:firstRowLastColumn="0" w:lastRowFirstColumn="0" w:lastRowLastColumn="0"/>
            <w:tcW w:w="2562" w:type="dxa"/>
          </w:tcPr>
          <w:p w:rsidR="00F936A8" w:rsidRPr="00801C72" w:rsidRDefault="00F936A8" w:rsidP="00122DDF">
            <w:pPr>
              <w:tabs>
                <w:tab w:val="left" w:pos="1980"/>
              </w:tabs>
            </w:pPr>
            <w:r w:rsidRPr="00801C72">
              <w:t>Лица в возрасте 60 лет и старше</w:t>
            </w:r>
          </w:p>
        </w:tc>
        <w:tc>
          <w:tcPr>
            <w:tcW w:w="1188"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2 700</w:t>
            </w:r>
          </w:p>
        </w:tc>
        <w:tc>
          <w:tcPr>
            <w:tcW w:w="1188"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1 500</w:t>
            </w:r>
          </w:p>
        </w:tc>
        <w:tc>
          <w:tcPr>
            <w:tcW w:w="1189"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2 300</w:t>
            </w:r>
          </w:p>
        </w:tc>
        <w:tc>
          <w:tcPr>
            <w:tcW w:w="1188"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4 900</w:t>
            </w:r>
          </w:p>
        </w:tc>
        <w:tc>
          <w:tcPr>
            <w:tcW w:w="1189"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4 100</w:t>
            </w:r>
          </w:p>
        </w:tc>
      </w:tr>
      <w:tr w:rsidR="00F936A8" w:rsidRPr="00801C72" w:rsidTr="00F936A8">
        <w:tc>
          <w:tcPr>
            <w:cnfStyle w:val="001000000000" w:firstRow="0" w:lastRow="0" w:firstColumn="1" w:lastColumn="0" w:oddVBand="0" w:evenVBand="0" w:oddHBand="0" w:evenHBand="0" w:firstRowFirstColumn="0" w:firstRowLastColumn="0" w:lastRowFirstColumn="0" w:lastRowLastColumn="0"/>
            <w:tcW w:w="2562" w:type="dxa"/>
          </w:tcPr>
          <w:p w:rsidR="00F936A8" w:rsidRPr="00801C72" w:rsidRDefault="00F936A8" w:rsidP="00122DDF">
            <w:pPr>
              <w:tabs>
                <w:tab w:val="left" w:pos="1980"/>
              </w:tabs>
            </w:pPr>
            <w:r w:rsidRPr="00801C72">
              <w:t>Сезонно скорректир</w:t>
            </w:r>
            <w:r w:rsidRPr="00801C72">
              <w:t>о</w:t>
            </w:r>
            <w:r w:rsidRPr="00801C72">
              <w:t>ванный уровень безр</w:t>
            </w:r>
            <w:r w:rsidRPr="00801C72">
              <w:t>а</w:t>
            </w:r>
            <w:r w:rsidRPr="00801C72">
              <w:t xml:space="preserve">ботицы </w:t>
            </w:r>
          </w:p>
        </w:tc>
        <w:tc>
          <w:tcPr>
            <w:tcW w:w="1188"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1</w:t>
            </w:r>
            <w:r>
              <w:t>,</w:t>
            </w:r>
            <w:r w:rsidRPr="00801C72">
              <w:t>7%</w:t>
            </w:r>
            <w:r w:rsidRPr="00461E2E">
              <w:rPr>
                <w:vertAlign w:val="superscript"/>
              </w:rPr>
              <w:t>#</w:t>
            </w:r>
          </w:p>
        </w:tc>
        <w:tc>
          <w:tcPr>
            <w:tcW w:w="1188"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2</w:t>
            </w:r>
            <w:r>
              <w:t>,</w:t>
            </w:r>
            <w:r w:rsidRPr="00801C72">
              <w:t>4%</w:t>
            </w:r>
            <w:r w:rsidRPr="00461E2E">
              <w:rPr>
                <w:vertAlign w:val="superscript"/>
              </w:rPr>
              <w:t>#</w:t>
            </w:r>
          </w:p>
        </w:tc>
        <w:tc>
          <w:tcPr>
            <w:tcW w:w="1189"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2</w:t>
            </w:r>
            <w:r>
              <w:t>,</w:t>
            </w:r>
            <w:r w:rsidRPr="00801C72">
              <w:t>2%</w:t>
            </w:r>
          </w:p>
        </w:tc>
        <w:tc>
          <w:tcPr>
            <w:tcW w:w="1188"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7</w:t>
            </w:r>
            <w:r>
              <w:t>,</w:t>
            </w:r>
            <w:r w:rsidRPr="00801C72">
              <w:t>2%</w:t>
            </w:r>
          </w:p>
        </w:tc>
        <w:tc>
          <w:tcPr>
            <w:tcW w:w="1189"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4</w:t>
            </w:r>
            <w:r>
              <w:t>,</w:t>
            </w:r>
            <w:r w:rsidRPr="00801C72">
              <w:t>9%</w:t>
            </w:r>
          </w:p>
        </w:tc>
      </w:tr>
    </w:tbl>
    <w:p w:rsidR="00F936A8" w:rsidRPr="00CB2C86" w:rsidRDefault="00F936A8" w:rsidP="00122DDF">
      <w:pPr>
        <w:pStyle w:val="H23GR"/>
        <w:tabs>
          <w:tab w:val="left" w:pos="1980"/>
        </w:tabs>
      </w:pPr>
      <w:r w:rsidRPr="00CB2C86">
        <w:rPr>
          <w:lang w:val="en-GB"/>
        </w:rPr>
        <w:tab/>
      </w:r>
      <w:r w:rsidRPr="00CB2C86">
        <w:rPr>
          <w:lang w:val="en-GB"/>
        </w:rPr>
        <w:tab/>
      </w:r>
      <w:r w:rsidRPr="00CB2C86">
        <w:t>Неполная занятость</w:t>
      </w:r>
    </w:p>
    <w:tbl>
      <w:tblPr>
        <w:tblStyle w:val="TabNum"/>
        <w:tblW w:w="8504" w:type="dxa"/>
        <w:tblInd w:w="1134" w:type="dxa"/>
        <w:tblLayout w:type="fixed"/>
        <w:tblLook w:val="01E0" w:firstRow="1" w:lastRow="1" w:firstColumn="1" w:lastColumn="1" w:noHBand="0" w:noVBand="0"/>
      </w:tblPr>
      <w:tblGrid>
        <w:gridCol w:w="2576"/>
        <w:gridCol w:w="1185"/>
        <w:gridCol w:w="1186"/>
        <w:gridCol w:w="1185"/>
        <w:gridCol w:w="1186"/>
        <w:gridCol w:w="1186"/>
      </w:tblGrid>
      <w:tr w:rsidR="00F936A8" w:rsidRPr="00461E2E" w:rsidTr="00F936A8">
        <w:trPr>
          <w:tblHeader/>
        </w:trPr>
        <w:tc>
          <w:tcPr>
            <w:cnfStyle w:val="001000000000" w:firstRow="0" w:lastRow="0" w:firstColumn="1" w:lastColumn="0" w:oddVBand="0" w:evenVBand="0" w:oddHBand="0" w:evenHBand="0" w:firstRowFirstColumn="0" w:firstRowLastColumn="0" w:lastRowFirstColumn="0" w:lastRowLastColumn="0"/>
            <w:tcW w:w="2576" w:type="dxa"/>
            <w:tcBorders>
              <w:bottom w:val="single" w:sz="12" w:space="0" w:color="auto"/>
            </w:tcBorders>
            <w:shd w:val="clear" w:color="auto" w:fill="auto"/>
          </w:tcPr>
          <w:p w:rsidR="00F936A8" w:rsidRPr="00461E2E" w:rsidRDefault="00F936A8" w:rsidP="00122DDF">
            <w:pPr>
              <w:tabs>
                <w:tab w:val="left" w:pos="1980"/>
              </w:tabs>
              <w:spacing w:before="80" w:after="80" w:line="200" w:lineRule="exact"/>
              <w:rPr>
                <w:i/>
                <w:sz w:val="16"/>
              </w:rPr>
            </w:pPr>
            <w:r w:rsidRPr="00461E2E">
              <w:rPr>
                <w:i/>
                <w:sz w:val="16"/>
              </w:rPr>
              <w:t>Период</w:t>
            </w:r>
          </w:p>
        </w:tc>
        <w:tc>
          <w:tcPr>
            <w:tcW w:w="1185" w:type="dxa"/>
            <w:tcBorders>
              <w:top w:val="single" w:sz="4" w:space="0" w:color="auto"/>
              <w:bottom w:val="single" w:sz="12" w:space="0" w:color="auto"/>
            </w:tcBorders>
            <w:shd w:val="clear" w:color="auto" w:fill="auto"/>
          </w:tcPr>
          <w:p w:rsidR="00F936A8" w:rsidRPr="00461E2E"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61E2E">
              <w:rPr>
                <w:i/>
                <w:sz w:val="16"/>
              </w:rPr>
              <w:t>4-й квартал 1987</w:t>
            </w:r>
          </w:p>
        </w:tc>
        <w:tc>
          <w:tcPr>
            <w:tcW w:w="1186" w:type="dxa"/>
            <w:tcBorders>
              <w:top w:val="single" w:sz="4" w:space="0" w:color="auto"/>
              <w:bottom w:val="single" w:sz="12" w:space="0" w:color="auto"/>
            </w:tcBorders>
            <w:shd w:val="clear" w:color="auto" w:fill="auto"/>
          </w:tcPr>
          <w:p w:rsidR="00F936A8" w:rsidRPr="00461E2E"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61E2E">
              <w:rPr>
                <w:i/>
                <w:sz w:val="16"/>
              </w:rPr>
              <w:t>4-й квартал 1992</w:t>
            </w:r>
          </w:p>
        </w:tc>
        <w:tc>
          <w:tcPr>
            <w:tcW w:w="1185" w:type="dxa"/>
            <w:tcBorders>
              <w:top w:val="single" w:sz="4" w:space="0" w:color="auto"/>
              <w:bottom w:val="single" w:sz="12" w:space="0" w:color="auto"/>
            </w:tcBorders>
            <w:shd w:val="clear" w:color="auto" w:fill="auto"/>
          </w:tcPr>
          <w:p w:rsidR="00F936A8" w:rsidRPr="00461E2E"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61E2E">
              <w:rPr>
                <w:i/>
                <w:sz w:val="16"/>
              </w:rPr>
              <w:t>4-й квартал 1997*</w:t>
            </w:r>
          </w:p>
        </w:tc>
        <w:tc>
          <w:tcPr>
            <w:tcW w:w="1186" w:type="dxa"/>
            <w:tcBorders>
              <w:top w:val="single" w:sz="4" w:space="0" w:color="auto"/>
              <w:bottom w:val="single" w:sz="12" w:space="0" w:color="auto"/>
            </w:tcBorders>
            <w:shd w:val="clear" w:color="auto" w:fill="auto"/>
          </w:tcPr>
          <w:p w:rsidR="00F936A8" w:rsidRPr="00461E2E"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61E2E">
              <w:rPr>
                <w:i/>
                <w:sz w:val="16"/>
              </w:rPr>
              <w:t>4-й квартал 2002</w:t>
            </w:r>
          </w:p>
        </w:tc>
        <w:tc>
          <w:tcPr>
            <w:tcW w:w="1186" w:type="dxa"/>
            <w:tcBorders>
              <w:top w:val="single" w:sz="4" w:space="0" w:color="auto"/>
              <w:bottom w:val="single" w:sz="12" w:space="0" w:color="auto"/>
            </w:tcBorders>
            <w:shd w:val="clear" w:color="auto" w:fill="auto"/>
          </w:tcPr>
          <w:p w:rsidR="00F936A8" w:rsidRPr="00461E2E"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61E2E">
              <w:rPr>
                <w:i/>
                <w:sz w:val="16"/>
              </w:rPr>
              <w:t>4-й квартал 2009</w:t>
            </w:r>
          </w:p>
        </w:tc>
      </w:tr>
      <w:tr w:rsidR="00F936A8" w:rsidRPr="00801C72" w:rsidTr="00F936A8">
        <w:tc>
          <w:tcPr>
            <w:cnfStyle w:val="001000000000" w:firstRow="0" w:lastRow="0" w:firstColumn="1" w:lastColumn="0" w:oddVBand="0" w:evenVBand="0" w:oddHBand="0" w:evenHBand="0" w:firstRowFirstColumn="0" w:firstRowLastColumn="0" w:lastRowFirstColumn="0" w:lastRowLastColumn="0"/>
            <w:tcW w:w="2576" w:type="dxa"/>
            <w:tcBorders>
              <w:top w:val="single" w:sz="12" w:space="0" w:color="auto"/>
            </w:tcBorders>
          </w:tcPr>
          <w:p w:rsidR="00F936A8" w:rsidRPr="00801C72" w:rsidRDefault="00F936A8" w:rsidP="00122DDF">
            <w:pPr>
              <w:tabs>
                <w:tab w:val="left" w:pos="1980"/>
              </w:tabs>
            </w:pPr>
            <w:r w:rsidRPr="00801C72">
              <w:t>Количество частично занятых</w:t>
            </w:r>
          </w:p>
        </w:tc>
        <w:tc>
          <w:tcPr>
            <w:tcW w:w="1185" w:type="dxa"/>
            <w:tcBorders>
              <w:top w:val="single" w:sz="12" w:space="0" w:color="auto"/>
            </w:tcBorders>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28 400</w:t>
            </w:r>
          </w:p>
        </w:tc>
        <w:tc>
          <w:tcPr>
            <w:tcW w:w="1186" w:type="dxa"/>
            <w:tcBorders>
              <w:top w:val="single" w:sz="12" w:space="0" w:color="auto"/>
            </w:tcBorders>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56 600</w:t>
            </w:r>
          </w:p>
        </w:tc>
        <w:tc>
          <w:tcPr>
            <w:tcW w:w="1185" w:type="dxa"/>
            <w:tcBorders>
              <w:top w:val="single" w:sz="12" w:space="0" w:color="auto"/>
            </w:tcBorders>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42 500</w:t>
            </w:r>
          </w:p>
        </w:tc>
        <w:tc>
          <w:tcPr>
            <w:tcW w:w="1186" w:type="dxa"/>
            <w:tcBorders>
              <w:top w:val="single" w:sz="12" w:space="0" w:color="auto"/>
            </w:tcBorders>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109 700</w:t>
            </w:r>
          </w:p>
        </w:tc>
        <w:tc>
          <w:tcPr>
            <w:tcW w:w="1186" w:type="dxa"/>
            <w:tcBorders>
              <w:top w:val="single" w:sz="12" w:space="0" w:color="auto"/>
            </w:tcBorders>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84 500</w:t>
            </w:r>
          </w:p>
        </w:tc>
      </w:tr>
      <w:tr w:rsidR="00F936A8" w:rsidRPr="00801C72" w:rsidTr="00F936A8">
        <w:tc>
          <w:tcPr>
            <w:cnfStyle w:val="001000000000" w:firstRow="0" w:lastRow="0" w:firstColumn="1" w:lastColumn="0" w:oddVBand="0" w:evenVBand="0" w:oddHBand="0" w:evenHBand="0" w:firstRowFirstColumn="0" w:firstRowLastColumn="0" w:lastRowFirstColumn="0" w:lastRowLastColumn="0"/>
            <w:tcW w:w="2576" w:type="dxa"/>
          </w:tcPr>
          <w:p w:rsidR="00F936A8" w:rsidRPr="00801C72" w:rsidRDefault="00F936A8" w:rsidP="00122DDF">
            <w:pPr>
              <w:tabs>
                <w:tab w:val="left" w:pos="1980"/>
              </w:tabs>
            </w:pPr>
            <w:r w:rsidRPr="00801C72">
              <w:t>Мужчины</w:t>
            </w:r>
          </w:p>
        </w:tc>
        <w:tc>
          <w:tcPr>
            <w:tcW w:w="1185"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19 200</w:t>
            </w:r>
          </w:p>
        </w:tc>
        <w:tc>
          <w:tcPr>
            <w:tcW w:w="1186"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45 500</w:t>
            </w:r>
          </w:p>
        </w:tc>
        <w:tc>
          <w:tcPr>
            <w:tcW w:w="1185"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32 500</w:t>
            </w:r>
          </w:p>
        </w:tc>
        <w:tc>
          <w:tcPr>
            <w:tcW w:w="1186"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75 300</w:t>
            </w:r>
          </w:p>
        </w:tc>
        <w:tc>
          <w:tcPr>
            <w:tcW w:w="1186"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59 800</w:t>
            </w:r>
          </w:p>
        </w:tc>
      </w:tr>
      <w:tr w:rsidR="00F936A8" w:rsidRPr="00801C72" w:rsidTr="00F936A8">
        <w:tc>
          <w:tcPr>
            <w:cnfStyle w:val="001000000000" w:firstRow="0" w:lastRow="0" w:firstColumn="1" w:lastColumn="0" w:oddVBand="0" w:evenVBand="0" w:oddHBand="0" w:evenHBand="0" w:firstRowFirstColumn="0" w:firstRowLastColumn="0" w:lastRowFirstColumn="0" w:lastRowLastColumn="0"/>
            <w:tcW w:w="2576" w:type="dxa"/>
          </w:tcPr>
          <w:p w:rsidR="00F936A8" w:rsidRPr="00801C72" w:rsidRDefault="00F936A8" w:rsidP="00122DDF">
            <w:pPr>
              <w:tabs>
                <w:tab w:val="left" w:pos="1980"/>
              </w:tabs>
            </w:pPr>
            <w:r w:rsidRPr="00801C72">
              <w:t>Женщины</w:t>
            </w:r>
          </w:p>
        </w:tc>
        <w:tc>
          <w:tcPr>
            <w:tcW w:w="1185"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9 200</w:t>
            </w:r>
          </w:p>
        </w:tc>
        <w:tc>
          <w:tcPr>
            <w:tcW w:w="1186"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11 100</w:t>
            </w:r>
          </w:p>
        </w:tc>
        <w:tc>
          <w:tcPr>
            <w:tcW w:w="1185"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10 100</w:t>
            </w:r>
          </w:p>
        </w:tc>
        <w:tc>
          <w:tcPr>
            <w:tcW w:w="1186"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34 400</w:t>
            </w:r>
          </w:p>
        </w:tc>
        <w:tc>
          <w:tcPr>
            <w:tcW w:w="1186"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24 700</w:t>
            </w:r>
          </w:p>
        </w:tc>
      </w:tr>
      <w:tr w:rsidR="00F936A8" w:rsidRPr="00801C72" w:rsidTr="00F936A8">
        <w:tc>
          <w:tcPr>
            <w:cnfStyle w:val="001000000000" w:firstRow="0" w:lastRow="0" w:firstColumn="1" w:lastColumn="0" w:oddVBand="0" w:evenVBand="0" w:oddHBand="0" w:evenHBand="0" w:firstRowFirstColumn="0" w:firstRowLastColumn="0" w:lastRowFirstColumn="0" w:lastRowLastColumn="0"/>
            <w:tcW w:w="2576" w:type="dxa"/>
          </w:tcPr>
          <w:p w:rsidR="00F936A8" w:rsidRPr="00801C72" w:rsidRDefault="00F936A8" w:rsidP="00122DDF">
            <w:pPr>
              <w:tabs>
                <w:tab w:val="left" w:pos="1980"/>
              </w:tabs>
            </w:pPr>
            <w:r w:rsidRPr="00801C72">
              <w:t>Лица моложе 20 лет</w:t>
            </w:r>
          </w:p>
        </w:tc>
        <w:tc>
          <w:tcPr>
            <w:tcW w:w="1185"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1 200</w:t>
            </w:r>
          </w:p>
        </w:tc>
        <w:tc>
          <w:tcPr>
            <w:tcW w:w="1186"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900</w:t>
            </w:r>
          </w:p>
        </w:tc>
        <w:tc>
          <w:tcPr>
            <w:tcW w:w="1185"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2 300</w:t>
            </w:r>
          </w:p>
        </w:tc>
        <w:tc>
          <w:tcPr>
            <w:tcW w:w="1186"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3 900</w:t>
            </w:r>
          </w:p>
        </w:tc>
        <w:tc>
          <w:tcPr>
            <w:tcW w:w="1186"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1 500</w:t>
            </w:r>
          </w:p>
        </w:tc>
      </w:tr>
      <w:tr w:rsidR="00F936A8" w:rsidRPr="00801C72" w:rsidTr="00F936A8">
        <w:tc>
          <w:tcPr>
            <w:cnfStyle w:val="001000000000" w:firstRow="0" w:lastRow="0" w:firstColumn="1" w:lastColumn="0" w:oddVBand="0" w:evenVBand="0" w:oddHBand="0" w:evenHBand="0" w:firstRowFirstColumn="0" w:firstRowLastColumn="0" w:lastRowFirstColumn="0" w:lastRowLastColumn="0"/>
            <w:tcW w:w="2576" w:type="dxa"/>
          </w:tcPr>
          <w:p w:rsidR="00F936A8" w:rsidRPr="00801C72" w:rsidRDefault="00F936A8" w:rsidP="00122DDF">
            <w:pPr>
              <w:tabs>
                <w:tab w:val="left" w:pos="1980"/>
              </w:tabs>
            </w:pPr>
            <w:r w:rsidRPr="00801C72">
              <w:t>Лица в возрасте 60 лет и старше</w:t>
            </w:r>
          </w:p>
        </w:tc>
        <w:tc>
          <w:tcPr>
            <w:tcW w:w="1185"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2 200</w:t>
            </w:r>
          </w:p>
        </w:tc>
        <w:tc>
          <w:tcPr>
            <w:tcW w:w="1186"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3 700</w:t>
            </w:r>
          </w:p>
        </w:tc>
        <w:tc>
          <w:tcPr>
            <w:tcW w:w="1185"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2 100</w:t>
            </w:r>
          </w:p>
        </w:tc>
        <w:tc>
          <w:tcPr>
            <w:tcW w:w="1186"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3 400</w:t>
            </w:r>
          </w:p>
        </w:tc>
        <w:tc>
          <w:tcPr>
            <w:tcW w:w="1186"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3 700</w:t>
            </w:r>
          </w:p>
        </w:tc>
      </w:tr>
      <w:tr w:rsidR="00F936A8" w:rsidRPr="00801C72" w:rsidTr="00F936A8">
        <w:tc>
          <w:tcPr>
            <w:cnfStyle w:val="001000000000" w:firstRow="0" w:lastRow="0" w:firstColumn="1" w:lastColumn="0" w:oddVBand="0" w:evenVBand="0" w:oddHBand="0" w:evenHBand="0" w:firstRowFirstColumn="0" w:firstRowLastColumn="0" w:lastRowFirstColumn="0" w:lastRowLastColumn="0"/>
            <w:tcW w:w="2576" w:type="dxa"/>
          </w:tcPr>
          <w:p w:rsidR="00F936A8" w:rsidRPr="00801C72" w:rsidRDefault="00F936A8" w:rsidP="00122DDF">
            <w:pPr>
              <w:tabs>
                <w:tab w:val="left" w:pos="1980"/>
              </w:tabs>
            </w:pPr>
            <w:r w:rsidRPr="00801C72">
              <w:t>Уровень неполной з</w:t>
            </w:r>
            <w:r w:rsidRPr="00801C72">
              <w:t>а</w:t>
            </w:r>
            <w:r w:rsidRPr="00801C72">
              <w:t>нятости</w:t>
            </w:r>
          </w:p>
        </w:tc>
        <w:tc>
          <w:tcPr>
            <w:tcW w:w="1185"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1</w:t>
            </w:r>
            <w:r>
              <w:t>,</w:t>
            </w:r>
            <w:r w:rsidRPr="00801C72">
              <w:t>0%</w:t>
            </w:r>
          </w:p>
        </w:tc>
        <w:tc>
          <w:tcPr>
            <w:tcW w:w="1186"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2</w:t>
            </w:r>
            <w:r>
              <w:t>,</w:t>
            </w:r>
            <w:r w:rsidRPr="00801C72">
              <w:t>0%</w:t>
            </w:r>
          </w:p>
        </w:tc>
        <w:tc>
          <w:tcPr>
            <w:tcW w:w="1185"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1</w:t>
            </w:r>
            <w:r>
              <w:t>,</w:t>
            </w:r>
            <w:r w:rsidRPr="00801C72">
              <w:t>3%</w:t>
            </w:r>
          </w:p>
        </w:tc>
        <w:tc>
          <w:tcPr>
            <w:tcW w:w="1186"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3</w:t>
            </w:r>
            <w:r>
              <w:t>,</w:t>
            </w:r>
            <w:r w:rsidRPr="00801C72">
              <w:t>1%</w:t>
            </w:r>
          </w:p>
        </w:tc>
        <w:tc>
          <w:tcPr>
            <w:tcW w:w="1186" w:type="dxa"/>
          </w:tcPr>
          <w:p w:rsidR="00F936A8" w:rsidRPr="00801C72"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801C72">
              <w:t>2</w:t>
            </w:r>
            <w:r>
              <w:t>,</w:t>
            </w:r>
            <w:r w:rsidRPr="00801C72">
              <w:t>3%</w:t>
            </w:r>
          </w:p>
        </w:tc>
      </w:tr>
    </w:tbl>
    <w:p w:rsidR="00F936A8" w:rsidRPr="009D4599" w:rsidRDefault="00F936A8" w:rsidP="00122DDF">
      <w:pPr>
        <w:pStyle w:val="SingleTxtGR"/>
        <w:tabs>
          <w:tab w:val="left" w:pos="1980"/>
        </w:tabs>
        <w:suppressAutoHyphens/>
        <w:spacing w:before="60" w:after="0" w:line="200" w:lineRule="atLeast"/>
        <w:ind w:left="1315"/>
        <w:jc w:val="left"/>
        <w:rPr>
          <w:sz w:val="18"/>
          <w:szCs w:val="18"/>
        </w:rPr>
      </w:pPr>
      <w:r w:rsidRPr="009D4599">
        <w:rPr>
          <w:sz w:val="18"/>
          <w:szCs w:val="18"/>
        </w:rPr>
        <w:t>* Цифры за 4-й квартал 1997</w:t>
      </w:r>
      <w:r w:rsidR="00B92291">
        <w:rPr>
          <w:sz w:val="18"/>
          <w:szCs w:val="18"/>
        </w:rPr>
        <w:t> год</w:t>
      </w:r>
      <w:r w:rsidRPr="009D4599">
        <w:rPr>
          <w:sz w:val="18"/>
          <w:szCs w:val="18"/>
        </w:rPr>
        <w:t>а были пересмотрены по результатам переписи населения 2001</w:t>
      </w:r>
      <w:r w:rsidR="00B92291">
        <w:rPr>
          <w:sz w:val="18"/>
          <w:szCs w:val="18"/>
        </w:rPr>
        <w:t> год</w:t>
      </w:r>
      <w:r w:rsidRPr="009D4599">
        <w:rPr>
          <w:sz w:val="18"/>
          <w:szCs w:val="18"/>
        </w:rPr>
        <w:t>а.</w:t>
      </w:r>
    </w:p>
    <w:p w:rsidR="00F936A8" w:rsidRPr="009D4599" w:rsidRDefault="00F936A8" w:rsidP="00122DDF">
      <w:pPr>
        <w:pStyle w:val="SingleTxtGR"/>
        <w:tabs>
          <w:tab w:val="left" w:pos="1980"/>
        </w:tabs>
        <w:suppressAutoHyphens/>
        <w:spacing w:after="0" w:line="200" w:lineRule="atLeast"/>
        <w:ind w:left="1315"/>
        <w:jc w:val="left"/>
        <w:rPr>
          <w:sz w:val="18"/>
          <w:szCs w:val="18"/>
        </w:rPr>
      </w:pPr>
      <w:r w:rsidRPr="009D4599">
        <w:rPr>
          <w:sz w:val="18"/>
          <w:szCs w:val="18"/>
          <w:vertAlign w:val="superscript"/>
        </w:rPr>
        <w:t>#</w:t>
      </w:r>
      <w:r w:rsidRPr="009D4599">
        <w:rPr>
          <w:sz w:val="18"/>
          <w:szCs w:val="18"/>
        </w:rPr>
        <w:t xml:space="preserve"> В первом квартале 2001</w:t>
      </w:r>
      <w:r w:rsidR="00B92291">
        <w:rPr>
          <w:sz w:val="18"/>
          <w:szCs w:val="18"/>
        </w:rPr>
        <w:t> год</w:t>
      </w:r>
      <w:r w:rsidRPr="009D4599">
        <w:rPr>
          <w:sz w:val="18"/>
          <w:szCs w:val="18"/>
        </w:rPr>
        <w:t>а мы заменили предыдущий метод сезонных корректировок уровня неполной занятости методом ‘</w:t>
      </w:r>
      <w:r w:rsidRPr="009D4599">
        <w:rPr>
          <w:sz w:val="18"/>
          <w:szCs w:val="18"/>
          <w:lang w:val="en-GB"/>
        </w:rPr>
        <w:t>X</w:t>
      </w:r>
      <w:r w:rsidRPr="009D4599">
        <w:rPr>
          <w:sz w:val="18"/>
          <w:szCs w:val="18"/>
        </w:rPr>
        <w:t xml:space="preserve">-11 </w:t>
      </w:r>
      <w:r w:rsidRPr="009D4599">
        <w:rPr>
          <w:sz w:val="18"/>
          <w:szCs w:val="18"/>
          <w:lang w:val="en-GB"/>
        </w:rPr>
        <w:t>ARIMA</w:t>
      </w:r>
      <w:r w:rsidRPr="009D4599">
        <w:rPr>
          <w:sz w:val="18"/>
          <w:szCs w:val="18"/>
        </w:rPr>
        <w:t>’. Соответственно были пересмотрены временные ряды сезонно скорректированных уровней неполной занят</w:t>
      </w:r>
      <w:r w:rsidRPr="009D4599">
        <w:rPr>
          <w:sz w:val="18"/>
          <w:szCs w:val="18"/>
        </w:rPr>
        <w:t>о</w:t>
      </w:r>
      <w:r w:rsidRPr="009D4599">
        <w:rPr>
          <w:sz w:val="18"/>
          <w:szCs w:val="18"/>
        </w:rPr>
        <w:t>сти.</w:t>
      </w:r>
    </w:p>
    <w:p w:rsidR="00F936A8" w:rsidRPr="00CB2C86" w:rsidRDefault="00F936A8" w:rsidP="00122DDF">
      <w:pPr>
        <w:pStyle w:val="HChGR"/>
        <w:tabs>
          <w:tab w:val="left" w:pos="1980"/>
        </w:tabs>
      </w:pPr>
      <w:r w:rsidRPr="00CB2C86">
        <w:br w:type="page"/>
        <w:t>Приложение 7</w:t>
      </w:r>
      <w:r w:rsidRPr="00CB2C86">
        <w:rPr>
          <w:lang w:val="en-GB"/>
        </w:rPr>
        <w:t>A</w:t>
      </w:r>
    </w:p>
    <w:p w:rsidR="00F936A8" w:rsidRPr="00CB2C86" w:rsidRDefault="00F936A8" w:rsidP="00122DDF">
      <w:pPr>
        <w:pStyle w:val="H1GR"/>
        <w:tabs>
          <w:tab w:val="left" w:pos="1980"/>
        </w:tabs>
      </w:pPr>
      <w:r w:rsidRPr="00CB2C86">
        <w:tab/>
      </w:r>
      <w:r w:rsidRPr="00CB2C86">
        <w:tab/>
        <w:t xml:space="preserve">Профессиональные заболевания, зарегистрированные </w:t>
      </w:r>
      <w:r>
        <w:br/>
      </w:r>
      <w:r w:rsidRPr="00CB2C86">
        <w:t>в Гонконге в период 2000</w:t>
      </w:r>
      <w:r>
        <w:t>−</w:t>
      </w:r>
      <w:r w:rsidRPr="00CB2C86">
        <w:t>2009</w:t>
      </w:r>
      <w:r w:rsidR="00B92291">
        <w:t> год</w:t>
      </w:r>
      <w:r w:rsidRPr="00CB2C86">
        <w:t>ов</w:t>
      </w:r>
    </w:p>
    <w:tbl>
      <w:tblPr>
        <w:tblStyle w:val="TabNum"/>
        <w:tblW w:w="7370" w:type="dxa"/>
        <w:tblInd w:w="1134" w:type="dxa"/>
        <w:tblLayout w:type="fixed"/>
        <w:tblLook w:val="01E0" w:firstRow="1" w:lastRow="1" w:firstColumn="1" w:lastColumn="1" w:noHBand="0" w:noVBand="0"/>
      </w:tblPr>
      <w:tblGrid>
        <w:gridCol w:w="1842"/>
        <w:gridCol w:w="552"/>
        <w:gridCol w:w="553"/>
        <w:gridCol w:w="553"/>
        <w:gridCol w:w="553"/>
        <w:gridCol w:w="553"/>
        <w:gridCol w:w="552"/>
        <w:gridCol w:w="553"/>
        <w:gridCol w:w="553"/>
        <w:gridCol w:w="553"/>
        <w:gridCol w:w="553"/>
      </w:tblGrid>
      <w:tr w:rsidR="00F936A8" w:rsidRPr="00BA2CCD" w:rsidTr="00F936A8">
        <w:trPr>
          <w:tblHeader/>
        </w:trPr>
        <w:tc>
          <w:tcPr>
            <w:cnfStyle w:val="001000000000" w:firstRow="0" w:lastRow="0" w:firstColumn="1" w:lastColumn="0" w:oddVBand="0" w:evenVBand="0" w:oddHBand="0" w:evenHBand="0" w:firstRowFirstColumn="0" w:firstRowLastColumn="0" w:lastRowFirstColumn="0" w:lastRowLastColumn="0"/>
            <w:tcW w:w="1843" w:type="dxa"/>
            <w:tcBorders>
              <w:bottom w:val="single" w:sz="12" w:space="0" w:color="auto"/>
            </w:tcBorders>
            <w:shd w:val="clear" w:color="auto" w:fill="auto"/>
          </w:tcPr>
          <w:p w:rsidR="00F936A8" w:rsidRPr="00BA2CCD" w:rsidRDefault="00F936A8" w:rsidP="00122DDF">
            <w:pPr>
              <w:tabs>
                <w:tab w:val="left" w:pos="1980"/>
              </w:tabs>
              <w:spacing w:before="80" w:after="80" w:line="200" w:lineRule="exact"/>
              <w:rPr>
                <w:i/>
                <w:sz w:val="16"/>
              </w:rPr>
            </w:pPr>
            <w:r w:rsidRPr="00BA2CCD">
              <w:rPr>
                <w:i/>
                <w:sz w:val="16"/>
              </w:rPr>
              <w:t>Профессиональное заболевание</w:t>
            </w:r>
          </w:p>
        </w:tc>
        <w:tc>
          <w:tcPr>
            <w:tcW w:w="552" w:type="dxa"/>
            <w:tcBorders>
              <w:top w:val="single" w:sz="4" w:space="0" w:color="auto"/>
              <w:bottom w:val="single" w:sz="12" w:space="0" w:color="auto"/>
            </w:tcBorders>
            <w:shd w:val="clear" w:color="auto" w:fill="auto"/>
          </w:tcPr>
          <w:p w:rsidR="00F936A8" w:rsidRPr="00BA2CCD"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A2CCD">
              <w:rPr>
                <w:i/>
                <w:sz w:val="16"/>
              </w:rPr>
              <w:t>2000</w:t>
            </w:r>
          </w:p>
        </w:tc>
        <w:tc>
          <w:tcPr>
            <w:tcW w:w="553" w:type="dxa"/>
            <w:tcBorders>
              <w:top w:val="single" w:sz="4" w:space="0" w:color="auto"/>
              <w:bottom w:val="single" w:sz="12" w:space="0" w:color="auto"/>
            </w:tcBorders>
            <w:shd w:val="clear" w:color="auto" w:fill="auto"/>
          </w:tcPr>
          <w:p w:rsidR="00F936A8" w:rsidRPr="00BA2CCD"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A2CCD">
              <w:rPr>
                <w:i/>
                <w:sz w:val="16"/>
              </w:rPr>
              <w:t>2001</w:t>
            </w:r>
          </w:p>
        </w:tc>
        <w:tc>
          <w:tcPr>
            <w:tcW w:w="553" w:type="dxa"/>
            <w:tcBorders>
              <w:top w:val="single" w:sz="4" w:space="0" w:color="auto"/>
              <w:bottom w:val="single" w:sz="12" w:space="0" w:color="auto"/>
            </w:tcBorders>
            <w:shd w:val="clear" w:color="auto" w:fill="auto"/>
          </w:tcPr>
          <w:p w:rsidR="00F936A8" w:rsidRPr="00BA2CCD"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A2CCD">
              <w:rPr>
                <w:i/>
                <w:sz w:val="16"/>
              </w:rPr>
              <w:t>2002</w:t>
            </w:r>
          </w:p>
        </w:tc>
        <w:tc>
          <w:tcPr>
            <w:tcW w:w="553" w:type="dxa"/>
            <w:tcBorders>
              <w:top w:val="single" w:sz="4" w:space="0" w:color="auto"/>
              <w:bottom w:val="single" w:sz="12" w:space="0" w:color="auto"/>
            </w:tcBorders>
            <w:shd w:val="clear" w:color="auto" w:fill="auto"/>
          </w:tcPr>
          <w:p w:rsidR="00F936A8" w:rsidRPr="00BA2CCD"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A2CCD">
              <w:rPr>
                <w:i/>
                <w:sz w:val="16"/>
              </w:rPr>
              <w:t>2003</w:t>
            </w:r>
          </w:p>
        </w:tc>
        <w:tc>
          <w:tcPr>
            <w:tcW w:w="553" w:type="dxa"/>
            <w:tcBorders>
              <w:top w:val="single" w:sz="4" w:space="0" w:color="auto"/>
              <w:bottom w:val="single" w:sz="12" w:space="0" w:color="auto"/>
            </w:tcBorders>
            <w:shd w:val="clear" w:color="auto" w:fill="auto"/>
          </w:tcPr>
          <w:p w:rsidR="00F936A8" w:rsidRPr="00BA2CCD"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A2CCD">
              <w:rPr>
                <w:i/>
                <w:sz w:val="16"/>
              </w:rPr>
              <w:t>2004</w:t>
            </w:r>
          </w:p>
        </w:tc>
        <w:tc>
          <w:tcPr>
            <w:tcW w:w="552" w:type="dxa"/>
            <w:tcBorders>
              <w:top w:val="single" w:sz="4" w:space="0" w:color="auto"/>
              <w:bottom w:val="single" w:sz="12" w:space="0" w:color="auto"/>
            </w:tcBorders>
            <w:shd w:val="clear" w:color="auto" w:fill="auto"/>
          </w:tcPr>
          <w:p w:rsidR="00F936A8" w:rsidRPr="00BA2CCD"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A2CCD">
              <w:rPr>
                <w:i/>
                <w:sz w:val="16"/>
              </w:rPr>
              <w:t>2005</w:t>
            </w:r>
          </w:p>
        </w:tc>
        <w:tc>
          <w:tcPr>
            <w:tcW w:w="553" w:type="dxa"/>
            <w:tcBorders>
              <w:top w:val="single" w:sz="4" w:space="0" w:color="auto"/>
              <w:bottom w:val="single" w:sz="12" w:space="0" w:color="auto"/>
            </w:tcBorders>
            <w:shd w:val="clear" w:color="auto" w:fill="auto"/>
          </w:tcPr>
          <w:p w:rsidR="00F936A8" w:rsidRPr="00BA2CCD"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A2CCD">
              <w:rPr>
                <w:i/>
                <w:sz w:val="16"/>
              </w:rPr>
              <w:t>2006</w:t>
            </w:r>
          </w:p>
        </w:tc>
        <w:tc>
          <w:tcPr>
            <w:tcW w:w="553" w:type="dxa"/>
            <w:tcBorders>
              <w:top w:val="single" w:sz="4" w:space="0" w:color="auto"/>
              <w:bottom w:val="single" w:sz="12" w:space="0" w:color="auto"/>
            </w:tcBorders>
            <w:shd w:val="clear" w:color="auto" w:fill="auto"/>
          </w:tcPr>
          <w:p w:rsidR="00F936A8" w:rsidRPr="00BA2CCD"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A2CCD">
              <w:rPr>
                <w:i/>
                <w:sz w:val="16"/>
              </w:rPr>
              <w:t>2007</w:t>
            </w:r>
          </w:p>
        </w:tc>
        <w:tc>
          <w:tcPr>
            <w:tcW w:w="553" w:type="dxa"/>
            <w:tcBorders>
              <w:top w:val="single" w:sz="4" w:space="0" w:color="auto"/>
              <w:bottom w:val="single" w:sz="12" w:space="0" w:color="auto"/>
            </w:tcBorders>
            <w:shd w:val="clear" w:color="auto" w:fill="auto"/>
          </w:tcPr>
          <w:p w:rsidR="00F936A8" w:rsidRPr="00BA2CCD"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A2CCD">
              <w:rPr>
                <w:i/>
                <w:sz w:val="16"/>
              </w:rPr>
              <w:t>2008</w:t>
            </w:r>
          </w:p>
        </w:tc>
        <w:tc>
          <w:tcPr>
            <w:tcW w:w="553" w:type="dxa"/>
            <w:tcBorders>
              <w:top w:val="single" w:sz="4" w:space="0" w:color="auto"/>
              <w:bottom w:val="single" w:sz="12" w:space="0" w:color="auto"/>
            </w:tcBorders>
            <w:shd w:val="clear" w:color="auto" w:fill="auto"/>
          </w:tcPr>
          <w:p w:rsidR="00F936A8" w:rsidRPr="00BA2CCD"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A2CCD">
              <w:rPr>
                <w:i/>
                <w:sz w:val="16"/>
              </w:rPr>
              <w:t>2009</w:t>
            </w:r>
          </w:p>
        </w:tc>
      </w:tr>
      <w:tr w:rsidR="00F936A8" w:rsidRPr="00BA2CCD" w:rsidTr="00F936A8">
        <w:tc>
          <w:tcPr>
            <w:cnfStyle w:val="001000000000" w:firstRow="0" w:lastRow="0" w:firstColumn="1" w:lastColumn="0" w:oddVBand="0" w:evenVBand="0" w:oddHBand="0" w:evenHBand="0" w:firstRowFirstColumn="0" w:firstRowLastColumn="0" w:lastRowFirstColumn="0" w:lastRowLastColumn="0"/>
            <w:tcW w:w="1843" w:type="dxa"/>
            <w:tcBorders>
              <w:top w:val="single" w:sz="12" w:space="0" w:color="auto"/>
            </w:tcBorders>
          </w:tcPr>
          <w:p w:rsidR="00F936A8" w:rsidRPr="00BA2CCD" w:rsidRDefault="00F936A8" w:rsidP="00122DDF">
            <w:pPr>
              <w:tabs>
                <w:tab w:val="left" w:pos="1980"/>
              </w:tabs>
            </w:pPr>
            <w:r w:rsidRPr="00BA2CCD">
              <w:t>Силикоз</w:t>
            </w:r>
          </w:p>
        </w:tc>
        <w:tc>
          <w:tcPr>
            <w:tcW w:w="552" w:type="dxa"/>
            <w:tcBorders>
              <w:top w:val="single" w:sz="12" w:space="0" w:color="auto"/>
            </w:tcBorders>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105</w:t>
            </w:r>
          </w:p>
        </w:tc>
        <w:tc>
          <w:tcPr>
            <w:tcW w:w="553" w:type="dxa"/>
            <w:tcBorders>
              <w:top w:val="single" w:sz="12" w:space="0" w:color="auto"/>
            </w:tcBorders>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122</w:t>
            </w:r>
          </w:p>
        </w:tc>
        <w:tc>
          <w:tcPr>
            <w:tcW w:w="553" w:type="dxa"/>
            <w:tcBorders>
              <w:top w:val="single" w:sz="12" w:space="0" w:color="auto"/>
            </w:tcBorders>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110</w:t>
            </w:r>
          </w:p>
        </w:tc>
        <w:tc>
          <w:tcPr>
            <w:tcW w:w="553" w:type="dxa"/>
            <w:tcBorders>
              <w:top w:val="single" w:sz="12" w:space="0" w:color="auto"/>
            </w:tcBorders>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74</w:t>
            </w:r>
          </w:p>
        </w:tc>
        <w:tc>
          <w:tcPr>
            <w:tcW w:w="553" w:type="dxa"/>
            <w:tcBorders>
              <w:top w:val="single" w:sz="12" w:space="0" w:color="auto"/>
            </w:tcBorders>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69</w:t>
            </w:r>
          </w:p>
        </w:tc>
        <w:tc>
          <w:tcPr>
            <w:tcW w:w="552" w:type="dxa"/>
            <w:tcBorders>
              <w:top w:val="single" w:sz="12" w:space="0" w:color="auto"/>
            </w:tcBorders>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68</w:t>
            </w:r>
          </w:p>
        </w:tc>
        <w:tc>
          <w:tcPr>
            <w:tcW w:w="553" w:type="dxa"/>
            <w:tcBorders>
              <w:top w:val="single" w:sz="12" w:space="0" w:color="auto"/>
            </w:tcBorders>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109</w:t>
            </w:r>
          </w:p>
        </w:tc>
        <w:tc>
          <w:tcPr>
            <w:tcW w:w="553" w:type="dxa"/>
            <w:tcBorders>
              <w:top w:val="single" w:sz="12" w:space="0" w:color="auto"/>
            </w:tcBorders>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67</w:t>
            </w:r>
          </w:p>
        </w:tc>
        <w:tc>
          <w:tcPr>
            <w:tcW w:w="553" w:type="dxa"/>
            <w:tcBorders>
              <w:top w:val="single" w:sz="12" w:space="0" w:color="auto"/>
            </w:tcBorders>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65</w:t>
            </w:r>
          </w:p>
        </w:tc>
        <w:tc>
          <w:tcPr>
            <w:tcW w:w="553" w:type="dxa"/>
            <w:tcBorders>
              <w:top w:val="single" w:sz="12" w:space="0" w:color="auto"/>
            </w:tcBorders>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86*</w:t>
            </w:r>
          </w:p>
        </w:tc>
      </w:tr>
      <w:tr w:rsidR="00F936A8" w:rsidRPr="00BA2CCD" w:rsidTr="00F936A8">
        <w:tc>
          <w:tcPr>
            <w:cnfStyle w:val="001000000000" w:firstRow="0" w:lastRow="0" w:firstColumn="1" w:lastColumn="0" w:oddVBand="0" w:evenVBand="0" w:oddHBand="0" w:evenHBand="0" w:firstRowFirstColumn="0" w:firstRowLastColumn="0" w:lastRowFirstColumn="0" w:lastRowLastColumn="0"/>
            <w:tcW w:w="1843" w:type="dxa"/>
          </w:tcPr>
          <w:p w:rsidR="00F936A8" w:rsidRPr="00BA2CCD" w:rsidRDefault="00F936A8" w:rsidP="00122DDF">
            <w:pPr>
              <w:tabs>
                <w:tab w:val="left" w:pos="1980"/>
              </w:tabs>
            </w:pPr>
            <w:r w:rsidRPr="00BA2CCD">
              <w:t xml:space="preserve">Профессиональная глухота </w:t>
            </w:r>
          </w:p>
        </w:tc>
        <w:tc>
          <w:tcPr>
            <w:tcW w:w="552"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206</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121</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114</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74</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52</w:t>
            </w:r>
          </w:p>
        </w:tc>
        <w:tc>
          <w:tcPr>
            <w:tcW w:w="552"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60</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51</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47</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58</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77*</w:t>
            </w:r>
          </w:p>
        </w:tc>
      </w:tr>
      <w:tr w:rsidR="00F936A8" w:rsidRPr="00BA2CCD" w:rsidTr="00F936A8">
        <w:tc>
          <w:tcPr>
            <w:cnfStyle w:val="001000000000" w:firstRow="0" w:lastRow="0" w:firstColumn="1" w:lastColumn="0" w:oddVBand="0" w:evenVBand="0" w:oddHBand="0" w:evenHBand="0" w:firstRowFirstColumn="0" w:firstRowLastColumn="0" w:lastRowFirstColumn="0" w:lastRowLastColumn="0"/>
            <w:tcW w:w="1843" w:type="dxa"/>
          </w:tcPr>
          <w:p w:rsidR="00F936A8" w:rsidRPr="00BA2CCD" w:rsidRDefault="00F936A8" w:rsidP="00122DDF">
            <w:pPr>
              <w:tabs>
                <w:tab w:val="left" w:pos="1980"/>
              </w:tabs>
            </w:pPr>
            <w:proofErr w:type="spellStart"/>
            <w:r w:rsidRPr="00BA2CCD">
              <w:t>Тендосиновит</w:t>
            </w:r>
            <w:proofErr w:type="spellEnd"/>
            <w:r w:rsidRPr="00BA2CCD">
              <w:t xml:space="preserve"> ки</w:t>
            </w:r>
            <w:r w:rsidRPr="00BA2CCD">
              <w:t>с</w:t>
            </w:r>
            <w:r w:rsidRPr="00BA2CCD">
              <w:t xml:space="preserve">ти или предплечья </w:t>
            </w:r>
          </w:p>
        </w:tc>
        <w:tc>
          <w:tcPr>
            <w:tcW w:w="552"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81</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90</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35</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34</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43</w:t>
            </w:r>
          </w:p>
        </w:tc>
        <w:tc>
          <w:tcPr>
            <w:tcW w:w="552"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75</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63</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35</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40</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39</w:t>
            </w:r>
          </w:p>
        </w:tc>
      </w:tr>
      <w:tr w:rsidR="00F936A8" w:rsidRPr="00BA2CCD" w:rsidTr="00F936A8">
        <w:tc>
          <w:tcPr>
            <w:cnfStyle w:val="001000000000" w:firstRow="0" w:lastRow="0" w:firstColumn="1" w:lastColumn="0" w:oddVBand="0" w:evenVBand="0" w:oddHBand="0" w:evenHBand="0" w:firstRowFirstColumn="0" w:firstRowLastColumn="0" w:lastRowFirstColumn="0" w:lastRowLastColumn="0"/>
            <w:tcW w:w="1843" w:type="dxa"/>
          </w:tcPr>
          <w:p w:rsidR="00F936A8" w:rsidRPr="00BA2CCD" w:rsidRDefault="00F936A8" w:rsidP="00122DDF">
            <w:pPr>
              <w:tabs>
                <w:tab w:val="left" w:pos="1980"/>
              </w:tabs>
            </w:pPr>
            <w:r w:rsidRPr="00BA2CCD">
              <w:t>Туберкулез</w:t>
            </w:r>
          </w:p>
        </w:tc>
        <w:tc>
          <w:tcPr>
            <w:tcW w:w="552"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39</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41</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29</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30</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42</w:t>
            </w:r>
          </w:p>
        </w:tc>
        <w:tc>
          <w:tcPr>
            <w:tcW w:w="552"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30</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18</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16</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25</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18</w:t>
            </w:r>
          </w:p>
        </w:tc>
      </w:tr>
      <w:tr w:rsidR="00F936A8" w:rsidRPr="00BA2CCD" w:rsidTr="00F936A8">
        <w:tc>
          <w:tcPr>
            <w:cnfStyle w:val="001000000000" w:firstRow="0" w:lastRow="0" w:firstColumn="1" w:lastColumn="0" w:oddVBand="0" w:evenVBand="0" w:oddHBand="0" w:evenHBand="0" w:firstRowFirstColumn="0" w:firstRowLastColumn="0" w:lastRowFirstColumn="0" w:lastRowLastColumn="0"/>
            <w:tcW w:w="1843" w:type="dxa"/>
          </w:tcPr>
          <w:p w:rsidR="00F936A8" w:rsidRPr="00BA2CCD" w:rsidRDefault="00F936A8" w:rsidP="00122DDF">
            <w:pPr>
              <w:tabs>
                <w:tab w:val="left" w:pos="1980"/>
              </w:tabs>
            </w:pPr>
            <w:r w:rsidRPr="00BA2CCD">
              <w:t xml:space="preserve">Отравление газом </w:t>
            </w:r>
          </w:p>
        </w:tc>
        <w:tc>
          <w:tcPr>
            <w:tcW w:w="552"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36</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11</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30</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26</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28</w:t>
            </w:r>
          </w:p>
        </w:tc>
        <w:tc>
          <w:tcPr>
            <w:tcW w:w="552"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4</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5</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1</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4</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17*</w:t>
            </w:r>
          </w:p>
        </w:tc>
      </w:tr>
      <w:tr w:rsidR="00F936A8" w:rsidRPr="00BA2CCD" w:rsidTr="00F936A8">
        <w:tc>
          <w:tcPr>
            <w:cnfStyle w:val="001000000000" w:firstRow="0" w:lastRow="0" w:firstColumn="1" w:lastColumn="0" w:oddVBand="0" w:evenVBand="0" w:oddHBand="0" w:evenHBand="0" w:firstRowFirstColumn="0" w:firstRowLastColumn="0" w:lastRowFirstColumn="0" w:lastRowLastColumn="0"/>
            <w:tcW w:w="1843" w:type="dxa"/>
          </w:tcPr>
          <w:p w:rsidR="00F936A8" w:rsidRPr="00BA2CCD" w:rsidRDefault="00F936A8" w:rsidP="00122DDF">
            <w:pPr>
              <w:tabs>
                <w:tab w:val="left" w:pos="1980"/>
              </w:tabs>
            </w:pPr>
            <w:proofErr w:type="spellStart"/>
            <w:r w:rsidRPr="00BA2CCD">
              <w:t>Мезотелиома#</w:t>
            </w:r>
            <w:proofErr w:type="spellEnd"/>
          </w:p>
        </w:tc>
        <w:tc>
          <w:tcPr>
            <w:tcW w:w="552"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t>−</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t>−</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t>−</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t>−</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t>−</w:t>
            </w:r>
          </w:p>
        </w:tc>
        <w:tc>
          <w:tcPr>
            <w:tcW w:w="552"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t>−</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t>−</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t>−</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1</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15</w:t>
            </w:r>
          </w:p>
        </w:tc>
      </w:tr>
      <w:tr w:rsidR="00F936A8" w:rsidRPr="00BA2CCD" w:rsidTr="00F936A8">
        <w:tc>
          <w:tcPr>
            <w:cnfStyle w:val="001000000000" w:firstRow="0" w:lastRow="0" w:firstColumn="1" w:lastColumn="0" w:oddVBand="0" w:evenVBand="0" w:oddHBand="0" w:evenHBand="0" w:firstRowFirstColumn="0" w:firstRowLastColumn="0" w:lastRowFirstColumn="0" w:lastRowLastColumn="0"/>
            <w:tcW w:w="1843" w:type="dxa"/>
          </w:tcPr>
          <w:p w:rsidR="00F936A8" w:rsidRPr="00BA2CCD" w:rsidRDefault="00F936A8" w:rsidP="00122DDF">
            <w:pPr>
              <w:tabs>
                <w:tab w:val="left" w:pos="1980"/>
              </w:tabs>
            </w:pPr>
            <w:r w:rsidRPr="00BA2CCD">
              <w:t>Профессиональный дерматит</w:t>
            </w:r>
          </w:p>
        </w:tc>
        <w:tc>
          <w:tcPr>
            <w:tcW w:w="552"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17</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24</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29</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10</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7</w:t>
            </w:r>
          </w:p>
        </w:tc>
        <w:tc>
          <w:tcPr>
            <w:tcW w:w="552"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10</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8</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7</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3</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10*</w:t>
            </w:r>
          </w:p>
        </w:tc>
      </w:tr>
      <w:tr w:rsidR="00F936A8" w:rsidRPr="00BA2CCD" w:rsidTr="00F936A8">
        <w:tc>
          <w:tcPr>
            <w:cnfStyle w:val="001000000000" w:firstRow="0" w:lastRow="0" w:firstColumn="1" w:lastColumn="0" w:oddVBand="0" w:evenVBand="0" w:oddHBand="0" w:evenHBand="0" w:firstRowFirstColumn="0" w:firstRowLastColumn="0" w:lastRowFirstColumn="0" w:lastRowLastColumn="0"/>
            <w:tcW w:w="1843" w:type="dxa"/>
          </w:tcPr>
          <w:p w:rsidR="00F936A8" w:rsidRPr="00BA2CCD" w:rsidRDefault="00F936A8" w:rsidP="00122DDF">
            <w:pPr>
              <w:tabs>
                <w:tab w:val="left" w:pos="1980"/>
              </w:tabs>
            </w:pPr>
            <w:proofErr w:type="spellStart"/>
            <w:r w:rsidRPr="00BA2CCD">
              <w:t>Асбестоз</w:t>
            </w:r>
            <w:proofErr w:type="spellEnd"/>
          </w:p>
        </w:tc>
        <w:tc>
          <w:tcPr>
            <w:tcW w:w="552"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11</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9</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9</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6</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4</w:t>
            </w:r>
          </w:p>
        </w:tc>
        <w:tc>
          <w:tcPr>
            <w:tcW w:w="552"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2</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7</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2</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5</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5</w:t>
            </w:r>
          </w:p>
        </w:tc>
      </w:tr>
      <w:tr w:rsidR="00F936A8" w:rsidRPr="00BA2CCD" w:rsidTr="00F936A8">
        <w:tc>
          <w:tcPr>
            <w:cnfStyle w:val="001000000000" w:firstRow="0" w:lastRow="0" w:firstColumn="1" w:lastColumn="0" w:oddVBand="0" w:evenVBand="0" w:oddHBand="0" w:evenHBand="0" w:firstRowFirstColumn="0" w:firstRowLastColumn="0" w:lastRowFirstColumn="0" w:lastRowLastColumn="0"/>
            <w:tcW w:w="1843" w:type="dxa"/>
          </w:tcPr>
          <w:p w:rsidR="00F936A8" w:rsidRPr="00BA2CCD" w:rsidRDefault="00F936A8" w:rsidP="00122DDF">
            <w:pPr>
              <w:tabs>
                <w:tab w:val="left" w:pos="1980"/>
              </w:tabs>
            </w:pPr>
            <w:r w:rsidRPr="00BA2CCD">
              <w:t xml:space="preserve">Инфекция </w:t>
            </w:r>
            <w:proofErr w:type="spellStart"/>
            <w:r w:rsidRPr="00BA2CCD">
              <w:t>Streptococcus</w:t>
            </w:r>
            <w:proofErr w:type="spellEnd"/>
            <w:r w:rsidRPr="00BA2CCD">
              <w:t xml:space="preserve"> </w:t>
            </w:r>
            <w:proofErr w:type="spellStart"/>
            <w:r w:rsidRPr="00BA2CCD">
              <w:t>suis</w:t>
            </w:r>
            <w:proofErr w:type="spellEnd"/>
            <w:r w:rsidRPr="00BA2CCD">
              <w:t xml:space="preserve"> </w:t>
            </w:r>
          </w:p>
        </w:tc>
        <w:tc>
          <w:tcPr>
            <w:tcW w:w="552"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0</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1</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0</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0</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1</w:t>
            </w:r>
          </w:p>
        </w:tc>
        <w:tc>
          <w:tcPr>
            <w:tcW w:w="552"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6</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0</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1</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3</w:t>
            </w:r>
          </w:p>
        </w:tc>
        <w:tc>
          <w:tcPr>
            <w:tcW w:w="553" w:type="dxa"/>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0</w:t>
            </w:r>
          </w:p>
        </w:tc>
      </w:tr>
      <w:tr w:rsidR="00F936A8" w:rsidRPr="00BA2CCD" w:rsidTr="00F936A8">
        <w:tc>
          <w:tcPr>
            <w:cnfStyle w:val="001000000000" w:firstRow="0" w:lastRow="0" w:firstColumn="1" w:lastColumn="0" w:oddVBand="0" w:evenVBand="0" w:oddHBand="0" w:evenHBand="0" w:firstRowFirstColumn="0" w:firstRowLastColumn="0" w:lastRowFirstColumn="0" w:lastRowLastColumn="0"/>
            <w:tcW w:w="1843" w:type="dxa"/>
            <w:tcBorders>
              <w:bottom w:val="single" w:sz="4" w:space="0" w:color="auto"/>
            </w:tcBorders>
          </w:tcPr>
          <w:p w:rsidR="00F936A8" w:rsidRPr="00BA2CCD" w:rsidRDefault="00F936A8" w:rsidP="00122DDF">
            <w:pPr>
              <w:tabs>
                <w:tab w:val="left" w:pos="1980"/>
              </w:tabs>
            </w:pPr>
            <w:r w:rsidRPr="00BA2CCD">
              <w:t>Прочие</w:t>
            </w:r>
          </w:p>
        </w:tc>
        <w:tc>
          <w:tcPr>
            <w:tcW w:w="552" w:type="dxa"/>
            <w:tcBorders>
              <w:bottom w:val="single" w:sz="4" w:space="0" w:color="auto"/>
            </w:tcBorders>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9</w:t>
            </w:r>
          </w:p>
        </w:tc>
        <w:tc>
          <w:tcPr>
            <w:tcW w:w="553" w:type="dxa"/>
            <w:tcBorders>
              <w:bottom w:val="single" w:sz="4" w:space="0" w:color="auto"/>
            </w:tcBorders>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11</w:t>
            </w:r>
          </w:p>
        </w:tc>
        <w:tc>
          <w:tcPr>
            <w:tcW w:w="553" w:type="dxa"/>
            <w:tcBorders>
              <w:bottom w:val="single" w:sz="4" w:space="0" w:color="auto"/>
            </w:tcBorders>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8</w:t>
            </w:r>
          </w:p>
        </w:tc>
        <w:tc>
          <w:tcPr>
            <w:tcW w:w="553" w:type="dxa"/>
            <w:tcBorders>
              <w:bottom w:val="single" w:sz="4" w:space="0" w:color="auto"/>
            </w:tcBorders>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4</w:t>
            </w:r>
          </w:p>
        </w:tc>
        <w:tc>
          <w:tcPr>
            <w:tcW w:w="553" w:type="dxa"/>
            <w:tcBorders>
              <w:bottom w:val="single" w:sz="4" w:space="0" w:color="auto"/>
            </w:tcBorders>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5</w:t>
            </w:r>
          </w:p>
        </w:tc>
        <w:tc>
          <w:tcPr>
            <w:tcW w:w="552" w:type="dxa"/>
            <w:tcBorders>
              <w:bottom w:val="single" w:sz="4" w:space="0" w:color="auto"/>
            </w:tcBorders>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1</w:t>
            </w:r>
          </w:p>
        </w:tc>
        <w:tc>
          <w:tcPr>
            <w:tcW w:w="553" w:type="dxa"/>
            <w:tcBorders>
              <w:bottom w:val="single" w:sz="4" w:space="0" w:color="auto"/>
            </w:tcBorders>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3</w:t>
            </w:r>
          </w:p>
        </w:tc>
        <w:tc>
          <w:tcPr>
            <w:tcW w:w="553" w:type="dxa"/>
            <w:tcBorders>
              <w:bottom w:val="single" w:sz="4" w:space="0" w:color="auto"/>
            </w:tcBorders>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1</w:t>
            </w:r>
          </w:p>
        </w:tc>
        <w:tc>
          <w:tcPr>
            <w:tcW w:w="553" w:type="dxa"/>
            <w:tcBorders>
              <w:bottom w:val="single" w:sz="4" w:space="0" w:color="auto"/>
            </w:tcBorders>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0</w:t>
            </w:r>
          </w:p>
        </w:tc>
        <w:tc>
          <w:tcPr>
            <w:tcW w:w="553" w:type="dxa"/>
            <w:tcBorders>
              <w:bottom w:val="single" w:sz="4" w:space="0" w:color="auto"/>
            </w:tcBorders>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BA2CCD">
              <w:t>1</w:t>
            </w:r>
          </w:p>
        </w:tc>
      </w:tr>
      <w:tr w:rsidR="00F936A8" w:rsidRPr="00BA2CCD" w:rsidTr="00F936A8">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tcBorders>
          </w:tcPr>
          <w:p w:rsidR="00F936A8" w:rsidRPr="00BA2CCD" w:rsidRDefault="00F936A8" w:rsidP="00122DDF">
            <w:pPr>
              <w:tabs>
                <w:tab w:val="left" w:pos="1980"/>
              </w:tabs>
              <w:rPr>
                <w:b/>
              </w:rPr>
            </w:pPr>
            <w:r w:rsidRPr="00BA2CCD">
              <w:rPr>
                <w:b/>
              </w:rPr>
              <w:t>Итого</w:t>
            </w:r>
          </w:p>
        </w:tc>
        <w:tc>
          <w:tcPr>
            <w:tcW w:w="552" w:type="dxa"/>
            <w:tcBorders>
              <w:top w:val="single" w:sz="4" w:space="0" w:color="auto"/>
              <w:bottom w:val="single" w:sz="12" w:space="0" w:color="auto"/>
            </w:tcBorders>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BA2CCD">
              <w:rPr>
                <w:b/>
              </w:rPr>
              <w:t>504</w:t>
            </w:r>
          </w:p>
        </w:tc>
        <w:tc>
          <w:tcPr>
            <w:tcW w:w="553" w:type="dxa"/>
            <w:tcBorders>
              <w:top w:val="single" w:sz="4" w:space="0" w:color="auto"/>
              <w:bottom w:val="single" w:sz="12" w:space="0" w:color="auto"/>
            </w:tcBorders>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BA2CCD">
              <w:rPr>
                <w:b/>
              </w:rPr>
              <w:t>430</w:t>
            </w:r>
          </w:p>
        </w:tc>
        <w:tc>
          <w:tcPr>
            <w:tcW w:w="553" w:type="dxa"/>
            <w:tcBorders>
              <w:top w:val="single" w:sz="4" w:space="0" w:color="auto"/>
              <w:bottom w:val="single" w:sz="12" w:space="0" w:color="auto"/>
            </w:tcBorders>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BA2CCD">
              <w:rPr>
                <w:b/>
              </w:rPr>
              <w:t>364</w:t>
            </w:r>
          </w:p>
        </w:tc>
        <w:tc>
          <w:tcPr>
            <w:tcW w:w="553" w:type="dxa"/>
            <w:tcBorders>
              <w:top w:val="single" w:sz="4" w:space="0" w:color="auto"/>
              <w:bottom w:val="single" w:sz="12" w:space="0" w:color="auto"/>
            </w:tcBorders>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BA2CCD">
              <w:rPr>
                <w:b/>
              </w:rPr>
              <w:t>258</w:t>
            </w:r>
          </w:p>
        </w:tc>
        <w:tc>
          <w:tcPr>
            <w:tcW w:w="553" w:type="dxa"/>
            <w:tcBorders>
              <w:top w:val="single" w:sz="4" w:space="0" w:color="auto"/>
              <w:bottom w:val="single" w:sz="12" w:space="0" w:color="auto"/>
            </w:tcBorders>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BA2CCD">
              <w:rPr>
                <w:b/>
              </w:rPr>
              <w:t>251</w:t>
            </w:r>
          </w:p>
        </w:tc>
        <w:tc>
          <w:tcPr>
            <w:tcW w:w="552" w:type="dxa"/>
            <w:tcBorders>
              <w:top w:val="single" w:sz="4" w:space="0" w:color="auto"/>
              <w:bottom w:val="single" w:sz="12" w:space="0" w:color="auto"/>
            </w:tcBorders>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BA2CCD">
              <w:rPr>
                <w:b/>
              </w:rPr>
              <w:t>256</w:t>
            </w:r>
          </w:p>
        </w:tc>
        <w:tc>
          <w:tcPr>
            <w:tcW w:w="553" w:type="dxa"/>
            <w:tcBorders>
              <w:top w:val="single" w:sz="4" w:space="0" w:color="auto"/>
              <w:bottom w:val="single" w:sz="12" w:space="0" w:color="auto"/>
            </w:tcBorders>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BA2CCD">
              <w:rPr>
                <w:b/>
              </w:rPr>
              <w:t>264</w:t>
            </w:r>
          </w:p>
        </w:tc>
        <w:tc>
          <w:tcPr>
            <w:tcW w:w="553" w:type="dxa"/>
            <w:tcBorders>
              <w:top w:val="single" w:sz="4" w:space="0" w:color="auto"/>
              <w:bottom w:val="single" w:sz="12" w:space="0" w:color="auto"/>
            </w:tcBorders>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BA2CCD">
              <w:rPr>
                <w:b/>
              </w:rPr>
              <w:t>177</w:t>
            </w:r>
          </w:p>
        </w:tc>
        <w:tc>
          <w:tcPr>
            <w:tcW w:w="553" w:type="dxa"/>
            <w:tcBorders>
              <w:top w:val="single" w:sz="4" w:space="0" w:color="auto"/>
              <w:bottom w:val="single" w:sz="12" w:space="0" w:color="auto"/>
            </w:tcBorders>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BA2CCD">
              <w:rPr>
                <w:b/>
              </w:rPr>
              <w:t>204</w:t>
            </w:r>
          </w:p>
        </w:tc>
        <w:tc>
          <w:tcPr>
            <w:tcW w:w="553" w:type="dxa"/>
            <w:tcBorders>
              <w:top w:val="single" w:sz="4" w:space="0" w:color="auto"/>
              <w:bottom w:val="single" w:sz="12" w:space="0" w:color="auto"/>
            </w:tcBorders>
          </w:tcPr>
          <w:p w:rsidR="00F936A8" w:rsidRPr="00BA2CCD"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rPr>
                <w:b/>
              </w:rPr>
            </w:pPr>
            <w:r w:rsidRPr="00BA2CCD">
              <w:rPr>
                <w:b/>
              </w:rPr>
              <w:t>268</w:t>
            </w:r>
          </w:p>
        </w:tc>
      </w:tr>
    </w:tbl>
    <w:p w:rsidR="00F936A8" w:rsidRPr="00BA2CCD" w:rsidRDefault="00F936A8" w:rsidP="00122DDF">
      <w:pPr>
        <w:pStyle w:val="SingleTxtGR"/>
        <w:tabs>
          <w:tab w:val="left" w:pos="1980"/>
        </w:tabs>
        <w:suppressAutoHyphens/>
        <w:spacing w:before="120" w:after="0" w:line="220" w:lineRule="atLeast"/>
        <w:ind w:left="1332"/>
        <w:jc w:val="left"/>
        <w:rPr>
          <w:sz w:val="18"/>
          <w:szCs w:val="18"/>
        </w:rPr>
      </w:pPr>
      <w:r w:rsidRPr="00BA2CCD">
        <w:rPr>
          <w:sz w:val="18"/>
          <w:szCs w:val="18"/>
        </w:rPr>
        <w:t>* На фоне общей тенденции к снижению зарегистрированных случаев профессиональных заболеваний</w:t>
      </w:r>
      <w:r w:rsidR="00B92291">
        <w:rPr>
          <w:sz w:val="18"/>
          <w:szCs w:val="18"/>
        </w:rPr>
        <w:t> год</w:t>
      </w:r>
      <w:r w:rsidRPr="00BA2CCD">
        <w:rPr>
          <w:sz w:val="18"/>
          <w:szCs w:val="18"/>
        </w:rPr>
        <w:t>овое колебание количества случаев привело к относительно большому увеличению показателей 2009</w:t>
      </w:r>
      <w:r w:rsidR="00B92291">
        <w:rPr>
          <w:sz w:val="18"/>
          <w:szCs w:val="18"/>
        </w:rPr>
        <w:t> год</w:t>
      </w:r>
      <w:r w:rsidRPr="00BA2CCD">
        <w:rPr>
          <w:sz w:val="18"/>
          <w:szCs w:val="18"/>
        </w:rPr>
        <w:t>а по хроническим заболеваниям. Важно отметить, что такие болезни (например, силикоз и профессиональная глухота) отличаются длительными латентными периодами. Поэтому изменение количества случаев за длительный период, а не в сравнении с предшествующим</w:t>
      </w:r>
      <w:r w:rsidR="00B92291">
        <w:rPr>
          <w:sz w:val="18"/>
          <w:szCs w:val="18"/>
        </w:rPr>
        <w:t> год</w:t>
      </w:r>
      <w:r w:rsidRPr="00BA2CCD">
        <w:rPr>
          <w:sz w:val="18"/>
          <w:szCs w:val="18"/>
        </w:rPr>
        <w:t>ом, лучше отражает их динамику. Что касается отравления газом, то крупное увеличение показателей в 2009</w:t>
      </w:r>
      <w:r w:rsidR="00B92291">
        <w:rPr>
          <w:sz w:val="18"/>
          <w:szCs w:val="18"/>
        </w:rPr>
        <w:t> год</w:t>
      </w:r>
      <w:r w:rsidRPr="00BA2CCD">
        <w:rPr>
          <w:sz w:val="18"/>
          <w:szCs w:val="18"/>
        </w:rPr>
        <w:t>у обусловлено аварией, в которой пострадало большое количество человек.</w:t>
      </w:r>
    </w:p>
    <w:p w:rsidR="00F936A8" w:rsidRPr="00BA2CCD" w:rsidRDefault="00F936A8" w:rsidP="00122DDF">
      <w:pPr>
        <w:pStyle w:val="SingleTxtGR"/>
        <w:tabs>
          <w:tab w:val="left" w:pos="1980"/>
        </w:tabs>
        <w:suppressAutoHyphens/>
        <w:spacing w:line="220" w:lineRule="atLeast"/>
        <w:ind w:left="1332"/>
        <w:jc w:val="left"/>
        <w:rPr>
          <w:sz w:val="18"/>
          <w:szCs w:val="18"/>
        </w:rPr>
      </w:pPr>
      <w:r w:rsidRPr="00BA2CCD">
        <w:rPr>
          <w:sz w:val="18"/>
          <w:szCs w:val="18"/>
          <w:vertAlign w:val="superscript"/>
        </w:rPr>
        <w:t>#</w:t>
      </w:r>
      <w:r w:rsidRPr="00BA2CCD">
        <w:rPr>
          <w:sz w:val="18"/>
          <w:szCs w:val="18"/>
        </w:rPr>
        <w:t xml:space="preserve"> В соответствии с Указом о компенсации в случае пневмокониоза и </w:t>
      </w:r>
      <w:proofErr w:type="spellStart"/>
      <w:r w:rsidRPr="00BA2CCD">
        <w:rPr>
          <w:sz w:val="18"/>
          <w:szCs w:val="18"/>
        </w:rPr>
        <w:t>мезотелиомы</w:t>
      </w:r>
      <w:proofErr w:type="spellEnd"/>
      <w:r w:rsidRPr="00BA2CCD">
        <w:rPr>
          <w:sz w:val="18"/>
          <w:szCs w:val="18"/>
        </w:rPr>
        <w:t xml:space="preserve"> 2008</w:t>
      </w:r>
      <w:r w:rsidR="00B92291">
        <w:rPr>
          <w:sz w:val="18"/>
          <w:szCs w:val="18"/>
        </w:rPr>
        <w:t> год</w:t>
      </w:r>
      <w:r w:rsidRPr="00BA2CCD">
        <w:rPr>
          <w:sz w:val="18"/>
          <w:szCs w:val="18"/>
        </w:rPr>
        <w:t xml:space="preserve">а </w:t>
      </w:r>
      <w:proofErr w:type="spellStart"/>
      <w:r w:rsidRPr="00BA2CCD">
        <w:rPr>
          <w:sz w:val="18"/>
          <w:szCs w:val="18"/>
        </w:rPr>
        <w:t>мезотелиома</w:t>
      </w:r>
      <w:proofErr w:type="spellEnd"/>
      <w:r w:rsidRPr="00BA2CCD">
        <w:rPr>
          <w:sz w:val="18"/>
          <w:szCs w:val="18"/>
        </w:rPr>
        <w:t xml:space="preserve"> была квалифицирована как новое профессиональное заболевание.</w:t>
      </w:r>
    </w:p>
    <w:p w:rsidR="00F936A8" w:rsidRPr="00CB2C86" w:rsidRDefault="00F936A8" w:rsidP="00122DDF">
      <w:pPr>
        <w:pStyle w:val="HChGR"/>
        <w:tabs>
          <w:tab w:val="left" w:pos="1980"/>
        </w:tabs>
      </w:pPr>
      <w:r w:rsidRPr="00CB2C86">
        <w:br w:type="page"/>
        <w:t>Приложение 9</w:t>
      </w:r>
      <w:r w:rsidRPr="00CB2C86">
        <w:rPr>
          <w:lang w:val="en-GB"/>
        </w:rPr>
        <w:t>A</w:t>
      </w:r>
    </w:p>
    <w:p w:rsidR="00F936A8" w:rsidRPr="00CB2C86" w:rsidRDefault="00F936A8" w:rsidP="00122DDF">
      <w:pPr>
        <w:pStyle w:val="H1GR"/>
        <w:tabs>
          <w:tab w:val="left" w:pos="1980"/>
        </w:tabs>
      </w:pPr>
      <w:r w:rsidRPr="00CB2C86">
        <w:tab/>
      </w:r>
      <w:r w:rsidRPr="00CB2C86">
        <w:tab/>
        <w:t xml:space="preserve">Улучшения после представления предыдущего доклада: Компенсация в соответствии с Указом о компенсации работникам </w:t>
      </w:r>
      <w:r>
        <w:t>(глава </w:t>
      </w:r>
      <w:r w:rsidRPr="00CB2C86">
        <w:t>282)</w:t>
      </w:r>
    </w:p>
    <w:p w:rsidR="00F936A8" w:rsidRPr="00CB2C86" w:rsidRDefault="00F936A8" w:rsidP="00122DDF">
      <w:pPr>
        <w:pStyle w:val="SingleTxtGR"/>
        <w:tabs>
          <w:tab w:val="left" w:pos="1980"/>
        </w:tabs>
        <w:ind w:left="1701" w:hanging="567"/>
      </w:pPr>
      <w:proofErr w:type="spellStart"/>
      <w:r>
        <w:t>a</w:t>
      </w:r>
      <w:proofErr w:type="spellEnd"/>
      <w:r>
        <w:t>)</w:t>
      </w:r>
      <w:r w:rsidRPr="00CB2C86">
        <w:t xml:space="preserve"> </w:t>
      </w:r>
      <w:r w:rsidRPr="00CB2C86">
        <w:tab/>
      </w:r>
      <w:r w:rsidRPr="00CB2C86">
        <w:rPr>
          <w:b/>
        </w:rPr>
        <w:t>Медицинские расходы</w:t>
      </w:r>
      <w:r w:rsidRPr="00CB2C86">
        <w:t>: Максимальная дневная выплата была повышена с 175</w:t>
      </w:r>
      <w:r w:rsidR="004F720A">
        <w:t> долл.</w:t>
      </w:r>
      <w:r w:rsidRPr="00CB2C86">
        <w:t xml:space="preserve"> до 200</w:t>
      </w:r>
      <w:r w:rsidR="004F720A">
        <w:t> долл.</w:t>
      </w:r>
      <w:r w:rsidRPr="00CB2C86">
        <w:t xml:space="preserve"> (за каждые сутки пребывания в стационаре или каждые сутки иного амбулаторного лечения) или до 280</w:t>
      </w:r>
      <w:r w:rsidR="004F720A">
        <w:t> долл.</w:t>
      </w:r>
      <w:r w:rsidRPr="00CB2C86">
        <w:t xml:space="preserve"> (за к</w:t>
      </w:r>
      <w:r w:rsidRPr="00CB2C86">
        <w:t>а</w:t>
      </w:r>
      <w:r w:rsidRPr="00CB2C86">
        <w:t>ждые сутки лечения как в стационаре, так и в случае иного амбулаторного л</w:t>
      </w:r>
      <w:r w:rsidRPr="00CB2C86">
        <w:t>е</w:t>
      </w:r>
      <w:r w:rsidRPr="00CB2C86">
        <w:t xml:space="preserve">чения в больнице); </w:t>
      </w:r>
    </w:p>
    <w:p w:rsidR="00F936A8" w:rsidRPr="00CB2C86" w:rsidRDefault="00F936A8" w:rsidP="00122DDF">
      <w:pPr>
        <w:pStyle w:val="SingleTxtGR"/>
        <w:tabs>
          <w:tab w:val="left" w:pos="1980"/>
        </w:tabs>
        <w:ind w:left="1701" w:hanging="567"/>
      </w:pPr>
      <w:proofErr w:type="spellStart"/>
      <w:r>
        <w:t>b</w:t>
      </w:r>
      <w:proofErr w:type="spellEnd"/>
      <w:r>
        <w:t>)</w:t>
      </w:r>
      <w:r w:rsidRPr="00CB2C86">
        <w:t xml:space="preserve"> </w:t>
      </w:r>
      <w:r w:rsidRPr="00CB2C86">
        <w:tab/>
      </w:r>
      <w:r w:rsidRPr="00CB2C86">
        <w:rPr>
          <w:b/>
        </w:rPr>
        <w:t>Профессиональные заболевания</w:t>
      </w:r>
      <w:r w:rsidRPr="00CB2C86">
        <w:t>: Тяжелый острый респираторный си</w:t>
      </w:r>
      <w:r w:rsidRPr="00CB2C86">
        <w:t>н</w:t>
      </w:r>
      <w:r w:rsidRPr="00CB2C86">
        <w:t>дром (ТОРС) и птичий грипп А были внесены, как предписано, в Сп</w:t>
      </w:r>
      <w:r w:rsidRPr="00CB2C86">
        <w:t>и</w:t>
      </w:r>
      <w:r w:rsidRPr="00CB2C86">
        <w:t>сок</w:t>
      </w:r>
      <w:r>
        <w:t> </w:t>
      </w:r>
      <w:r w:rsidRPr="00CB2C86">
        <w:t>2 профессиональных заболеваний к Указу; и</w:t>
      </w:r>
    </w:p>
    <w:p w:rsidR="00F936A8" w:rsidRPr="00CB2C86" w:rsidRDefault="00F936A8" w:rsidP="00122DDF">
      <w:pPr>
        <w:pStyle w:val="SingleTxtGR"/>
        <w:tabs>
          <w:tab w:val="left" w:pos="1980"/>
        </w:tabs>
        <w:ind w:left="1701" w:hanging="567"/>
      </w:pPr>
      <w:proofErr w:type="spellStart"/>
      <w:r>
        <w:t>c</w:t>
      </w:r>
      <w:proofErr w:type="spellEnd"/>
      <w:r>
        <w:t>)</w:t>
      </w:r>
      <w:r w:rsidRPr="00CB2C86">
        <w:t xml:space="preserve"> </w:t>
      </w:r>
      <w:r w:rsidRPr="00CB2C86">
        <w:tab/>
      </w:r>
      <w:r w:rsidRPr="00CB2C86">
        <w:rPr>
          <w:b/>
        </w:rPr>
        <w:t>Прочие</w:t>
      </w:r>
      <w:r w:rsidRPr="00CB2C86">
        <w:t>: В соответствии с Указом медицинское лечение и обследование, проведенные врачами традиционной китайской медицины, были офиц</w:t>
      </w:r>
      <w:r w:rsidRPr="00CB2C86">
        <w:t>и</w:t>
      </w:r>
      <w:r w:rsidRPr="00CB2C86">
        <w:t>ально признаны как предоставляющие право соответствующим больным на эти в</w:t>
      </w:r>
      <w:r w:rsidRPr="00CB2C86">
        <w:t>ы</w:t>
      </w:r>
      <w:r w:rsidRPr="00CB2C86">
        <w:t>платы.</w:t>
      </w:r>
    </w:p>
    <w:p w:rsidR="00F936A8" w:rsidRPr="00CB2C86" w:rsidRDefault="00F936A8" w:rsidP="00122DDF">
      <w:pPr>
        <w:pStyle w:val="HChGR"/>
        <w:tabs>
          <w:tab w:val="left" w:pos="1980"/>
        </w:tabs>
      </w:pPr>
      <w:r w:rsidRPr="00CB2C86">
        <w:br w:type="page"/>
        <w:t>Приложение 9</w:t>
      </w:r>
      <w:r w:rsidRPr="00CB2C86">
        <w:rPr>
          <w:lang w:val="en-GB"/>
        </w:rPr>
        <w:t>B</w:t>
      </w:r>
    </w:p>
    <w:p w:rsidR="00F936A8" w:rsidRPr="00CB2C86" w:rsidRDefault="00F936A8" w:rsidP="00122DDF">
      <w:pPr>
        <w:pStyle w:val="H1GR"/>
        <w:tabs>
          <w:tab w:val="left" w:pos="1980"/>
        </w:tabs>
      </w:pPr>
      <w:r w:rsidRPr="00CB2C86">
        <w:tab/>
      </w:r>
      <w:r w:rsidRPr="00CB2C86">
        <w:tab/>
        <w:t xml:space="preserve">Компенсация в соответствии с Указом о пневмокониозе </w:t>
      </w:r>
      <w:r>
        <w:br/>
      </w:r>
      <w:r w:rsidRPr="00CB2C86">
        <w:t xml:space="preserve">и </w:t>
      </w:r>
      <w:proofErr w:type="spellStart"/>
      <w:r w:rsidRPr="00CB2C86">
        <w:t>мезотелиоме</w:t>
      </w:r>
      <w:proofErr w:type="spellEnd"/>
      <w:r w:rsidRPr="00CB2C86">
        <w:t xml:space="preserve"> (Компенсация) </w:t>
      </w:r>
      <w:r>
        <w:t>(глава </w:t>
      </w:r>
      <w:r w:rsidRPr="00CB2C86">
        <w:t>360)</w:t>
      </w:r>
    </w:p>
    <w:p w:rsidR="00F936A8" w:rsidRPr="00CB2C86" w:rsidRDefault="00F936A8" w:rsidP="00122DDF">
      <w:pPr>
        <w:pStyle w:val="SingleTxtGR"/>
        <w:tabs>
          <w:tab w:val="left" w:pos="1980"/>
        </w:tabs>
        <w:ind w:left="1701" w:hanging="567"/>
      </w:pPr>
      <w:proofErr w:type="spellStart"/>
      <w:r>
        <w:t>a</w:t>
      </w:r>
      <w:proofErr w:type="spellEnd"/>
      <w:r>
        <w:t>)</w:t>
      </w:r>
      <w:r w:rsidRPr="00CB2C86">
        <w:tab/>
      </w:r>
      <w:r w:rsidRPr="00CB2C86">
        <w:rPr>
          <w:b/>
        </w:rPr>
        <w:t>Нетрудоспособность</w:t>
      </w:r>
      <w:r w:rsidRPr="00CB2C86">
        <w:t>: При полной утрате трудоспособности (100%) еж</w:t>
      </w:r>
      <w:r w:rsidRPr="00CB2C86">
        <w:t>е</w:t>
      </w:r>
      <w:r w:rsidRPr="00CB2C86">
        <w:t xml:space="preserve">месячная выплата больному пневмокониозом и/или </w:t>
      </w:r>
      <w:proofErr w:type="spellStart"/>
      <w:r w:rsidRPr="00CB2C86">
        <w:t>мезотелиомой</w:t>
      </w:r>
      <w:proofErr w:type="spellEnd"/>
      <w:r w:rsidRPr="00CB2C86">
        <w:t xml:space="preserve"> вплоть до его смерти составляет 17 870 долларов. При частичной утрате труд</w:t>
      </w:r>
      <w:r w:rsidRPr="00CB2C86">
        <w:t>о</w:t>
      </w:r>
      <w:r w:rsidRPr="00CB2C86">
        <w:t>способности (менее 100%) месячная выплата составляет соответству</w:t>
      </w:r>
      <w:r w:rsidRPr="00CB2C86">
        <w:t>ю</w:t>
      </w:r>
      <w:r w:rsidRPr="00CB2C86">
        <w:t>щую долю компенсации за полную утрату трудоспособности пропорци</w:t>
      </w:r>
      <w:r w:rsidRPr="00CB2C86">
        <w:t>о</w:t>
      </w:r>
      <w:r w:rsidRPr="00CB2C86">
        <w:t>нально степени утраты тр</w:t>
      </w:r>
      <w:r w:rsidRPr="00CB2C86">
        <w:t>у</w:t>
      </w:r>
      <w:r w:rsidRPr="00CB2C86">
        <w:t>доспособности;</w:t>
      </w:r>
    </w:p>
    <w:p w:rsidR="00F936A8" w:rsidRPr="00CB2C86" w:rsidRDefault="00F936A8" w:rsidP="00122DDF">
      <w:pPr>
        <w:pStyle w:val="SingleTxtGR"/>
        <w:tabs>
          <w:tab w:val="left" w:pos="1980"/>
        </w:tabs>
        <w:ind w:left="1701" w:hanging="567"/>
      </w:pPr>
      <w:proofErr w:type="spellStart"/>
      <w:r>
        <w:t>b</w:t>
      </w:r>
      <w:proofErr w:type="spellEnd"/>
      <w:r>
        <w:t>)</w:t>
      </w:r>
      <w:r w:rsidRPr="00CB2C86">
        <w:tab/>
      </w:r>
      <w:r w:rsidRPr="00CB2C86">
        <w:rPr>
          <w:b/>
        </w:rPr>
        <w:t>Утрата трудоспособности до момента постановки диагноза</w:t>
      </w:r>
      <w:r w:rsidRPr="00CB2C86">
        <w:t>: Выплач</w:t>
      </w:r>
      <w:r w:rsidRPr="00CB2C86">
        <w:t>и</w:t>
      </w:r>
      <w:r w:rsidRPr="00CB2C86">
        <w:t>вается единовременная сумма, подсчитанная исходя из среднего месячн</w:t>
      </w:r>
      <w:r w:rsidRPr="00CB2C86">
        <w:t>о</w:t>
      </w:r>
      <w:r w:rsidRPr="00CB2C86">
        <w:t>го заработка, степени утраты трудоспособности и количества месяцев (не</w:t>
      </w:r>
      <w:r w:rsidR="0006274D">
        <w:t> </w:t>
      </w:r>
      <w:r w:rsidRPr="00CB2C86">
        <w:t>более 24) в период между начальной датой постановки диагноза о б</w:t>
      </w:r>
      <w:r w:rsidRPr="00CB2C86">
        <w:t>о</w:t>
      </w:r>
      <w:r w:rsidRPr="00CB2C86">
        <w:t>лезни и датой постановки диагноза об утрате трудоспособности, вызва</w:t>
      </w:r>
      <w:r w:rsidRPr="00CB2C86">
        <w:t>н</w:t>
      </w:r>
      <w:r w:rsidRPr="00CB2C86">
        <w:t xml:space="preserve">ной пневмокониозом и/или </w:t>
      </w:r>
      <w:proofErr w:type="spellStart"/>
      <w:r w:rsidRPr="00CB2C86">
        <w:t>мезотелиомой</w:t>
      </w:r>
      <w:proofErr w:type="spellEnd"/>
      <w:r w:rsidRPr="00CB2C86">
        <w:t>;</w:t>
      </w:r>
    </w:p>
    <w:p w:rsidR="00F936A8" w:rsidRPr="00CB2C86" w:rsidRDefault="00F936A8" w:rsidP="00122DDF">
      <w:pPr>
        <w:pStyle w:val="SingleTxtGR"/>
        <w:tabs>
          <w:tab w:val="left" w:pos="1980"/>
        </w:tabs>
        <w:ind w:left="1701" w:hanging="567"/>
      </w:pPr>
      <w:proofErr w:type="spellStart"/>
      <w:r>
        <w:t>c</w:t>
      </w:r>
      <w:proofErr w:type="spellEnd"/>
      <w:r>
        <w:t>)</w:t>
      </w:r>
      <w:r w:rsidRPr="00CB2C86">
        <w:t xml:space="preserve"> </w:t>
      </w:r>
      <w:r w:rsidRPr="00CB2C86">
        <w:tab/>
      </w:r>
      <w:r w:rsidRPr="00CB2C86">
        <w:rPr>
          <w:b/>
        </w:rPr>
        <w:t>Боль, страдания и плохое самочувствие</w:t>
      </w:r>
      <w:r w:rsidRPr="00CB2C86">
        <w:t>: Больным выплачивается еж</w:t>
      </w:r>
      <w:r w:rsidRPr="00CB2C86">
        <w:t>е</w:t>
      </w:r>
      <w:r w:rsidRPr="00CB2C86">
        <w:t>месячная сумма в размере 3 180</w:t>
      </w:r>
      <w:r w:rsidR="004F720A">
        <w:t> долл.</w:t>
      </w:r>
      <w:r w:rsidRPr="00CB2C86">
        <w:t xml:space="preserve"> независимо от степени боли, стр</w:t>
      </w:r>
      <w:r w:rsidRPr="00CB2C86">
        <w:t>а</w:t>
      </w:r>
      <w:r w:rsidRPr="00CB2C86">
        <w:t>даний и плохого самочувствия;</w:t>
      </w:r>
    </w:p>
    <w:p w:rsidR="00F936A8" w:rsidRPr="00CB2C86" w:rsidRDefault="00F936A8" w:rsidP="00122DDF">
      <w:pPr>
        <w:pStyle w:val="SingleTxtGR"/>
        <w:tabs>
          <w:tab w:val="left" w:pos="1980"/>
        </w:tabs>
        <w:ind w:left="1701" w:hanging="567"/>
      </w:pPr>
      <w:proofErr w:type="spellStart"/>
      <w:r>
        <w:t>d</w:t>
      </w:r>
      <w:proofErr w:type="spellEnd"/>
      <w:r>
        <w:t>)</w:t>
      </w:r>
      <w:r w:rsidRPr="00CB2C86">
        <w:tab/>
      </w:r>
      <w:r w:rsidRPr="00CB2C86">
        <w:rPr>
          <w:b/>
        </w:rPr>
        <w:t>Уход и внимание</w:t>
      </w:r>
      <w:r w:rsidRPr="00CB2C86">
        <w:t>: Больные, которые не способны к самообслуживанию без посторонней помощи, могут требовать компенсацию за уход и вним</w:t>
      </w:r>
      <w:r w:rsidRPr="00CB2C86">
        <w:t>а</w:t>
      </w:r>
      <w:r w:rsidRPr="00CB2C86">
        <w:t>ние в размере 4 160</w:t>
      </w:r>
      <w:r w:rsidR="004F720A">
        <w:t> долл.</w:t>
      </w:r>
      <w:r w:rsidRPr="00CB2C86">
        <w:t xml:space="preserve"> в месяц;</w:t>
      </w:r>
    </w:p>
    <w:p w:rsidR="00F936A8" w:rsidRPr="00CB2C86" w:rsidRDefault="00F936A8" w:rsidP="00122DDF">
      <w:pPr>
        <w:pStyle w:val="SingleTxtGR"/>
        <w:tabs>
          <w:tab w:val="left" w:pos="1980"/>
        </w:tabs>
        <w:ind w:left="1701" w:hanging="567"/>
      </w:pPr>
      <w:proofErr w:type="spellStart"/>
      <w:r>
        <w:t>e</w:t>
      </w:r>
      <w:proofErr w:type="spellEnd"/>
      <w:r>
        <w:t>)</w:t>
      </w:r>
      <w:r w:rsidRPr="00CB2C86">
        <w:tab/>
      </w:r>
      <w:r w:rsidRPr="00CB2C86">
        <w:rPr>
          <w:b/>
        </w:rPr>
        <w:t>Медицинские расходы</w:t>
      </w:r>
      <w:r w:rsidRPr="00CB2C86">
        <w:t>: Имеющие на это право больные могут требовать возмещения медицинских расходов, понесенных в ходе лечения пневм</w:t>
      </w:r>
      <w:r w:rsidRPr="00CB2C86">
        <w:t>о</w:t>
      </w:r>
      <w:r w:rsidRPr="00CB2C86">
        <w:t xml:space="preserve">кониоза и/или </w:t>
      </w:r>
      <w:proofErr w:type="spellStart"/>
      <w:r w:rsidRPr="00CB2C86">
        <w:t>мезотелиомы</w:t>
      </w:r>
      <w:proofErr w:type="spellEnd"/>
      <w:r w:rsidRPr="00CB2C86">
        <w:t xml:space="preserve"> максимально в размере 200</w:t>
      </w:r>
      <w:r w:rsidR="004F720A">
        <w:t> долл.</w:t>
      </w:r>
      <w:r w:rsidRPr="00CB2C86">
        <w:t xml:space="preserve"> в сутки (за каждые сутки пребывания в больнице или каждые сутки иного амбул</w:t>
      </w:r>
      <w:r w:rsidRPr="00CB2C86">
        <w:t>а</w:t>
      </w:r>
      <w:r w:rsidRPr="00CB2C86">
        <w:t>торного лечения в больнице) или 280</w:t>
      </w:r>
      <w:r w:rsidR="004F720A">
        <w:t> долл.</w:t>
      </w:r>
      <w:r w:rsidRPr="00CB2C86">
        <w:t xml:space="preserve"> в сутки (за каждые сутки п</w:t>
      </w:r>
      <w:r w:rsidRPr="00CB2C86">
        <w:t>о</w:t>
      </w:r>
      <w:r w:rsidRPr="00CB2C86">
        <w:t>лучаемого как стационарного, так и амбулаторного лечения в больн</w:t>
      </w:r>
      <w:r w:rsidRPr="00CB2C86">
        <w:t>и</w:t>
      </w:r>
      <w:r w:rsidRPr="00CB2C86">
        <w:t xml:space="preserve">це); </w:t>
      </w:r>
    </w:p>
    <w:p w:rsidR="00F936A8" w:rsidRPr="00CB2C86" w:rsidRDefault="00F936A8" w:rsidP="00122DDF">
      <w:pPr>
        <w:pStyle w:val="SingleTxtGR"/>
        <w:tabs>
          <w:tab w:val="left" w:pos="1980"/>
        </w:tabs>
        <w:ind w:left="1701" w:hanging="567"/>
      </w:pPr>
      <w:proofErr w:type="spellStart"/>
      <w:r>
        <w:t>f</w:t>
      </w:r>
      <w:proofErr w:type="spellEnd"/>
      <w:r>
        <w:t>)</w:t>
      </w:r>
      <w:r w:rsidRPr="00CB2C86">
        <w:tab/>
      </w:r>
      <w:r w:rsidRPr="00CB2C86">
        <w:rPr>
          <w:b/>
        </w:rPr>
        <w:t>Расходы на медицинское оборудование</w:t>
      </w:r>
      <w:r w:rsidRPr="00CB2C86">
        <w:t>: Имеющие на это право больные могут требовать возмещения расходов на использование или приобрет</w:t>
      </w:r>
      <w:r w:rsidRPr="00CB2C86">
        <w:t>е</w:t>
      </w:r>
      <w:r w:rsidRPr="00CB2C86">
        <w:t>ние конкретного оборудования, например такого</w:t>
      </w:r>
      <w:r>
        <w:t xml:space="preserve"> как</w:t>
      </w:r>
      <w:r w:rsidRPr="00CB2C86">
        <w:t xml:space="preserve"> инвалидные кол</w:t>
      </w:r>
      <w:r w:rsidRPr="00CB2C86">
        <w:t>я</w:t>
      </w:r>
      <w:r w:rsidRPr="00CB2C86">
        <w:t>ски, концентр</w:t>
      </w:r>
      <w:r w:rsidRPr="00CB2C86">
        <w:t>а</w:t>
      </w:r>
      <w:r w:rsidRPr="00CB2C86">
        <w:t>торы кислорода и кислородные баллоны;</w:t>
      </w:r>
    </w:p>
    <w:p w:rsidR="00F936A8" w:rsidRPr="00CB2C86" w:rsidRDefault="00F936A8" w:rsidP="00122DDF">
      <w:pPr>
        <w:pStyle w:val="SingleTxtGR"/>
        <w:tabs>
          <w:tab w:val="left" w:pos="1980"/>
        </w:tabs>
        <w:ind w:left="1701" w:hanging="567"/>
      </w:pPr>
      <w:proofErr w:type="spellStart"/>
      <w:r>
        <w:t>g</w:t>
      </w:r>
      <w:proofErr w:type="spellEnd"/>
      <w:r>
        <w:t>)</w:t>
      </w:r>
      <w:r w:rsidRPr="00CB2C86">
        <w:tab/>
      </w:r>
      <w:r w:rsidRPr="00CB2C86">
        <w:rPr>
          <w:b/>
        </w:rPr>
        <w:t>Смерть</w:t>
      </w:r>
      <w:r w:rsidRPr="00CB2C86">
        <w:t xml:space="preserve">: Члены семьи больного, умершего от пневмокониоза и/или </w:t>
      </w:r>
      <w:proofErr w:type="spellStart"/>
      <w:r w:rsidRPr="00CB2C86">
        <w:t>мез</w:t>
      </w:r>
      <w:r w:rsidRPr="00CB2C86">
        <w:t>о</w:t>
      </w:r>
      <w:r w:rsidRPr="00CB2C86">
        <w:t>телиомы</w:t>
      </w:r>
      <w:proofErr w:type="spellEnd"/>
      <w:r w:rsidRPr="00CB2C86">
        <w:t>, могут требовать компенсации за его смерть. Суммы компенс</w:t>
      </w:r>
      <w:r w:rsidRPr="00CB2C86">
        <w:t>а</w:t>
      </w:r>
      <w:r w:rsidRPr="00CB2C86">
        <w:t>ции ра</w:t>
      </w:r>
      <w:r w:rsidRPr="00CB2C86">
        <w:t>с</w:t>
      </w:r>
      <w:r w:rsidRPr="00CB2C86">
        <w:t>считываются в зависимости от возраста, в котором умер больной. Они подлежат уменьшению на общую сумму компенсаций за утрату тр</w:t>
      </w:r>
      <w:r w:rsidRPr="00CB2C86">
        <w:t>у</w:t>
      </w:r>
      <w:r w:rsidRPr="00CB2C86">
        <w:t>доспособности и боль, страдания и плохое самочувствие (т.е. компенс</w:t>
      </w:r>
      <w:r w:rsidRPr="00CB2C86">
        <w:t>а</w:t>
      </w:r>
      <w:r w:rsidRPr="00CB2C86">
        <w:t xml:space="preserve">ции, перечисленные выше в пунктах а) и </w:t>
      </w:r>
      <w:proofErr w:type="spellStart"/>
      <w:r>
        <w:t>b</w:t>
      </w:r>
      <w:proofErr w:type="spellEnd"/>
      <w:r>
        <w:t>)</w:t>
      </w:r>
      <w:r w:rsidRPr="00CB2C86">
        <w:t>), полученные до смерти п</w:t>
      </w:r>
      <w:r w:rsidRPr="00CB2C86">
        <w:t>о</w:t>
      </w:r>
      <w:r w:rsidRPr="00CB2C86">
        <w:t>койного. Однако минимальная сумма выплаты составляет 100 000 долл</w:t>
      </w:r>
      <w:r w:rsidRPr="00CB2C86">
        <w:t>а</w:t>
      </w:r>
      <w:r w:rsidRPr="00CB2C86">
        <w:t>ров;</w:t>
      </w:r>
    </w:p>
    <w:p w:rsidR="00F936A8" w:rsidRPr="00CB2C86" w:rsidRDefault="00F936A8" w:rsidP="00122DDF">
      <w:pPr>
        <w:pStyle w:val="SingleTxtGR"/>
        <w:tabs>
          <w:tab w:val="left" w:pos="1980"/>
        </w:tabs>
        <w:ind w:left="1701" w:hanging="567"/>
      </w:pPr>
      <w:proofErr w:type="spellStart"/>
      <w:r>
        <w:t>h</w:t>
      </w:r>
      <w:proofErr w:type="spellEnd"/>
      <w:r>
        <w:t>)</w:t>
      </w:r>
      <w:r w:rsidRPr="00CB2C86">
        <w:tab/>
      </w:r>
      <w:r w:rsidRPr="00CB2C86">
        <w:rPr>
          <w:b/>
        </w:rPr>
        <w:t>Семьи, потерявшие близких</w:t>
      </w:r>
      <w:r w:rsidRPr="00CB2C86">
        <w:t>: Если больные умирают, будь то от пне</w:t>
      </w:r>
      <w:r w:rsidRPr="00CB2C86">
        <w:t>в</w:t>
      </w:r>
      <w:r w:rsidRPr="00CB2C86">
        <w:t xml:space="preserve">мокониоза, </w:t>
      </w:r>
      <w:proofErr w:type="spellStart"/>
      <w:r w:rsidRPr="00CB2C86">
        <w:t>мезотелиомы</w:t>
      </w:r>
      <w:proofErr w:type="spellEnd"/>
      <w:r w:rsidRPr="00CB2C86">
        <w:t xml:space="preserve"> или иной причины, не получив до смерти любой компенсации, их семьи имеют право требовать компенсации в размере 100 000 долларов; </w:t>
      </w:r>
    </w:p>
    <w:p w:rsidR="00F936A8" w:rsidRPr="00CB2C86" w:rsidRDefault="00F936A8" w:rsidP="0006274D">
      <w:pPr>
        <w:pStyle w:val="SingleTxtGR"/>
        <w:keepLines/>
        <w:tabs>
          <w:tab w:val="left" w:pos="1980"/>
        </w:tabs>
        <w:ind w:left="1701" w:hanging="567"/>
      </w:pPr>
      <w:proofErr w:type="spellStart"/>
      <w:r>
        <w:t>i</w:t>
      </w:r>
      <w:proofErr w:type="spellEnd"/>
      <w:r>
        <w:t>)</w:t>
      </w:r>
      <w:r w:rsidRPr="00CB2C86">
        <w:tab/>
        <w:t>Р</w:t>
      </w:r>
      <w:r w:rsidRPr="00CB2C86">
        <w:rPr>
          <w:b/>
        </w:rPr>
        <w:t>асходы на похороны</w:t>
      </w:r>
      <w:r w:rsidRPr="00CB2C86">
        <w:t>: Любое лицо (в том числе член семьи покойного) может требовать возмещения расходов, понесенных им на похороны (на максимальную сумму 35 000</w:t>
      </w:r>
      <w:r w:rsidR="004F720A">
        <w:t> долл.</w:t>
      </w:r>
      <w:r w:rsidRPr="00CB2C86">
        <w:t>) больного, умершего от пневмокони</w:t>
      </w:r>
      <w:r w:rsidRPr="00CB2C86">
        <w:t>о</w:t>
      </w:r>
      <w:r w:rsidRPr="00CB2C86">
        <w:t xml:space="preserve">за и/или </w:t>
      </w:r>
      <w:proofErr w:type="spellStart"/>
      <w:r w:rsidRPr="00CB2C86">
        <w:t>мезотелиомы</w:t>
      </w:r>
      <w:proofErr w:type="spellEnd"/>
      <w:r w:rsidRPr="00CB2C86">
        <w:t>; и</w:t>
      </w:r>
    </w:p>
    <w:p w:rsidR="00F936A8" w:rsidRPr="00CB2C86" w:rsidRDefault="00F936A8" w:rsidP="00122DDF">
      <w:pPr>
        <w:pStyle w:val="SingleTxtGR"/>
        <w:tabs>
          <w:tab w:val="left" w:pos="1980"/>
        </w:tabs>
        <w:ind w:left="1701" w:hanging="567"/>
      </w:pPr>
      <w:proofErr w:type="spellStart"/>
      <w:r>
        <w:t>j</w:t>
      </w:r>
      <w:proofErr w:type="spellEnd"/>
      <w:r>
        <w:t>)</w:t>
      </w:r>
      <w:r w:rsidRPr="00CB2C86">
        <w:tab/>
      </w:r>
      <w:r w:rsidRPr="00CB2C86">
        <w:rPr>
          <w:b/>
        </w:rPr>
        <w:t>Прочие</w:t>
      </w:r>
      <w:r w:rsidRPr="00CB2C86">
        <w:t>: Медицинское лечение и освидетельствование, проведенные з</w:t>
      </w:r>
      <w:r w:rsidRPr="00CB2C86">
        <w:t>а</w:t>
      </w:r>
      <w:r w:rsidRPr="00CB2C86">
        <w:t>регистрированными врачами традиционной китайской медицины, были официально признаны как дающие право соответствующему больному на получение выплат в соответствии с Указом.</w:t>
      </w:r>
    </w:p>
    <w:p w:rsidR="00F936A8" w:rsidRPr="00CB2C86" w:rsidRDefault="00F936A8" w:rsidP="00122DDF">
      <w:pPr>
        <w:pStyle w:val="HChGR"/>
        <w:tabs>
          <w:tab w:val="left" w:pos="1980"/>
        </w:tabs>
      </w:pPr>
      <w:r w:rsidRPr="00CB2C86">
        <w:br w:type="page"/>
        <w:t>Приложение 9</w:t>
      </w:r>
      <w:r w:rsidRPr="00CB2C86">
        <w:rPr>
          <w:lang w:val="en-GB"/>
        </w:rPr>
        <w:t>C</w:t>
      </w:r>
    </w:p>
    <w:p w:rsidR="00F936A8" w:rsidRPr="00CB2C86" w:rsidRDefault="00F936A8" w:rsidP="00122DDF">
      <w:pPr>
        <w:pStyle w:val="H1GR"/>
        <w:tabs>
          <w:tab w:val="left" w:pos="1980"/>
        </w:tabs>
      </w:pPr>
      <w:r w:rsidRPr="00CB2C86">
        <w:tab/>
      </w:r>
      <w:r w:rsidRPr="00CB2C86">
        <w:tab/>
        <w:t xml:space="preserve">Улучшения после представления предыдущего доклада: </w:t>
      </w:r>
      <w:r>
        <w:br/>
      </w:r>
      <w:r w:rsidRPr="00CB2C86">
        <w:t>Указ о профессиональной глухоте (Компенсация) (Поправка) 2003</w:t>
      </w:r>
      <w:r w:rsidR="00B92291">
        <w:t> год</w:t>
      </w:r>
      <w:r w:rsidRPr="00CB2C86">
        <w:t>а</w:t>
      </w:r>
    </w:p>
    <w:p w:rsidR="00F936A8" w:rsidRPr="00CB2C86" w:rsidRDefault="00F936A8" w:rsidP="00122DDF">
      <w:pPr>
        <w:pStyle w:val="SingleTxtGR"/>
        <w:tabs>
          <w:tab w:val="left" w:pos="1980"/>
        </w:tabs>
        <w:ind w:left="1701" w:hanging="567"/>
      </w:pPr>
      <w:proofErr w:type="spellStart"/>
      <w:r>
        <w:t>a</w:t>
      </w:r>
      <w:proofErr w:type="spellEnd"/>
      <w:r>
        <w:t>)</w:t>
      </w:r>
      <w:r w:rsidRPr="00CB2C86">
        <w:tab/>
      </w:r>
      <w:r w:rsidRPr="00CB2C86">
        <w:rPr>
          <w:b/>
        </w:rPr>
        <w:t>Минимальный и максимальный размеры компенсации</w:t>
      </w:r>
      <w:r w:rsidRPr="00CB2C86">
        <w:t>: В соответс</w:t>
      </w:r>
      <w:r w:rsidRPr="00CB2C86">
        <w:t>т</w:t>
      </w:r>
      <w:r w:rsidRPr="00CB2C86">
        <w:t>вии с этим Указом размер выплачиваемой компенсации рассчитывается в зависимости от возраста, месячного заработка и степени постоянной н</w:t>
      </w:r>
      <w:r w:rsidRPr="00CB2C86">
        <w:t>е</w:t>
      </w:r>
      <w:r w:rsidRPr="00CB2C86">
        <w:t>трудосп</w:t>
      </w:r>
      <w:r w:rsidRPr="00CB2C86">
        <w:t>о</w:t>
      </w:r>
      <w:r w:rsidRPr="00CB2C86">
        <w:t>собности заявителя. Она также ограничивается минимальными и максимальными суммами. Минимальная сумма компенсации была ув</w:t>
      </w:r>
      <w:r w:rsidRPr="00CB2C86">
        <w:t>е</w:t>
      </w:r>
      <w:r w:rsidRPr="00CB2C86">
        <w:t>личена с 248</w:t>
      </w:r>
      <w:r>
        <w:t> </w:t>
      </w:r>
      <w:r w:rsidRPr="00CB2C86">
        <w:t>000</w:t>
      </w:r>
      <w:r w:rsidR="004F720A">
        <w:t> долл.</w:t>
      </w:r>
      <w:r w:rsidRPr="00CB2C86">
        <w:t xml:space="preserve"> по предыдущей ставке до 341</w:t>
      </w:r>
      <w:r>
        <w:t> </w:t>
      </w:r>
      <w:r w:rsidRPr="00CB2C86">
        <w:t>000</w:t>
      </w:r>
      <w:r w:rsidR="004F720A">
        <w:t> долл.</w:t>
      </w:r>
      <w:r w:rsidRPr="00CB2C86">
        <w:t>, а</w:t>
      </w:r>
      <w:r>
        <w:t> </w:t>
      </w:r>
      <w:r w:rsidRPr="00CB2C86">
        <w:t>максимальная с 1,44</w:t>
      </w:r>
      <w:r w:rsidR="004F720A">
        <w:t> </w:t>
      </w:r>
      <w:r w:rsidR="00B63D5C">
        <w:t>млн. долл.</w:t>
      </w:r>
      <w:r w:rsidRPr="00CB2C86">
        <w:t xml:space="preserve"> до 2,016</w:t>
      </w:r>
      <w:r w:rsidR="004F720A">
        <w:t> млн.</w:t>
      </w:r>
      <w:r w:rsidRPr="00CB2C86">
        <w:t xml:space="preserve"> долларов;</w:t>
      </w:r>
    </w:p>
    <w:p w:rsidR="00F936A8" w:rsidRPr="00CB2C86" w:rsidRDefault="00F936A8" w:rsidP="00122DDF">
      <w:pPr>
        <w:pStyle w:val="SingleTxtGR"/>
        <w:tabs>
          <w:tab w:val="left" w:pos="1980"/>
        </w:tabs>
        <w:ind w:left="1701" w:hanging="567"/>
      </w:pPr>
      <w:proofErr w:type="spellStart"/>
      <w:r>
        <w:t>b</w:t>
      </w:r>
      <w:proofErr w:type="spellEnd"/>
      <w:r>
        <w:t>)</w:t>
      </w:r>
      <w:r w:rsidRPr="00CB2C86">
        <w:tab/>
      </w:r>
      <w:r w:rsidRPr="00CB2C86">
        <w:rPr>
          <w:b/>
        </w:rPr>
        <w:t>Степень утраты трудоспособности в процентах от полной нетруд</w:t>
      </w:r>
      <w:r w:rsidRPr="00CB2C86">
        <w:rPr>
          <w:b/>
        </w:rPr>
        <w:t>о</w:t>
      </w:r>
      <w:r w:rsidRPr="00CB2C86">
        <w:rPr>
          <w:b/>
        </w:rPr>
        <w:t>способности</w:t>
      </w:r>
      <w:r w:rsidRPr="00CB2C86">
        <w:t>: При определении суммы компенсации степень утраты сл</w:t>
      </w:r>
      <w:r w:rsidRPr="00CB2C86">
        <w:t>у</w:t>
      </w:r>
      <w:r w:rsidRPr="00CB2C86">
        <w:t>ха заявителя пересчитывается в процентах от полной нетрудоспособн</w:t>
      </w:r>
      <w:r w:rsidRPr="00CB2C86">
        <w:t>о</w:t>
      </w:r>
      <w:r w:rsidRPr="00CB2C86">
        <w:t>сти в соотве</w:t>
      </w:r>
      <w:r w:rsidRPr="00CB2C86">
        <w:t>т</w:t>
      </w:r>
      <w:r w:rsidRPr="00CB2C86">
        <w:t>ствии со Списком 4 Указа. Процентная шкала различных степе</w:t>
      </w:r>
      <w:r w:rsidR="0006274D">
        <w:t>не</w:t>
      </w:r>
      <w:r w:rsidRPr="00CB2C86">
        <w:t>й утраты слуха была пересмотрена в сторону увеличения, а ма</w:t>
      </w:r>
      <w:r w:rsidRPr="00CB2C86">
        <w:t>к</w:t>
      </w:r>
      <w:r w:rsidRPr="00CB2C86">
        <w:t>симальный уровень утраты трудоспособности был сохранен на уровне 60%;</w:t>
      </w:r>
    </w:p>
    <w:p w:rsidR="00F936A8" w:rsidRPr="00CB2C86" w:rsidRDefault="00F936A8" w:rsidP="00122DDF">
      <w:pPr>
        <w:pStyle w:val="SingleTxtGR"/>
        <w:tabs>
          <w:tab w:val="left" w:pos="1980"/>
        </w:tabs>
        <w:ind w:left="1701" w:hanging="567"/>
      </w:pPr>
      <w:proofErr w:type="spellStart"/>
      <w:r>
        <w:t>c</w:t>
      </w:r>
      <w:proofErr w:type="spellEnd"/>
      <w:r>
        <w:t>)</w:t>
      </w:r>
      <w:r w:rsidRPr="00CB2C86">
        <w:tab/>
      </w:r>
      <w:r w:rsidRPr="00CB2C86">
        <w:rPr>
          <w:b/>
        </w:rPr>
        <w:t>Возмещение расходов, понесенных в результате приобретения, р</w:t>
      </w:r>
      <w:r w:rsidRPr="00CB2C86">
        <w:rPr>
          <w:b/>
        </w:rPr>
        <w:t>е</w:t>
      </w:r>
      <w:r w:rsidRPr="00CB2C86">
        <w:rPr>
          <w:b/>
        </w:rPr>
        <w:t>монта и замены слуховых аппаратов</w:t>
      </w:r>
      <w:r w:rsidRPr="00CB2C86">
        <w:t>: Заявители, которые получили разрешение на получение компенсации за полную утрату трудоспособн</w:t>
      </w:r>
      <w:r w:rsidRPr="00CB2C86">
        <w:t>о</w:t>
      </w:r>
      <w:r w:rsidRPr="00CB2C86">
        <w:t>сти в соотве</w:t>
      </w:r>
      <w:r w:rsidRPr="00CB2C86">
        <w:t>т</w:t>
      </w:r>
      <w:r w:rsidRPr="00CB2C86">
        <w:t>ствии с Указом, обеспечиваются слуховыми аппаратами. Эта статья покрывае</w:t>
      </w:r>
      <w:r w:rsidRPr="00CB2C86">
        <w:t>т</w:t>
      </w:r>
      <w:r w:rsidRPr="00CB2C86">
        <w:t>ся путем возмещения расходов, понесенных в результате приобретения, ремонта и замены слуховых аппаратов, на общую макс</w:t>
      </w:r>
      <w:r w:rsidRPr="00CB2C86">
        <w:t>и</w:t>
      </w:r>
      <w:r w:rsidRPr="00CB2C86">
        <w:t>мальную сумму 18</w:t>
      </w:r>
      <w:r>
        <w:t> </w:t>
      </w:r>
      <w:r w:rsidRPr="00CB2C86">
        <w:t>000</w:t>
      </w:r>
      <w:r w:rsidR="004F720A">
        <w:t> долл.</w:t>
      </w:r>
      <w:r w:rsidRPr="00CB2C86">
        <w:t xml:space="preserve"> в расчете на каждого заявителя. Если слух</w:t>
      </w:r>
      <w:r w:rsidRPr="00CB2C86">
        <w:t>о</w:t>
      </w:r>
      <w:r w:rsidRPr="00CB2C86">
        <w:t>вое устройство является слуховым аппаратом, оно должно приобр</w:t>
      </w:r>
      <w:r w:rsidRPr="00CB2C86">
        <w:t>е</w:t>
      </w:r>
      <w:r w:rsidRPr="00CB2C86">
        <w:t>таться по рекомендации квалифицирова</w:t>
      </w:r>
      <w:r w:rsidRPr="00CB2C86">
        <w:t>н</w:t>
      </w:r>
      <w:r w:rsidRPr="00CB2C86">
        <w:t>ных специалистов;</w:t>
      </w:r>
    </w:p>
    <w:p w:rsidR="00F936A8" w:rsidRPr="00CB2C86" w:rsidRDefault="00F936A8" w:rsidP="00122DDF">
      <w:pPr>
        <w:pStyle w:val="SingleTxtGR"/>
        <w:tabs>
          <w:tab w:val="left" w:pos="1980"/>
        </w:tabs>
        <w:ind w:left="1701" w:hanging="567"/>
      </w:pPr>
      <w:proofErr w:type="spellStart"/>
      <w:r>
        <w:t>d</w:t>
      </w:r>
      <w:proofErr w:type="spellEnd"/>
      <w:r>
        <w:t>)</w:t>
      </w:r>
      <w:r w:rsidRPr="00CB2C86">
        <w:tab/>
      </w:r>
      <w:r w:rsidRPr="00CB2C86">
        <w:rPr>
          <w:b/>
        </w:rPr>
        <w:t>Конкретные шумные производства</w:t>
      </w:r>
      <w:r w:rsidRPr="00CB2C86">
        <w:t>: Чтобы получить право на компе</w:t>
      </w:r>
      <w:r w:rsidRPr="00CB2C86">
        <w:t>н</w:t>
      </w:r>
      <w:r w:rsidRPr="00CB2C86">
        <w:t>сацию в соответствии с Указом, заявителям необходимо доказать, что они проработали минимальный срок на любых конкретных шумных прои</w:t>
      </w:r>
      <w:r w:rsidRPr="00CB2C86">
        <w:t>з</w:t>
      </w:r>
      <w:r w:rsidRPr="00CB2C86">
        <w:t>водствах. В дополнение к 25 установленным шумным производствам в Список 3 Указа были добавлены еще четыре новых шумных производс</w:t>
      </w:r>
      <w:r w:rsidRPr="00CB2C86">
        <w:t>т</w:t>
      </w:r>
      <w:r w:rsidRPr="00CB2C86">
        <w:t>ва;</w:t>
      </w:r>
    </w:p>
    <w:p w:rsidR="00F936A8" w:rsidRPr="00CB2C86" w:rsidRDefault="00F936A8" w:rsidP="00122DDF">
      <w:pPr>
        <w:pStyle w:val="SingleTxtGR"/>
        <w:tabs>
          <w:tab w:val="left" w:pos="1980"/>
        </w:tabs>
        <w:ind w:left="1701" w:hanging="567"/>
      </w:pPr>
      <w:proofErr w:type="spellStart"/>
      <w:r>
        <w:t>e</w:t>
      </w:r>
      <w:proofErr w:type="spellEnd"/>
      <w:r>
        <w:t>)</w:t>
      </w:r>
      <w:r w:rsidRPr="00CB2C86">
        <w:tab/>
      </w:r>
      <w:r w:rsidRPr="00CB2C86">
        <w:rPr>
          <w:b/>
        </w:rPr>
        <w:t>Функции Совета по компенсации за профессиональную глухоту</w:t>
      </w:r>
      <w:r w:rsidRPr="00CB2C86">
        <w:t>: С</w:t>
      </w:r>
      <w:r w:rsidRPr="00CB2C86">
        <w:t>о</w:t>
      </w:r>
      <w:r w:rsidRPr="00CB2C86">
        <w:t>вет уполномочен осуществлять или финансировать программы реабил</w:t>
      </w:r>
      <w:r w:rsidRPr="00CB2C86">
        <w:t>и</w:t>
      </w:r>
      <w:r w:rsidRPr="00CB2C86">
        <w:t>тации для людей, страдающих профессиональной глухотой; и</w:t>
      </w:r>
    </w:p>
    <w:p w:rsidR="00F936A8" w:rsidRPr="00CB2C86" w:rsidRDefault="00F936A8" w:rsidP="00122DDF">
      <w:pPr>
        <w:pStyle w:val="SingleTxtGR"/>
        <w:tabs>
          <w:tab w:val="left" w:pos="1980"/>
        </w:tabs>
        <w:ind w:left="1701" w:hanging="567"/>
      </w:pPr>
      <w:proofErr w:type="spellStart"/>
      <w:r>
        <w:t>f</w:t>
      </w:r>
      <w:proofErr w:type="spellEnd"/>
      <w:r>
        <w:t>)</w:t>
      </w:r>
      <w:r w:rsidRPr="00CB2C86">
        <w:tab/>
      </w:r>
      <w:r w:rsidRPr="00CB2C86">
        <w:rPr>
          <w:b/>
        </w:rPr>
        <w:t>Определение заработка заявителя</w:t>
      </w:r>
      <w:r w:rsidRPr="00CB2C86">
        <w:t>: При определении заработка заяв</w:t>
      </w:r>
      <w:r w:rsidRPr="00CB2C86">
        <w:t>и</w:t>
      </w:r>
      <w:r w:rsidRPr="00CB2C86">
        <w:t xml:space="preserve">теля с целью расчета выплачиваемой компенсации Совет, упомянутый в пункте </w:t>
      </w:r>
      <w:proofErr w:type="spellStart"/>
      <w:r>
        <w:t>e</w:t>
      </w:r>
      <w:proofErr w:type="spellEnd"/>
      <w:r>
        <w:t>)</w:t>
      </w:r>
      <w:r w:rsidRPr="00CB2C86">
        <w:t>, не учитывает неоплачиваемый отпуск, взятый с согласия раб</w:t>
      </w:r>
      <w:r w:rsidRPr="00CB2C86">
        <w:t>о</w:t>
      </w:r>
      <w:r w:rsidRPr="00CB2C86">
        <w:t>тодателя в течение в совокупности последних 12 месяцев трудоустройс</w:t>
      </w:r>
      <w:r w:rsidRPr="00CB2C86">
        <w:t>т</w:t>
      </w:r>
      <w:r w:rsidRPr="00CB2C86">
        <w:t>ва. Это лучше отражает средний заработок заявителей и соответствует практике в отношении отпуска по беременности и родам и отпуска по б</w:t>
      </w:r>
      <w:r w:rsidRPr="00CB2C86">
        <w:t>о</w:t>
      </w:r>
      <w:r w:rsidRPr="00CB2C86">
        <w:t>лезни.</w:t>
      </w:r>
    </w:p>
    <w:p w:rsidR="00F936A8" w:rsidRPr="00CB2C86" w:rsidRDefault="00F936A8" w:rsidP="00122DDF">
      <w:pPr>
        <w:pStyle w:val="HChGR"/>
        <w:tabs>
          <w:tab w:val="left" w:pos="1980"/>
        </w:tabs>
      </w:pPr>
      <w:r w:rsidRPr="00CB2C86">
        <w:br w:type="page"/>
        <w:t>Приложение 9</w:t>
      </w:r>
      <w:r w:rsidRPr="00CB2C86">
        <w:rPr>
          <w:lang w:val="en-GB"/>
        </w:rPr>
        <w:t>D</w:t>
      </w:r>
    </w:p>
    <w:p w:rsidR="00F936A8" w:rsidRPr="00CB2C86" w:rsidRDefault="00F936A8" w:rsidP="00122DDF">
      <w:pPr>
        <w:pStyle w:val="H1GR"/>
        <w:tabs>
          <w:tab w:val="left" w:pos="1980"/>
        </w:tabs>
      </w:pPr>
      <w:r w:rsidRPr="00CB2C86">
        <w:tab/>
      </w:r>
      <w:r w:rsidRPr="00CB2C86">
        <w:tab/>
        <w:t xml:space="preserve">Улучшение после предыдущего доклада: </w:t>
      </w:r>
      <w:r>
        <w:br/>
      </w:r>
      <w:r w:rsidRPr="00CB2C86">
        <w:t xml:space="preserve">Указ о профессиональной глухоте (Компенсация) (Поправка) </w:t>
      </w:r>
      <w:r w:rsidR="00BF28D4" w:rsidRPr="00CB2C86">
        <w:t>2010</w:t>
      </w:r>
      <w:r w:rsidR="00BF28D4">
        <w:t> год</w:t>
      </w:r>
      <w:r w:rsidR="00BF28D4" w:rsidRPr="00CB2C86">
        <w:t>а</w:t>
      </w:r>
    </w:p>
    <w:p w:rsidR="00F936A8" w:rsidRPr="00CB2C86" w:rsidRDefault="00F936A8" w:rsidP="00122DDF">
      <w:pPr>
        <w:pStyle w:val="SingleTxtGR"/>
        <w:tabs>
          <w:tab w:val="left" w:pos="1980"/>
        </w:tabs>
        <w:ind w:left="1701" w:hanging="567"/>
      </w:pPr>
      <w:proofErr w:type="spellStart"/>
      <w:r>
        <w:t>a</w:t>
      </w:r>
      <w:proofErr w:type="spellEnd"/>
      <w:r>
        <w:t>)</w:t>
      </w:r>
      <w:r w:rsidRPr="00CB2C86">
        <w:tab/>
      </w:r>
      <w:r w:rsidRPr="00CB2C86">
        <w:rPr>
          <w:b/>
        </w:rPr>
        <w:t>Охват работников, получающих компетенцию</w:t>
      </w:r>
      <w:r w:rsidRPr="00CB2C86">
        <w:t>: Распространение ко</w:t>
      </w:r>
      <w:r w:rsidRPr="00CB2C86">
        <w:t>м</w:t>
      </w:r>
      <w:r w:rsidRPr="00CB2C86">
        <w:t>пенсации на работников, у которых в результате их труда под воздейств</w:t>
      </w:r>
      <w:r w:rsidRPr="00CB2C86">
        <w:t>и</w:t>
      </w:r>
      <w:r w:rsidRPr="00CB2C86">
        <w:t xml:space="preserve">ем шума развилась глухота только на одно ухо; </w:t>
      </w:r>
    </w:p>
    <w:p w:rsidR="00F936A8" w:rsidRPr="00CB2C86" w:rsidRDefault="00F936A8" w:rsidP="00122DDF">
      <w:pPr>
        <w:pStyle w:val="SingleTxtGR"/>
        <w:tabs>
          <w:tab w:val="left" w:pos="1980"/>
        </w:tabs>
        <w:ind w:left="1701" w:hanging="567"/>
      </w:pPr>
      <w:proofErr w:type="spellStart"/>
      <w:r>
        <w:t>b</w:t>
      </w:r>
      <w:proofErr w:type="spellEnd"/>
      <w:r>
        <w:t>)</w:t>
      </w:r>
      <w:r w:rsidRPr="00CB2C86">
        <w:tab/>
      </w:r>
      <w:r w:rsidRPr="00CB2C86">
        <w:rPr>
          <w:b/>
        </w:rPr>
        <w:t>Возмещение расходов, понесенных в результате покупки, ремонта и замены слуховых аппаратов</w:t>
      </w:r>
      <w:r w:rsidRPr="00CB2C86">
        <w:t>: Увеличение максимальной суммы возм</w:t>
      </w:r>
      <w:r w:rsidRPr="00CB2C86">
        <w:t>е</w:t>
      </w:r>
      <w:r w:rsidRPr="00CB2C86">
        <w:t>щения расходов, понесенных на приобретение, ремонт и замену слуховых устройств, с 18 000</w:t>
      </w:r>
      <w:r w:rsidR="004F720A">
        <w:t> долл.</w:t>
      </w:r>
      <w:r w:rsidRPr="00CB2C86">
        <w:t xml:space="preserve"> до 36 000</w:t>
      </w:r>
      <w:r w:rsidR="004F720A">
        <w:t> долл.</w:t>
      </w:r>
      <w:r w:rsidRPr="00CB2C86">
        <w:t>, и увеличение первой возм</w:t>
      </w:r>
      <w:r w:rsidRPr="00CB2C86">
        <w:t>е</w:t>
      </w:r>
      <w:r w:rsidRPr="00CB2C86">
        <w:t>щаемой суммы на такие устройства с 9 000 до 12 000 долларов; и</w:t>
      </w:r>
    </w:p>
    <w:p w:rsidR="00F936A8" w:rsidRPr="00CB2C86" w:rsidRDefault="00F936A8" w:rsidP="00122DDF">
      <w:pPr>
        <w:pStyle w:val="SingleTxtGR"/>
        <w:tabs>
          <w:tab w:val="left" w:pos="1980"/>
        </w:tabs>
        <w:ind w:left="1701" w:hanging="567"/>
      </w:pPr>
      <w:proofErr w:type="spellStart"/>
      <w:r>
        <w:t>c</w:t>
      </w:r>
      <w:proofErr w:type="spellEnd"/>
      <w:r>
        <w:t>)</w:t>
      </w:r>
      <w:r w:rsidRPr="00CB2C86">
        <w:tab/>
      </w:r>
      <w:r w:rsidRPr="00CB2C86">
        <w:rPr>
          <w:b/>
        </w:rPr>
        <w:t>Предоставление последующей компенсации</w:t>
      </w:r>
      <w:r w:rsidRPr="00CB2C86">
        <w:t>: Предоставление дополн</w:t>
      </w:r>
      <w:r w:rsidRPr="00CB2C86">
        <w:t>и</w:t>
      </w:r>
      <w:r w:rsidRPr="00CB2C86">
        <w:t>тельной компенсации заявителям, нарушение слуха которых усилилось в результате дальнейшей работы на шумном производстве в течение трех лет после предыдущего удовлетворенного заявления.</w:t>
      </w:r>
    </w:p>
    <w:p w:rsidR="00F936A8" w:rsidRPr="00CB2C86" w:rsidRDefault="00F936A8" w:rsidP="00122DDF">
      <w:pPr>
        <w:pStyle w:val="HChGR"/>
        <w:tabs>
          <w:tab w:val="left" w:pos="1980"/>
        </w:tabs>
      </w:pPr>
      <w:r w:rsidRPr="00CB2C86">
        <w:br w:type="page"/>
        <w:t>Приложение 10</w:t>
      </w:r>
      <w:r w:rsidRPr="00CB2C86">
        <w:rPr>
          <w:lang w:val="en-GB"/>
        </w:rPr>
        <w:t>A</w:t>
      </w:r>
    </w:p>
    <w:p w:rsidR="00F936A8" w:rsidRPr="00CB2C86" w:rsidRDefault="00F936A8" w:rsidP="00122DDF">
      <w:pPr>
        <w:pStyle w:val="H1GR"/>
        <w:tabs>
          <w:tab w:val="left" w:pos="1980"/>
        </w:tabs>
      </w:pPr>
      <w:r w:rsidRPr="00CB2C86">
        <w:tab/>
      </w:r>
      <w:r w:rsidRPr="00CB2C86">
        <w:tab/>
        <w:t xml:space="preserve">Положения о половых преступлениях, перечисленных </w:t>
      </w:r>
      <w:r>
        <w:br/>
      </w:r>
      <w:r w:rsidRPr="00CB2C86">
        <w:t xml:space="preserve">в Перечне 2 к Указу о преступлениях, которые имеют </w:t>
      </w:r>
      <w:proofErr w:type="spellStart"/>
      <w:r w:rsidRPr="00CB2C86">
        <w:t>экстратерриториальные</w:t>
      </w:r>
      <w:proofErr w:type="spellEnd"/>
      <w:r w:rsidRPr="00CB2C86">
        <w:t xml:space="preserve"> п</w:t>
      </w:r>
      <w:r w:rsidRPr="00CB2C86">
        <w:t>о</w:t>
      </w:r>
      <w:r w:rsidRPr="00CB2C86">
        <w:t xml:space="preserve">следствия </w:t>
      </w:r>
      <w:r>
        <w:t>(глава </w:t>
      </w:r>
      <w:r w:rsidRPr="00CB2C86">
        <w:t>200)</w:t>
      </w:r>
    </w:p>
    <w:tbl>
      <w:tblPr>
        <w:tblStyle w:val="TabTxt"/>
        <w:tblW w:w="7370" w:type="dxa"/>
        <w:tblInd w:w="1134" w:type="dxa"/>
        <w:tblLayout w:type="fixed"/>
        <w:tblLook w:val="01E0" w:firstRow="1" w:lastRow="1" w:firstColumn="1" w:lastColumn="1" w:noHBand="0" w:noVBand="0"/>
      </w:tblPr>
      <w:tblGrid>
        <w:gridCol w:w="766"/>
        <w:gridCol w:w="6604"/>
      </w:tblGrid>
      <w:tr w:rsidR="00F936A8" w:rsidRPr="007B3F99" w:rsidTr="00F936A8">
        <w:trPr>
          <w:tblHeader/>
        </w:trPr>
        <w:tc>
          <w:tcPr>
            <w:tcW w:w="766" w:type="dxa"/>
            <w:tcBorders>
              <w:top w:val="single" w:sz="4" w:space="0" w:color="auto"/>
              <w:bottom w:val="single" w:sz="12" w:space="0" w:color="auto"/>
            </w:tcBorders>
            <w:shd w:val="clear" w:color="auto" w:fill="auto"/>
          </w:tcPr>
          <w:p w:rsidR="00F936A8" w:rsidRPr="007B3F99" w:rsidRDefault="00F936A8" w:rsidP="000F6254">
            <w:pPr>
              <w:tabs>
                <w:tab w:val="left" w:pos="1980"/>
              </w:tabs>
              <w:spacing w:before="0"/>
              <w:rPr>
                <w:i/>
                <w:sz w:val="16"/>
              </w:rPr>
            </w:pPr>
            <w:r w:rsidRPr="007B3F99">
              <w:rPr>
                <w:i/>
                <w:sz w:val="16"/>
              </w:rPr>
              <w:t>Раздел</w:t>
            </w:r>
          </w:p>
        </w:tc>
        <w:tc>
          <w:tcPr>
            <w:cnfStyle w:val="000100000000" w:firstRow="0" w:lastRow="0" w:firstColumn="0" w:lastColumn="1" w:oddVBand="0" w:evenVBand="0" w:oddHBand="0" w:evenHBand="0" w:firstRowFirstColumn="0" w:firstRowLastColumn="0" w:lastRowFirstColumn="0" w:lastRowLastColumn="0"/>
            <w:tcW w:w="6604" w:type="dxa"/>
            <w:tcBorders>
              <w:bottom w:val="single" w:sz="12" w:space="0" w:color="auto"/>
            </w:tcBorders>
            <w:shd w:val="clear" w:color="auto" w:fill="auto"/>
          </w:tcPr>
          <w:p w:rsidR="00F936A8" w:rsidRPr="007B3F99" w:rsidRDefault="00F936A8" w:rsidP="000F6254">
            <w:pPr>
              <w:tabs>
                <w:tab w:val="left" w:pos="1980"/>
              </w:tabs>
              <w:spacing w:before="0"/>
              <w:rPr>
                <w:i/>
                <w:sz w:val="16"/>
              </w:rPr>
            </w:pPr>
            <w:r w:rsidRPr="007B3F99">
              <w:rPr>
                <w:i/>
                <w:sz w:val="16"/>
              </w:rPr>
              <w:t>Преступление</w:t>
            </w:r>
          </w:p>
        </w:tc>
      </w:tr>
      <w:tr w:rsidR="00F936A8" w:rsidRPr="007B3F99" w:rsidTr="00F936A8">
        <w:trPr>
          <w:trHeight w:hRule="exact" w:val="113"/>
        </w:trPr>
        <w:tc>
          <w:tcPr>
            <w:tcW w:w="766" w:type="dxa"/>
            <w:tcBorders>
              <w:top w:val="single" w:sz="12" w:space="0" w:color="auto"/>
            </w:tcBorders>
          </w:tcPr>
          <w:p w:rsidR="00F936A8" w:rsidRPr="007B3F99" w:rsidRDefault="00F936A8" w:rsidP="000F6254">
            <w:pPr>
              <w:tabs>
                <w:tab w:val="left" w:pos="1980"/>
              </w:tabs>
              <w:spacing w:before="0"/>
            </w:pPr>
          </w:p>
        </w:tc>
        <w:tc>
          <w:tcPr>
            <w:cnfStyle w:val="000100000000" w:firstRow="0" w:lastRow="0" w:firstColumn="0" w:lastColumn="1" w:oddVBand="0" w:evenVBand="0" w:oddHBand="0" w:evenHBand="0" w:firstRowFirstColumn="0" w:firstRowLastColumn="0" w:lastRowFirstColumn="0" w:lastRowLastColumn="0"/>
            <w:tcW w:w="6604" w:type="dxa"/>
            <w:tcBorders>
              <w:top w:val="single" w:sz="12" w:space="0" w:color="auto"/>
            </w:tcBorders>
          </w:tcPr>
          <w:p w:rsidR="00F936A8" w:rsidRPr="007B3F99" w:rsidRDefault="00F936A8" w:rsidP="000F6254">
            <w:pPr>
              <w:tabs>
                <w:tab w:val="left" w:pos="1980"/>
              </w:tabs>
              <w:spacing w:before="0"/>
            </w:pPr>
          </w:p>
        </w:tc>
      </w:tr>
      <w:tr w:rsidR="00F936A8" w:rsidRPr="007B3F99" w:rsidTr="00F936A8">
        <w:tc>
          <w:tcPr>
            <w:tcW w:w="766" w:type="dxa"/>
          </w:tcPr>
          <w:p w:rsidR="00F936A8" w:rsidRPr="007B3F99" w:rsidRDefault="00F936A8" w:rsidP="000F6254">
            <w:pPr>
              <w:tabs>
                <w:tab w:val="left" w:pos="1980"/>
              </w:tabs>
              <w:spacing w:before="0"/>
            </w:pPr>
            <w:r w:rsidRPr="007B3F99">
              <w:t>118</w:t>
            </w:r>
          </w:p>
        </w:tc>
        <w:tc>
          <w:tcPr>
            <w:cnfStyle w:val="000100000000" w:firstRow="0" w:lastRow="0" w:firstColumn="0" w:lastColumn="1" w:oddVBand="0" w:evenVBand="0" w:oddHBand="0" w:evenHBand="0" w:firstRowFirstColumn="0" w:firstRowLastColumn="0" w:lastRowFirstColumn="0" w:lastRowLastColumn="0"/>
            <w:tcW w:w="6604" w:type="dxa"/>
          </w:tcPr>
          <w:p w:rsidR="00F936A8" w:rsidRPr="007B3F99" w:rsidRDefault="00F936A8" w:rsidP="000F6254">
            <w:pPr>
              <w:tabs>
                <w:tab w:val="left" w:pos="1980"/>
              </w:tabs>
              <w:spacing w:before="0"/>
            </w:pPr>
            <w:r w:rsidRPr="007B3F99">
              <w:t>Изнасилование</w:t>
            </w:r>
          </w:p>
        </w:tc>
      </w:tr>
      <w:tr w:rsidR="00F936A8" w:rsidRPr="007B3F99" w:rsidTr="00F936A8">
        <w:tc>
          <w:tcPr>
            <w:tcW w:w="766" w:type="dxa"/>
          </w:tcPr>
          <w:p w:rsidR="00F936A8" w:rsidRPr="007B3F99" w:rsidRDefault="00F936A8" w:rsidP="000F6254">
            <w:pPr>
              <w:tabs>
                <w:tab w:val="left" w:pos="1980"/>
              </w:tabs>
              <w:spacing w:before="0"/>
            </w:pPr>
            <w:r w:rsidRPr="007B3F99">
              <w:t>118A</w:t>
            </w:r>
          </w:p>
        </w:tc>
        <w:tc>
          <w:tcPr>
            <w:cnfStyle w:val="000100000000" w:firstRow="0" w:lastRow="0" w:firstColumn="0" w:lastColumn="1" w:oddVBand="0" w:evenVBand="0" w:oddHBand="0" w:evenHBand="0" w:firstRowFirstColumn="0" w:firstRowLastColumn="0" w:lastRowFirstColumn="0" w:lastRowLastColumn="0"/>
            <w:tcW w:w="6604" w:type="dxa"/>
          </w:tcPr>
          <w:p w:rsidR="00F936A8" w:rsidRPr="007B3F99" w:rsidRDefault="00F936A8" w:rsidP="000F6254">
            <w:pPr>
              <w:tabs>
                <w:tab w:val="left" w:pos="1980"/>
              </w:tabs>
              <w:spacing w:before="0"/>
            </w:pPr>
            <w:r w:rsidRPr="007B3F99">
              <w:t xml:space="preserve">Принуждение к противоестественному половому акту </w:t>
            </w:r>
          </w:p>
        </w:tc>
      </w:tr>
      <w:tr w:rsidR="00F936A8" w:rsidRPr="007B3F99" w:rsidTr="00F936A8">
        <w:tc>
          <w:tcPr>
            <w:tcW w:w="766" w:type="dxa"/>
          </w:tcPr>
          <w:p w:rsidR="00F936A8" w:rsidRPr="007B3F99" w:rsidRDefault="00F936A8" w:rsidP="000F6254">
            <w:pPr>
              <w:tabs>
                <w:tab w:val="left" w:pos="1980"/>
              </w:tabs>
              <w:spacing w:before="0"/>
            </w:pPr>
            <w:r w:rsidRPr="007B3F99">
              <w:t>118B</w:t>
            </w:r>
          </w:p>
        </w:tc>
        <w:tc>
          <w:tcPr>
            <w:cnfStyle w:val="000100000000" w:firstRow="0" w:lastRow="0" w:firstColumn="0" w:lastColumn="1" w:oddVBand="0" w:evenVBand="0" w:oddHBand="0" w:evenHBand="0" w:firstRowFirstColumn="0" w:firstRowLastColumn="0" w:lastRowFirstColumn="0" w:lastRowLastColumn="0"/>
            <w:tcW w:w="6604" w:type="dxa"/>
          </w:tcPr>
          <w:p w:rsidR="00F936A8" w:rsidRPr="007B3F99" w:rsidRDefault="00F936A8" w:rsidP="000F6254">
            <w:pPr>
              <w:tabs>
                <w:tab w:val="left" w:pos="1980"/>
              </w:tabs>
              <w:spacing w:before="0"/>
            </w:pPr>
            <w:r w:rsidRPr="007B3F99">
              <w:t>Насильственные действия с целью совершения противоестественного полового акта</w:t>
            </w:r>
          </w:p>
        </w:tc>
      </w:tr>
      <w:tr w:rsidR="00F936A8" w:rsidRPr="007B3F99" w:rsidTr="00F936A8">
        <w:tc>
          <w:tcPr>
            <w:tcW w:w="766" w:type="dxa"/>
          </w:tcPr>
          <w:p w:rsidR="00F936A8" w:rsidRPr="007B3F99" w:rsidRDefault="00F936A8" w:rsidP="000F6254">
            <w:pPr>
              <w:tabs>
                <w:tab w:val="left" w:pos="1980"/>
              </w:tabs>
              <w:spacing w:before="0"/>
            </w:pPr>
            <w:r w:rsidRPr="007B3F99">
              <w:t>118C</w:t>
            </w:r>
          </w:p>
        </w:tc>
        <w:tc>
          <w:tcPr>
            <w:cnfStyle w:val="000100000000" w:firstRow="0" w:lastRow="0" w:firstColumn="0" w:lastColumn="1" w:oddVBand="0" w:evenVBand="0" w:oddHBand="0" w:evenHBand="0" w:firstRowFirstColumn="0" w:firstRowLastColumn="0" w:lastRowFirstColumn="0" w:lastRowLastColumn="0"/>
            <w:tcW w:w="6604" w:type="dxa"/>
          </w:tcPr>
          <w:p w:rsidR="00F936A8" w:rsidRPr="007B3F99" w:rsidRDefault="00F936A8" w:rsidP="000F6254">
            <w:pPr>
              <w:tabs>
                <w:tab w:val="left" w:pos="1980"/>
              </w:tabs>
              <w:spacing w:before="0"/>
            </w:pPr>
            <w:r w:rsidRPr="007B3F99">
              <w:t>Мужеложство активного или пассивного характера с лицом мужского пола, не достигшим 21</w:t>
            </w:r>
            <w:r w:rsidR="00B92291">
              <w:t> год</w:t>
            </w:r>
            <w:r>
              <w:t>а</w:t>
            </w:r>
            <w:r w:rsidRPr="007B3F99">
              <w:rPr>
                <w:vertAlign w:val="superscript"/>
              </w:rPr>
              <w:t>1</w:t>
            </w:r>
          </w:p>
        </w:tc>
      </w:tr>
      <w:tr w:rsidR="00F936A8" w:rsidRPr="007B3F99" w:rsidTr="00F936A8">
        <w:tc>
          <w:tcPr>
            <w:tcW w:w="766" w:type="dxa"/>
          </w:tcPr>
          <w:p w:rsidR="00F936A8" w:rsidRPr="007B3F99" w:rsidRDefault="00F936A8" w:rsidP="000F6254">
            <w:pPr>
              <w:tabs>
                <w:tab w:val="left" w:pos="1980"/>
              </w:tabs>
              <w:spacing w:before="0"/>
            </w:pPr>
            <w:r w:rsidRPr="007B3F99">
              <w:t>118D</w:t>
            </w:r>
          </w:p>
        </w:tc>
        <w:tc>
          <w:tcPr>
            <w:cnfStyle w:val="000100000000" w:firstRow="0" w:lastRow="0" w:firstColumn="0" w:lastColumn="1" w:oddVBand="0" w:evenVBand="0" w:oddHBand="0" w:evenHBand="0" w:firstRowFirstColumn="0" w:firstRowLastColumn="0" w:lastRowFirstColumn="0" w:lastRowLastColumn="0"/>
            <w:tcW w:w="6604" w:type="dxa"/>
          </w:tcPr>
          <w:p w:rsidR="00F936A8" w:rsidRPr="007B3F99" w:rsidRDefault="00F936A8" w:rsidP="000F6254">
            <w:pPr>
              <w:tabs>
                <w:tab w:val="left" w:pos="1980"/>
              </w:tabs>
              <w:spacing w:before="0"/>
            </w:pPr>
            <w:r w:rsidRPr="007B3F99">
              <w:t>Противоестественный половой акт с лицом женского пола, не дости</w:t>
            </w:r>
            <w:r w:rsidRPr="007B3F99">
              <w:t>г</w:t>
            </w:r>
            <w:r w:rsidRPr="007B3F99">
              <w:t>шим 21года</w:t>
            </w:r>
          </w:p>
        </w:tc>
      </w:tr>
      <w:tr w:rsidR="00F936A8" w:rsidRPr="007B3F99" w:rsidTr="00F936A8">
        <w:tc>
          <w:tcPr>
            <w:tcW w:w="766" w:type="dxa"/>
          </w:tcPr>
          <w:p w:rsidR="00F936A8" w:rsidRPr="007B3F99" w:rsidRDefault="00F936A8" w:rsidP="000F6254">
            <w:pPr>
              <w:tabs>
                <w:tab w:val="left" w:pos="1980"/>
              </w:tabs>
              <w:spacing w:before="0"/>
            </w:pPr>
            <w:r w:rsidRPr="007B3F99">
              <w:t>118F</w:t>
            </w:r>
          </w:p>
        </w:tc>
        <w:tc>
          <w:tcPr>
            <w:cnfStyle w:val="000100000000" w:firstRow="0" w:lastRow="0" w:firstColumn="0" w:lastColumn="1" w:oddVBand="0" w:evenVBand="0" w:oddHBand="0" w:evenHBand="0" w:firstRowFirstColumn="0" w:firstRowLastColumn="0" w:lastRowFirstColumn="0" w:lastRowLastColumn="0"/>
            <w:tcW w:w="6604" w:type="dxa"/>
          </w:tcPr>
          <w:p w:rsidR="00F936A8" w:rsidRPr="007B3F99" w:rsidRDefault="00F936A8" w:rsidP="000F6254">
            <w:pPr>
              <w:tabs>
                <w:tab w:val="left" w:pos="1980"/>
              </w:tabs>
              <w:spacing w:before="0"/>
            </w:pPr>
            <w:r w:rsidRPr="007B3F99">
              <w:t>Мужеложство, совершенное открыто</w:t>
            </w:r>
            <w:r w:rsidRPr="007B3F99">
              <w:rPr>
                <w:vertAlign w:val="superscript"/>
              </w:rPr>
              <w:t>1</w:t>
            </w:r>
          </w:p>
        </w:tc>
      </w:tr>
      <w:tr w:rsidR="00F936A8" w:rsidRPr="007B3F99" w:rsidTr="00F936A8">
        <w:tc>
          <w:tcPr>
            <w:tcW w:w="766" w:type="dxa"/>
          </w:tcPr>
          <w:p w:rsidR="00F936A8" w:rsidRPr="007B3F99" w:rsidRDefault="00F936A8" w:rsidP="000F6254">
            <w:pPr>
              <w:tabs>
                <w:tab w:val="left" w:pos="1980"/>
              </w:tabs>
              <w:spacing w:before="0"/>
            </w:pPr>
            <w:r w:rsidRPr="007B3F99">
              <w:t>118G</w:t>
            </w:r>
          </w:p>
        </w:tc>
        <w:tc>
          <w:tcPr>
            <w:cnfStyle w:val="000100000000" w:firstRow="0" w:lastRow="0" w:firstColumn="0" w:lastColumn="1" w:oddVBand="0" w:evenVBand="0" w:oddHBand="0" w:evenHBand="0" w:firstRowFirstColumn="0" w:firstRowLastColumn="0" w:lastRowFirstColumn="0" w:lastRowLastColumn="0"/>
            <w:tcW w:w="6604" w:type="dxa"/>
          </w:tcPr>
          <w:p w:rsidR="00F936A8" w:rsidRPr="007B3F99" w:rsidRDefault="00F936A8" w:rsidP="000F6254">
            <w:pPr>
              <w:tabs>
                <w:tab w:val="left" w:pos="1980"/>
              </w:tabs>
              <w:spacing w:before="0"/>
            </w:pPr>
            <w:r w:rsidRPr="007B3F99">
              <w:t xml:space="preserve">Привлечение других лиц к совершению мужеложства </w:t>
            </w:r>
          </w:p>
        </w:tc>
      </w:tr>
      <w:tr w:rsidR="00F936A8" w:rsidRPr="007B3F99" w:rsidTr="00F936A8">
        <w:tc>
          <w:tcPr>
            <w:tcW w:w="766" w:type="dxa"/>
          </w:tcPr>
          <w:p w:rsidR="00F936A8" w:rsidRPr="007B3F99" w:rsidRDefault="00F936A8" w:rsidP="000F6254">
            <w:pPr>
              <w:tabs>
                <w:tab w:val="left" w:pos="1980"/>
              </w:tabs>
              <w:spacing w:before="0"/>
            </w:pPr>
            <w:r w:rsidRPr="007B3F99">
              <w:t>118H</w:t>
            </w:r>
          </w:p>
        </w:tc>
        <w:tc>
          <w:tcPr>
            <w:cnfStyle w:val="000100000000" w:firstRow="0" w:lastRow="0" w:firstColumn="0" w:lastColumn="1" w:oddVBand="0" w:evenVBand="0" w:oddHBand="0" w:evenHBand="0" w:firstRowFirstColumn="0" w:firstRowLastColumn="0" w:lastRowFirstColumn="0" w:lastRowLastColumn="0"/>
            <w:tcW w:w="6604" w:type="dxa"/>
          </w:tcPr>
          <w:p w:rsidR="00F936A8" w:rsidRPr="007B3F99" w:rsidRDefault="00F936A8" w:rsidP="000F6254">
            <w:pPr>
              <w:tabs>
                <w:tab w:val="left" w:pos="1980"/>
              </w:tabs>
              <w:spacing w:before="0"/>
            </w:pPr>
            <w:r w:rsidRPr="007B3F99">
              <w:t>Анальный секс с другим мужчиной 21</w:t>
            </w:r>
            <w:r w:rsidRPr="007B3F99">
              <w:rPr>
                <w:vertAlign w:val="superscript"/>
              </w:rPr>
              <w:t>1</w:t>
            </w:r>
          </w:p>
        </w:tc>
      </w:tr>
      <w:tr w:rsidR="00F936A8" w:rsidRPr="007B3F99" w:rsidTr="00F936A8">
        <w:tc>
          <w:tcPr>
            <w:tcW w:w="766" w:type="dxa"/>
          </w:tcPr>
          <w:p w:rsidR="00F936A8" w:rsidRPr="007B3F99" w:rsidRDefault="00F936A8" w:rsidP="000F6254">
            <w:pPr>
              <w:tabs>
                <w:tab w:val="left" w:pos="1980"/>
              </w:tabs>
              <w:spacing w:before="0"/>
            </w:pPr>
            <w:r w:rsidRPr="007B3F99">
              <w:t>118J</w:t>
            </w:r>
          </w:p>
        </w:tc>
        <w:tc>
          <w:tcPr>
            <w:cnfStyle w:val="000100000000" w:firstRow="0" w:lastRow="0" w:firstColumn="0" w:lastColumn="1" w:oddVBand="0" w:evenVBand="0" w:oddHBand="0" w:evenHBand="0" w:firstRowFirstColumn="0" w:firstRowLastColumn="0" w:lastRowFirstColumn="0" w:lastRowLastColumn="0"/>
            <w:tcW w:w="6604" w:type="dxa"/>
          </w:tcPr>
          <w:p w:rsidR="00F936A8" w:rsidRPr="007B3F99" w:rsidRDefault="00F936A8" w:rsidP="000F6254">
            <w:pPr>
              <w:tabs>
                <w:tab w:val="left" w:pos="1980"/>
              </w:tabs>
              <w:spacing w:before="0"/>
            </w:pPr>
            <w:r w:rsidRPr="007B3F99">
              <w:t>Открытый анальный секс с другим мужчиной</w:t>
            </w:r>
            <w:r w:rsidRPr="007B3F99">
              <w:rPr>
                <w:vertAlign w:val="superscript"/>
              </w:rPr>
              <w:t>1</w:t>
            </w:r>
          </w:p>
        </w:tc>
      </w:tr>
      <w:tr w:rsidR="00F936A8" w:rsidRPr="007B3F99" w:rsidTr="00F936A8">
        <w:tc>
          <w:tcPr>
            <w:tcW w:w="766" w:type="dxa"/>
          </w:tcPr>
          <w:p w:rsidR="00F936A8" w:rsidRPr="007B3F99" w:rsidRDefault="00F936A8" w:rsidP="000F6254">
            <w:pPr>
              <w:tabs>
                <w:tab w:val="left" w:pos="1980"/>
              </w:tabs>
              <w:spacing w:before="0"/>
            </w:pPr>
            <w:r w:rsidRPr="007B3F99">
              <w:t>118K</w:t>
            </w:r>
          </w:p>
        </w:tc>
        <w:tc>
          <w:tcPr>
            <w:cnfStyle w:val="000100000000" w:firstRow="0" w:lastRow="0" w:firstColumn="0" w:lastColumn="1" w:oddVBand="0" w:evenVBand="0" w:oddHBand="0" w:evenHBand="0" w:firstRowFirstColumn="0" w:firstRowLastColumn="0" w:lastRowFirstColumn="0" w:lastRowLastColumn="0"/>
            <w:tcW w:w="6604" w:type="dxa"/>
          </w:tcPr>
          <w:p w:rsidR="00F936A8" w:rsidRPr="007B3F99" w:rsidRDefault="00F936A8" w:rsidP="000F6254">
            <w:pPr>
              <w:tabs>
                <w:tab w:val="left" w:pos="1980"/>
              </w:tabs>
              <w:spacing w:before="0"/>
            </w:pPr>
            <w:r w:rsidRPr="007B3F99">
              <w:t>Оплаченный анальный секс с другим мужчиной</w:t>
            </w:r>
          </w:p>
        </w:tc>
      </w:tr>
      <w:tr w:rsidR="00F936A8" w:rsidRPr="007B3F99" w:rsidTr="00F936A8">
        <w:tc>
          <w:tcPr>
            <w:tcW w:w="766" w:type="dxa"/>
          </w:tcPr>
          <w:p w:rsidR="00F936A8" w:rsidRPr="007B3F99" w:rsidRDefault="00F936A8" w:rsidP="000F6254">
            <w:pPr>
              <w:tabs>
                <w:tab w:val="left" w:pos="1980"/>
              </w:tabs>
              <w:spacing w:before="0"/>
            </w:pPr>
            <w:r w:rsidRPr="007B3F99">
              <w:t>119</w:t>
            </w:r>
          </w:p>
        </w:tc>
        <w:tc>
          <w:tcPr>
            <w:cnfStyle w:val="000100000000" w:firstRow="0" w:lastRow="0" w:firstColumn="0" w:lastColumn="1" w:oddVBand="0" w:evenVBand="0" w:oddHBand="0" w:evenHBand="0" w:firstRowFirstColumn="0" w:firstRowLastColumn="0" w:lastRowFirstColumn="0" w:lastRowLastColumn="0"/>
            <w:tcW w:w="6604" w:type="dxa"/>
          </w:tcPr>
          <w:p w:rsidR="00F936A8" w:rsidRPr="007B3F99" w:rsidRDefault="00F936A8" w:rsidP="000F6254">
            <w:pPr>
              <w:tabs>
                <w:tab w:val="left" w:pos="1980"/>
              </w:tabs>
              <w:spacing w:before="0"/>
            </w:pPr>
            <w:r w:rsidRPr="007B3F99">
              <w:t>Совершение сексуальных действий путем угроз</w:t>
            </w:r>
          </w:p>
        </w:tc>
      </w:tr>
      <w:tr w:rsidR="00F936A8" w:rsidRPr="007B3F99" w:rsidTr="00F936A8">
        <w:tc>
          <w:tcPr>
            <w:tcW w:w="766" w:type="dxa"/>
          </w:tcPr>
          <w:p w:rsidR="00F936A8" w:rsidRPr="007B3F99" w:rsidRDefault="00F936A8" w:rsidP="000F6254">
            <w:pPr>
              <w:tabs>
                <w:tab w:val="left" w:pos="1980"/>
              </w:tabs>
              <w:spacing w:before="0"/>
            </w:pPr>
            <w:r w:rsidRPr="007B3F99">
              <w:t>120</w:t>
            </w:r>
          </w:p>
        </w:tc>
        <w:tc>
          <w:tcPr>
            <w:cnfStyle w:val="000100000000" w:firstRow="0" w:lastRow="0" w:firstColumn="0" w:lastColumn="1" w:oddVBand="0" w:evenVBand="0" w:oddHBand="0" w:evenHBand="0" w:firstRowFirstColumn="0" w:firstRowLastColumn="0" w:lastRowFirstColumn="0" w:lastRowLastColumn="0"/>
            <w:tcW w:w="6604" w:type="dxa"/>
          </w:tcPr>
          <w:p w:rsidR="00F936A8" w:rsidRPr="007B3F99" w:rsidRDefault="00F936A8" w:rsidP="000F6254">
            <w:pPr>
              <w:tabs>
                <w:tab w:val="left" w:pos="1980"/>
              </w:tabs>
              <w:spacing w:before="0"/>
            </w:pPr>
            <w:r w:rsidRPr="007B3F99">
              <w:t xml:space="preserve">Совершение сексуальных действий путем обмана </w:t>
            </w:r>
          </w:p>
        </w:tc>
      </w:tr>
      <w:tr w:rsidR="00F936A8" w:rsidRPr="007B3F99" w:rsidTr="00F936A8">
        <w:tc>
          <w:tcPr>
            <w:tcW w:w="766" w:type="dxa"/>
          </w:tcPr>
          <w:p w:rsidR="00F936A8" w:rsidRPr="007B3F99" w:rsidRDefault="00F936A8" w:rsidP="000F6254">
            <w:pPr>
              <w:tabs>
                <w:tab w:val="left" w:pos="1980"/>
              </w:tabs>
              <w:spacing w:before="0"/>
            </w:pPr>
            <w:r w:rsidRPr="007B3F99">
              <w:t>121</w:t>
            </w:r>
          </w:p>
        </w:tc>
        <w:tc>
          <w:tcPr>
            <w:cnfStyle w:val="000100000000" w:firstRow="0" w:lastRow="0" w:firstColumn="0" w:lastColumn="1" w:oddVBand="0" w:evenVBand="0" w:oddHBand="0" w:evenHBand="0" w:firstRowFirstColumn="0" w:firstRowLastColumn="0" w:lastRowFirstColumn="0" w:lastRowLastColumn="0"/>
            <w:tcW w:w="6604" w:type="dxa"/>
          </w:tcPr>
          <w:p w:rsidR="00F936A8" w:rsidRPr="007B3F99" w:rsidRDefault="00F936A8" w:rsidP="000F6254">
            <w:pPr>
              <w:tabs>
                <w:tab w:val="left" w:pos="1980"/>
              </w:tabs>
              <w:spacing w:before="0"/>
            </w:pPr>
            <w:r w:rsidRPr="007B3F99">
              <w:t>Использование лекарств с целью добиться или содействовать незако</w:t>
            </w:r>
            <w:r w:rsidRPr="007B3F99">
              <w:t>н</w:t>
            </w:r>
            <w:r w:rsidRPr="007B3F99">
              <w:t>ному половому акту</w:t>
            </w:r>
          </w:p>
        </w:tc>
      </w:tr>
      <w:tr w:rsidR="00F936A8" w:rsidRPr="007B3F99" w:rsidTr="00F936A8">
        <w:tc>
          <w:tcPr>
            <w:tcW w:w="766" w:type="dxa"/>
          </w:tcPr>
          <w:p w:rsidR="00F936A8" w:rsidRPr="007B3F99" w:rsidRDefault="00F936A8" w:rsidP="000F6254">
            <w:pPr>
              <w:tabs>
                <w:tab w:val="left" w:pos="1980"/>
              </w:tabs>
              <w:spacing w:before="0"/>
            </w:pPr>
            <w:r w:rsidRPr="007B3F99">
              <w:t>122</w:t>
            </w:r>
          </w:p>
        </w:tc>
        <w:tc>
          <w:tcPr>
            <w:cnfStyle w:val="000100000000" w:firstRow="0" w:lastRow="0" w:firstColumn="0" w:lastColumn="1" w:oddVBand="0" w:evenVBand="0" w:oddHBand="0" w:evenHBand="0" w:firstRowFirstColumn="0" w:firstRowLastColumn="0" w:lastRowFirstColumn="0" w:lastRowLastColumn="0"/>
            <w:tcW w:w="6604" w:type="dxa"/>
          </w:tcPr>
          <w:p w:rsidR="00F936A8" w:rsidRPr="007B3F99" w:rsidRDefault="00F936A8" w:rsidP="000F6254">
            <w:pPr>
              <w:tabs>
                <w:tab w:val="left" w:pos="1980"/>
              </w:tabs>
              <w:spacing w:before="0"/>
            </w:pPr>
            <w:r w:rsidRPr="007B3F99">
              <w:t>Непристойное нападение</w:t>
            </w:r>
          </w:p>
        </w:tc>
      </w:tr>
      <w:tr w:rsidR="00F936A8" w:rsidRPr="007B3F99" w:rsidTr="00F936A8">
        <w:tc>
          <w:tcPr>
            <w:tcW w:w="766" w:type="dxa"/>
          </w:tcPr>
          <w:p w:rsidR="00F936A8" w:rsidRPr="007B3F99" w:rsidRDefault="00F936A8" w:rsidP="000F6254">
            <w:pPr>
              <w:tabs>
                <w:tab w:val="left" w:pos="1980"/>
              </w:tabs>
              <w:spacing w:before="0"/>
            </w:pPr>
            <w:r w:rsidRPr="007B3F99">
              <w:t>123</w:t>
            </w:r>
          </w:p>
        </w:tc>
        <w:tc>
          <w:tcPr>
            <w:cnfStyle w:val="000100000000" w:firstRow="0" w:lastRow="0" w:firstColumn="0" w:lastColumn="1" w:oddVBand="0" w:evenVBand="0" w:oddHBand="0" w:evenHBand="0" w:firstRowFirstColumn="0" w:firstRowLastColumn="0" w:lastRowFirstColumn="0" w:lastRowLastColumn="0"/>
            <w:tcW w:w="6604" w:type="dxa"/>
          </w:tcPr>
          <w:p w:rsidR="00F936A8" w:rsidRPr="007B3F99" w:rsidRDefault="00F936A8" w:rsidP="000F6254">
            <w:pPr>
              <w:tabs>
                <w:tab w:val="left" w:pos="1980"/>
              </w:tabs>
              <w:spacing w:before="0"/>
            </w:pPr>
            <w:r w:rsidRPr="007B3F99">
              <w:t>Половые сношения с девочкой, не достигшей 13 лет</w:t>
            </w:r>
          </w:p>
        </w:tc>
      </w:tr>
      <w:tr w:rsidR="00F936A8" w:rsidRPr="007B3F99" w:rsidTr="00F936A8">
        <w:tc>
          <w:tcPr>
            <w:tcW w:w="766" w:type="dxa"/>
          </w:tcPr>
          <w:p w:rsidR="00F936A8" w:rsidRPr="007B3F99" w:rsidRDefault="00F936A8" w:rsidP="000F6254">
            <w:pPr>
              <w:tabs>
                <w:tab w:val="left" w:pos="1980"/>
              </w:tabs>
              <w:spacing w:before="0"/>
            </w:pPr>
            <w:r w:rsidRPr="007B3F99">
              <w:t>124</w:t>
            </w:r>
          </w:p>
        </w:tc>
        <w:tc>
          <w:tcPr>
            <w:cnfStyle w:val="000100000000" w:firstRow="0" w:lastRow="0" w:firstColumn="0" w:lastColumn="1" w:oddVBand="0" w:evenVBand="0" w:oddHBand="0" w:evenHBand="0" w:firstRowFirstColumn="0" w:firstRowLastColumn="0" w:lastRowFirstColumn="0" w:lastRowLastColumn="0"/>
            <w:tcW w:w="6604" w:type="dxa"/>
          </w:tcPr>
          <w:p w:rsidR="00F936A8" w:rsidRPr="007B3F99" w:rsidRDefault="00F936A8" w:rsidP="000F6254">
            <w:pPr>
              <w:tabs>
                <w:tab w:val="left" w:pos="1980"/>
              </w:tabs>
              <w:spacing w:before="0"/>
            </w:pPr>
            <w:r w:rsidRPr="007B3F99">
              <w:t>Половые сношения с девушкой, не достигшей 16 лет</w:t>
            </w:r>
          </w:p>
        </w:tc>
      </w:tr>
      <w:tr w:rsidR="00F936A8" w:rsidRPr="007B3F99" w:rsidTr="00F936A8">
        <w:tc>
          <w:tcPr>
            <w:tcW w:w="766" w:type="dxa"/>
          </w:tcPr>
          <w:p w:rsidR="00F936A8" w:rsidRPr="007B3F99" w:rsidRDefault="00F936A8" w:rsidP="000F6254">
            <w:pPr>
              <w:tabs>
                <w:tab w:val="left" w:pos="1980"/>
              </w:tabs>
              <w:spacing w:before="0"/>
            </w:pPr>
            <w:r w:rsidRPr="007B3F99">
              <w:t>126</w:t>
            </w:r>
          </w:p>
        </w:tc>
        <w:tc>
          <w:tcPr>
            <w:cnfStyle w:val="000100000000" w:firstRow="0" w:lastRow="0" w:firstColumn="0" w:lastColumn="1" w:oddVBand="0" w:evenVBand="0" w:oddHBand="0" w:evenHBand="0" w:firstRowFirstColumn="0" w:firstRowLastColumn="0" w:lastRowFirstColumn="0" w:lastRowLastColumn="0"/>
            <w:tcW w:w="6604" w:type="dxa"/>
          </w:tcPr>
          <w:p w:rsidR="00F936A8" w:rsidRPr="007B3F99" w:rsidRDefault="00F936A8" w:rsidP="000F6254">
            <w:pPr>
              <w:tabs>
                <w:tab w:val="left" w:pos="1980"/>
              </w:tabs>
              <w:spacing w:before="0"/>
            </w:pPr>
            <w:r w:rsidRPr="007B3F99">
              <w:t>Похищение незамужней девушки младше 16 лет</w:t>
            </w:r>
          </w:p>
        </w:tc>
      </w:tr>
      <w:tr w:rsidR="00F936A8" w:rsidRPr="007B3F99" w:rsidTr="00F936A8">
        <w:tc>
          <w:tcPr>
            <w:tcW w:w="766" w:type="dxa"/>
          </w:tcPr>
          <w:p w:rsidR="00F936A8" w:rsidRPr="007B3F99" w:rsidRDefault="00F936A8" w:rsidP="000F6254">
            <w:pPr>
              <w:tabs>
                <w:tab w:val="left" w:pos="1980"/>
              </w:tabs>
              <w:spacing w:before="0"/>
            </w:pPr>
            <w:r w:rsidRPr="007B3F99">
              <w:t>130</w:t>
            </w:r>
          </w:p>
        </w:tc>
        <w:tc>
          <w:tcPr>
            <w:cnfStyle w:val="000100000000" w:firstRow="0" w:lastRow="0" w:firstColumn="0" w:lastColumn="1" w:oddVBand="0" w:evenVBand="0" w:oddHBand="0" w:evenHBand="0" w:firstRowFirstColumn="0" w:firstRowLastColumn="0" w:lastRowFirstColumn="0" w:lastRowLastColumn="0"/>
            <w:tcW w:w="6604" w:type="dxa"/>
          </w:tcPr>
          <w:p w:rsidR="00F936A8" w:rsidRPr="007B3F99" w:rsidRDefault="00F936A8" w:rsidP="000F6254">
            <w:pPr>
              <w:tabs>
                <w:tab w:val="left" w:pos="1980"/>
              </w:tabs>
              <w:spacing w:before="0"/>
            </w:pPr>
            <w:r w:rsidRPr="007B3F99">
              <w:t>Контроль над другими лицами в целях совершения незаконного пол</w:t>
            </w:r>
            <w:r w:rsidRPr="007B3F99">
              <w:t>о</w:t>
            </w:r>
            <w:r w:rsidRPr="007B3F99">
              <w:t>вого акта или принуждения к занятию проституцией</w:t>
            </w:r>
          </w:p>
        </w:tc>
      </w:tr>
      <w:tr w:rsidR="00F936A8" w:rsidRPr="007B3F99" w:rsidTr="00F936A8">
        <w:tc>
          <w:tcPr>
            <w:tcW w:w="766" w:type="dxa"/>
          </w:tcPr>
          <w:p w:rsidR="00F936A8" w:rsidRPr="007B3F99" w:rsidRDefault="00F936A8" w:rsidP="000F6254">
            <w:pPr>
              <w:tabs>
                <w:tab w:val="left" w:pos="1980"/>
              </w:tabs>
              <w:spacing w:before="0"/>
            </w:pPr>
            <w:r w:rsidRPr="007B3F99">
              <w:t>132</w:t>
            </w:r>
          </w:p>
        </w:tc>
        <w:tc>
          <w:tcPr>
            <w:cnfStyle w:val="000100000000" w:firstRow="0" w:lastRow="0" w:firstColumn="0" w:lastColumn="1" w:oddVBand="0" w:evenVBand="0" w:oddHBand="0" w:evenHBand="0" w:firstRowFirstColumn="0" w:firstRowLastColumn="0" w:lastRowFirstColumn="0" w:lastRowLastColumn="0"/>
            <w:tcW w:w="6604" w:type="dxa"/>
          </w:tcPr>
          <w:p w:rsidR="00F936A8" w:rsidRPr="007B3F99" w:rsidRDefault="00F936A8" w:rsidP="000F6254">
            <w:pPr>
              <w:tabs>
                <w:tab w:val="left" w:pos="1980"/>
              </w:tabs>
              <w:spacing w:before="0"/>
            </w:pPr>
            <w:r w:rsidRPr="007B3F99">
              <w:t>Совершение сексуальных действий с девушкой младше 21</w:t>
            </w:r>
            <w:r w:rsidR="00B92291">
              <w:t> год</w:t>
            </w:r>
            <w:r w:rsidRPr="007B3F99">
              <w:t xml:space="preserve">а </w:t>
            </w:r>
          </w:p>
        </w:tc>
      </w:tr>
      <w:tr w:rsidR="00F936A8" w:rsidRPr="007B3F99" w:rsidTr="00F936A8">
        <w:tc>
          <w:tcPr>
            <w:tcW w:w="766" w:type="dxa"/>
            <w:tcBorders>
              <w:bottom w:val="nil"/>
            </w:tcBorders>
          </w:tcPr>
          <w:p w:rsidR="00F936A8" w:rsidRPr="007B3F99" w:rsidRDefault="00F936A8" w:rsidP="000F6254">
            <w:pPr>
              <w:tabs>
                <w:tab w:val="left" w:pos="1980"/>
              </w:tabs>
              <w:spacing w:before="0"/>
            </w:pPr>
            <w:r w:rsidRPr="007B3F99">
              <w:t>134</w:t>
            </w:r>
          </w:p>
        </w:tc>
        <w:tc>
          <w:tcPr>
            <w:cnfStyle w:val="000100000000" w:firstRow="0" w:lastRow="0" w:firstColumn="0" w:lastColumn="1" w:oddVBand="0" w:evenVBand="0" w:oddHBand="0" w:evenHBand="0" w:firstRowFirstColumn="0" w:firstRowLastColumn="0" w:lastRowFirstColumn="0" w:lastRowLastColumn="0"/>
            <w:tcW w:w="6604" w:type="dxa"/>
          </w:tcPr>
          <w:p w:rsidR="00F936A8" w:rsidRPr="007B3F99" w:rsidRDefault="00F936A8" w:rsidP="000F6254">
            <w:pPr>
              <w:tabs>
                <w:tab w:val="left" w:pos="1980"/>
              </w:tabs>
              <w:spacing w:before="0"/>
            </w:pPr>
            <w:r w:rsidRPr="007B3F99">
              <w:t>Удержание с целью половых сношений или в притоне</w:t>
            </w:r>
          </w:p>
        </w:tc>
      </w:tr>
      <w:tr w:rsidR="00F936A8" w:rsidRPr="007B3F99" w:rsidTr="00F936A8">
        <w:tc>
          <w:tcPr>
            <w:tcW w:w="766" w:type="dxa"/>
            <w:tcBorders>
              <w:top w:val="nil"/>
              <w:bottom w:val="nil"/>
            </w:tcBorders>
          </w:tcPr>
          <w:p w:rsidR="00F936A8" w:rsidRPr="007B3F99" w:rsidRDefault="00F936A8" w:rsidP="000F6254">
            <w:pPr>
              <w:tabs>
                <w:tab w:val="left" w:pos="1980"/>
              </w:tabs>
              <w:spacing w:before="0"/>
            </w:pPr>
            <w:r w:rsidRPr="007B3F99">
              <w:t>135</w:t>
            </w:r>
          </w:p>
        </w:tc>
        <w:tc>
          <w:tcPr>
            <w:cnfStyle w:val="000100000000" w:firstRow="0" w:lastRow="0" w:firstColumn="0" w:lastColumn="1" w:oddVBand="0" w:evenVBand="0" w:oddHBand="0" w:evenHBand="0" w:firstRowFirstColumn="0" w:firstRowLastColumn="0" w:lastRowFirstColumn="0" w:lastRowLastColumn="0"/>
            <w:tcW w:w="6604" w:type="dxa"/>
            <w:tcBorders>
              <w:top w:val="nil"/>
            </w:tcBorders>
          </w:tcPr>
          <w:p w:rsidR="00F936A8" w:rsidRPr="007B3F99" w:rsidRDefault="00F936A8" w:rsidP="000F6254">
            <w:pPr>
              <w:tabs>
                <w:tab w:val="left" w:pos="1980"/>
              </w:tabs>
              <w:spacing w:before="0"/>
            </w:pPr>
            <w:r w:rsidRPr="007B3F99">
              <w:t>Принуждение к занятию проституцией, половому сношению или н</w:t>
            </w:r>
            <w:r w:rsidRPr="007B3F99">
              <w:t>е</w:t>
            </w:r>
            <w:r w:rsidRPr="007B3F99">
              <w:t>пристойному нападению или их поощрению применительно к девочке или мальчику младше 16 лет</w:t>
            </w:r>
          </w:p>
        </w:tc>
      </w:tr>
      <w:tr w:rsidR="00F936A8" w:rsidRPr="007B3F99" w:rsidTr="000F6254">
        <w:tc>
          <w:tcPr>
            <w:tcW w:w="766" w:type="dxa"/>
            <w:tcBorders>
              <w:top w:val="nil"/>
              <w:bottom w:val="nil"/>
            </w:tcBorders>
          </w:tcPr>
          <w:p w:rsidR="00F936A8" w:rsidRPr="007B3F99" w:rsidRDefault="00F936A8" w:rsidP="000F6254">
            <w:pPr>
              <w:tabs>
                <w:tab w:val="left" w:pos="1980"/>
              </w:tabs>
              <w:spacing w:before="0"/>
            </w:pPr>
            <w:r w:rsidRPr="007B3F99">
              <w:t>140</w:t>
            </w:r>
          </w:p>
        </w:tc>
        <w:tc>
          <w:tcPr>
            <w:cnfStyle w:val="000100000000" w:firstRow="0" w:lastRow="0" w:firstColumn="0" w:lastColumn="1" w:oddVBand="0" w:evenVBand="0" w:oddHBand="0" w:evenHBand="0" w:firstRowFirstColumn="0" w:firstRowLastColumn="0" w:lastRowFirstColumn="0" w:lastRowLastColumn="0"/>
            <w:tcW w:w="6604" w:type="dxa"/>
            <w:tcBorders>
              <w:top w:val="nil"/>
            </w:tcBorders>
          </w:tcPr>
          <w:p w:rsidR="00F936A8" w:rsidRPr="007B3F99" w:rsidRDefault="00F936A8" w:rsidP="000F6254">
            <w:pPr>
              <w:tabs>
                <w:tab w:val="left" w:pos="1980"/>
              </w:tabs>
              <w:spacing w:before="0"/>
            </w:pPr>
            <w:r w:rsidRPr="007B3F99">
              <w:t>Разрешение девочке или мальчику использовать или пребывать в п</w:t>
            </w:r>
            <w:r w:rsidRPr="007B3F99">
              <w:t>о</w:t>
            </w:r>
            <w:r w:rsidRPr="007B3F99">
              <w:t>мещении или на яхте для половых сношений</w:t>
            </w:r>
          </w:p>
        </w:tc>
      </w:tr>
      <w:tr w:rsidR="00F936A8" w:rsidRPr="007B3F99" w:rsidTr="000F6254">
        <w:tc>
          <w:tcPr>
            <w:tcW w:w="766" w:type="dxa"/>
            <w:tcBorders>
              <w:top w:val="nil"/>
              <w:bottom w:val="nil"/>
            </w:tcBorders>
          </w:tcPr>
          <w:p w:rsidR="00F936A8" w:rsidRPr="007B3F99" w:rsidRDefault="00F936A8" w:rsidP="000F6254">
            <w:pPr>
              <w:pageBreakBefore/>
              <w:tabs>
                <w:tab w:val="left" w:pos="1980"/>
              </w:tabs>
              <w:spacing w:before="0"/>
            </w:pPr>
            <w:r w:rsidRPr="007B3F99">
              <w:t>141</w:t>
            </w:r>
          </w:p>
        </w:tc>
        <w:tc>
          <w:tcPr>
            <w:cnfStyle w:val="000100000000" w:firstRow="0" w:lastRow="0" w:firstColumn="0" w:lastColumn="1" w:oddVBand="0" w:evenVBand="0" w:oddHBand="0" w:evenHBand="0" w:firstRowFirstColumn="0" w:firstRowLastColumn="0" w:lastRowFirstColumn="0" w:lastRowLastColumn="0"/>
            <w:tcW w:w="6604" w:type="dxa"/>
            <w:tcBorders>
              <w:top w:val="nil"/>
            </w:tcBorders>
          </w:tcPr>
          <w:p w:rsidR="00F936A8" w:rsidRPr="007B3F99" w:rsidRDefault="00F936A8" w:rsidP="000F6254">
            <w:pPr>
              <w:tabs>
                <w:tab w:val="left" w:pos="1980"/>
              </w:tabs>
              <w:spacing w:before="0"/>
            </w:pPr>
            <w:r w:rsidRPr="007B3F99">
              <w:t>Разрешение юноше или девушке использовать или пребывать в пом</w:t>
            </w:r>
            <w:r w:rsidRPr="007B3F99">
              <w:t>е</w:t>
            </w:r>
            <w:r w:rsidRPr="007B3F99">
              <w:t>щении или на яхте для половых сношений, занятия проституцией, м</w:t>
            </w:r>
            <w:r w:rsidRPr="007B3F99">
              <w:t>у</w:t>
            </w:r>
            <w:r w:rsidRPr="007B3F99">
              <w:t>желожства или совершения гомосексуального акта</w:t>
            </w:r>
          </w:p>
        </w:tc>
      </w:tr>
      <w:tr w:rsidR="00F936A8" w:rsidRPr="007B3F99" w:rsidTr="000F6254">
        <w:tc>
          <w:tcPr>
            <w:tcW w:w="766" w:type="dxa"/>
            <w:tcBorders>
              <w:top w:val="nil"/>
            </w:tcBorders>
          </w:tcPr>
          <w:p w:rsidR="00F936A8" w:rsidRPr="007B3F99" w:rsidRDefault="00F936A8" w:rsidP="000F6254">
            <w:pPr>
              <w:tabs>
                <w:tab w:val="left" w:pos="1980"/>
              </w:tabs>
              <w:spacing w:before="0"/>
            </w:pPr>
            <w:r w:rsidRPr="007B3F99">
              <w:t>146</w:t>
            </w:r>
          </w:p>
        </w:tc>
        <w:tc>
          <w:tcPr>
            <w:cnfStyle w:val="000100000000" w:firstRow="0" w:lastRow="0" w:firstColumn="0" w:lastColumn="1" w:oddVBand="0" w:evenVBand="0" w:oddHBand="0" w:evenHBand="0" w:firstRowFirstColumn="0" w:firstRowLastColumn="0" w:lastRowFirstColumn="0" w:lastRowLastColumn="0"/>
            <w:tcW w:w="6604" w:type="dxa"/>
            <w:tcBorders>
              <w:top w:val="nil"/>
            </w:tcBorders>
          </w:tcPr>
          <w:p w:rsidR="00F936A8" w:rsidRPr="007B3F99" w:rsidRDefault="00F936A8" w:rsidP="000F6254">
            <w:pPr>
              <w:tabs>
                <w:tab w:val="left" w:pos="1980"/>
              </w:tabs>
              <w:spacing w:before="0"/>
            </w:pPr>
            <w:r w:rsidRPr="007B3F99">
              <w:t>Развратные действия в отношении ребенка младше 16 лет</w:t>
            </w:r>
          </w:p>
        </w:tc>
      </w:tr>
    </w:tbl>
    <w:p w:rsidR="00F936A8" w:rsidRPr="00D46407" w:rsidRDefault="00F936A8" w:rsidP="00122DDF">
      <w:pPr>
        <w:pStyle w:val="SingleTxtGR"/>
        <w:tabs>
          <w:tab w:val="left" w:pos="1980"/>
        </w:tabs>
        <w:suppressAutoHyphens/>
        <w:spacing w:before="120" w:after="0" w:line="220" w:lineRule="atLeast"/>
        <w:ind w:left="1358"/>
        <w:jc w:val="left"/>
        <w:rPr>
          <w:sz w:val="18"/>
          <w:szCs w:val="18"/>
        </w:rPr>
      </w:pPr>
      <w:r w:rsidRPr="00D46407">
        <w:rPr>
          <w:sz w:val="18"/>
          <w:szCs w:val="18"/>
          <w:vertAlign w:val="superscript"/>
        </w:rPr>
        <w:t>1</w:t>
      </w:r>
      <w:r w:rsidRPr="00D46407">
        <w:rPr>
          <w:sz w:val="18"/>
          <w:szCs w:val="18"/>
        </w:rPr>
        <w:t xml:space="preserve"> </w:t>
      </w:r>
      <w:r>
        <w:rPr>
          <w:sz w:val="18"/>
          <w:szCs w:val="18"/>
        </w:rPr>
        <w:t xml:space="preserve"> </w:t>
      </w:r>
      <w:r w:rsidRPr="00D46407">
        <w:rPr>
          <w:sz w:val="18"/>
          <w:szCs w:val="18"/>
        </w:rPr>
        <w:t>Суд определил, что раз</w:t>
      </w:r>
      <w:r w:rsidR="000F6254">
        <w:rPr>
          <w:sz w:val="18"/>
          <w:szCs w:val="18"/>
        </w:rPr>
        <w:t>дел</w:t>
      </w:r>
      <w:r w:rsidRPr="00D46407">
        <w:rPr>
          <w:sz w:val="18"/>
          <w:szCs w:val="18"/>
        </w:rPr>
        <w:t xml:space="preserve"> 118</w:t>
      </w:r>
      <w:r w:rsidRPr="00D46407">
        <w:rPr>
          <w:sz w:val="18"/>
          <w:szCs w:val="18"/>
          <w:lang w:val="en-GB"/>
        </w:rPr>
        <w:t>C</w:t>
      </w:r>
      <w:r w:rsidRPr="00D46407">
        <w:rPr>
          <w:sz w:val="18"/>
          <w:szCs w:val="18"/>
        </w:rPr>
        <w:t xml:space="preserve"> и раз</w:t>
      </w:r>
      <w:r w:rsidR="000F6254">
        <w:rPr>
          <w:sz w:val="18"/>
          <w:szCs w:val="18"/>
        </w:rPr>
        <w:t>дел</w:t>
      </w:r>
      <w:r w:rsidRPr="00D46407">
        <w:rPr>
          <w:sz w:val="18"/>
          <w:szCs w:val="18"/>
        </w:rPr>
        <w:t xml:space="preserve"> 118</w:t>
      </w:r>
      <w:r w:rsidRPr="00D46407">
        <w:rPr>
          <w:sz w:val="18"/>
          <w:szCs w:val="18"/>
          <w:lang w:val="en-GB"/>
        </w:rPr>
        <w:t>H</w:t>
      </w:r>
      <w:r w:rsidRPr="00D46407">
        <w:rPr>
          <w:sz w:val="18"/>
          <w:szCs w:val="18"/>
        </w:rPr>
        <w:t xml:space="preserve"> (если они оба применяются к лицу мужского пола младше 16 лет или старше и лицу мужского пола младше 21</w:t>
      </w:r>
      <w:r w:rsidR="00B92291">
        <w:rPr>
          <w:sz w:val="18"/>
          <w:szCs w:val="18"/>
        </w:rPr>
        <w:t> год</w:t>
      </w:r>
      <w:r w:rsidRPr="00D46407">
        <w:rPr>
          <w:sz w:val="18"/>
          <w:szCs w:val="18"/>
        </w:rPr>
        <w:t>а), а</w:t>
      </w:r>
      <w:r>
        <w:rPr>
          <w:sz w:val="18"/>
          <w:szCs w:val="18"/>
        </w:rPr>
        <w:t> </w:t>
      </w:r>
      <w:r w:rsidRPr="00D46407">
        <w:rPr>
          <w:sz w:val="18"/>
          <w:szCs w:val="18"/>
        </w:rPr>
        <w:t>также раз</w:t>
      </w:r>
      <w:r w:rsidR="000F6254">
        <w:rPr>
          <w:sz w:val="18"/>
          <w:szCs w:val="18"/>
        </w:rPr>
        <w:t>дел</w:t>
      </w:r>
      <w:r w:rsidRPr="00D46407">
        <w:rPr>
          <w:sz w:val="18"/>
          <w:szCs w:val="18"/>
        </w:rPr>
        <w:t xml:space="preserve"> 118</w:t>
      </w:r>
      <w:r w:rsidRPr="00D46407">
        <w:rPr>
          <w:sz w:val="18"/>
          <w:szCs w:val="18"/>
          <w:lang w:val="en-GB"/>
        </w:rPr>
        <w:t>F</w:t>
      </w:r>
      <w:r w:rsidRPr="00D46407">
        <w:rPr>
          <w:sz w:val="18"/>
          <w:szCs w:val="18"/>
        </w:rPr>
        <w:t>(1), раз</w:t>
      </w:r>
      <w:r w:rsidR="000F6254">
        <w:rPr>
          <w:sz w:val="18"/>
          <w:szCs w:val="18"/>
        </w:rPr>
        <w:t>дел</w:t>
      </w:r>
      <w:r w:rsidRPr="00D46407">
        <w:rPr>
          <w:sz w:val="18"/>
          <w:szCs w:val="18"/>
        </w:rPr>
        <w:t xml:space="preserve"> 118</w:t>
      </w:r>
      <w:r w:rsidRPr="00D46407">
        <w:rPr>
          <w:sz w:val="18"/>
          <w:szCs w:val="18"/>
          <w:lang w:val="en-GB"/>
        </w:rPr>
        <w:t>F</w:t>
      </w:r>
      <w:r w:rsidRPr="00D46407">
        <w:rPr>
          <w:sz w:val="18"/>
          <w:szCs w:val="18"/>
        </w:rPr>
        <w:t>(2)(</w:t>
      </w:r>
      <w:r w:rsidRPr="00D46407">
        <w:rPr>
          <w:sz w:val="18"/>
          <w:szCs w:val="18"/>
          <w:lang w:val="en-GB"/>
        </w:rPr>
        <w:t>a</w:t>
      </w:r>
      <w:r w:rsidRPr="00D46407">
        <w:rPr>
          <w:sz w:val="18"/>
          <w:szCs w:val="18"/>
        </w:rPr>
        <w:t>) и раз</w:t>
      </w:r>
      <w:r w:rsidR="000F6254">
        <w:rPr>
          <w:sz w:val="18"/>
          <w:szCs w:val="18"/>
        </w:rPr>
        <w:t>дел</w:t>
      </w:r>
      <w:r w:rsidRPr="00D46407">
        <w:rPr>
          <w:sz w:val="18"/>
          <w:szCs w:val="18"/>
        </w:rPr>
        <w:t xml:space="preserve"> 118</w:t>
      </w:r>
      <w:r w:rsidRPr="00D46407">
        <w:rPr>
          <w:sz w:val="18"/>
          <w:szCs w:val="18"/>
          <w:lang w:val="en-GB"/>
        </w:rPr>
        <w:t>J</w:t>
      </w:r>
      <w:r w:rsidRPr="00D46407">
        <w:rPr>
          <w:sz w:val="18"/>
          <w:szCs w:val="18"/>
        </w:rPr>
        <w:t>(2)(</w:t>
      </w:r>
      <w:r w:rsidRPr="00D46407">
        <w:rPr>
          <w:sz w:val="18"/>
          <w:szCs w:val="18"/>
          <w:lang w:val="en-GB"/>
        </w:rPr>
        <w:t>a</w:t>
      </w:r>
      <w:r w:rsidRPr="00D46407">
        <w:rPr>
          <w:sz w:val="18"/>
          <w:szCs w:val="18"/>
        </w:rPr>
        <w:t xml:space="preserve">) противоречат </w:t>
      </w:r>
      <w:r w:rsidR="000F6254" w:rsidRPr="00D46407">
        <w:rPr>
          <w:sz w:val="18"/>
          <w:szCs w:val="18"/>
        </w:rPr>
        <w:t>Конституции</w:t>
      </w:r>
      <w:r w:rsidRPr="00D46407">
        <w:rPr>
          <w:sz w:val="18"/>
          <w:szCs w:val="18"/>
        </w:rPr>
        <w:t>. Комиссия по реформе законодательства Гонконга учредила Подкомитет по пересмотру положений общего и статутного права, регулирующих половые и смежные с ними преступления, включая гомосексуальные преступления. Администрация рассмотрит любые рекомендации, которые сделает Комиссия в результате этого пересмотра. Между тем прокуратура склоняется к тому, чтобы учитывать упомянутые выше суждения и обстоятельства каждого о</w:t>
      </w:r>
      <w:r w:rsidRPr="00D46407">
        <w:rPr>
          <w:sz w:val="18"/>
          <w:szCs w:val="18"/>
        </w:rPr>
        <w:t>т</w:t>
      </w:r>
      <w:r w:rsidRPr="00D46407">
        <w:rPr>
          <w:sz w:val="18"/>
          <w:szCs w:val="18"/>
        </w:rPr>
        <w:t>дельного случая при назначении обвинительных приговоров по делам о половых пр</w:t>
      </w:r>
      <w:r w:rsidRPr="00D46407">
        <w:rPr>
          <w:sz w:val="18"/>
          <w:szCs w:val="18"/>
        </w:rPr>
        <w:t>е</w:t>
      </w:r>
      <w:r w:rsidRPr="00D46407">
        <w:rPr>
          <w:sz w:val="18"/>
          <w:szCs w:val="18"/>
        </w:rPr>
        <w:t>ступлениях.</w:t>
      </w:r>
    </w:p>
    <w:p w:rsidR="00F936A8" w:rsidRPr="00CB2C86" w:rsidRDefault="00F936A8" w:rsidP="00122DDF">
      <w:pPr>
        <w:pStyle w:val="HChGR"/>
        <w:tabs>
          <w:tab w:val="left" w:pos="1980"/>
        </w:tabs>
      </w:pPr>
      <w:r w:rsidRPr="00CB2C86">
        <w:br w:type="page"/>
        <w:t>Приложение 12</w:t>
      </w:r>
      <w:r w:rsidRPr="00CB2C86">
        <w:rPr>
          <w:lang w:val="en-GB"/>
        </w:rPr>
        <w:t>A</w:t>
      </w:r>
    </w:p>
    <w:p w:rsidR="00F936A8" w:rsidRPr="00CB2C86" w:rsidRDefault="00F936A8" w:rsidP="00122DDF">
      <w:pPr>
        <w:pStyle w:val="H1GR"/>
        <w:tabs>
          <w:tab w:val="left" w:pos="1980"/>
        </w:tabs>
      </w:pPr>
      <w:r w:rsidRPr="00CB2C86">
        <w:tab/>
      </w:r>
      <w:r w:rsidRPr="00CB2C86">
        <w:tab/>
        <w:t xml:space="preserve">Меры, принятые для уменьшения риска заражения людей </w:t>
      </w:r>
      <w:r>
        <w:br/>
      </w:r>
      <w:r w:rsidRPr="00CB2C86">
        <w:t>от домашней птицы</w:t>
      </w:r>
    </w:p>
    <w:p w:rsidR="00F936A8" w:rsidRPr="00CB2C86" w:rsidRDefault="00F936A8" w:rsidP="00122DDF">
      <w:pPr>
        <w:pStyle w:val="SingleTxtGR"/>
        <w:tabs>
          <w:tab w:val="left" w:pos="1980"/>
        </w:tabs>
      </w:pPr>
      <w:r w:rsidRPr="00CB2C86">
        <w:tab/>
        <w:t>Чтобы уменьшить риск передачи инфекции от домашней птицы людям, правительство принимает следующие меры:</w:t>
      </w:r>
    </w:p>
    <w:p w:rsidR="00F936A8" w:rsidRPr="00CB2C86" w:rsidRDefault="00F936A8" w:rsidP="00122DDF">
      <w:pPr>
        <w:pStyle w:val="Bullet1GR"/>
        <w:numPr>
          <w:ilvl w:val="0"/>
          <w:numId w:val="1"/>
        </w:numPr>
        <w:tabs>
          <w:tab w:val="left" w:pos="1980"/>
        </w:tabs>
      </w:pPr>
      <w:r w:rsidRPr="00CB2C86">
        <w:t xml:space="preserve">Вакцинация птицы на местных фермах и импортируемых домашних птиц </w:t>
      </w:r>
    </w:p>
    <w:p w:rsidR="00F936A8" w:rsidRPr="00CB2C86" w:rsidRDefault="00F936A8" w:rsidP="00122DDF">
      <w:pPr>
        <w:pStyle w:val="Bullet1GR"/>
        <w:numPr>
          <w:ilvl w:val="0"/>
          <w:numId w:val="1"/>
        </w:numPr>
        <w:tabs>
          <w:tab w:val="left" w:pos="1980"/>
        </w:tabs>
      </w:pPr>
      <w:r w:rsidRPr="00CB2C86">
        <w:t xml:space="preserve">Регулирование местных ферм, включая ужесточение мер </w:t>
      </w:r>
      <w:proofErr w:type="spellStart"/>
      <w:r w:rsidRPr="00CB2C86">
        <w:t>биобезопасн</w:t>
      </w:r>
      <w:r w:rsidRPr="00CB2C86">
        <w:t>о</w:t>
      </w:r>
      <w:r w:rsidRPr="00CB2C86">
        <w:t>сти</w:t>
      </w:r>
      <w:proofErr w:type="spellEnd"/>
      <w:r w:rsidRPr="00CB2C86">
        <w:t xml:space="preserve"> (н</w:t>
      </w:r>
      <w:r w:rsidRPr="00CB2C86">
        <w:t>а</w:t>
      </w:r>
      <w:r w:rsidRPr="00CB2C86">
        <w:t>пример, все фермы должны быть надежно защищены от контактов с остальн</w:t>
      </w:r>
      <w:r w:rsidRPr="00CB2C86">
        <w:t>ы</w:t>
      </w:r>
      <w:r w:rsidRPr="00CB2C86">
        <w:t xml:space="preserve">ми птицами) </w:t>
      </w:r>
    </w:p>
    <w:p w:rsidR="00F936A8" w:rsidRPr="00CB2C86" w:rsidRDefault="00F936A8" w:rsidP="00122DDF">
      <w:pPr>
        <w:pStyle w:val="Bullet1GR"/>
        <w:numPr>
          <w:ilvl w:val="0"/>
          <w:numId w:val="1"/>
        </w:numPr>
        <w:tabs>
          <w:tab w:val="left" w:pos="1980"/>
        </w:tabs>
      </w:pPr>
      <w:r w:rsidRPr="00CB2C86">
        <w:t>Контроль импорта (например, импортируемая птица должна импортир</w:t>
      </w:r>
      <w:r w:rsidRPr="00CB2C86">
        <w:t>о</w:t>
      </w:r>
      <w:r w:rsidRPr="00CB2C86">
        <w:t>ваться из зарегистрированных ферм и иметь санитарные сертификаты)</w:t>
      </w:r>
    </w:p>
    <w:p w:rsidR="00F936A8" w:rsidRPr="00CB2C86" w:rsidRDefault="00F936A8" w:rsidP="00122DDF">
      <w:pPr>
        <w:pStyle w:val="Bullet1GR"/>
        <w:numPr>
          <w:ilvl w:val="0"/>
          <w:numId w:val="1"/>
        </w:numPr>
        <w:tabs>
          <w:tab w:val="left" w:pos="1980"/>
        </w:tabs>
      </w:pPr>
      <w:r w:rsidRPr="00CB2C86">
        <w:t>Политика разделения (запрещается продавать водоплавающих птиц, к</w:t>
      </w:r>
      <w:r w:rsidRPr="00CB2C86">
        <w:t>о</w:t>
      </w:r>
      <w:r w:rsidRPr="00CB2C86">
        <w:t>торые являются естественными переносчиками вирусов птичьего гриппа (А</w:t>
      </w:r>
      <w:r w:rsidRPr="00CB2C86">
        <w:rPr>
          <w:lang w:val="en-US"/>
        </w:rPr>
        <w:t>I</w:t>
      </w:r>
      <w:r w:rsidRPr="00CB2C86">
        <w:t>), на предприятиях розничной торговли)</w:t>
      </w:r>
    </w:p>
    <w:p w:rsidR="00F936A8" w:rsidRPr="00CB2C86" w:rsidRDefault="00F936A8" w:rsidP="00122DDF">
      <w:pPr>
        <w:pStyle w:val="Bullet1GR"/>
        <w:numPr>
          <w:ilvl w:val="0"/>
          <w:numId w:val="1"/>
        </w:numPr>
        <w:tabs>
          <w:tab w:val="left" w:pos="1980"/>
        </w:tabs>
      </w:pPr>
      <w:r w:rsidRPr="00CB2C86">
        <w:t>Соблюдение гигиенических требований на оптовых рынках и предпр</w:t>
      </w:r>
      <w:r w:rsidRPr="00CB2C86">
        <w:t>и</w:t>
      </w:r>
      <w:r w:rsidRPr="00CB2C86">
        <w:t>ятиях розничной торговли</w:t>
      </w:r>
    </w:p>
    <w:p w:rsidR="00F936A8" w:rsidRPr="00CB2C86" w:rsidRDefault="00F936A8" w:rsidP="00122DDF">
      <w:pPr>
        <w:pStyle w:val="Bullet1GR"/>
        <w:numPr>
          <w:ilvl w:val="0"/>
          <w:numId w:val="1"/>
        </w:numPr>
        <w:tabs>
          <w:tab w:val="left" w:pos="1980"/>
        </w:tabs>
      </w:pPr>
      <w:r w:rsidRPr="00CB2C86">
        <w:t>Санитарный надзор за людьми, домашней птицей и дикими птицами с целью обеспечить своевременное обнаружение присутствия вирусов птичьего гриппа А</w:t>
      </w:r>
      <w:r w:rsidRPr="00CB2C86">
        <w:rPr>
          <w:lang w:val="en-US"/>
        </w:rPr>
        <w:t>I</w:t>
      </w:r>
      <w:r w:rsidRPr="00CB2C86">
        <w:t xml:space="preserve"> в окружающей среде</w:t>
      </w:r>
    </w:p>
    <w:p w:rsidR="00F936A8" w:rsidRPr="00CB2C86" w:rsidRDefault="00F936A8" w:rsidP="00122DDF">
      <w:pPr>
        <w:pStyle w:val="Bullet1GR"/>
        <w:numPr>
          <w:ilvl w:val="0"/>
          <w:numId w:val="1"/>
        </w:numPr>
        <w:tabs>
          <w:tab w:val="left" w:pos="1980"/>
        </w:tabs>
      </w:pPr>
      <w:r w:rsidRPr="00CB2C86">
        <w:t>Запрет на разведение домашней птицы на частных подворьях</w:t>
      </w:r>
    </w:p>
    <w:p w:rsidR="00F936A8" w:rsidRPr="00CB2C86" w:rsidRDefault="00F936A8" w:rsidP="00122DDF">
      <w:pPr>
        <w:pStyle w:val="Bullet1GR"/>
        <w:numPr>
          <w:ilvl w:val="0"/>
          <w:numId w:val="1"/>
        </w:numPr>
        <w:tabs>
          <w:tab w:val="left" w:pos="1980"/>
        </w:tabs>
      </w:pPr>
      <w:r w:rsidRPr="00CB2C86">
        <w:t>Запрет на ночное размещение живой домашней птицы во всех предпр</w:t>
      </w:r>
      <w:r w:rsidRPr="00CB2C86">
        <w:t>и</w:t>
      </w:r>
      <w:r w:rsidRPr="00CB2C86">
        <w:t>ятиях розничной торговли</w:t>
      </w:r>
    </w:p>
    <w:p w:rsidR="00F936A8" w:rsidRPr="00CB2C86" w:rsidRDefault="00F936A8" w:rsidP="00122DDF">
      <w:pPr>
        <w:pStyle w:val="Bullet1GR"/>
        <w:numPr>
          <w:ilvl w:val="0"/>
          <w:numId w:val="1"/>
        </w:numPr>
        <w:tabs>
          <w:tab w:val="left" w:pos="1980"/>
        </w:tabs>
      </w:pPr>
      <w:r w:rsidRPr="00CB2C86">
        <w:t>Внедрение в 2004</w:t>
      </w:r>
      <w:r>
        <w:t>−</w:t>
      </w:r>
      <w:r w:rsidRPr="00CB2C86">
        <w:t>2005</w:t>
      </w:r>
      <w:r w:rsidR="00B92291">
        <w:t> год</w:t>
      </w:r>
      <w:r w:rsidRPr="00CB2C86">
        <w:t>ах программы добровольной передачи и в 2008</w:t>
      </w:r>
      <w:r w:rsidR="00B92291">
        <w:t> год</w:t>
      </w:r>
      <w:r w:rsidRPr="00CB2C86">
        <w:t>у программы выкупа с целью существенно снизить количество торговцев живой птицей</w:t>
      </w:r>
    </w:p>
    <w:p w:rsidR="00F936A8" w:rsidRPr="00CB2C86" w:rsidRDefault="00F936A8" w:rsidP="00122DDF">
      <w:pPr>
        <w:pStyle w:val="HChGR"/>
        <w:tabs>
          <w:tab w:val="left" w:pos="1980"/>
        </w:tabs>
      </w:pPr>
      <w:r w:rsidRPr="00CB2C86">
        <w:br w:type="page"/>
        <w:t>Приложение 13</w:t>
      </w:r>
      <w:r w:rsidRPr="00CB2C86">
        <w:rPr>
          <w:lang w:val="en-GB"/>
        </w:rPr>
        <w:t>A</w:t>
      </w:r>
    </w:p>
    <w:p w:rsidR="00F936A8" w:rsidRPr="00CB2C86" w:rsidRDefault="00F936A8" w:rsidP="00122DDF">
      <w:pPr>
        <w:pStyle w:val="H1GR"/>
        <w:tabs>
          <w:tab w:val="left" w:pos="1980"/>
        </w:tabs>
      </w:pPr>
      <w:r w:rsidRPr="00CB2C86">
        <w:tab/>
      </w:r>
      <w:r w:rsidRPr="00CB2C86">
        <w:tab/>
        <w:t>Уровень образования в Гонконге</w:t>
      </w:r>
    </w:p>
    <w:tbl>
      <w:tblPr>
        <w:tblStyle w:val="TabNum"/>
        <w:tblW w:w="7370" w:type="dxa"/>
        <w:tblInd w:w="1134" w:type="dxa"/>
        <w:tblLayout w:type="fixed"/>
        <w:tblLook w:val="01E0" w:firstRow="1" w:lastRow="1" w:firstColumn="1" w:lastColumn="1" w:noHBand="0" w:noVBand="0"/>
      </w:tblPr>
      <w:tblGrid>
        <w:gridCol w:w="839"/>
        <w:gridCol w:w="1078"/>
        <w:gridCol w:w="507"/>
        <w:gridCol w:w="1113"/>
        <w:gridCol w:w="514"/>
        <w:gridCol w:w="1149"/>
        <w:gridCol w:w="513"/>
        <w:gridCol w:w="1152"/>
        <w:gridCol w:w="505"/>
      </w:tblGrid>
      <w:tr w:rsidR="00F936A8" w:rsidRPr="00D46407" w:rsidTr="00F936A8">
        <w:trPr>
          <w:tblHeader/>
        </w:trPr>
        <w:tc>
          <w:tcPr>
            <w:cnfStyle w:val="001000000000" w:firstRow="0" w:lastRow="0" w:firstColumn="1" w:lastColumn="0" w:oddVBand="0" w:evenVBand="0" w:oddHBand="0" w:evenHBand="0" w:firstRowFirstColumn="0" w:firstRowLastColumn="0" w:lastRowFirstColumn="0" w:lastRowLastColumn="0"/>
            <w:tcW w:w="840" w:type="dxa"/>
            <w:shd w:val="clear" w:color="auto" w:fill="auto"/>
          </w:tcPr>
          <w:p w:rsidR="00F936A8" w:rsidRPr="00D46407" w:rsidRDefault="00F936A8" w:rsidP="00122DDF">
            <w:pPr>
              <w:tabs>
                <w:tab w:val="left" w:pos="1980"/>
              </w:tabs>
              <w:spacing w:before="80" w:after="80" w:line="200" w:lineRule="exact"/>
              <w:jc w:val="center"/>
              <w:rPr>
                <w:i/>
                <w:sz w:val="16"/>
              </w:rPr>
            </w:pPr>
          </w:p>
        </w:tc>
        <w:tc>
          <w:tcPr>
            <w:tcW w:w="1585" w:type="dxa"/>
            <w:gridSpan w:val="2"/>
            <w:tcBorders>
              <w:top w:val="single" w:sz="4" w:space="0" w:color="auto"/>
              <w:bottom w:val="single" w:sz="4" w:space="0" w:color="auto"/>
            </w:tcBorders>
            <w:shd w:val="clear" w:color="auto" w:fill="auto"/>
          </w:tcPr>
          <w:p w:rsidR="00F936A8" w:rsidRPr="00D46407" w:rsidRDefault="00F936A8" w:rsidP="00122DDF">
            <w:pPr>
              <w:tabs>
                <w:tab w:val="left" w:pos="1980"/>
              </w:tabs>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D46407">
              <w:rPr>
                <w:i/>
                <w:sz w:val="16"/>
              </w:rPr>
              <w:t>Без образования/</w:t>
            </w:r>
            <w:r w:rsidRPr="00D46407">
              <w:rPr>
                <w:i/>
                <w:sz w:val="16"/>
              </w:rPr>
              <w:br/>
              <w:t>детский сад</w:t>
            </w:r>
          </w:p>
        </w:tc>
        <w:tc>
          <w:tcPr>
            <w:tcW w:w="1627" w:type="dxa"/>
            <w:gridSpan w:val="2"/>
            <w:tcBorders>
              <w:top w:val="single" w:sz="4" w:space="0" w:color="auto"/>
              <w:bottom w:val="single" w:sz="4" w:space="0" w:color="auto"/>
            </w:tcBorders>
            <w:shd w:val="clear" w:color="auto" w:fill="auto"/>
          </w:tcPr>
          <w:p w:rsidR="00F936A8" w:rsidRPr="00D46407" w:rsidRDefault="00F936A8" w:rsidP="00122DDF">
            <w:pPr>
              <w:tabs>
                <w:tab w:val="left" w:pos="1980"/>
              </w:tabs>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D46407">
              <w:rPr>
                <w:i/>
                <w:sz w:val="16"/>
              </w:rPr>
              <w:t>Начальное</w:t>
            </w:r>
          </w:p>
        </w:tc>
        <w:tc>
          <w:tcPr>
            <w:tcW w:w="1662" w:type="dxa"/>
            <w:gridSpan w:val="2"/>
            <w:tcBorders>
              <w:top w:val="single" w:sz="4" w:space="0" w:color="auto"/>
              <w:bottom w:val="single" w:sz="4" w:space="0" w:color="auto"/>
            </w:tcBorders>
            <w:shd w:val="clear" w:color="auto" w:fill="auto"/>
          </w:tcPr>
          <w:p w:rsidR="00F936A8" w:rsidRPr="00D46407" w:rsidRDefault="00F936A8" w:rsidP="00122DDF">
            <w:pPr>
              <w:tabs>
                <w:tab w:val="left" w:pos="1980"/>
              </w:tabs>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D46407">
              <w:rPr>
                <w:i/>
                <w:sz w:val="16"/>
              </w:rPr>
              <w:t>Среднее или вы</w:t>
            </w:r>
            <w:r w:rsidRPr="00D46407">
              <w:rPr>
                <w:i/>
                <w:sz w:val="16"/>
              </w:rPr>
              <w:t>с</w:t>
            </w:r>
            <w:r w:rsidRPr="00D46407">
              <w:rPr>
                <w:i/>
                <w:sz w:val="16"/>
              </w:rPr>
              <w:t>шее</w:t>
            </w:r>
          </w:p>
        </w:tc>
        <w:tc>
          <w:tcPr>
            <w:tcW w:w="1657" w:type="dxa"/>
            <w:gridSpan w:val="2"/>
            <w:tcBorders>
              <w:top w:val="single" w:sz="4" w:space="0" w:color="auto"/>
              <w:bottom w:val="single" w:sz="4" w:space="0" w:color="auto"/>
            </w:tcBorders>
            <w:shd w:val="clear" w:color="auto" w:fill="auto"/>
          </w:tcPr>
          <w:p w:rsidR="00F936A8" w:rsidRPr="00D46407" w:rsidRDefault="00F936A8" w:rsidP="00122DDF">
            <w:pPr>
              <w:tabs>
                <w:tab w:val="left" w:pos="1980"/>
              </w:tabs>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D46407">
              <w:rPr>
                <w:i/>
                <w:sz w:val="16"/>
              </w:rPr>
              <w:t>Всего</w:t>
            </w:r>
          </w:p>
        </w:tc>
      </w:tr>
      <w:tr w:rsidR="00F936A8" w:rsidRPr="00D46407" w:rsidTr="00F936A8">
        <w:trPr>
          <w:tblHeader/>
        </w:trPr>
        <w:tc>
          <w:tcPr>
            <w:cnfStyle w:val="001000000000" w:firstRow="0" w:lastRow="0" w:firstColumn="1" w:lastColumn="0" w:oddVBand="0" w:evenVBand="0" w:oddHBand="0" w:evenHBand="0" w:firstRowFirstColumn="0" w:firstRowLastColumn="0" w:lastRowFirstColumn="0" w:lastRowLastColumn="0"/>
            <w:tcW w:w="840" w:type="dxa"/>
            <w:tcBorders>
              <w:top w:val="nil"/>
            </w:tcBorders>
            <w:shd w:val="clear" w:color="auto" w:fill="auto"/>
          </w:tcPr>
          <w:p w:rsidR="00F936A8" w:rsidRPr="00D46407" w:rsidRDefault="00F936A8" w:rsidP="00122DDF">
            <w:pPr>
              <w:tabs>
                <w:tab w:val="left" w:pos="1980"/>
              </w:tabs>
              <w:spacing w:before="80" w:after="80" w:line="200" w:lineRule="exact"/>
              <w:jc w:val="center"/>
              <w:rPr>
                <w:i/>
                <w:sz w:val="16"/>
              </w:rPr>
            </w:pPr>
          </w:p>
        </w:tc>
        <w:tc>
          <w:tcPr>
            <w:tcW w:w="1585" w:type="dxa"/>
            <w:gridSpan w:val="2"/>
            <w:tcBorders>
              <w:top w:val="single" w:sz="4" w:space="0" w:color="auto"/>
              <w:bottom w:val="single" w:sz="4" w:space="0" w:color="auto"/>
            </w:tcBorders>
            <w:shd w:val="clear" w:color="auto" w:fill="auto"/>
          </w:tcPr>
          <w:p w:rsidR="00F936A8" w:rsidRPr="00E16088" w:rsidRDefault="00F936A8" w:rsidP="00122DDF">
            <w:pPr>
              <w:tabs>
                <w:tab w:val="left" w:pos="1980"/>
              </w:tabs>
              <w:spacing w:before="80" w:after="80" w:line="200" w:lineRule="exact"/>
              <w:jc w:val="center"/>
              <w:cnfStyle w:val="000000000000" w:firstRow="0" w:lastRow="0" w:firstColumn="0" w:lastColumn="0" w:oddVBand="0" w:evenVBand="0" w:oddHBand="0" w:evenHBand="0" w:firstRowFirstColumn="0" w:firstRowLastColumn="0" w:lastRowFirstColumn="0" w:lastRowLastColumn="0"/>
              <w:rPr>
                <w:sz w:val="16"/>
              </w:rPr>
            </w:pPr>
            <w:r w:rsidRPr="00E16088">
              <w:rPr>
                <w:sz w:val="16"/>
              </w:rPr>
              <w:t>(1)</w:t>
            </w:r>
          </w:p>
        </w:tc>
        <w:tc>
          <w:tcPr>
            <w:tcW w:w="1627" w:type="dxa"/>
            <w:gridSpan w:val="2"/>
            <w:tcBorders>
              <w:top w:val="single" w:sz="4" w:space="0" w:color="auto"/>
              <w:bottom w:val="single" w:sz="4" w:space="0" w:color="auto"/>
            </w:tcBorders>
            <w:shd w:val="clear" w:color="auto" w:fill="auto"/>
          </w:tcPr>
          <w:p w:rsidR="00F936A8" w:rsidRPr="00E16088" w:rsidRDefault="00F936A8" w:rsidP="00122DDF">
            <w:pPr>
              <w:tabs>
                <w:tab w:val="left" w:pos="1980"/>
              </w:tabs>
              <w:spacing w:before="80" w:after="80" w:line="200" w:lineRule="exact"/>
              <w:jc w:val="center"/>
              <w:cnfStyle w:val="000000000000" w:firstRow="0" w:lastRow="0" w:firstColumn="0" w:lastColumn="0" w:oddVBand="0" w:evenVBand="0" w:oddHBand="0" w:evenHBand="0" w:firstRowFirstColumn="0" w:firstRowLastColumn="0" w:lastRowFirstColumn="0" w:lastRowLastColumn="0"/>
              <w:rPr>
                <w:sz w:val="16"/>
              </w:rPr>
            </w:pPr>
            <w:r w:rsidRPr="00E16088">
              <w:rPr>
                <w:sz w:val="16"/>
              </w:rPr>
              <w:t>(2)</w:t>
            </w:r>
          </w:p>
        </w:tc>
        <w:tc>
          <w:tcPr>
            <w:tcW w:w="1149" w:type="dxa"/>
            <w:tcBorders>
              <w:top w:val="single" w:sz="4" w:space="0" w:color="auto"/>
              <w:bottom w:val="single" w:sz="4" w:space="0" w:color="auto"/>
            </w:tcBorders>
            <w:shd w:val="clear" w:color="auto" w:fill="auto"/>
          </w:tcPr>
          <w:p w:rsidR="00F936A8" w:rsidRPr="00D46407" w:rsidRDefault="00F936A8" w:rsidP="00122DDF">
            <w:pPr>
              <w:tabs>
                <w:tab w:val="left" w:pos="1980"/>
              </w:tabs>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p>
        </w:tc>
        <w:tc>
          <w:tcPr>
            <w:tcW w:w="513" w:type="dxa"/>
            <w:tcBorders>
              <w:top w:val="single" w:sz="4" w:space="0" w:color="auto"/>
              <w:bottom w:val="single" w:sz="4" w:space="0" w:color="auto"/>
            </w:tcBorders>
            <w:shd w:val="clear" w:color="auto" w:fill="auto"/>
          </w:tcPr>
          <w:p w:rsidR="00F936A8" w:rsidRPr="00D46407" w:rsidRDefault="00F936A8" w:rsidP="00122DDF">
            <w:pPr>
              <w:tabs>
                <w:tab w:val="left" w:pos="1980"/>
              </w:tabs>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p>
        </w:tc>
        <w:tc>
          <w:tcPr>
            <w:tcW w:w="1152" w:type="dxa"/>
            <w:tcBorders>
              <w:top w:val="single" w:sz="4" w:space="0" w:color="auto"/>
              <w:bottom w:val="single" w:sz="4" w:space="0" w:color="auto"/>
            </w:tcBorders>
            <w:shd w:val="clear" w:color="auto" w:fill="auto"/>
          </w:tcPr>
          <w:p w:rsidR="00F936A8" w:rsidRPr="00D46407" w:rsidRDefault="00F936A8" w:rsidP="00122DDF">
            <w:pPr>
              <w:tabs>
                <w:tab w:val="left" w:pos="1980"/>
              </w:tabs>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p>
        </w:tc>
        <w:tc>
          <w:tcPr>
            <w:tcW w:w="505" w:type="dxa"/>
            <w:tcBorders>
              <w:top w:val="single" w:sz="4" w:space="0" w:color="auto"/>
              <w:bottom w:val="single" w:sz="4" w:space="0" w:color="auto"/>
            </w:tcBorders>
            <w:shd w:val="clear" w:color="auto" w:fill="auto"/>
          </w:tcPr>
          <w:p w:rsidR="00F936A8" w:rsidRPr="00D46407" w:rsidRDefault="00F936A8" w:rsidP="00122DDF">
            <w:pPr>
              <w:tabs>
                <w:tab w:val="left" w:pos="1980"/>
              </w:tabs>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p>
        </w:tc>
      </w:tr>
      <w:tr w:rsidR="00F936A8" w:rsidRPr="00D46407" w:rsidTr="00F936A8">
        <w:trPr>
          <w:tblHeader/>
        </w:trPr>
        <w:tc>
          <w:tcPr>
            <w:cnfStyle w:val="001000000000" w:firstRow="0" w:lastRow="0" w:firstColumn="1" w:lastColumn="0" w:oddVBand="0" w:evenVBand="0" w:oddHBand="0" w:evenHBand="0" w:firstRowFirstColumn="0" w:firstRowLastColumn="0" w:lastRowFirstColumn="0" w:lastRowLastColumn="0"/>
            <w:tcW w:w="840" w:type="dxa"/>
            <w:tcBorders>
              <w:top w:val="nil"/>
              <w:bottom w:val="single" w:sz="12" w:space="0" w:color="auto"/>
            </w:tcBorders>
            <w:shd w:val="clear" w:color="auto" w:fill="auto"/>
          </w:tcPr>
          <w:p w:rsidR="00F936A8" w:rsidRPr="00D46407" w:rsidRDefault="00F936A8" w:rsidP="00122DDF">
            <w:pPr>
              <w:tabs>
                <w:tab w:val="left" w:pos="1980"/>
              </w:tabs>
              <w:spacing w:before="80" w:after="80" w:line="200" w:lineRule="exact"/>
              <w:rPr>
                <w:i/>
                <w:sz w:val="16"/>
              </w:rPr>
            </w:pPr>
            <w:r w:rsidRPr="00D46407">
              <w:rPr>
                <w:i/>
                <w:sz w:val="16"/>
              </w:rPr>
              <w:t>Год</w:t>
            </w:r>
          </w:p>
        </w:tc>
        <w:tc>
          <w:tcPr>
            <w:tcW w:w="1078" w:type="dxa"/>
            <w:tcBorders>
              <w:top w:val="single" w:sz="4" w:space="0" w:color="auto"/>
              <w:bottom w:val="single" w:sz="12" w:space="0" w:color="auto"/>
            </w:tcBorders>
            <w:shd w:val="clear" w:color="auto" w:fill="auto"/>
          </w:tcPr>
          <w:p w:rsidR="00F936A8" w:rsidRPr="00D46407"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D46407">
              <w:rPr>
                <w:i/>
                <w:sz w:val="16"/>
              </w:rPr>
              <w:t>Кол-во</w:t>
            </w:r>
          </w:p>
        </w:tc>
        <w:tc>
          <w:tcPr>
            <w:tcW w:w="507" w:type="dxa"/>
            <w:tcBorders>
              <w:top w:val="single" w:sz="4" w:space="0" w:color="auto"/>
              <w:bottom w:val="single" w:sz="12" w:space="0" w:color="auto"/>
            </w:tcBorders>
            <w:shd w:val="clear" w:color="auto" w:fill="auto"/>
          </w:tcPr>
          <w:p w:rsidR="00F936A8" w:rsidRPr="00D46407"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D46407">
              <w:rPr>
                <w:i/>
                <w:sz w:val="16"/>
              </w:rPr>
              <w:t>(%)</w:t>
            </w:r>
          </w:p>
        </w:tc>
        <w:tc>
          <w:tcPr>
            <w:tcW w:w="1113" w:type="dxa"/>
            <w:tcBorders>
              <w:top w:val="single" w:sz="4" w:space="0" w:color="auto"/>
              <w:bottom w:val="single" w:sz="12" w:space="0" w:color="auto"/>
            </w:tcBorders>
            <w:shd w:val="clear" w:color="auto" w:fill="auto"/>
          </w:tcPr>
          <w:p w:rsidR="00F936A8" w:rsidRPr="00D46407"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D46407">
              <w:rPr>
                <w:i/>
                <w:sz w:val="16"/>
              </w:rPr>
              <w:t>Кол-во</w:t>
            </w:r>
          </w:p>
        </w:tc>
        <w:tc>
          <w:tcPr>
            <w:tcW w:w="514" w:type="dxa"/>
            <w:tcBorders>
              <w:top w:val="single" w:sz="4" w:space="0" w:color="auto"/>
              <w:bottom w:val="single" w:sz="12" w:space="0" w:color="auto"/>
            </w:tcBorders>
            <w:shd w:val="clear" w:color="auto" w:fill="auto"/>
          </w:tcPr>
          <w:p w:rsidR="00F936A8" w:rsidRPr="00D46407"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D46407">
              <w:rPr>
                <w:i/>
                <w:sz w:val="16"/>
              </w:rPr>
              <w:t>(%)</w:t>
            </w:r>
          </w:p>
        </w:tc>
        <w:tc>
          <w:tcPr>
            <w:tcW w:w="1149" w:type="dxa"/>
            <w:tcBorders>
              <w:top w:val="single" w:sz="4" w:space="0" w:color="auto"/>
              <w:bottom w:val="single" w:sz="12" w:space="0" w:color="auto"/>
            </w:tcBorders>
            <w:shd w:val="clear" w:color="auto" w:fill="auto"/>
          </w:tcPr>
          <w:p w:rsidR="00F936A8" w:rsidRPr="00D46407"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D46407">
              <w:rPr>
                <w:i/>
                <w:sz w:val="16"/>
              </w:rPr>
              <w:t>Кол-во</w:t>
            </w:r>
          </w:p>
        </w:tc>
        <w:tc>
          <w:tcPr>
            <w:tcW w:w="513" w:type="dxa"/>
            <w:tcBorders>
              <w:top w:val="single" w:sz="4" w:space="0" w:color="auto"/>
              <w:bottom w:val="single" w:sz="12" w:space="0" w:color="auto"/>
            </w:tcBorders>
            <w:shd w:val="clear" w:color="auto" w:fill="auto"/>
          </w:tcPr>
          <w:p w:rsidR="00F936A8" w:rsidRPr="00D46407"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D46407">
              <w:rPr>
                <w:i/>
                <w:sz w:val="16"/>
              </w:rPr>
              <w:t>(%)</w:t>
            </w:r>
          </w:p>
        </w:tc>
        <w:tc>
          <w:tcPr>
            <w:tcW w:w="1152" w:type="dxa"/>
            <w:tcBorders>
              <w:top w:val="single" w:sz="4" w:space="0" w:color="auto"/>
              <w:bottom w:val="single" w:sz="12" w:space="0" w:color="auto"/>
            </w:tcBorders>
            <w:shd w:val="clear" w:color="auto" w:fill="auto"/>
          </w:tcPr>
          <w:p w:rsidR="00F936A8" w:rsidRPr="00D46407"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D46407">
              <w:rPr>
                <w:i/>
                <w:sz w:val="16"/>
              </w:rPr>
              <w:t>Кол-во</w:t>
            </w:r>
          </w:p>
        </w:tc>
        <w:tc>
          <w:tcPr>
            <w:tcW w:w="505" w:type="dxa"/>
            <w:tcBorders>
              <w:top w:val="single" w:sz="4" w:space="0" w:color="auto"/>
              <w:bottom w:val="single" w:sz="12" w:space="0" w:color="auto"/>
            </w:tcBorders>
            <w:shd w:val="clear" w:color="auto" w:fill="auto"/>
          </w:tcPr>
          <w:p w:rsidR="00F936A8" w:rsidRPr="00D46407" w:rsidRDefault="00F936A8" w:rsidP="00122DDF">
            <w:pPr>
              <w:tabs>
                <w:tab w:val="left" w:pos="1980"/>
              </w:tabs>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D46407">
              <w:rPr>
                <w:i/>
                <w:sz w:val="16"/>
              </w:rPr>
              <w:t>(%)</w:t>
            </w:r>
          </w:p>
        </w:tc>
      </w:tr>
      <w:tr w:rsidR="00F936A8" w:rsidRPr="00D46407" w:rsidTr="00F936A8">
        <w:tc>
          <w:tcPr>
            <w:cnfStyle w:val="001000000000" w:firstRow="0" w:lastRow="0" w:firstColumn="1" w:lastColumn="0" w:oddVBand="0" w:evenVBand="0" w:oddHBand="0" w:evenHBand="0" w:firstRowFirstColumn="0" w:firstRowLastColumn="0" w:lastRowFirstColumn="0" w:lastRowLastColumn="0"/>
            <w:tcW w:w="840" w:type="dxa"/>
            <w:tcBorders>
              <w:top w:val="single" w:sz="12" w:space="0" w:color="auto"/>
            </w:tcBorders>
          </w:tcPr>
          <w:p w:rsidR="00F936A8" w:rsidRPr="00D46407" w:rsidRDefault="00F936A8" w:rsidP="00122DDF">
            <w:pPr>
              <w:tabs>
                <w:tab w:val="left" w:pos="1980"/>
              </w:tabs>
            </w:pPr>
            <w:r w:rsidRPr="00D46407">
              <w:t>1981</w:t>
            </w:r>
          </w:p>
        </w:tc>
        <w:tc>
          <w:tcPr>
            <w:tcW w:w="1078" w:type="dxa"/>
            <w:tcBorders>
              <w:top w:val="single" w:sz="12" w:space="0" w:color="auto"/>
            </w:tcBorders>
          </w:tcPr>
          <w:p w:rsidR="00F936A8" w:rsidRPr="00D46407"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D46407">
              <w:t>1 101 279</w:t>
            </w:r>
          </w:p>
        </w:tc>
        <w:tc>
          <w:tcPr>
            <w:tcW w:w="507" w:type="dxa"/>
            <w:tcBorders>
              <w:top w:val="single" w:sz="12" w:space="0" w:color="auto"/>
            </w:tcBorders>
          </w:tcPr>
          <w:p w:rsidR="00F936A8" w:rsidRPr="00D46407"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D46407">
              <w:t>22</w:t>
            </w:r>
          </w:p>
        </w:tc>
        <w:tc>
          <w:tcPr>
            <w:tcW w:w="1113" w:type="dxa"/>
            <w:tcBorders>
              <w:top w:val="single" w:sz="12" w:space="0" w:color="auto"/>
            </w:tcBorders>
          </w:tcPr>
          <w:p w:rsidR="00F936A8" w:rsidRPr="00D46407"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D46407">
              <w:t>1 831 133</w:t>
            </w:r>
          </w:p>
        </w:tc>
        <w:tc>
          <w:tcPr>
            <w:tcW w:w="514" w:type="dxa"/>
            <w:tcBorders>
              <w:top w:val="single" w:sz="12" w:space="0" w:color="auto"/>
            </w:tcBorders>
          </w:tcPr>
          <w:p w:rsidR="00F936A8" w:rsidRPr="00D46407"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D46407">
              <w:t>37</w:t>
            </w:r>
          </w:p>
        </w:tc>
        <w:tc>
          <w:tcPr>
            <w:tcW w:w="1149" w:type="dxa"/>
            <w:tcBorders>
              <w:top w:val="single" w:sz="12" w:space="0" w:color="auto"/>
            </w:tcBorders>
          </w:tcPr>
          <w:p w:rsidR="00F936A8" w:rsidRPr="00D46407"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D46407">
              <w:t>2 054 148</w:t>
            </w:r>
          </w:p>
        </w:tc>
        <w:tc>
          <w:tcPr>
            <w:tcW w:w="513" w:type="dxa"/>
            <w:tcBorders>
              <w:top w:val="single" w:sz="12" w:space="0" w:color="auto"/>
            </w:tcBorders>
          </w:tcPr>
          <w:p w:rsidR="00F936A8" w:rsidRPr="00D46407"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D46407">
              <w:t>41</w:t>
            </w:r>
          </w:p>
        </w:tc>
        <w:tc>
          <w:tcPr>
            <w:tcW w:w="1152" w:type="dxa"/>
            <w:tcBorders>
              <w:top w:val="single" w:sz="12" w:space="0" w:color="auto"/>
            </w:tcBorders>
          </w:tcPr>
          <w:p w:rsidR="00F936A8" w:rsidRPr="00D46407"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D46407">
              <w:t>4 986 560</w:t>
            </w:r>
          </w:p>
        </w:tc>
        <w:tc>
          <w:tcPr>
            <w:tcW w:w="505" w:type="dxa"/>
            <w:tcBorders>
              <w:top w:val="single" w:sz="12" w:space="0" w:color="auto"/>
            </w:tcBorders>
          </w:tcPr>
          <w:p w:rsidR="00F936A8" w:rsidRPr="00D46407"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D46407">
              <w:t>100</w:t>
            </w:r>
          </w:p>
        </w:tc>
      </w:tr>
      <w:tr w:rsidR="00F936A8" w:rsidRPr="00D46407" w:rsidTr="00F936A8">
        <w:tc>
          <w:tcPr>
            <w:cnfStyle w:val="001000000000" w:firstRow="0" w:lastRow="0" w:firstColumn="1" w:lastColumn="0" w:oddVBand="0" w:evenVBand="0" w:oddHBand="0" w:evenHBand="0" w:firstRowFirstColumn="0" w:firstRowLastColumn="0" w:lastRowFirstColumn="0" w:lastRowLastColumn="0"/>
            <w:tcW w:w="840" w:type="dxa"/>
          </w:tcPr>
          <w:p w:rsidR="00F936A8" w:rsidRPr="00D46407" w:rsidRDefault="00F936A8" w:rsidP="00122DDF">
            <w:pPr>
              <w:tabs>
                <w:tab w:val="left" w:pos="1980"/>
              </w:tabs>
            </w:pPr>
            <w:r w:rsidRPr="00D46407">
              <w:t>1986</w:t>
            </w:r>
          </w:p>
        </w:tc>
        <w:tc>
          <w:tcPr>
            <w:tcW w:w="1078" w:type="dxa"/>
          </w:tcPr>
          <w:p w:rsidR="00F936A8" w:rsidRPr="00D46407"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D46407">
              <w:t>1 085 636</w:t>
            </w:r>
          </w:p>
        </w:tc>
        <w:tc>
          <w:tcPr>
            <w:tcW w:w="507" w:type="dxa"/>
          </w:tcPr>
          <w:p w:rsidR="00F936A8" w:rsidRPr="00D46407"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D46407">
              <w:t>20</w:t>
            </w:r>
          </w:p>
        </w:tc>
        <w:tc>
          <w:tcPr>
            <w:tcW w:w="1113" w:type="dxa"/>
          </w:tcPr>
          <w:p w:rsidR="00F936A8" w:rsidRPr="00D46407"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D46407">
              <w:t>1 760 779</w:t>
            </w:r>
          </w:p>
        </w:tc>
        <w:tc>
          <w:tcPr>
            <w:tcW w:w="514" w:type="dxa"/>
          </w:tcPr>
          <w:p w:rsidR="00F936A8" w:rsidRPr="00D46407"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D46407">
              <w:t>33</w:t>
            </w:r>
          </w:p>
        </w:tc>
        <w:tc>
          <w:tcPr>
            <w:tcW w:w="1149" w:type="dxa"/>
          </w:tcPr>
          <w:p w:rsidR="00F936A8" w:rsidRPr="00D46407"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D46407">
              <w:t>2 549 582</w:t>
            </w:r>
          </w:p>
        </w:tc>
        <w:tc>
          <w:tcPr>
            <w:tcW w:w="513" w:type="dxa"/>
          </w:tcPr>
          <w:p w:rsidR="00F936A8" w:rsidRPr="00D46407"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D46407">
              <w:t>47</w:t>
            </w:r>
          </w:p>
        </w:tc>
        <w:tc>
          <w:tcPr>
            <w:tcW w:w="1152" w:type="dxa"/>
          </w:tcPr>
          <w:p w:rsidR="00F936A8" w:rsidRPr="00D46407"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D46407">
              <w:t>5 395 997</w:t>
            </w:r>
          </w:p>
        </w:tc>
        <w:tc>
          <w:tcPr>
            <w:tcW w:w="505" w:type="dxa"/>
          </w:tcPr>
          <w:p w:rsidR="00F936A8" w:rsidRPr="00D46407"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D46407">
              <w:t>100</w:t>
            </w:r>
          </w:p>
        </w:tc>
      </w:tr>
      <w:tr w:rsidR="00F936A8" w:rsidRPr="00D46407" w:rsidTr="00F936A8">
        <w:tc>
          <w:tcPr>
            <w:cnfStyle w:val="001000000000" w:firstRow="0" w:lastRow="0" w:firstColumn="1" w:lastColumn="0" w:oddVBand="0" w:evenVBand="0" w:oddHBand="0" w:evenHBand="0" w:firstRowFirstColumn="0" w:firstRowLastColumn="0" w:lastRowFirstColumn="0" w:lastRowLastColumn="0"/>
            <w:tcW w:w="840" w:type="dxa"/>
          </w:tcPr>
          <w:p w:rsidR="00F936A8" w:rsidRPr="00D46407" w:rsidRDefault="00F936A8" w:rsidP="00122DDF">
            <w:pPr>
              <w:tabs>
                <w:tab w:val="left" w:pos="1980"/>
              </w:tabs>
            </w:pPr>
            <w:r w:rsidRPr="00D46407">
              <w:t>1991</w:t>
            </w:r>
          </w:p>
        </w:tc>
        <w:tc>
          <w:tcPr>
            <w:tcW w:w="1078" w:type="dxa"/>
          </w:tcPr>
          <w:p w:rsidR="00F936A8" w:rsidRPr="00D46407"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D46407">
              <w:t>985 582</w:t>
            </w:r>
          </w:p>
        </w:tc>
        <w:tc>
          <w:tcPr>
            <w:tcW w:w="507" w:type="dxa"/>
          </w:tcPr>
          <w:p w:rsidR="00F936A8" w:rsidRPr="00D46407"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D46407">
              <w:t>18</w:t>
            </w:r>
          </w:p>
        </w:tc>
        <w:tc>
          <w:tcPr>
            <w:tcW w:w="1113" w:type="dxa"/>
          </w:tcPr>
          <w:p w:rsidR="00F936A8" w:rsidRPr="00D46407"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D46407">
              <w:t>1 623 046</w:t>
            </w:r>
          </w:p>
        </w:tc>
        <w:tc>
          <w:tcPr>
            <w:tcW w:w="514" w:type="dxa"/>
          </w:tcPr>
          <w:p w:rsidR="00F936A8" w:rsidRPr="00D46407"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D46407">
              <w:t>29</w:t>
            </w:r>
          </w:p>
        </w:tc>
        <w:tc>
          <w:tcPr>
            <w:tcW w:w="1149" w:type="dxa"/>
          </w:tcPr>
          <w:p w:rsidR="00F936A8" w:rsidRPr="00D46407"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D46407">
              <w:t>2 913 653</w:t>
            </w:r>
          </w:p>
        </w:tc>
        <w:tc>
          <w:tcPr>
            <w:tcW w:w="513" w:type="dxa"/>
          </w:tcPr>
          <w:p w:rsidR="00F936A8" w:rsidRPr="00D46407"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D46407">
              <w:t>53</w:t>
            </w:r>
          </w:p>
        </w:tc>
        <w:tc>
          <w:tcPr>
            <w:tcW w:w="1152" w:type="dxa"/>
          </w:tcPr>
          <w:p w:rsidR="00F936A8" w:rsidRPr="00D46407"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D46407">
              <w:t>5 522 281</w:t>
            </w:r>
          </w:p>
        </w:tc>
        <w:tc>
          <w:tcPr>
            <w:tcW w:w="505" w:type="dxa"/>
          </w:tcPr>
          <w:p w:rsidR="00F936A8" w:rsidRPr="00D46407"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D46407">
              <w:t>100</w:t>
            </w:r>
          </w:p>
        </w:tc>
      </w:tr>
      <w:tr w:rsidR="00F936A8" w:rsidRPr="00D46407" w:rsidTr="00F936A8">
        <w:tc>
          <w:tcPr>
            <w:cnfStyle w:val="001000000000" w:firstRow="0" w:lastRow="0" w:firstColumn="1" w:lastColumn="0" w:oddVBand="0" w:evenVBand="0" w:oddHBand="0" w:evenHBand="0" w:firstRowFirstColumn="0" w:firstRowLastColumn="0" w:lastRowFirstColumn="0" w:lastRowLastColumn="0"/>
            <w:tcW w:w="840" w:type="dxa"/>
          </w:tcPr>
          <w:p w:rsidR="00F936A8" w:rsidRPr="00D46407" w:rsidRDefault="00F936A8" w:rsidP="00122DDF">
            <w:pPr>
              <w:tabs>
                <w:tab w:val="left" w:pos="1980"/>
              </w:tabs>
            </w:pPr>
            <w:r w:rsidRPr="00D46407">
              <w:t>1996</w:t>
            </w:r>
          </w:p>
        </w:tc>
        <w:tc>
          <w:tcPr>
            <w:tcW w:w="1078" w:type="dxa"/>
          </w:tcPr>
          <w:p w:rsidR="00F936A8" w:rsidRPr="00D46407"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D46407">
              <w:t>910 116</w:t>
            </w:r>
          </w:p>
        </w:tc>
        <w:tc>
          <w:tcPr>
            <w:tcW w:w="507" w:type="dxa"/>
          </w:tcPr>
          <w:p w:rsidR="00F936A8" w:rsidRPr="00D46407"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D46407">
              <w:t>15</w:t>
            </w:r>
          </w:p>
        </w:tc>
        <w:tc>
          <w:tcPr>
            <w:tcW w:w="1113" w:type="dxa"/>
          </w:tcPr>
          <w:p w:rsidR="00F936A8" w:rsidRPr="00D46407"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D46407">
              <w:t>1 638 975</w:t>
            </w:r>
          </w:p>
        </w:tc>
        <w:tc>
          <w:tcPr>
            <w:tcW w:w="514" w:type="dxa"/>
          </w:tcPr>
          <w:p w:rsidR="00F936A8" w:rsidRPr="00D46407"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D46407">
              <w:t>26</w:t>
            </w:r>
          </w:p>
        </w:tc>
        <w:tc>
          <w:tcPr>
            <w:tcW w:w="1149" w:type="dxa"/>
          </w:tcPr>
          <w:p w:rsidR="00F936A8" w:rsidRPr="00D46407"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D46407">
              <w:t>3 668 465</w:t>
            </w:r>
          </w:p>
        </w:tc>
        <w:tc>
          <w:tcPr>
            <w:tcW w:w="513" w:type="dxa"/>
          </w:tcPr>
          <w:p w:rsidR="00F936A8" w:rsidRPr="00D46407"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D46407">
              <w:t>59</w:t>
            </w:r>
          </w:p>
        </w:tc>
        <w:tc>
          <w:tcPr>
            <w:tcW w:w="1152" w:type="dxa"/>
          </w:tcPr>
          <w:p w:rsidR="00F936A8" w:rsidRPr="00D46407"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D46407">
              <w:t>6 217 556</w:t>
            </w:r>
          </w:p>
        </w:tc>
        <w:tc>
          <w:tcPr>
            <w:tcW w:w="505" w:type="dxa"/>
          </w:tcPr>
          <w:p w:rsidR="00F936A8" w:rsidRPr="00D46407"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D46407">
              <w:t>100</w:t>
            </w:r>
          </w:p>
        </w:tc>
      </w:tr>
      <w:tr w:rsidR="00F936A8" w:rsidRPr="00D46407" w:rsidTr="00F936A8">
        <w:tc>
          <w:tcPr>
            <w:cnfStyle w:val="001000000000" w:firstRow="0" w:lastRow="0" w:firstColumn="1" w:lastColumn="0" w:oddVBand="0" w:evenVBand="0" w:oddHBand="0" w:evenHBand="0" w:firstRowFirstColumn="0" w:firstRowLastColumn="0" w:lastRowFirstColumn="0" w:lastRowLastColumn="0"/>
            <w:tcW w:w="840" w:type="dxa"/>
          </w:tcPr>
          <w:p w:rsidR="00F936A8" w:rsidRPr="00D46407" w:rsidRDefault="00F936A8" w:rsidP="00122DDF">
            <w:pPr>
              <w:tabs>
                <w:tab w:val="left" w:pos="1980"/>
              </w:tabs>
            </w:pPr>
            <w:r w:rsidRPr="00D46407">
              <w:t>2001</w:t>
            </w:r>
          </w:p>
        </w:tc>
        <w:tc>
          <w:tcPr>
            <w:tcW w:w="1078" w:type="dxa"/>
          </w:tcPr>
          <w:p w:rsidR="00F936A8" w:rsidRPr="00D46407"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D46407">
              <w:t>845 831</w:t>
            </w:r>
          </w:p>
        </w:tc>
        <w:tc>
          <w:tcPr>
            <w:tcW w:w="507" w:type="dxa"/>
          </w:tcPr>
          <w:p w:rsidR="00F936A8" w:rsidRPr="00D46407"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D46407">
              <w:t>13</w:t>
            </w:r>
          </w:p>
        </w:tc>
        <w:tc>
          <w:tcPr>
            <w:tcW w:w="1113" w:type="dxa"/>
          </w:tcPr>
          <w:p w:rsidR="00F936A8" w:rsidRPr="00D46407"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D46407">
              <w:t>1 671 836</w:t>
            </w:r>
          </w:p>
        </w:tc>
        <w:tc>
          <w:tcPr>
            <w:tcW w:w="514" w:type="dxa"/>
          </w:tcPr>
          <w:p w:rsidR="00F936A8" w:rsidRPr="00D46407"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D46407">
              <w:t>25</w:t>
            </w:r>
          </w:p>
        </w:tc>
        <w:tc>
          <w:tcPr>
            <w:tcW w:w="1149" w:type="dxa"/>
          </w:tcPr>
          <w:p w:rsidR="00F936A8" w:rsidRPr="00D46407"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D46407">
              <w:t>4 190 722</w:t>
            </w:r>
          </w:p>
        </w:tc>
        <w:tc>
          <w:tcPr>
            <w:tcW w:w="513" w:type="dxa"/>
          </w:tcPr>
          <w:p w:rsidR="00F936A8" w:rsidRPr="00D46407"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D46407">
              <w:t>62</w:t>
            </w:r>
          </w:p>
        </w:tc>
        <w:tc>
          <w:tcPr>
            <w:tcW w:w="1152" w:type="dxa"/>
          </w:tcPr>
          <w:p w:rsidR="00F936A8" w:rsidRPr="00D46407"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D46407">
              <w:t>6 708 389</w:t>
            </w:r>
          </w:p>
        </w:tc>
        <w:tc>
          <w:tcPr>
            <w:tcW w:w="505" w:type="dxa"/>
          </w:tcPr>
          <w:p w:rsidR="00F936A8" w:rsidRPr="00D46407"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D46407">
              <w:t>100</w:t>
            </w:r>
          </w:p>
        </w:tc>
      </w:tr>
      <w:tr w:rsidR="00F936A8" w:rsidRPr="00D46407" w:rsidTr="00F936A8">
        <w:tc>
          <w:tcPr>
            <w:cnfStyle w:val="001000000000" w:firstRow="0" w:lastRow="0" w:firstColumn="1" w:lastColumn="0" w:oddVBand="0" w:evenVBand="0" w:oddHBand="0" w:evenHBand="0" w:firstRowFirstColumn="0" w:firstRowLastColumn="0" w:lastRowFirstColumn="0" w:lastRowLastColumn="0"/>
            <w:tcW w:w="840" w:type="dxa"/>
          </w:tcPr>
          <w:p w:rsidR="00F936A8" w:rsidRPr="00D46407" w:rsidRDefault="00F936A8" w:rsidP="00122DDF">
            <w:pPr>
              <w:tabs>
                <w:tab w:val="left" w:pos="1980"/>
              </w:tabs>
            </w:pPr>
            <w:r w:rsidRPr="00D46407">
              <w:t>2006</w:t>
            </w:r>
          </w:p>
        </w:tc>
        <w:tc>
          <w:tcPr>
            <w:tcW w:w="1078" w:type="dxa"/>
          </w:tcPr>
          <w:p w:rsidR="00F936A8" w:rsidRPr="00D46407"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D46407">
              <w:t>719 521</w:t>
            </w:r>
          </w:p>
        </w:tc>
        <w:tc>
          <w:tcPr>
            <w:tcW w:w="507" w:type="dxa"/>
          </w:tcPr>
          <w:p w:rsidR="00F936A8" w:rsidRPr="00D46407"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D46407">
              <w:t>11</w:t>
            </w:r>
          </w:p>
        </w:tc>
        <w:tc>
          <w:tcPr>
            <w:tcW w:w="1113" w:type="dxa"/>
          </w:tcPr>
          <w:p w:rsidR="00F936A8" w:rsidRPr="00D46407"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D46407">
              <w:t>1 531 340</w:t>
            </w:r>
          </w:p>
        </w:tc>
        <w:tc>
          <w:tcPr>
            <w:tcW w:w="514" w:type="dxa"/>
          </w:tcPr>
          <w:p w:rsidR="00F936A8" w:rsidRPr="00D46407"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D46407">
              <w:t>22</w:t>
            </w:r>
          </w:p>
        </w:tc>
        <w:tc>
          <w:tcPr>
            <w:tcW w:w="1149" w:type="dxa"/>
          </w:tcPr>
          <w:p w:rsidR="00F936A8" w:rsidRPr="00D46407"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D46407">
              <w:t>4 613 485</w:t>
            </w:r>
          </w:p>
        </w:tc>
        <w:tc>
          <w:tcPr>
            <w:tcW w:w="513" w:type="dxa"/>
          </w:tcPr>
          <w:p w:rsidR="00F936A8" w:rsidRPr="00D46407"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D46407">
              <w:t>67</w:t>
            </w:r>
          </w:p>
        </w:tc>
        <w:tc>
          <w:tcPr>
            <w:tcW w:w="1152" w:type="dxa"/>
          </w:tcPr>
          <w:p w:rsidR="00F936A8" w:rsidRPr="00D46407"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D46407">
              <w:t>6 864 346</w:t>
            </w:r>
          </w:p>
        </w:tc>
        <w:tc>
          <w:tcPr>
            <w:tcW w:w="505" w:type="dxa"/>
          </w:tcPr>
          <w:p w:rsidR="00F936A8" w:rsidRPr="00D46407" w:rsidRDefault="00F936A8" w:rsidP="00122DDF">
            <w:pPr>
              <w:tabs>
                <w:tab w:val="left" w:pos="1980"/>
              </w:tabs>
              <w:cnfStyle w:val="000000000000" w:firstRow="0" w:lastRow="0" w:firstColumn="0" w:lastColumn="0" w:oddVBand="0" w:evenVBand="0" w:oddHBand="0" w:evenHBand="0" w:firstRowFirstColumn="0" w:firstRowLastColumn="0" w:lastRowFirstColumn="0" w:lastRowLastColumn="0"/>
            </w:pPr>
            <w:r w:rsidRPr="00D46407">
              <w:t>100</w:t>
            </w:r>
          </w:p>
        </w:tc>
      </w:tr>
    </w:tbl>
    <w:p w:rsidR="00F936A8" w:rsidRPr="00E16088" w:rsidRDefault="00F936A8" w:rsidP="00122DDF">
      <w:pPr>
        <w:pStyle w:val="SingleTxtGR"/>
        <w:tabs>
          <w:tab w:val="left" w:pos="1980"/>
        </w:tabs>
        <w:suppressAutoHyphens/>
        <w:spacing w:before="120" w:after="0" w:line="220" w:lineRule="atLeast"/>
        <w:ind w:left="1287"/>
        <w:jc w:val="left"/>
        <w:rPr>
          <w:sz w:val="18"/>
          <w:szCs w:val="18"/>
        </w:rPr>
      </w:pPr>
      <w:r w:rsidRPr="00E16088">
        <w:rPr>
          <w:i/>
          <w:sz w:val="18"/>
          <w:szCs w:val="18"/>
        </w:rPr>
        <w:t>Источники:</w:t>
      </w:r>
      <w:r w:rsidRPr="00E16088">
        <w:rPr>
          <w:sz w:val="18"/>
          <w:szCs w:val="18"/>
        </w:rPr>
        <w:t xml:space="preserve"> Переписи населения 1981, 1991 и 2001</w:t>
      </w:r>
      <w:r w:rsidR="00B92291">
        <w:rPr>
          <w:sz w:val="18"/>
          <w:szCs w:val="18"/>
        </w:rPr>
        <w:t> год</w:t>
      </w:r>
      <w:r w:rsidRPr="00E16088">
        <w:rPr>
          <w:sz w:val="18"/>
          <w:szCs w:val="18"/>
        </w:rPr>
        <w:t>ов и промежуточные переписи населения 1986, 1996 и 2006</w:t>
      </w:r>
      <w:r w:rsidR="00B92291">
        <w:rPr>
          <w:sz w:val="18"/>
          <w:szCs w:val="18"/>
        </w:rPr>
        <w:t> год</w:t>
      </w:r>
      <w:r w:rsidRPr="00E16088">
        <w:rPr>
          <w:sz w:val="18"/>
          <w:szCs w:val="18"/>
        </w:rPr>
        <w:t>ов.</w:t>
      </w:r>
    </w:p>
    <w:p w:rsidR="00F936A8" w:rsidRPr="00E16088" w:rsidRDefault="00F936A8" w:rsidP="00122DDF">
      <w:pPr>
        <w:pStyle w:val="SingleTxtGR"/>
        <w:tabs>
          <w:tab w:val="left" w:pos="1980"/>
        </w:tabs>
        <w:suppressAutoHyphens/>
        <w:spacing w:after="0" w:line="220" w:lineRule="atLeast"/>
        <w:ind w:left="1288"/>
        <w:jc w:val="left"/>
        <w:rPr>
          <w:sz w:val="18"/>
          <w:szCs w:val="18"/>
        </w:rPr>
      </w:pPr>
      <w:r w:rsidRPr="00E16088">
        <w:rPr>
          <w:sz w:val="18"/>
          <w:szCs w:val="18"/>
        </w:rPr>
        <w:t xml:space="preserve">(1) </w:t>
      </w:r>
      <w:r>
        <w:rPr>
          <w:sz w:val="18"/>
          <w:szCs w:val="18"/>
        </w:rPr>
        <w:t xml:space="preserve"> </w:t>
      </w:r>
      <w:r w:rsidRPr="00E16088">
        <w:rPr>
          <w:sz w:val="18"/>
          <w:szCs w:val="18"/>
        </w:rPr>
        <w:t>Лица, которые не получили начального образования.</w:t>
      </w:r>
    </w:p>
    <w:p w:rsidR="00F936A8" w:rsidRPr="00E16088" w:rsidRDefault="00F936A8" w:rsidP="00122DDF">
      <w:pPr>
        <w:pStyle w:val="SingleTxtGR"/>
        <w:tabs>
          <w:tab w:val="left" w:pos="1980"/>
        </w:tabs>
        <w:suppressAutoHyphens/>
        <w:spacing w:after="0" w:line="220" w:lineRule="atLeast"/>
        <w:ind w:left="1288"/>
        <w:jc w:val="left"/>
        <w:rPr>
          <w:sz w:val="18"/>
          <w:szCs w:val="18"/>
        </w:rPr>
      </w:pPr>
      <w:r w:rsidRPr="00E16088">
        <w:rPr>
          <w:sz w:val="18"/>
          <w:szCs w:val="18"/>
        </w:rPr>
        <w:t xml:space="preserve">(2) </w:t>
      </w:r>
      <w:r>
        <w:rPr>
          <w:sz w:val="18"/>
          <w:szCs w:val="18"/>
        </w:rPr>
        <w:t xml:space="preserve"> </w:t>
      </w:r>
      <w:r w:rsidRPr="00E16088">
        <w:rPr>
          <w:sz w:val="18"/>
          <w:szCs w:val="18"/>
        </w:rPr>
        <w:t>Включая лиц, не закончивших начального образования.</w:t>
      </w:r>
    </w:p>
    <w:p w:rsidR="00F936A8" w:rsidRPr="00CB2C86" w:rsidRDefault="00F936A8" w:rsidP="00122DDF">
      <w:pPr>
        <w:pStyle w:val="HChGR"/>
        <w:tabs>
          <w:tab w:val="left" w:pos="1980"/>
        </w:tabs>
      </w:pPr>
      <w:r w:rsidRPr="00CB2C86">
        <w:br w:type="page"/>
        <w:t>Приложение 13</w:t>
      </w:r>
      <w:r w:rsidRPr="00CB2C86">
        <w:rPr>
          <w:lang w:val="en-GB"/>
        </w:rPr>
        <w:t>B</w:t>
      </w:r>
    </w:p>
    <w:p w:rsidR="00F936A8" w:rsidRPr="00CB2C86" w:rsidRDefault="00F936A8" w:rsidP="00122DDF">
      <w:pPr>
        <w:pStyle w:val="H1GR"/>
        <w:tabs>
          <w:tab w:val="left" w:pos="1980"/>
        </w:tabs>
      </w:pPr>
      <w:r w:rsidRPr="00CB2C86">
        <w:tab/>
      </w:r>
      <w:r w:rsidRPr="00CB2C86">
        <w:tab/>
        <w:t>Программы Агентства финансовой помощи учащимся, получающим высшее образование</w:t>
      </w:r>
    </w:p>
    <w:p w:rsidR="00F936A8" w:rsidRPr="007D17DE" w:rsidRDefault="00F936A8" w:rsidP="00FB2793">
      <w:pPr>
        <w:pStyle w:val="H4GR"/>
        <w:spacing w:before="240"/>
        <w:ind w:left="1134" w:right="1179" w:hanging="1134"/>
      </w:pPr>
      <w:r w:rsidRPr="007D17DE">
        <w:tab/>
      </w:r>
      <w:proofErr w:type="spellStart"/>
      <w:r w:rsidRPr="007D17DE">
        <w:t>a</w:t>
      </w:r>
      <w:proofErr w:type="spellEnd"/>
      <w:r w:rsidRPr="007D17DE">
        <w:t>)</w:t>
      </w:r>
      <w:r w:rsidRPr="007D17DE">
        <w:tab/>
        <w:t>Программа субсидий учащимся на покрытие транспортных расходов (ПСПТР)</w:t>
      </w:r>
    </w:p>
    <w:p w:rsidR="00F936A8" w:rsidRPr="00CB2C86" w:rsidRDefault="00F936A8" w:rsidP="00122DDF">
      <w:pPr>
        <w:pStyle w:val="SingleTxtGR"/>
        <w:tabs>
          <w:tab w:val="left" w:pos="1980"/>
        </w:tabs>
      </w:pPr>
      <w:r w:rsidRPr="00CB2C86">
        <w:tab/>
        <w:t>Малоимущие студенты, получающие очное образование на первых ку</w:t>
      </w:r>
      <w:r w:rsidRPr="00CB2C86">
        <w:t>р</w:t>
      </w:r>
      <w:r w:rsidRPr="00CB2C86">
        <w:t>сах, могут обращаться в ПСПТР за субсидией для покрытия части или всех транспортных расходов в зависимости от результатов проверки нуждаемости. В</w:t>
      </w:r>
      <w:r>
        <w:t> </w:t>
      </w:r>
      <w:r w:rsidRPr="00CB2C86">
        <w:t>2008</w:t>
      </w:r>
      <w:r>
        <w:t>/</w:t>
      </w:r>
      <w:r w:rsidRPr="00CB2C86">
        <w:t xml:space="preserve">09 </w:t>
      </w:r>
      <w:r w:rsidR="00A35E26">
        <w:t>учебном году</w:t>
      </w:r>
      <w:r w:rsidRPr="00CB2C86">
        <w:t xml:space="preserve"> более 237</w:t>
      </w:r>
      <w:r>
        <w:t> </w:t>
      </w:r>
      <w:r w:rsidRPr="00CB2C86">
        <w:t>000 студентов, в том числе более 39</w:t>
      </w:r>
      <w:r>
        <w:t> </w:t>
      </w:r>
      <w:r w:rsidRPr="00CB2C86">
        <w:t>500</w:t>
      </w:r>
      <w:r>
        <w:t> </w:t>
      </w:r>
      <w:r w:rsidRPr="00CB2C86">
        <w:t xml:space="preserve">студентов уровней </w:t>
      </w:r>
      <w:proofErr w:type="spellStart"/>
      <w:r w:rsidRPr="00CB2C86">
        <w:t>послесреднего</w:t>
      </w:r>
      <w:proofErr w:type="spellEnd"/>
      <w:r w:rsidRPr="00CB2C86">
        <w:t xml:space="preserve"> и высшего образования, получили п</w:t>
      </w:r>
      <w:r w:rsidRPr="00CB2C86">
        <w:t>о</w:t>
      </w:r>
      <w:r w:rsidRPr="00CB2C86">
        <w:t>мощь на общую сумму 337,9</w:t>
      </w:r>
      <w:r w:rsidR="004F720A">
        <w:t> </w:t>
      </w:r>
      <w:r w:rsidR="00B63D5C">
        <w:t>млн. долларов.</w:t>
      </w:r>
    </w:p>
    <w:p w:rsidR="00F936A8" w:rsidRPr="009A01BD" w:rsidRDefault="00F936A8" w:rsidP="009A01BD">
      <w:pPr>
        <w:pStyle w:val="H4GR"/>
        <w:spacing w:before="240"/>
        <w:ind w:left="1134" w:right="1179" w:hanging="1134"/>
      </w:pPr>
      <w:r w:rsidRPr="009A01BD">
        <w:tab/>
      </w:r>
      <w:proofErr w:type="spellStart"/>
      <w:r w:rsidRPr="009A01BD">
        <w:t>b</w:t>
      </w:r>
      <w:proofErr w:type="spellEnd"/>
      <w:r w:rsidRPr="009A01BD">
        <w:t>)</w:t>
      </w:r>
      <w:r w:rsidRPr="009A01BD">
        <w:tab/>
        <w:t xml:space="preserve">Программа финансовой помощи студентам высших учебных заведений − программы, финансируемые государством (ПФПСВУЗ) </w:t>
      </w:r>
      <w:r w:rsidR="009A01BD">
        <w:br/>
      </w:r>
      <w:r w:rsidRPr="009A01BD">
        <w:t>(известная как бывшая Программа финансовой помощи местным студентам)</w:t>
      </w:r>
    </w:p>
    <w:p w:rsidR="00F936A8" w:rsidRPr="00CB2C86" w:rsidRDefault="00F936A8" w:rsidP="00122DDF">
      <w:pPr>
        <w:pStyle w:val="SingleTxtGR"/>
        <w:tabs>
          <w:tab w:val="left" w:pos="1980"/>
        </w:tabs>
      </w:pPr>
      <w:r w:rsidRPr="00CB2C86">
        <w:tab/>
        <w:t>ПФПСВУЗ предоставляет гранты, требующие проверки нуждаемости, и/или ссуды под низкий процент малоимущим студентам, получающим очное высшее образование в финансируемых государством высших учебных завед</w:t>
      </w:r>
      <w:r w:rsidRPr="00CB2C86">
        <w:t>е</w:t>
      </w:r>
      <w:r w:rsidRPr="00CB2C86">
        <w:t>ниях. Программа предоставляет гранты для покрытия платы за учебу, расходов на обучение и обязательных членских взносов в союз студентов и льготные сс</w:t>
      </w:r>
      <w:r w:rsidRPr="00CB2C86">
        <w:t>у</w:t>
      </w:r>
      <w:r w:rsidRPr="00CB2C86">
        <w:t>ды для покрытия расходов на проживание. В 2008</w:t>
      </w:r>
      <w:r>
        <w:t>/</w:t>
      </w:r>
      <w:r w:rsidRPr="00CB2C86">
        <w:t xml:space="preserve">09 </w:t>
      </w:r>
      <w:r w:rsidR="00A35E26">
        <w:t>учебном году</w:t>
      </w:r>
      <w:r w:rsidRPr="00CB2C86">
        <w:t xml:space="preserve"> гранты на общую сумму примерно 783</w:t>
      </w:r>
      <w:r w:rsidR="004F720A">
        <w:t> </w:t>
      </w:r>
      <w:r w:rsidR="00B63D5C">
        <w:t>млн. долл.</w:t>
      </w:r>
      <w:r w:rsidRPr="00CB2C86">
        <w:t xml:space="preserve"> и льготные ссуды на сумму 289</w:t>
      </w:r>
      <w:r w:rsidR="004F720A">
        <w:t> </w:t>
      </w:r>
      <w:r w:rsidR="00B63D5C">
        <w:t>млн. долл.</w:t>
      </w:r>
      <w:r w:rsidRPr="00CB2C86">
        <w:t xml:space="preserve"> получили более 27 400 малоимущих студентов (или 34% всего соответствующего студенческого контингента).</w:t>
      </w:r>
    </w:p>
    <w:p w:rsidR="00F936A8" w:rsidRPr="009A01BD" w:rsidRDefault="00F936A8" w:rsidP="009A01BD">
      <w:pPr>
        <w:pStyle w:val="H4GR"/>
        <w:spacing w:before="240"/>
        <w:ind w:left="1134" w:right="1179" w:hanging="1134"/>
      </w:pPr>
      <w:r w:rsidRPr="009A01BD">
        <w:tab/>
      </w:r>
      <w:proofErr w:type="spellStart"/>
      <w:r w:rsidRPr="009A01BD">
        <w:t>c</w:t>
      </w:r>
      <w:proofErr w:type="spellEnd"/>
      <w:r w:rsidRPr="009A01BD">
        <w:t>)</w:t>
      </w:r>
      <w:r w:rsidRPr="009A01BD">
        <w:tab/>
        <w:t xml:space="preserve">Программа финансовой помощи студентам, получающим </w:t>
      </w:r>
      <w:proofErr w:type="spellStart"/>
      <w:r w:rsidRPr="009A01BD">
        <w:t>послесреднее</w:t>
      </w:r>
      <w:proofErr w:type="spellEnd"/>
      <w:r w:rsidRPr="009A01BD">
        <w:t xml:space="preserve"> образование (ПФПСО) </w:t>
      </w:r>
    </w:p>
    <w:p w:rsidR="00F936A8" w:rsidRPr="00CB2C86" w:rsidRDefault="00F936A8" w:rsidP="00122DDF">
      <w:pPr>
        <w:pStyle w:val="SingleTxtGR"/>
        <w:tabs>
          <w:tab w:val="left" w:pos="1980"/>
        </w:tabs>
      </w:pPr>
      <w:r w:rsidRPr="00CB2C86">
        <w:tab/>
        <w:t xml:space="preserve">ПФПСО предоставляет после проверки нуждаемости гранты и/или льготные ссуды студентам, обучающимся в местных аккредитованных, </w:t>
      </w:r>
      <w:proofErr w:type="spellStart"/>
      <w:r w:rsidRPr="00CB2C86">
        <w:t>самоф</w:t>
      </w:r>
      <w:r w:rsidRPr="00CB2C86">
        <w:t>и</w:t>
      </w:r>
      <w:r w:rsidRPr="00CB2C86">
        <w:t>нансирующихся</w:t>
      </w:r>
      <w:proofErr w:type="spellEnd"/>
      <w:r w:rsidRPr="00CB2C86">
        <w:t xml:space="preserve"> </w:t>
      </w:r>
      <w:proofErr w:type="spellStart"/>
      <w:r w:rsidRPr="00CB2C86">
        <w:t>послесредних</w:t>
      </w:r>
      <w:proofErr w:type="spellEnd"/>
      <w:r w:rsidRPr="00CB2C86">
        <w:t xml:space="preserve"> учебных заведениях. Программа предоставляет гранты для покрытия платы за обучение, расходов на обучение и ссуды для п</w:t>
      </w:r>
      <w:r w:rsidRPr="00CB2C86">
        <w:t>о</w:t>
      </w:r>
      <w:r w:rsidRPr="00CB2C86">
        <w:t>крытия расходов на проживание. В 2008</w:t>
      </w:r>
      <w:r>
        <w:t>/</w:t>
      </w:r>
      <w:r w:rsidRPr="00CB2C86">
        <w:t xml:space="preserve">09 </w:t>
      </w:r>
      <w:r w:rsidR="00A35E26">
        <w:t>учебном году</w:t>
      </w:r>
      <w:r w:rsidRPr="00CB2C86">
        <w:t xml:space="preserve"> в общей сложности  более 17</w:t>
      </w:r>
      <w:r>
        <w:t> </w:t>
      </w:r>
      <w:r w:rsidRPr="00CB2C86">
        <w:t>000 малоимущих студентов (или 32% соответствующего студе</w:t>
      </w:r>
      <w:r w:rsidRPr="00CB2C86">
        <w:t>н</w:t>
      </w:r>
      <w:r w:rsidRPr="00CB2C86">
        <w:t>ческого контингента) было предоставлено грантов на сумму 589</w:t>
      </w:r>
      <w:r w:rsidR="004F720A">
        <w:t> </w:t>
      </w:r>
      <w:r w:rsidR="00B63D5C">
        <w:t>млн. долл.</w:t>
      </w:r>
      <w:r w:rsidRPr="00CB2C86">
        <w:t xml:space="preserve"> и льго</w:t>
      </w:r>
      <w:r w:rsidRPr="00CB2C86">
        <w:t>т</w:t>
      </w:r>
      <w:r w:rsidRPr="00CB2C86">
        <w:t>ных ссуд на сумму 181</w:t>
      </w:r>
      <w:r w:rsidR="004F720A">
        <w:t> </w:t>
      </w:r>
      <w:r w:rsidR="00B63D5C">
        <w:t>млн. долларов.</w:t>
      </w:r>
    </w:p>
    <w:p w:rsidR="00F936A8" w:rsidRPr="009A01BD" w:rsidRDefault="00F936A8" w:rsidP="009A01BD">
      <w:pPr>
        <w:pStyle w:val="H4GR"/>
        <w:spacing w:before="240"/>
        <w:ind w:left="1134" w:right="1179" w:hanging="1134"/>
      </w:pPr>
      <w:r w:rsidRPr="009A01BD">
        <w:tab/>
      </w:r>
      <w:proofErr w:type="spellStart"/>
      <w:r w:rsidRPr="009A01BD">
        <w:t>d</w:t>
      </w:r>
      <w:proofErr w:type="spellEnd"/>
      <w:r w:rsidRPr="009A01BD">
        <w:t>)</w:t>
      </w:r>
      <w:r w:rsidRPr="009A01BD">
        <w:tab/>
        <w:t>Программа ссуд без проверки нуждаемости (ПСБПН)</w:t>
      </w:r>
    </w:p>
    <w:p w:rsidR="00F936A8" w:rsidRPr="00CB2C86" w:rsidRDefault="00F936A8" w:rsidP="00122DDF">
      <w:pPr>
        <w:pStyle w:val="SingleTxtGR"/>
        <w:tabs>
          <w:tab w:val="left" w:pos="1980"/>
        </w:tabs>
      </w:pPr>
      <w:r w:rsidRPr="00CB2C86">
        <w:tab/>
        <w:t>ПСБПН создана в 1998</w:t>
      </w:r>
      <w:r>
        <w:t>/</w:t>
      </w:r>
      <w:r w:rsidRPr="00CB2C86">
        <w:t xml:space="preserve">99 </w:t>
      </w:r>
      <w:r w:rsidR="00A35E26">
        <w:t>учебном году</w:t>
      </w:r>
      <w:r w:rsidRPr="00CB2C86">
        <w:t xml:space="preserve"> прежде всего с целью организ</w:t>
      </w:r>
      <w:r w:rsidRPr="00CB2C86">
        <w:t>о</w:t>
      </w:r>
      <w:r w:rsidRPr="00CB2C86">
        <w:t>вать дополнительный канал для оказания финансовой помощи студентам, об</w:t>
      </w:r>
      <w:r w:rsidRPr="00CB2C86">
        <w:t>у</w:t>
      </w:r>
      <w:r w:rsidRPr="00CB2C86">
        <w:t>чающимся на очных факультетах финансируемых государством высших уче</w:t>
      </w:r>
      <w:r w:rsidRPr="00CB2C86">
        <w:t>б</w:t>
      </w:r>
      <w:r w:rsidRPr="00CB2C86">
        <w:t>ных заведений, которые в то время были охвачены Программой финансовой помощи местным студентам (в настоящее время ПФПСО) в дополнение к пр</w:t>
      </w:r>
      <w:r w:rsidRPr="00CB2C86">
        <w:t>о</w:t>
      </w:r>
      <w:r w:rsidRPr="00CB2C86">
        <w:t>грамме помощи после проверки нуждаемости. Она функционирует на основе принципов безубыточности и полной окупаемости и предоставляет ссуды для покрытия платы за обучение. Впоследствии мы расширили масштаб ПСБПН, чтобы механизмом ссуд могли воспользоваться студенты, получающих образ</w:t>
      </w:r>
      <w:r w:rsidRPr="00CB2C86">
        <w:t>о</w:t>
      </w:r>
      <w:r w:rsidRPr="00CB2C86">
        <w:t xml:space="preserve">вание на очных факультетах </w:t>
      </w:r>
      <w:proofErr w:type="spellStart"/>
      <w:r w:rsidRPr="00CB2C86">
        <w:t>самофинансирующихся</w:t>
      </w:r>
      <w:proofErr w:type="spellEnd"/>
      <w:r w:rsidRPr="00CB2C86">
        <w:t xml:space="preserve"> местных аккредит</w:t>
      </w:r>
      <w:r w:rsidRPr="00CB2C86">
        <w:t>о</w:t>
      </w:r>
      <w:r w:rsidRPr="00CB2C86">
        <w:t xml:space="preserve">ванных учебных заведений системы </w:t>
      </w:r>
      <w:proofErr w:type="spellStart"/>
      <w:r w:rsidRPr="00CB2C86">
        <w:t>послесреднего</w:t>
      </w:r>
      <w:proofErr w:type="spellEnd"/>
      <w:r w:rsidRPr="00CB2C86">
        <w:t xml:space="preserve"> образования (лица, охваченные ПФПСО), а также лица, получающие непрерывное и профессиональное образ</w:t>
      </w:r>
      <w:r w:rsidRPr="00CB2C86">
        <w:t>о</w:t>
      </w:r>
      <w:r w:rsidRPr="00CB2C86">
        <w:t>вание и подготовку в гонконгских официальных школах, зарегистрир</w:t>
      </w:r>
      <w:r w:rsidRPr="00CB2C86">
        <w:t>о</w:t>
      </w:r>
      <w:r w:rsidRPr="00CB2C86">
        <w:t>ванных и освобожденных от налогообложения неместных организаций образ</w:t>
      </w:r>
      <w:r w:rsidRPr="00CB2C86">
        <w:t>о</w:t>
      </w:r>
      <w:r w:rsidRPr="00CB2C86">
        <w:t>вания и признанных органов профессиональной подготовки. В 2008</w:t>
      </w:r>
      <w:r>
        <w:t>/</w:t>
      </w:r>
      <w:r w:rsidRPr="00CB2C86">
        <w:t xml:space="preserve">09 </w:t>
      </w:r>
      <w:r w:rsidR="00A35E26">
        <w:t>учебном году</w:t>
      </w:r>
      <w:r w:rsidRPr="00CB2C86">
        <w:t xml:space="preserve"> без проверки нуждаемости ссуды на общую сумму около 995</w:t>
      </w:r>
      <w:r w:rsidR="004F720A">
        <w:t> </w:t>
      </w:r>
      <w:r w:rsidR="00B63D5C">
        <w:t>млн. долл.</w:t>
      </w:r>
      <w:r w:rsidRPr="00CB2C86">
        <w:t xml:space="preserve"> были предоставлены примерно 23</w:t>
      </w:r>
      <w:r w:rsidR="009A01BD">
        <w:t> </w:t>
      </w:r>
      <w:r w:rsidRPr="00CB2C86">
        <w:t>000 студентов, в том числе 6</w:t>
      </w:r>
      <w:r w:rsidR="009A01BD">
        <w:t> </w:t>
      </w:r>
      <w:r w:rsidRPr="00CB2C86">
        <w:t>000 учащимся о</w:t>
      </w:r>
      <w:r w:rsidRPr="00CB2C86">
        <w:t>ч</w:t>
      </w:r>
      <w:r w:rsidRPr="00CB2C86">
        <w:t>ных факультетов, охваченных ПФПСО, и примерно 7</w:t>
      </w:r>
      <w:r w:rsidR="009A01BD">
        <w:t> </w:t>
      </w:r>
      <w:r w:rsidRPr="00CB2C86">
        <w:t>000 студентов очных факул</w:t>
      </w:r>
      <w:r w:rsidRPr="00CB2C86">
        <w:t>ь</w:t>
      </w:r>
      <w:r w:rsidRPr="00CB2C86">
        <w:t>тетов, охваченных ПСБПН, и примерно 10</w:t>
      </w:r>
      <w:r w:rsidR="009A01BD">
        <w:t> </w:t>
      </w:r>
      <w:r w:rsidRPr="00CB2C86">
        <w:t xml:space="preserve">000 студентов </w:t>
      </w:r>
      <w:proofErr w:type="spellStart"/>
      <w:r w:rsidRPr="00CB2C86">
        <w:t>очно-заочных</w:t>
      </w:r>
      <w:proofErr w:type="spellEnd"/>
      <w:r w:rsidRPr="00CB2C86">
        <w:t xml:space="preserve"> отдел</w:t>
      </w:r>
      <w:r w:rsidRPr="00CB2C86">
        <w:t>е</w:t>
      </w:r>
      <w:r w:rsidRPr="00CB2C86">
        <w:t>ний, получающих профессиональную подготовку и непрерывное образов</w:t>
      </w:r>
      <w:r w:rsidRPr="00CB2C86">
        <w:t>а</w:t>
      </w:r>
      <w:r w:rsidRPr="00CB2C86">
        <w:t>ние.</w:t>
      </w:r>
    </w:p>
    <w:p w:rsidR="00F936A8" w:rsidRPr="009A01BD" w:rsidRDefault="00F936A8" w:rsidP="009A01BD">
      <w:pPr>
        <w:pStyle w:val="H4GR"/>
        <w:spacing w:before="240"/>
        <w:ind w:left="1134" w:right="1179" w:hanging="1134"/>
      </w:pPr>
      <w:r w:rsidRPr="009A01BD">
        <w:tab/>
      </w:r>
      <w:proofErr w:type="spellStart"/>
      <w:r w:rsidRPr="009A01BD">
        <w:t>e</w:t>
      </w:r>
      <w:proofErr w:type="spellEnd"/>
      <w:r w:rsidRPr="009A01BD">
        <w:t>)</w:t>
      </w:r>
      <w:r w:rsidRPr="009A01BD">
        <w:tab/>
        <w:t>Программы стипендий</w:t>
      </w:r>
    </w:p>
    <w:p w:rsidR="00F936A8" w:rsidRPr="00CB2C86" w:rsidRDefault="00F936A8" w:rsidP="00122DDF">
      <w:pPr>
        <w:pStyle w:val="SingleTxtGR"/>
        <w:tabs>
          <w:tab w:val="left" w:pos="1980"/>
        </w:tabs>
      </w:pPr>
      <w:r w:rsidRPr="00CB2C86">
        <w:tab/>
        <w:t>В Гонконге действуют многочисленные частные программы, которые предоставляют стипендии в зависимости от академической успеваемости. В</w:t>
      </w:r>
      <w:r>
        <w:t> </w:t>
      </w:r>
      <w:r w:rsidRPr="00CB2C86">
        <w:t>2008</w:t>
      </w:r>
      <w:r>
        <w:t>/</w:t>
      </w:r>
      <w:r w:rsidRPr="00CB2C86">
        <w:t xml:space="preserve">09 </w:t>
      </w:r>
      <w:r w:rsidR="00A35E26">
        <w:t>учебном году</w:t>
      </w:r>
      <w:r w:rsidRPr="00CB2C86">
        <w:t xml:space="preserve"> Мемориальный фонд сэра Эдварда </w:t>
      </w:r>
      <w:proofErr w:type="spellStart"/>
      <w:r w:rsidRPr="00CB2C86">
        <w:t>Юди</w:t>
      </w:r>
      <w:proofErr w:type="spellEnd"/>
      <w:r w:rsidRPr="00CB2C86">
        <w:t>, один из ст</w:t>
      </w:r>
      <w:r w:rsidRPr="00CB2C86">
        <w:t>а</w:t>
      </w:r>
      <w:r w:rsidRPr="00CB2C86">
        <w:t>рейших фондов, выделил по линии своих программ стипендий примерным ст</w:t>
      </w:r>
      <w:r w:rsidRPr="00CB2C86">
        <w:t>у</w:t>
      </w:r>
      <w:r w:rsidRPr="00CB2C86">
        <w:t>дентам на различных уровнях 8,9</w:t>
      </w:r>
      <w:r w:rsidR="004F720A">
        <w:t> </w:t>
      </w:r>
      <w:r w:rsidR="00B63D5C">
        <w:t>млн. долл.</w:t>
      </w:r>
      <w:r w:rsidRPr="00CB2C86">
        <w:t xml:space="preserve"> (включая одного студента с огр</w:t>
      </w:r>
      <w:r w:rsidRPr="00CB2C86">
        <w:t>а</w:t>
      </w:r>
      <w:r w:rsidRPr="00CB2C86">
        <w:t>ниченными возможностями). Среди стипендиатов было 17 студентов с огран</w:t>
      </w:r>
      <w:r w:rsidRPr="00CB2C86">
        <w:t>и</w:t>
      </w:r>
      <w:r w:rsidRPr="00CB2C86">
        <w:t xml:space="preserve">ченными возможностями, обучающихся на среднем, </w:t>
      </w:r>
      <w:proofErr w:type="spellStart"/>
      <w:r w:rsidRPr="00CB2C86">
        <w:t>послесреднем</w:t>
      </w:r>
      <w:proofErr w:type="spellEnd"/>
      <w:r w:rsidRPr="00CB2C86">
        <w:t xml:space="preserve"> и высшем уровнях.</w:t>
      </w:r>
    </w:p>
    <w:p w:rsidR="00F936A8" w:rsidRPr="00CB2C86" w:rsidRDefault="00F936A8" w:rsidP="00122DDF">
      <w:pPr>
        <w:pStyle w:val="SingleTxtGR"/>
        <w:tabs>
          <w:tab w:val="left" w:pos="1980"/>
        </w:tabs>
      </w:pPr>
      <w:r w:rsidRPr="00CB2C86">
        <w:tab/>
        <w:t>Чтобы содействовать превращению Гонконга в региональный центр обр</w:t>
      </w:r>
      <w:r w:rsidRPr="00CB2C86">
        <w:t>а</w:t>
      </w:r>
      <w:r w:rsidRPr="00CB2C86">
        <w:t>зования, в марте 2008</w:t>
      </w:r>
      <w:r w:rsidR="00B92291">
        <w:t> год</w:t>
      </w:r>
      <w:r w:rsidRPr="00CB2C86">
        <w:t>а правительство САРГ учредило Государственный стипендиальный фонд в размере 1</w:t>
      </w:r>
      <w:r w:rsidR="004F720A">
        <w:t> </w:t>
      </w:r>
      <w:r w:rsidR="00B63D5C">
        <w:t>млрд. долл.</w:t>
      </w:r>
      <w:r w:rsidRPr="00CB2C86">
        <w:t xml:space="preserve"> для выплаты государственных стипендий одаренным местным и иностранным студентам. В 2009/10 </w:t>
      </w:r>
      <w:r w:rsidR="00A35E26">
        <w:t>учебном году</w:t>
      </w:r>
      <w:r w:rsidRPr="00CB2C86">
        <w:t xml:space="preserve"> 441 студенту первой ступени обучения и выше было выплачено ст</w:t>
      </w:r>
      <w:r w:rsidRPr="00CB2C86">
        <w:t>и</w:t>
      </w:r>
      <w:r w:rsidRPr="00CB2C86">
        <w:t>пендий на сумму 23</w:t>
      </w:r>
      <w:r w:rsidR="004F720A">
        <w:t> </w:t>
      </w:r>
      <w:r w:rsidR="00B63D5C">
        <w:t>млн. долларов.</w:t>
      </w:r>
    </w:p>
    <w:p w:rsidR="00F936A8" w:rsidRPr="00CB2C86" w:rsidRDefault="00F936A8" w:rsidP="00122DDF">
      <w:pPr>
        <w:pStyle w:val="HChGR"/>
        <w:tabs>
          <w:tab w:val="left" w:pos="1980"/>
        </w:tabs>
      </w:pPr>
      <w:r w:rsidRPr="00CB2C86">
        <w:br w:type="page"/>
        <w:t>Приложение 13</w:t>
      </w:r>
      <w:r w:rsidRPr="00CB2C86">
        <w:rPr>
          <w:lang w:val="en-GB"/>
        </w:rPr>
        <w:t>C</w:t>
      </w:r>
    </w:p>
    <w:p w:rsidR="00F936A8" w:rsidRPr="00CB2C86" w:rsidRDefault="00F936A8" w:rsidP="00122DDF">
      <w:pPr>
        <w:pStyle w:val="H1GR"/>
        <w:tabs>
          <w:tab w:val="left" w:pos="1980"/>
        </w:tabs>
      </w:pPr>
      <w:r w:rsidRPr="00CB2C86">
        <w:tab/>
      </w:r>
      <w:r w:rsidRPr="00CB2C86">
        <w:tab/>
        <w:t>Определения различных форм инвалидности у учащихся, нуждающихся в дополнительной поддерживающей помощи</w:t>
      </w:r>
    </w:p>
    <w:p w:rsidR="00F936A8" w:rsidRPr="009A01BD" w:rsidRDefault="00F936A8" w:rsidP="009A01BD">
      <w:pPr>
        <w:pStyle w:val="H4GR"/>
        <w:spacing w:before="240"/>
        <w:ind w:left="1134" w:right="1179" w:hanging="1134"/>
      </w:pPr>
      <w:r w:rsidRPr="009A01BD">
        <w:tab/>
      </w:r>
      <w:proofErr w:type="spellStart"/>
      <w:r w:rsidRPr="009A01BD">
        <w:t>a</w:t>
      </w:r>
      <w:proofErr w:type="spellEnd"/>
      <w:r w:rsidRPr="009A01BD">
        <w:t>)</w:t>
      </w:r>
      <w:r w:rsidRPr="009A01BD">
        <w:tab/>
        <w:t xml:space="preserve">Физическая инвалидность </w:t>
      </w:r>
    </w:p>
    <w:p w:rsidR="00F936A8" w:rsidRPr="00CB2C86" w:rsidRDefault="00F936A8" w:rsidP="00122DDF">
      <w:pPr>
        <w:pStyle w:val="SingleTxtGR"/>
        <w:tabs>
          <w:tab w:val="left" w:pos="1980"/>
        </w:tabs>
      </w:pPr>
      <w:r w:rsidRPr="00CB2C86">
        <w:tab/>
        <w:t>Лицо с физической инвалидностью определяется как лицо с нарушени</w:t>
      </w:r>
      <w:r w:rsidRPr="00CB2C86">
        <w:t>я</w:t>
      </w:r>
      <w:r w:rsidRPr="00CB2C86">
        <w:t>ми ортопедического, скелетно-мышечного или неврологического происхожд</w:t>
      </w:r>
      <w:r w:rsidRPr="00CB2C86">
        <w:t>е</w:t>
      </w:r>
      <w:r w:rsidRPr="00CB2C86">
        <w:t xml:space="preserve">ния, которые могут препятствовать моторно-двигательным функциям или их ограничивать и которые являются препятствием или ограничением для одного или нескольких аспектов повседневной деятельности. </w:t>
      </w:r>
    </w:p>
    <w:p w:rsidR="00F936A8" w:rsidRPr="009A01BD" w:rsidRDefault="00F936A8" w:rsidP="009A01BD">
      <w:pPr>
        <w:pStyle w:val="H4GR"/>
        <w:spacing w:before="240"/>
        <w:ind w:left="1134" w:right="1179" w:hanging="1134"/>
      </w:pPr>
      <w:r w:rsidRPr="009A01BD">
        <w:tab/>
      </w:r>
      <w:proofErr w:type="spellStart"/>
      <w:r w:rsidRPr="009A01BD">
        <w:t>b</w:t>
      </w:r>
      <w:proofErr w:type="spellEnd"/>
      <w:r w:rsidRPr="009A01BD">
        <w:t>)</w:t>
      </w:r>
      <w:r w:rsidRPr="009A01BD">
        <w:tab/>
        <w:t xml:space="preserve">Нарушение зрения </w:t>
      </w:r>
    </w:p>
    <w:p w:rsidR="00F936A8" w:rsidRPr="00CB2C86" w:rsidRDefault="00F936A8" w:rsidP="00122DDF">
      <w:pPr>
        <w:pStyle w:val="SingleTxtGR"/>
        <w:tabs>
          <w:tab w:val="left" w:pos="1980"/>
        </w:tabs>
      </w:pPr>
      <w:r w:rsidRPr="00CB2C86">
        <w:t>Полная потеря зрения: лица с полным отсутствием зрительной функции, т.</w:t>
      </w:r>
      <w:r w:rsidRPr="00CB2C86">
        <w:rPr>
          <w:lang w:val="en-GB"/>
        </w:rPr>
        <w:t>e</w:t>
      </w:r>
      <w:r w:rsidRPr="00CB2C86">
        <w:t>. о</w:t>
      </w:r>
      <w:r w:rsidRPr="00CB2C86">
        <w:t>т</w:t>
      </w:r>
      <w:r w:rsidRPr="00CB2C86">
        <w:t>сутствием реакции на свет.</w:t>
      </w:r>
    </w:p>
    <w:p w:rsidR="00F936A8" w:rsidRPr="00CB2C86" w:rsidRDefault="00F936A8" w:rsidP="00122DDF">
      <w:pPr>
        <w:pStyle w:val="SingleTxtGR"/>
        <w:tabs>
          <w:tab w:val="left" w:pos="1980"/>
        </w:tabs>
      </w:pPr>
      <w:r w:rsidRPr="00CB2C86">
        <w:t xml:space="preserve">Слабое зрение: </w:t>
      </w:r>
    </w:p>
    <w:p w:rsidR="00F936A8" w:rsidRPr="00CB2C86" w:rsidRDefault="00F936A8" w:rsidP="009A01BD">
      <w:pPr>
        <w:pStyle w:val="SingleTxtGR"/>
        <w:ind w:left="1701" w:hanging="567"/>
      </w:pPr>
      <w:r>
        <w:tab/>
      </w:r>
      <w:proofErr w:type="spellStart"/>
      <w:r>
        <w:t>i</w:t>
      </w:r>
      <w:proofErr w:type="spellEnd"/>
      <w:r>
        <w:t>)</w:t>
      </w:r>
      <w:r w:rsidRPr="00CB2C86">
        <w:tab/>
        <w:t xml:space="preserve">Высокая степень потери зрения </w:t>
      </w:r>
      <w:r>
        <w:t>−</w:t>
      </w:r>
      <w:r w:rsidRPr="00CB2C86">
        <w:t xml:space="preserve"> лица с остротой зрения 6/120 и меньше (относится к остроте зрения лучше видящего глаза с коррект</w:t>
      </w:r>
      <w:r w:rsidRPr="00CB2C86">
        <w:t>и</w:t>
      </w:r>
      <w:r w:rsidRPr="00CB2C86">
        <w:t>рующими очками) и лицам с сужением поля зрения до 20 градусов или меньше независимо от ос</w:t>
      </w:r>
      <w:r w:rsidRPr="00CB2C86">
        <w:t>т</w:t>
      </w:r>
      <w:r w:rsidRPr="00CB2C86">
        <w:t>роты зрения;</w:t>
      </w:r>
    </w:p>
    <w:p w:rsidR="00F936A8" w:rsidRPr="00CB2C86" w:rsidRDefault="00F936A8" w:rsidP="009A01BD">
      <w:pPr>
        <w:pStyle w:val="SingleTxtGR"/>
        <w:ind w:left="1701" w:hanging="567"/>
      </w:pPr>
      <w:r>
        <w:tab/>
      </w:r>
      <w:proofErr w:type="spellStart"/>
      <w:r>
        <w:t>ii</w:t>
      </w:r>
      <w:proofErr w:type="spellEnd"/>
      <w:r>
        <w:t>)</w:t>
      </w:r>
      <w:r w:rsidRPr="00CB2C86">
        <w:tab/>
        <w:t xml:space="preserve">Средняя степень потери зрения </w:t>
      </w:r>
      <w:r>
        <w:t>−</w:t>
      </w:r>
      <w:r w:rsidRPr="00CB2C86">
        <w:t xml:space="preserve"> лица с остротой зрения от 6/60 до 6/120; и</w:t>
      </w:r>
    </w:p>
    <w:p w:rsidR="00F936A8" w:rsidRPr="00CB2C86" w:rsidRDefault="00F936A8" w:rsidP="009A01BD">
      <w:pPr>
        <w:pStyle w:val="SingleTxtGR"/>
        <w:ind w:left="1701" w:hanging="567"/>
      </w:pPr>
      <w:r>
        <w:tab/>
      </w:r>
      <w:proofErr w:type="spellStart"/>
      <w:r>
        <w:t>iii</w:t>
      </w:r>
      <w:proofErr w:type="spellEnd"/>
      <w:r>
        <w:t>)</w:t>
      </w:r>
      <w:r w:rsidRPr="00CB2C86">
        <w:tab/>
        <w:t>Слабая степень потери зрения</w:t>
      </w:r>
      <w:r>
        <w:t>−</w:t>
      </w:r>
      <w:r w:rsidRPr="00CB2C86">
        <w:t xml:space="preserve"> лица с остротой зрения от 6/18 до лучше, чем 6/60.</w:t>
      </w:r>
    </w:p>
    <w:p w:rsidR="00F936A8" w:rsidRPr="009A01BD" w:rsidRDefault="00F936A8" w:rsidP="009A01BD">
      <w:pPr>
        <w:pStyle w:val="H4GR"/>
        <w:spacing w:before="240"/>
        <w:ind w:left="1134" w:right="1179" w:hanging="1134"/>
      </w:pPr>
      <w:r w:rsidRPr="009A01BD">
        <w:tab/>
      </w:r>
      <w:proofErr w:type="spellStart"/>
      <w:r w:rsidRPr="009A01BD">
        <w:t>c</w:t>
      </w:r>
      <w:proofErr w:type="spellEnd"/>
      <w:r w:rsidRPr="009A01BD">
        <w:t>)</w:t>
      </w:r>
      <w:r w:rsidRPr="009A01BD">
        <w:tab/>
        <w:t>Нарушение слуха</w:t>
      </w:r>
    </w:p>
    <w:p w:rsidR="00F936A8" w:rsidRPr="00CB2C86" w:rsidRDefault="00F936A8" w:rsidP="00122DDF">
      <w:pPr>
        <w:pStyle w:val="SingleTxtGR"/>
        <w:tabs>
          <w:tab w:val="left" w:pos="1980"/>
        </w:tabs>
        <w:rPr>
          <w:i/>
        </w:rPr>
      </w:pPr>
      <w:r w:rsidRPr="00CB2C86">
        <w:rPr>
          <w:i/>
        </w:rPr>
        <w:tab/>
        <w:t>Степень нарушения слуха</w:t>
      </w:r>
      <w:r w:rsidRPr="00CB2C86">
        <w:rPr>
          <w:i/>
        </w:rPr>
        <w:tab/>
      </w:r>
      <w:r w:rsidRPr="00CB2C86">
        <w:rPr>
          <w:i/>
        </w:rPr>
        <w:tab/>
        <w:t>Определение</w:t>
      </w:r>
    </w:p>
    <w:p w:rsidR="00F936A8" w:rsidRPr="00CB2C86" w:rsidRDefault="00F936A8" w:rsidP="009A01BD">
      <w:pPr>
        <w:pStyle w:val="SingleTxtGR"/>
        <w:tabs>
          <w:tab w:val="clear" w:pos="3969"/>
          <w:tab w:val="left" w:pos="4515"/>
        </w:tabs>
        <w:ind w:left="1701"/>
      </w:pPr>
      <w:proofErr w:type="spellStart"/>
      <w:r>
        <w:t>i</w:t>
      </w:r>
      <w:proofErr w:type="spellEnd"/>
      <w:r>
        <w:t>)</w:t>
      </w:r>
      <w:r w:rsidRPr="00CB2C86">
        <w:t xml:space="preserve"> </w:t>
      </w:r>
      <w:r w:rsidRPr="00CB2C86">
        <w:tab/>
        <w:t>Очень тяжелая</w:t>
      </w:r>
      <w:r w:rsidRPr="00CB2C86">
        <w:tab/>
      </w:r>
      <w:r w:rsidRPr="00CB2C86">
        <w:tab/>
        <w:t>Порог слышимости более 90 дБ</w:t>
      </w:r>
    </w:p>
    <w:p w:rsidR="00F936A8" w:rsidRPr="00CB2C86" w:rsidRDefault="00F936A8" w:rsidP="009A01BD">
      <w:pPr>
        <w:pStyle w:val="SingleTxtGR"/>
        <w:tabs>
          <w:tab w:val="clear" w:pos="3969"/>
          <w:tab w:val="left" w:pos="4515"/>
        </w:tabs>
        <w:ind w:left="1701"/>
      </w:pPr>
      <w:proofErr w:type="spellStart"/>
      <w:r>
        <w:t>ii</w:t>
      </w:r>
      <w:proofErr w:type="spellEnd"/>
      <w:r>
        <w:t>)</w:t>
      </w:r>
      <w:r w:rsidRPr="00CB2C86">
        <w:t xml:space="preserve"> </w:t>
      </w:r>
      <w:r w:rsidRPr="00CB2C86">
        <w:tab/>
        <w:t>Тяжелая</w:t>
      </w:r>
      <w:r w:rsidRPr="00CB2C86">
        <w:tab/>
      </w:r>
      <w:r w:rsidRPr="00CB2C86">
        <w:tab/>
      </w:r>
      <w:r w:rsidRPr="00CB2C86">
        <w:tab/>
        <w:t>Порог слышимости в пределах71</w:t>
      </w:r>
      <w:r>
        <w:t>−</w:t>
      </w:r>
      <w:r w:rsidRPr="00CB2C86">
        <w:t>90 дБ</w:t>
      </w:r>
    </w:p>
    <w:p w:rsidR="00F936A8" w:rsidRPr="00CB2C86" w:rsidRDefault="00F936A8" w:rsidP="009A01BD">
      <w:pPr>
        <w:pStyle w:val="SingleTxtGR"/>
        <w:tabs>
          <w:tab w:val="clear" w:pos="3969"/>
          <w:tab w:val="left" w:pos="4515"/>
        </w:tabs>
        <w:ind w:left="1701"/>
      </w:pPr>
      <w:proofErr w:type="spellStart"/>
      <w:r>
        <w:t>iii</w:t>
      </w:r>
      <w:proofErr w:type="spellEnd"/>
      <w:r>
        <w:t>)</w:t>
      </w:r>
      <w:r w:rsidRPr="00CB2C86">
        <w:t xml:space="preserve"> </w:t>
      </w:r>
      <w:r w:rsidRPr="00CB2C86">
        <w:tab/>
        <w:t>Умеренно тяжелая</w:t>
      </w:r>
      <w:r w:rsidRPr="00CB2C86">
        <w:tab/>
      </w:r>
      <w:r w:rsidRPr="00CB2C86">
        <w:tab/>
        <w:t>Порог слышимости в пределах 56</w:t>
      </w:r>
      <w:r>
        <w:t>−</w:t>
      </w:r>
      <w:r w:rsidRPr="00CB2C86">
        <w:t>70 дБ</w:t>
      </w:r>
    </w:p>
    <w:p w:rsidR="00F936A8" w:rsidRPr="00CB2C86" w:rsidRDefault="00F936A8" w:rsidP="009A01BD">
      <w:pPr>
        <w:pStyle w:val="SingleTxtGR"/>
        <w:tabs>
          <w:tab w:val="clear" w:pos="3969"/>
          <w:tab w:val="left" w:pos="4515"/>
        </w:tabs>
        <w:ind w:left="1701"/>
      </w:pPr>
      <w:proofErr w:type="spellStart"/>
      <w:r>
        <w:t>iv</w:t>
      </w:r>
      <w:proofErr w:type="spellEnd"/>
      <w:r>
        <w:t>)</w:t>
      </w:r>
      <w:r w:rsidRPr="00CB2C86">
        <w:t xml:space="preserve"> </w:t>
      </w:r>
      <w:r w:rsidRPr="00CB2C86">
        <w:tab/>
        <w:t>Умеренная</w:t>
      </w:r>
      <w:r w:rsidRPr="00CB2C86">
        <w:tab/>
      </w:r>
      <w:r w:rsidRPr="00CB2C86">
        <w:tab/>
      </w:r>
      <w:r w:rsidRPr="00CB2C86">
        <w:tab/>
        <w:t>Порог слышимости в пределах 41</w:t>
      </w:r>
      <w:r>
        <w:t>−</w:t>
      </w:r>
      <w:r w:rsidRPr="00CB2C86">
        <w:t>55 дБ</w:t>
      </w:r>
    </w:p>
    <w:p w:rsidR="00F936A8" w:rsidRPr="00CB2C86" w:rsidRDefault="00F936A8" w:rsidP="009A01BD">
      <w:pPr>
        <w:pStyle w:val="SingleTxtGR"/>
        <w:tabs>
          <w:tab w:val="clear" w:pos="3969"/>
          <w:tab w:val="left" w:pos="4515"/>
        </w:tabs>
        <w:ind w:left="1701"/>
      </w:pPr>
      <w:proofErr w:type="spellStart"/>
      <w:r>
        <w:t>v</w:t>
      </w:r>
      <w:proofErr w:type="spellEnd"/>
      <w:r>
        <w:t>)</w:t>
      </w:r>
      <w:r w:rsidRPr="00CB2C86">
        <w:t xml:space="preserve"> </w:t>
      </w:r>
      <w:r w:rsidRPr="00CB2C86">
        <w:tab/>
        <w:t>Легкая</w:t>
      </w:r>
      <w:r w:rsidRPr="00CB2C86">
        <w:tab/>
      </w:r>
      <w:r w:rsidRPr="00CB2C86">
        <w:tab/>
      </w:r>
      <w:r w:rsidRPr="00CB2C86">
        <w:tab/>
        <w:t>Порог слышимости в пределах 26</w:t>
      </w:r>
      <w:r>
        <w:t>−</w:t>
      </w:r>
      <w:r w:rsidRPr="00CB2C86">
        <w:t>40 дБ</w:t>
      </w:r>
    </w:p>
    <w:p w:rsidR="00F936A8" w:rsidRPr="00CB2C86" w:rsidRDefault="00F936A8" w:rsidP="009A01BD">
      <w:pPr>
        <w:pStyle w:val="SingleTxtGR"/>
        <w:tabs>
          <w:tab w:val="clear" w:pos="3969"/>
          <w:tab w:val="left" w:pos="4515"/>
        </w:tabs>
        <w:ind w:left="1701"/>
      </w:pPr>
      <w:proofErr w:type="spellStart"/>
      <w:r>
        <w:t>vi</w:t>
      </w:r>
      <w:proofErr w:type="spellEnd"/>
      <w:r>
        <w:t>)</w:t>
      </w:r>
      <w:r w:rsidRPr="00CB2C86">
        <w:t xml:space="preserve"> </w:t>
      </w:r>
      <w:r w:rsidRPr="00CB2C86">
        <w:tab/>
        <w:t>Нормальная</w:t>
      </w:r>
      <w:r w:rsidRPr="00CB2C86">
        <w:tab/>
      </w:r>
      <w:r w:rsidRPr="00CB2C86">
        <w:tab/>
      </w:r>
      <w:r w:rsidRPr="00CB2C86">
        <w:tab/>
        <w:t>Порог слышимости до 25 дБ</w:t>
      </w:r>
    </w:p>
    <w:p w:rsidR="00F936A8" w:rsidRPr="009A01BD" w:rsidRDefault="00F936A8" w:rsidP="009A01BD">
      <w:pPr>
        <w:pStyle w:val="H4GR"/>
        <w:spacing w:before="240"/>
        <w:ind w:left="1134" w:right="1179" w:hanging="1134"/>
      </w:pPr>
      <w:r w:rsidRPr="009A01BD">
        <w:tab/>
      </w:r>
      <w:proofErr w:type="spellStart"/>
      <w:r w:rsidRPr="009A01BD">
        <w:t>d</w:t>
      </w:r>
      <w:proofErr w:type="spellEnd"/>
      <w:r w:rsidRPr="009A01BD">
        <w:t>)</w:t>
      </w:r>
      <w:r w:rsidRPr="009A01BD">
        <w:tab/>
        <w:t>Умственная осталось</w:t>
      </w:r>
    </w:p>
    <w:p w:rsidR="00F936A8" w:rsidRPr="00CB2C86" w:rsidRDefault="00F936A8" w:rsidP="00122DDF">
      <w:pPr>
        <w:pStyle w:val="SingleTxtGR"/>
        <w:tabs>
          <w:tab w:val="left" w:pos="1980"/>
        </w:tabs>
      </w:pPr>
      <w:r w:rsidRPr="00CB2C86">
        <w:t>Умственная отсталость представляет собой состояние, характеризирующееся следующими признаками:</w:t>
      </w:r>
    </w:p>
    <w:p w:rsidR="00F936A8" w:rsidRPr="00CB2C86" w:rsidRDefault="00F936A8" w:rsidP="005E5107">
      <w:pPr>
        <w:pStyle w:val="SingleTxtGR"/>
        <w:ind w:left="1701"/>
      </w:pPr>
      <w:proofErr w:type="spellStart"/>
      <w:r>
        <w:t>i</w:t>
      </w:r>
      <w:proofErr w:type="spellEnd"/>
      <w:r>
        <w:t>)</w:t>
      </w:r>
      <w:r w:rsidRPr="00CB2C86">
        <w:tab/>
        <w:t>Существенное снижение умственной деятельности: коэффициент умственного развития (</w:t>
      </w:r>
      <w:r w:rsidRPr="00CB2C86">
        <w:rPr>
          <w:lang w:val="en-US"/>
        </w:rPr>
        <w:t>IQ</w:t>
      </w:r>
      <w:r w:rsidRPr="00CB2C86">
        <w:t>) составляет примерно 70 или меньше при и</w:t>
      </w:r>
      <w:r w:rsidRPr="00CB2C86">
        <w:t>н</w:t>
      </w:r>
      <w:r w:rsidRPr="00CB2C86">
        <w:t xml:space="preserve">дивидуальной проверке </w:t>
      </w:r>
      <w:r w:rsidRPr="00CB2C86">
        <w:rPr>
          <w:lang w:val="en-GB"/>
        </w:rPr>
        <w:t>IQ</w:t>
      </w:r>
      <w:r w:rsidRPr="00CB2C86">
        <w:t xml:space="preserve"> (для грудных детей, клиническое заключение о существенном снижении умственной деятельности);</w:t>
      </w:r>
    </w:p>
    <w:p w:rsidR="00F936A8" w:rsidRPr="00CB2C86" w:rsidRDefault="00F936A8" w:rsidP="005E5107">
      <w:pPr>
        <w:pStyle w:val="SingleTxtGR"/>
        <w:ind w:left="1701"/>
      </w:pPr>
      <w:proofErr w:type="spellStart"/>
      <w:r>
        <w:t>ii</w:t>
      </w:r>
      <w:proofErr w:type="spellEnd"/>
      <w:r>
        <w:t>)</w:t>
      </w:r>
      <w:r w:rsidRPr="00CB2C86">
        <w:tab/>
        <w:t>Сопутствующие недостаточность или нарушения текущей адапти</w:t>
      </w:r>
      <w:r w:rsidRPr="00CB2C86">
        <w:t>в</w:t>
      </w:r>
      <w:r w:rsidRPr="00CB2C86">
        <w:t>ной функции (т.е. эффективность лица отвечать стандартам, ожидаемым в его/ее возрасте и в его/ее культурной группе), по меньшей мере, в отн</w:t>
      </w:r>
      <w:r w:rsidRPr="00CB2C86">
        <w:t>о</w:t>
      </w:r>
      <w:r w:rsidRPr="00CB2C86">
        <w:t>шении сл</w:t>
      </w:r>
      <w:r w:rsidRPr="00CB2C86">
        <w:t>е</w:t>
      </w:r>
      <w:r w:rsidRPr="00CB2C86">
        <w:t>дующих навыков: общение, самообслуживание, домашняя жизнь, социальные/межличностные навыки, использование обществе</w:t>
      </w:r>
      <w:r w:rsidRPr="00CB2C86">
        <w:t>н</w:t>
      </w:r>
      <w:r w:rsidRPr="00CB2C86">
        <w:t>ных ресурсов, самодисциплина, функциональные навыки обучения, раб</w:t>
      </w:r>
      <w:r w:rsidRPr="00CB2C86">
        <w:t>о</w:t>
      </w:r>
      <w:r w:rsidRPr="00CB2C86">
        <w:t>та, досуг, здоровье и безопа</w:t>
      </w:r>
      <w:r w:rsidRPr="00CB2C86">
        <w:t>с</w:t>
      </w:r>
      <w:r w:rsidRPr="00CB2C86">
        <w:t>ность; и</w:t>
      </w:r>
    </w:p>
    <w:p w:rsidR="00F936A8" w:rsidRPr="00CB2C86" w:rsidRDefault="00F936A8" w:rsidP="005E5107">
      <w:pPr>
        <w:pStyle w:val="SingleTxtGR"/>
      </w:pPr>
      <w:r w:rsidRPr="00CB2C86">
        <w:tab/>
      </w:r>
      <w:proofErr w:type="spellStart"/>
      <w:r>
        <w:t>iii</w:t>
      </w:r>
      <w:proofErr w:type="spellEnd"/>
      <w:r>
        <w:t>)</w:t>
      </w:r>
      <w:r w:rsidRPr="00CB2C86">
        <w:tab/>
        <w:t>Начало развития до 18 лет.</w:t>
      </w:r>
    </w:p>
    <w:p w:rsidR="00F936A8" w:rsidRPr="009A01BD" w:rsidRDefault="00F936A8" w:rsidP="009A01BD">
      <w:pPr>
        <w:pStyle w:val="H4GR"/>
        <w:spacing w:before="240"/>
        <w:ind w:left="1134" w:right="1179" w:hanging="1134"/>
      </w:pPr>
      <w:r w:rsidRPr="009A01BD">
        <w:tab/>
      </w:r>
      <w:proofErr w:type="spellStart"/>
      <w:r w:rsidRPr="009A01BD">
        <w:t>e</w:t>
      </w:r>
      <w:proofErr w:type="spellEnd"/>
      <w:r w:rsidRPr="009A01BD">
        <w:t>)</w:t>
      </w:r>
      <w:r w:rsidRPr="009A01BD">
        <w:tab/>
        <w:t>Аутизм</w:t>
      </w:r>
    </w:p>
    <w:p w:rsidR="00F936A8" w:rsidRPr="00CB2C86" w:rsidRDefault="00F936A8" w:rsidP="00122DDF">
      <w:pPr>
        <w:pStyle w:val="SingleTxtGR"/>
        <w:tabs>
          <w:tab w:val="left" w:pos="1980"/>
        </w:tabs>
      </w:pPr>
      <w:r w:rsidRPr="00CB2C86">
        <w:tab/>
        <w:t>Аутизм является глубоким нарушением развития, которое нередко сопр</w:t>
      </w:r>
      <w:r w:rsidRPr="00CB2C86">
        <w:t>о</w:t>
      </w:r>
      <w:r w:rsidRPr="00CB2C86">
        <w:t>вождается целым рядом других нарушений. В Гонконге диагноз аутизма стави</w:t>
      </w:r>
      <w:r w:rsidRPr="00CB2C86">
        <w:t>т</w:t>
      </w:r>
      <w:r w:rsidRPr="00CB2C86">
        <w:t>ся детям, страдающим этим заболеванием, в соответствии со следующими кр</w:t>
      </w:r>
      <w:r w:rsidRPr="00CB2C86">
        <w:t>и</w:t>
      </w:r>
      <w:r w:rsidRPr="00CB2C86">
        <w:t>териями, установленными Всемирной организацией здравоохранения в Межд</w:t>
      </w:r>
      <w:r w:rsidRPr="00CB2C86">
        <w:t>у</w:t>
      </w:r>
      <w:r w:rsidRPr="00CB2C86">
        <w:t>народной классификации болезней десятого пересмотра:</w:t>
      </w:r>
    </w:p>
    <w:p w:rsidR="00F936A8" w:rsidRPr="00CB2C86" w:rsidRDefault="00F936A8" w:rsidP="005E5107">
      <w:pPr>
        <w:pStyle w:val="SingleTxtGR"/>
        <w:ind w:left="1701"/>
      </w:pPr>
      <w:proofErr w:type="spellStart"/>
      <w:r>
        <w:t>i</w:t>
      </w:r>
      <w:proofErr w:type="spellEnd"/>
      <w:r>
        <w:t>)</w:t>
      </w:r>
      <w:r w:rsidRPr="00CB2C86">
        <w:t xml:space="preserve"> </w:t>
      </w:r>
      <w:r w:rsidRPr="00CB2C86">
        <w:tab/>
        <w:t>Количественные аномалии в социальном взаимодействии и общ</w:t>
      </w:r>
      <w:r w:rsidRPr="00CB2C86">
        <w:t>е</w:t>
      </w:r>
      <w:r w:rsidRPr="00CB2C86">
        <w:t>нии;</w:t>
      </w:r>
    </w:p>
    <w:p w:rsidR="00F936A8" w:rsidRPr="00CB2C86" w:rsidRDefault="00F936A8" w:rsidP="005E5107">
      <w:pPr>
        <w:pStyle w:val="SingleTxtGR"/>
        <w:ind w:left="1701"/>
      </w:pPr>
      <w:proofErr w:type="spellStart"/>
      <w:r>
        <w:t>ii</w:t>
      </w:r>
      <w:proofErr w:type="spellEnd"/>
      <w:r>
        <w:t>)</w:t>
      </w:r>
      <w:r w:rsidRPr="00CB2C86">
        <w:tab/>
        <w:t>Качественные нарушения в языковом и неязыковом общении;</w:t>
      </w:r>
    </w:p>
    <w:p w:rsidR="00F936A8" w:rsidRPr="00CB2C86" w:rsidRDefault="00F936A8" w:rsidP="005E5107">
      <w:pPr>
        <w:pStyle w:val="SingleTxtGR"/>
        <w:ind w:left="1701"/>
      </w:pPr>
      <w:proofErr w:type="spellStart"/>
      <w:r>
        <w:t>iii</w:t>
      </w:r>
      <w:proofErr w:type="spellEnd"/>
      <w:r>
        <w:t>)</w:t>
      </w:r>
      <w:r w:rsidRPr="00CB2C86">
        <w:tab/>
        <w:t>Ограниченный, повторяющийся и стереотипный набор поведения, и</w:t>
      </w:r>
      <w:r w:rsidRPr="00CB2C86">
        <w:t>н</w:t>
      </w:r>
      <w:r w:rsidRPr="00CB2C86">
        <w:t>тересов и деятельности; и</w:t>
      </w:r>
    </w:p>
    <w:p w:rsidR="00F936A8" w:rsidRPr="00CB2C86" w:rsidRDefault="00F936A8" w:rsidP="005E5107">
      <w:pPr>
        <w:pStyle w:val="SingleTxtGR"/>
        <w:ind w:left="1701"/>
      </w:pPr>
      <w:proofErr w:type="spellStart"/>
      <w:r>
        <w:t>iv</w:t>
      </w:r>
      <w:proofErr w:type="spellEnd"/>
      <w:r>
        <w:t>)</w:t>
      </w:r>
      <w:r w:rsidRPr="00CB2C86">
        <w:tab/>
        <w:t>Нарушения развития, которые проявляются в течение первых трех лет жизни.</w:t>
      </w:r>
    </w:p>
    <w:p w:rsidR="00F936A8" w:rsidRPr="009A01BD" w:rsidRDefault="00F936A8" w:rsidP="009A01BD">
      <w:pPr>
        <w:pStyle w:val="H4GR"/>
        <w:spacing w:before="240"/>
        <w:ind w:left="1134" w:right="1179" w:hanging="1134"/>
      </w:pPr>
      <w:r w:rsidRPr="009A01BD">
        <w:tab/>
      </w:r>
      <w:proofErr w:type="spellStart"/>
      <w:r w:rsidRPr="009A01BD">
        <w:t>f</w:t>
      </w:r>
      <w:proofErr w:type="spellEnd"/>
      <w:r w:rsidRPr="009A01BD">
        <w:t>)</w:t>
      </w:r>
      <w:r w:rsidRPr="009A01BD">
        <w:tab/>
        <w:t xml:space="preserve">Синдром дефицита внимания с </w:t>
      </w:r>
      <w:proofErr w:type="spellStart"/>
      <w:r w:rsidRPr="009A01BD">
        <w:t>гиперактивностью</w:t>
      </w:r>
      <w:proofErr w:type="spellEnd"/>
    </w:p>
    <w:p w:rsidR="00F936A8" w:rsidRPr="00CB2C86" w:rsidRDefault="00F936A8" w:rsidP="00122DDF">
      <w:pPr>
        <w:pStyle w:val="SingleTxtGR"/>
        <w:tabs>
          <w:tab w:val="left" w:pos="1980"/>
        </w:tabs>
        <w:rPr>
          <w:lang w:eastAsia="ru-RU"/>
        </w:rPr>
      </w:pPr>
      <w:r w:rsidRPr="00CB2C86">
        <w:tab/>
        <w:t xml:space="preserve">У детей и подростков, страдающих синдромом дефицита внимания с </w:t>
      </w:r>
      <w:proofErr w:type="spellStart"/>
      <w:r w:rsidRPr="00CB2C86">
        <w:t>г</w:t>
      </w:r>
      <w:r w:rsidRPr="00CB2C86">
        <w:t>и</w:t>
      </w:r>
      <w:r w:rsidRPr="00CB2C86">
        <w:t>перактивностью</w:t>
      </w:r>
      <w:proofErr w:type="spellEnd"/>
      <w:r w:rsidRPr="00CB2C86">
        <w:t>, обычно наблюдаются следующие симптомы: трудности ко</w:t>
      </w:r>
      <w:r w:rsidRPr="00CB2C86">
        <w:t>н</w:t>
      </w:r>
      <w:r w:rsidRPr="00CB2C86">
        <w:t xml:space="preserve">центрации внимания, </w:t>
      </w:r>
      <w:proofErr w:type="spellStart"/>
      <w:r w:rsidRPr="00CB2C86">
        <w:t>гиперактивность</w:t>
      </w:r>
      <w:proofErr w:type="spellEnd"/>
      <w:r w:rsidRPr="00CB2C86">
        <w:t xml:space="preserve"> и трудно управляемая импульсивность. Это приводит к хроническим трудностям в социальной жизни, учебе и работе. Эти симптомы нельзя объяснить какими-либо другими объективными фактор</w:t>
      </w:r>
      <w:r w:rsidRPr="00CB2C86">
        <w:t>а</w:t>
      </w:r>
      <w:r w:rsidRPr="00CB2C86">
        <w:t>ми и психическими состояниями, и они не согласуются с ожидаемыми нормами интеллектуальных способностей и этапа развития ребенка. Обычно их связ</w:t>
      </w:r>
      <w:r w:rsidRPr="00CB2C86">
        <w:t>ы</w:t>
      </w:r>
      <w:r w:rsidRPr="00CB2C86">
        <w:rPr>
          <w:lang w:eastAsia="ru-RU"/>
        </w:rPr>
        <w:t>вают с дисфункцией мозга.</w:t>
      </w:r>
    </w:p>
    <w:p w:rsidR="00F936A8" w:rsidRPr="009A01BD" w:rsidRDefault="00F936A8" w:rsidP="009A01BD">
      <w:pPr>
        <w:pStyle w:val="H4GR"/>
        <w:spacing w:before="240"/>
        <w:ind w:left="1134" w:right="1179" w:hanging="1134"/>
      </w:pPr>
      <w:r w:rsidRPr="009A01BD">
        <w:tab/>
      </w:r>
      <w:proofErr w:type="spellStart"/>
      <w:r w:rsidRPr="009A01BD">
        <w:t>g</w:t>
      </w:r>
      <w:proofErr w:type="spellEnd"/>
      <w:r w:rsidRPr="009A01BD">
        <w:t>)</w:t>
      </w:r>
      <w:r w:rsidRPr="009A01BD">
        <w:tab/>
        <w:t>Специфические нарушения способности к обучению</w:t>
      </w:r>
    </w:p>
    <w:p w:rsidR="00F936A8" w:rsidRPr="00CB2C86" w:rsidRDefault="00F936A8" w:rsidP="00122DDF">
      <w:pPr>
        <w:pStyle w:val="SingleTxtGR"/>
        <w:tabs>
          <w:tab w:val="left" w:pos="1980"/>
        </w:tabs>
      </w:pPr>
      <w:r w:rsidRPr="00CB2C86">
        <w:tab/>
        <w:t>К специфическим нарушениям способности к обучению обычно относят нарушения способности к обучению навыкам чтения и правописания (</w:t>
      </w:r>
      <w:proofErr w:type="spellStart"/>
      <w:r w:rsidRPr="00CB2C86">
        <w:t>дисле</w:t>
      </w:r>
      <w:r w:rsidRPr="00CB2C86">
        <w:t>к</w:t>
      </w:r>
      <w:r w:rsidRPr="00CB2C86">
        <w:t>сия</w:t>
      </w:r>
      <w:proofErr w:type="spellEnd"/>
      <w:r w:rsidRPr="00CB2C86">
        <w:t xml:space="preserve">), нарушение моторной координации, специфическое расстройство развития речи и языка и т.д., хотя наиболее распространенным нарушением является </w:t>
      </w:r>
      <w:proofErr w:type="spellStart"/>
      <w:r w:rsidRPr="00CB2C86">
        <w:t>дислексия</w:t>
      </w:r>
      <w:proofErr w:type="spellEnd"/>
      <w:r w:rsidRPr="00CB2C86">
        <w:t xml:space="preserve">. В основе </w:t>
      </w:r>
      <w:proofErr w:type="spellStart"/>
      <w:r w:rsidRPr="00CB2C86">
        <w:t>дислекии</w:t>
      </w:r>
      <w:proofErr w:type="spellEnd"/>
      <w:r w:rsidRPr="00CB2C86">
        <w:t xml:space="preserve"> лежат не умственное недоразвитие, не сенсорные нарушения и не отсутствие возможностей для обучения. Обычно ее причиной считают нечто, связанное с дисфункцией мозга. В результате стойких и серье</w:t>
      </w:r>
      <w:r w:rsidRPr="00CB2C86">
        <w:t>з</w:t>
      </w:r>
      <w:r w:rsidRPr="00CB2C86">
        <w:t>ных трудностей в обучении навыкам чтения и правописания люди со специф</w:t>
      </w:r>
      <w:r w:rsidRPr="00CB2C86">
        <w:t>и</w:t>
      </w:r>
      <w:r w:rsidRPr="00CB2C86">
        <w:t xml:space="preserve">ческими нарушениями способности к обучению не умеют быстро и правильно читать и писать. </w:t>
      </w:r>
    </w:p>
    <w:p w:rsidR="00F936A8" w:rsidRPr="00CB2C86" w:rsidRDefault="00F936A8" w:rsidP="00122DDF">
      <w:pPr>
        <w:pStyle w:val="SingleTxtGR"/>
        <w:tabs>
          <w:tab w:val="left" w:pos="1980"/>
        </w:tabs>
      </w:pPr>
      <w:r w:rsidRPr="00CB2C86">
        <w:tab/>
        <w:t xml:space="preserve">В целом </w:t>
      </w:r>
      <w:proofErr w:type="spellStart"/>
      <w:r w:rsidRPr="00CB2C86">
        <w:t>дислексия</w:t>
      </w:r>
      <w:proofErr w:type="spellEnd"/>
      <w:r w:rsidRPr="00CB2C86">
        <w:t xml:space="preserve"> может поддаваться лечению, если в методы обучения, тесты и оценки вносятся надлежащие коррективы, а информационная технол</w:t>
      </w:r>
      <w:r w:rsidRPr="00CB2C86">
        <w:t>о</w:t>
      </w:r>
      <w:r w:rsidRPr="00CB2C86">
        <w:t>гия используется правильно. Результаты зарубежных исследований свидетел</w:t>
      </w:r>
      <w:r w:rsidRPr="00CB2C86">
        <w:t>ь</w:t>
      </w:r>
      <w:r w:rsidRPr="00CB2C86">
        <w:t>ствуют о том, что раннее выявление и вмешательство в случае учащихся, стр</w:t>
      </w:r>
      <w:r w:rsidRPr="00CB2C86">
        <w:t>а</w:t>
      </w:r>
      <w:r w:rsidRPr="00CB2C86">
        <w:t xml:space="preserve">дающих </w:t>
      </w:r>
      <w:proofErr w:type="spellStart"/>
      <w:r w:rsidRPr="00CB2C86">
        <w:t>дислексией</w:t>
      </w:r>
      <w:proofErr w:type="spellEnd"/>
      <w:r w:rsidRPr="00CB2C86">
        <w:t>, могут существо улучшить их навыки чтения и правопис</w:t>
      </w:r>
      <w:r w:rsidRPr="00CB2C86">
        <w:t>а</w:t>
      </w:r>
      <w:r w:rsidRPr="00CB2C86">
        <w:t>ния.</w:t>
      </w:r>
    </w:p>
    <w:p w:rsidR="00F936A8" w:rsidRPr="009A01BD" w:rsidRDefault="00F936A8" w:rsidP="009A01BD">
      <w:pPr>
        <w:pStyle w:val="H4GR"/>
        <w:spacing w:before="240"/>
        <w:ind w:left="1134" w:right="1179" w:hanging="1134"/>
      </w:pPr>
      <w:r w:rsidRPr="009A01BD">
        <w:tab/>
      </w:r>
      <w:proofErr w:type="spellStart"/>
      <w:r w:rsidRPr="009A01BD">
        <w:t>h</w:t>
      </w:r>
      <w:proofErr w:type="spellEnd"/>
      <w:r w:rsidRPr="009A01BD">
        <w:t>)</w:t>
      </w:r>
      <w:r w:rsidRPr="009A01BD">
        <w:tab/>
        <w:t>Расстройство развития речи и языка</w:t>
      </w:r>
    </w:p>
    <w:p w:rsidR="00F936A8" w:rsidRPr="00CB2C86" w:rsidRDefault="00F936A8" w:rsidP="00122DDF">
      <w:pPr>
        <w:pStyle w:val="SingleTxtGR"/>
        <w:tabs>
          <w:tab w:val="left" w:pos="1980"/>
        </w:tabs>
      </w:pPr>
      <w:r w:rsidRPr="00CB2C86">
        <w:tab/>
        <w:t>К лицам с расстройствами развития речи и языка принадлежат лица, к</w:t>
      </w:r>
      <w:r w:rsidRPr="00CB2C86">
        <w:t>о</w:t>
      </w:r>
      <w:r w:rsidRPr="00CB2C86">
        <w:t>торые не могут нормально общаться с другими или лица с нарушениями речи, которые привлекают излишнее внимание к их речевым актам до такой степени, что это мешает их образовательному, психическому и социальному развитию.</w:t>
      </w:r>
    </w:p>
    <w:p w:rsidR="00F936A8" w:rsidRPr="00F83B04" w:rsidRDefault="00F936A8" w:rsidP="00122DDF">
      <w:pPr>
        <w:pStyle w:val="SingleTxtGR"/>
        <w:tabs>
          <w:tab w:val="left" w:pos="1980"/>
        </w:tabs>
        <w:suppressAutoHyphens/>
        <w:jc w:val="left"/>
        <w:rPr>
          <w:sz w:val="18"/>
          <w:szCs w:val="18"/>
        </w:rPr>
      </w:pPr>
      <w:r w:rsidRPr="00F83B04">
        <w:rPr>
          <w:sz w:val="18"/>
          <w:szCs w:val="18"/>
        </w:rPr>
        <w:t>(Приводящиеся выше определения заимствованы из "Гонконгского плана реабилитационных программ 2005−2007годов")</w:t>
      </w:r>
    </w:p>
    <w:p w:rsidR="00F936A8" w:rsidRPr="00CB2C86" w:rsidRDefault="00F936A8" w:rsidP="00122DDF">
      <w:pPr>
        <w:pStyle w:val="HChGR"/>
        <w:tabs>
          <w:tab w:val="left" w:pos="1980"/>
        </w:tabs>
      </w:pPr>
      <w:r w:rsidRPr="00CB2C86">
        <w:br w:type="page"/>
        <w:t>Приложение 13</w:t>
      </w:r>
      <w:r w:rsidRPr="00CB2C86">
        <w:rPr>
          <w:lang w:val="en-GB"/>
        </w:rPr>
        <w:t>D</w:t>
      </w:r>
    </w:p>
    <w:p w:rsidR="00F936A8" w:rsidRPr="00CB2C86" w:rsidRDefault="00F936A8" w:rsidP="00122DDF">
      <w:pPr>
        <w:pStyle w:val="H1GR"/>
        <w:tabs>
          <w:tab w:val="left" w:pos="1980"/>
        </w:tabs>
      </w:pPr>
      <w:r w:rsidRPr="00CB2C86">
        <w:tab/>
      </w:r>
      <w:r w:rsidRPr="00CB2C86">
        <w:tab/>
        <w:t>Помощь учащимся с особыми учебными потребностями в</w:t>
      </w:r>
      <w:r>
        <w:t> </w:t>
      </w:r>
      <w:r w:rsidRPr="00CB2C86">
        <w:t>обычных школах</w:t>
      </w:r>
    </w:p>
    <w:p w:rsidR="00F936A8" w:rsidRPr="00CB2C86" w:rsidRDefault="00F936A8" w:rsidP="00122DDF">
      <w:pPr>
        <w:pStyle w:val="SingleTxtGR"/>
        <w:tabs>
          <w:tab w:val="left" w:pos="1980"/>
        </w:tabs>
      </w:pPr>
      <w:r w:rsidRPr="00CB2C86">
        <w:tab/>
        <w:t>Чтобы поддержать общеобразовательные школы в сохранении разнообр</w:t>
      </w:r>
      <w:r w:rsidRPr="00CB2C86">
        <w:t>а</w:t>
      </w:r>
      <w:r w:rsidRPr="00CB2C86">
        <w:t>зия контингента учащихся, правительство выступает за универсальный школ</w:t>
      </w:r>
      <w:r w:rsidRPr="00CB2C86">
        <w:t>ь</w:t>
      </w:r>
      <w:r w:rsidRPr="00CB2C86">
        <w:t>ный подход (УШП) к интеграции, делая упор на согласованной инклюзивной школьной политике, культуре и практики в каждой школе. На оперативном уровне школам следует сосредоточиться на следующих пяти принципах, а</w:t>
      </w:r>
      <w:r>
        <w:t> </w:t>
      </w:r>
      <w:r w:rsidRPr="00CB2C86">
        <w:t>именно: раннее выявление, раннее вмешательство, универсальный школьный подход, сотрудничество между семьей и школой и межведомственное сотру</w:t>
      </w:r>
      <w:r w:rsidRPr="00CB2C86">
        <w:t>д</w:t>
      </w:r>
      <w:r w:rsidRPr="00CB2C86">
        <w:t>ничество, руководство повседневной деятельностью для координации усилий по оказании помощи учащимся с особыми образовательными потребностями (ООП).</w:t>
      </w:r>
    </w:p>
    <w:p w:rsidR="00F936A8" w:rsidRPr="00CB2C86" w:rsidRDefault="00F936A8" w:rsidP="00122DDF">
      <w:pPr>
        <w:pStyle w:val="SingleTxtGR"/>
        <w:tabs>
          <w:tab w:val="left" w:pos="1980"/>
        </w:tabs>
      </w:pPr>
      <w:r w:rsidRPr="00CB2C86">
        <w:tab/>
        <w:t>Школам рекомендуется принять трехуровневую модель вмешательства, дифференцированной по потребностям учащихся для оказания помощи уч</w:t>
      </w:r>
      <w:r w:rsidRPr="00CB2C86">
        <w:t>а</w:t>
      </w:r>
      <w:r w:rsidRPr="00CB2C86">
        <w:t>щимся с ограниченными возможностями. Эта модель состоит из следующего:</w:t>
      </w:r>
    </w:p>
    <w:p w:rsidR="00F936A8" w:rsidRPr="00CB2C86" w:rsidRDefault="00F936A8" w:rsidP="00122DDF">
      <w:pPr>
        <w:pStyle w:val="SingleTxtGR"/>
        <w:tabs>
          <w:tab w:val="clear" w:pos="3402"/>
          <w:tab w:val="left" w:pos="1980"/>
          <w:tab w:val="left" w:pos="3570"/>
        </w:tabs>
        <w:ind w:left="3570" w:hanging="1869"/>
      </w:pPr>
      <w:r w:rsidRPr="00CB2C86">
        <w:t xml:space="preserve">Помощь 1 уровня </w:t>
      </w:r>
      <w:r w:rsidRPr="00CB2C86">
        <w:tab/>
        <w:t>Качественное обучение в обычных классных комн</w:t>
      </w:r>
      <w:r w:rsidRPr="00CB2C86">
        <w:t>а</w:t>
      </w:r>
      <w:r w:rsidRPr="00CB2C86">
        <w:t>тах для поддержки учащихся с временным или н</w:t>
      </w:r>
      <w:r w:rsidRPr="00CB2C86">
        <w:t>е</w:t>
      </w:r>
      <w:r w:rsidRPr="00CB2C86">
        <w:t>значительным расстройством способности к обуч</w:t>
      </w:r>
      <w:r w:rsidRPr="00CB2C86">
        <w:t>е</w:t>
      </w:r>
      <w:r w:rsidRPr="00CB2C86">
        <w:t xml:space="preserve">нию. </w:t>
      </w:r>
    </w:p>
    <w:p w:rsidR="00F936A8" w:rsidRPr="00CB2C86" w:rsidRDefault="00F936A8" w:rsidP="00122DDF">
      <w:pPr>
        <w:pStyle w:val="SingleTxtGR"/>
        <w:tabs>
          <w:tab w:val="clear" w:pos="3402"/>
          <w:tab w:val="left" w:pos="1980"/>
          <w:tab w:val="left" w:pos="3570"/>
        </w:tabs>
        <w:ind w:left="3570" w:hanging="1869"/>
      </w:pPr>
      <w:r w:rsidRPr="00CB2C86">
        <w:t xml:space="preserve">Помощь 2 уровня </w:t>
      </w:r>
      <w:r w:rsidRPr="00CB2C86">
        <w:tab/>
        <w:t>Дополнительное вмешательство в случае учащихся, оценка которых характеризуется устойчивым ра</w:t>
      </w:r>
      <w:r w:rsidRPr="00CB2C86">
        <w:t>с</w:t>
      </w:r>
      <w:r w:rsidRPr="00CB2C86">
        <w:t>стройством сп</w:t>
      </w:r>
      <w:r w:rsidRPr="00CB2C86">
        <w:t>о</w:t>
      </w:r>
      <w:r w:rsidRPr="00CB2C86">
        <w:t xml:space="preserve">собности к обучению. </w:t>
      </w:r>
    </w:p>
    <w:p w:rsidR="00F936A8" w:rsidRPr="00CB2C86" w:rsidRDefault="00F936A8" w:rsidP="00122DDF">
      <w:pPr>
        <w:pStyle w:val="SingleTxtGR"/>
        <w:tabs>
          <w:tab w:val="clear" w:pos="3402"/>
          <w:tab w:val="left" w:pos="1980"/>
          <w:tab w:val="left" w:pos="3570"/>
        </w:tabs>
        <w:ind w:left="3570" w:hanging="1869"/>
      </w:pPr>
      <w:r w:rsidRPr="00CB2C86">
        <w:t>Помощь 3 уровня</w:t>
      </w:r>
      <w:r w:rsidRPr="00CB2C86">
        <w:tab/>
        <w:t>Активная индивидуализированная помощь уч</w:t>
      </w:r>
      <w:r w:rsidRPr="00CB2C86">
        <w:t>а</w:t>
      </w:r>
      <w:r w:rsidRPr="00CB2C86">
        <w:t xml:space="preserve">щимся с тяжелыми расстройствами способности к обучению и учащимся с ООП. </w:t>
      </w:r>
    </w:p>
    <w:p w:rsidR="00F936A8" w:rsidRPr="00CB2C86" w:rsidRDefault="00F936A8" w:rsidP="00122DDF">
      <w:pPr>
        <w:pStyle w:val="SingleTxtGR"/>
        <w:tabs>
          <w:tab w:val="left" w:pos="1980"/>
        </w:tabs>
      </w:pPr>
      <w:r w:rsidRPr="00CB2C86">
        <w:tab/>
        <w:t xml:space="preserve">Обычным школам выделяются дополнительные средства для оказания помощи на </w:t>
      </w:r>
      <w:proofErr w:type="spellStart"/>
      <w:r w:rsidRPr="00CB2C86">
        <w:t>подушевой</w:t>
      </w:r>
      <w:proofErr w:type="spellEnd"/>
      <w:r w:rsidRPr="00CB2C86">
        <w:t xml:space="preserve"> основе учащимся-инвалидам в виде субсидии на помощь обучению, Программы интегрированного образования, Повышенн</w:t>
      </w:r>
      <w:r w:rsidR="005E5107">
        <w:t>ой</w:t>
      </w:r>
      <w:r w:rsidRPr="00CB2C86">
        <w:t xml:space="preserve"> субсиди</w:t>
      </w:r>
      <w:r w:rsidR="005E5107">
        <w:t>и</w:t>
      </w:r>
      <w:r w:rsidRPr="00CB2C86">
        <w:t xml:space="preserve"> на лечение дефектов речи, Программы интенсивного корректирующего обуч</w:t>
      </w:r>
      <w:r w:rsidRPr="00CB2C86">
        <w:t>е</w:t>
      </w:r>
      <w:r w:rsidRPr="00CB2C86">
        <w:t>ния и предоставляются дополнительные учителя для обучения плохо успева</w:t>
      </w:r>
      <w:r w:rsidRPr="00CB2C86">
        <w:t>ю</w:t>
      </w:r>
      <w:r w:rsidRPr="00CB2C86">
        <w:t>щих учеников, дополнительный фонд на закупку специальной мебели, оборуд</w:t>
      </w:r>
      <w:r w:rsidRPr="00CB2C86">
        <w:t>о</w:t>
      </w:r>
      <w:r w:rsidRPr="00CB2C86">
        <w:t>вания или проведения мелких работ по переоборудованию для учащи</w:t>
      </w:r>
      <w:r w:rsidRPr="00CB2C86">
        <w:t>х</w:t>
      </w:r>
      <w:r w:rsidRPr="00CB2C86">
        <w:t xml:space="preserve">ся-инвалидов в обычных школах и т.д. </w:t>
      </w:r>
    </w:p>
    <w:p w:rsidR="00F936A8" w:rsidRPr="00CB2C86" w:rsidRDefault="00F936A8" w:rsidP="00122DDF">
      <w:pPr>
        <w:pStyle w:val="SingleTxtGR"/>
        <w:tabs>
          <w:tab w:val="left" w:pos="1980"/>
        </w:tabs>
      </w:pPr>
      <w:r w:rsidRPr="00CB2C86">
        <w:tab/>
        <w:t>Кроме упомянутых выше ресурсов учащимся предоставляется следу</w:t>
      </w:r>
      <w:r w:rsidRPr="00CB2C86">
        <w:t>ю</w:t>
      </w:r>
      <w:r w:rsidRPr="00CB2C86">
        <w:t xml:space="preserve">щая помощь: </w:t>
      </w:r>
    </w:p>
    <w:p w:rsidR="00F936A8" w:rsidRPr="00CB2C86" w:rsidRDefault="00F936A8" w:rsidP="005E5107">
      <w:pPr>
        <w:pStyle w:val="SingleTxtGR"/>
      </w:pPr>
      <w:r>
        <w:tab/>
      </w:r>
      <w:proofErr w:type="spellStart"/>
      <w:r>
        <w:t>a</w:t>
      </w:r>
      <w:proofErr w:type="spellEnd"/>
      <w:r>
        <w:t>)</w:t>
      </w:r>
      <w:r w:rsidRPr="00CB2C86">
        <w:tab/>
      </w:r>
      <w:r w:rsidRPr="00CB2C86">
        <w:rPr>
          <w:b/>
        </w:rPr>
        <w:t>Школьная служба психологии образования</w:t>
      </w:r>
      <w:r w:rsidRPr="00CB2C86">
        <w:t>: Начиная с 1993</w:t>
      </w:r>
      <w:r>
        <w:t>/</w:t>
      </w:r>
      <w:r w:rsidRPr="00CB2C86">
        <w:t>94</w:t>
      </w:r>
      <w:r>
        <w:t> </w:t>
      </w:r>
      <w:r w:rsidRPr="00CB2C86">
        <w:t>учебного</w:t>
      </w:r>
      <w:r w:rsidR="00B92291">
        <w:t> год</w:t>
      </w:r>
      <w:r w:rsidRPr="00CB2C86">
        <w:t>а в школах начала работать Школьная служба психологии образования (ШСПО), в рамках которой школы получают комплексные услуги в области психологии образования, оказываемые для помощи школам через рег</w:t>
      </w:r>
      <w:r w:rsidRPr="00CB2C86">
        <w:t>у</w:t>
      </w:r>
      <w:r w:rsidRPr="00CB2C86">
        <w:t>лярные посещения на системном, преподавательском и ученическом уровнях. Начиная с 2008</w:t>
      </w:r>
      <w:r>
        <w:t>/</w:t>
      </w:r>
      <w:r w:rsidRPr="00CB2C86">
        <w:t>09 учебного</w:t>
      </w:r>
      <w:r w:rsidR="00B92291">
        <w:t> год</w:t>
      </w:r>
      <w:r w:rsidRPr="00CB2C86">
        <w:t>а услуги ШСПО были распространены приме</w:t>
      </w:r>
      <w:r w:rsidRPr="00CB2C86">
        <w:t>р</w:t>
      </w:r>
      <w:r w:rsidRPr="00CB2C86">
        <w:t>но на 300 нуждающихся в них школ. Ожидается, что в 2010</w:t>
      </w:r>
      <w:r>
        <w:t>/</w:t>
      </w:r>
      <w:r w:rsidRPr="00CB2C86">
        <w:t xml:space="preserve">11 </w:t>
      </w:r>
      <w:r w:rsidR="00A35E26">
        <w:t>учебном году</w:t>
      </w:r>
      <w:r w:rsidRPr="00CB2C86">
        <w:t xml:space="preserve"> еще 100 начальных и средних школ воспользуются этими услугами;</w:t>
      </w:r>
    </w:p>
    <w:p w:rsidR="00F936A8" w:rsidRPr="00CB2C86" w:rsidRDefault="00F936A8" w:rsidP="005E5107">
      <w:pPr>
        <w:pStyle w:val="SingleTxtGR"/>
      </w:pPr>
      <w:r>
        <w:tab/>
      </w:r>
      <w:proofErr w:type="spellStart"/>
      <w:r>
        <w:t>b</w:t>
      </w:r>
      <w:proofErr w:type="spellEnd"/>
      <w:r>
        <w:t>)</w:t>
      </w:r>
      <w:r w:rsidRPr="00CB2C86">
        <w:tab/>
      </w:r>
      <w:r w:rsidRPr="00CB2C86">
        <w:rPr>
          <w:b/>
        </w:rPr>
        <w:t xml:space="preserve">Служба исправления дефектов речи и </w:t>
      </w:r>
      <w:proofErr w:type="spellStart"/>
      <w:r w:rsidRPr="00CB2C86">
        <w:rPr>
          <w:b/>
        </w:rPr>
        <w:t>сурдологии</w:t>
      </w:r>
      <w:proofErr w:type="spellEnd"/>
      <w:r w:rsidRPr="00CB2C86">
        <w:t>: Обычным школам для помощи учителям в обучении учащихся с расстройствами развития р</w:t>
      </w:r>
      <w:r w:rsidRPr="00CB2C86">
        <w:t>е</w:t>
      </w:r>
      <w:r w:rsidRPr="00CB2C86">
        <w:t>чи, а также для проверки слуха и оказания школьных услуг помощи, которые включают посещения для консультаций, программы устранения расстройств развития речи и языка и подготовки учителей, оказываются услуги, призва</w:t>
      </w:r>
      <w:r w:rsidRPr="00CB2C86">
        <w:t>н</w:t>
      </w:r>
      <w:r w:rsidRPr="00CB2C86">
        <w:t>ные помочь учителям оказывать помощь учащимся с нарушениями речи;</w:t>
      </w:r>
    </w:p>
    <w:p w:rsidR="00F936A8" w:rsidRPr="00CB2C86" w:rsidRDefault="00F936A8" w:rsidP="005E5107">
      <w:pPr>
        <w:pStyle w:val="SingleTxtGR"/>
      </w:pPr>
      <w:r>
        <w:tab/>
      </w:r>
      <w:proofErr w:type="spellStart"/>
      <w:r>
        <w:t>c</w:t>
      </w:r>
      <w:proofErr w:type="spellEnd"/>
      <w:r>
        <w:t>)</w:t>
      </w:r>
      <w:r w:rsidRPr="00CB2C86">
        <w:tab/>
      </w:r>
      <w:r w:rsidRPr="00CB2C86">
        <w:rPr>
          <w:b/>
        </w:rPr>
        <w:t>Помощь центров</w:t>
      </w:r>
      <w:r w:rsidRPr="00CB2C86">
        <w:t>: Программа адаптации оказывает корректиру</w:t>
      </w:r>
      <w:r w:rsidRPr="00CB2C86">
        <w:t>ю</w:t>
      </w:r>
      <w:r w:rsidRPr="00CB2C86">
        <w:t>щую помощь и методическую поддержку учащимся государственных начал</w:t>
      </w:r>
      <w:r w:rsidRPr="00CB2C86">
        <w:t>ь</w:t>
      </w:r>
      <w:r w:rsidRPr="00CB2C86">
        <w:t>ных и средних школ с проблемами поведения и адаптации, которую оказывают в н</w:t>
      </w:r>
      <w:r w:rsidRPr="00CB2C86">
        <w:t>е</w:t>
      </w:r>
      <w:r w:rsidRPr="00CB2C86">
        <w:t>больших группах учителя-методисты со специальным образованием; и</w:t>
      </w:r>
    </w:p>
    <w:p w:rsidR="00F936A8" w:rsidRPr="00CB2C86" w:rsidRDefault="00F936A8" w:rsidP="005E5107">
      <w:pPr>
        <w:pStyle w:val="SingleTxtGR"/>
      </w:pPr>
      <w:r>
        <w:tab/>
      </w:r>
      <w:proofErr w:type="spellStart"/>
      <w:r>
        <w:t>d</w:t>
      </w:r>
      <w:proofErr w:type="spellEnd"/>
      <w:r>
        <w:t>)</w:t>
      </w:r>
      <w:r w:rsidRPr="00CB2C86">
        <w:tab/>
      </w:r>
      <w:r w:rsidRPr="00CB2C86">
        <w:rPr>
          <w:b/>
        </w:rPr>
        <w:t>Учителя-методисты для учащихся с нарушениями зрения (НЗ) и слуха (НС)</w:t>
      </w:r>
      <w:r w:rsidRPr="00CB2C86">
        <w:t>: Учащиеся с НЗ и НС государственных начальных и средних школ получают помощь соответственно по линии Программы методической помощи (ПМП) и Службы увеличенной помощи (СУП). ПМП состоит из пом</w:t>
      </w:r>
      <w:r w:rsidRPr="00CB2C86">
        <w:t>о</w:t>
      </w:r>
      <w:r w:rsidRPr="00CB2C86">
        <w:t>щи обучению на месте и подготовки материалов, составленных шрифтом Бра</w:t>
      </w:r>
      <w:r w:rsidRPr="00CB2C86">
        <w:t>й</w:t>
      </w:r>
      <w:r w:rsidRPr="00CB2C86">
        <w:t>ля, для учащихся с НЗ, а СУП ставит во главу угла программы корректирующ</w:t>
      </w:r>
      <w:r w:rsidRPr="00CB2C86">
        <w:t>е</w:t>
      </w:r>
      <w:r w:rsidRPr="00CB2C86">
        <w:t>го об</w:t>
      </w:r>
      <w:r w:rsidRPr="00CB2C86">
        <w:t>у</w:t>
      </w:r>
      <w:r w:rsidRPr="00CB2C86">
        <w:t>чения и развития языка для учащихся с НС.</w:t>
      </w:r>
    </w:p>
    <w:p w:rsidR="00F936A8" w:rsidRPr="005E5107" w:rsidRDefault="005E5107" w:rsidP="005E5107">
      <w:pPr>
        <w:spacing w:before="240"/>
        <w:jc w:val="center"/>
        <w:rPr>
          <w:u w:val="single"/>
        </w:rPr>
      </w:pPr>
      <w:r>
        <w:rPr>
          <w:u w:val="single"/>
        </w:rPr>
        <w:tab/>
      </w:r>
      <w:r>
        <w:rPr>
          <w:u w:val="single"/>
        </w:rPr>
        <w:tab/>
      </w:r>
      <w:r>
        <w:rPr>
          <w:u w:val="single"/>
        </w:rPr>
        <w:tab/>
      </w:r>
    </w:p>
    <w:sectPr w:rsidR="00F936A8" w:rsidRPr="005E5107" w:rsidSect="00A10348">
      <w:headerReference w:type="even" r:id="rId9"/>
      <w:headerReference w:type="default" r:id="rId10"/>
      <w:footerReference w:type="even" r:id="rId11"/>
      <w:footerReference w:type="default" r:id="rId12"/>
      <w:footerReference w:type="first" r:id="rId13"/>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8BC" w:rsidRDefault="00F568BC">
      <w:r>
        <w:rPr>
          <w:lang w:val="en-US"/>
        </w:rPr>
        <w:tab/>
      </w:r>
      <w:r>
        <w:separator/>
      </w:r>
    </w:p>
  </w:endnote>
  <w:endnote w:type="continuationSeparator" w:id="0">
    <w:p w:rsidR="00F568BC" w:rsidRDefault="00F5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BC" w:rsidRPr="009A6F4A" w:rsidRDefault="00F568BC">
    <w:pPr>
      <w:pStyle w:val="Footer"/>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lang w:val="en-US"/>
      </w:rPr>
      <w:tab/>
      <w:t>GE.</w:t>
    </w:r>
    <w:r w:rsidRPr="00D511BF">
      <w:rPr>
        <w:lang w:val="en-US"/>
      </w:rPr>
      <w:t>12-44173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BC" w:rsidRPr="009A6F4A" w:rsidRDefault="00F568BC">
    <w:pPr>
      <w:pStyle w:val="Footer"/>
      <w:rPr>
        <w:lang w:val="en-US"/>
      </w:rPr>
    </w:pPr>
    <w:r>
      <w:rPr>
        <w:lang w:val="en-US"/>
      </w:rPr>
      <w:t>GE.</w:t>
    </w:r>
    <w:r w:rsidRPr="00D511BF">
      <w:rPr>
        <w:lang w:val="en-US"/>
      </w:rPr>
      <w:t>12-44173</w:t>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BC" w:rsidRPr="009A6F4A" w:rsidRDefault="00F568BC">
    <w:pPr>
      <w:pStyle w:val="Footer"/>
      <w:rPr>
        <w:sz w:val="20"/>
        <w:lang w:val="en-US"/>
      </w:rPr>
    </w:pPr>
    <w:r>
      <w:rPr>
        <w:sz w:val="20"/>
        <w:lang w:val="en-US"/>
      </w:rPr>
      <w:t>GE.12-44173  (R)  051212  220113</w:t>
    </w:r>
    <w:r>
      <w:rPr>
        <w:sz w:val="20"/>
        <w:lang w:val="en-US"/>
      </w:rPr>
      <w:tab/>
    </w: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8BC" w:rsidRPr="00F71F63" w:rsidRDefault="00F568BC"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F568BC" w:rsidRPr="00F71F63" w:rsidRDefault="00F568BC" w:rsidP="00635E86">
      <w:pPr>
        <w:tabs>
          <w:tab w:val="right" w:pos="2155"/>
        </w:tabs>
        <w:spacing w:after="80" w:line="240" w:lineRule="auto"/>
        <w:rPr>
          <w:u w:val="single"/>
          <w:lang w:val="en-US"/>
        </w:rPr>
      </w:pPr>
      <w:r w:rsidRPr="00F71F63">
        <w:rPr>
          <w:u w:val="single"/>
          <w:lang w:val="en-US"/>
        </w:rPr>
        <w:tab/>
      </w:r>
    </w:p>
    <w:p w:rsidR="00F568BC" w:rsidRPr="00635E86" w:rsidRDefault="00F568BC" w:rsidP="00635E86">
      <w:pPr>
        <w:pStyle w:val="Footer"/>
      </w:pPr>
    </w:p>
  </w:footnote>
  <w:footnote w:id="1">
    <w:p w:rsidR="00F568BC" w:rsidRPr="00D17547" w:rsidRDefault="00F568BC" w:rsidP="00993DAD">
      <w:pPr>
        <w:pStyle w:val="FootnoteText"/>
        <w:rPr>
          <w:lang w:val="ru-RU"/>
        </w:rPr>
      </w:pPr>
      <w:r>
        <w:tab/>
      </w:r>
      <w:r w:rsidRPr="00D17547">
        <w:rPr>
          <w:rStyle w:val="FootnoteReference"/>
          <w:vertAlign w:val="baseline"/>
          <w:lang w:val="ru-RU"/>
        </w:rPr>
        <w:t>*</w:t>
      </w:r>
      <w:r w:rsidRPr="00D17547">
        <w:rPr>
          <w:lang w:val="ru-RU"/>
        </w:rPr>
        <w:t xml:space="preserve"> </w:t>
      </w:r>
      <w:r w:rsidRPr="00D17547">
        <w:rPr>
          <w:lang w:val="ru-RU"/>
        </w:rPr>
        <w:tab/>
      </w:r>
      <w:r w:rsidRPr="00660034">
        <w:rPr>
          <w:lang w:val="ru-RU"/>
        </w:rPr>
        <w:t>В соответствии с информацией, препровожденной государствам-участникам и касающейся обработки их докладов, настоящий документ перед его направлением службам письменного перевода Организации Объединенных Наций официально не редактировался.</w:t>
      </w:r>
    </w:p>
  </w:footnote>
  <w:footnote w:id="2">
    <w:p w:rsidR="00F568BC" w:rsidRPr="00D17547" w:rsidRDefault="00F568BC" w:rsidP="00993DAD">
      <w:pPr>
        <w:pStyle w:val="FootnoteText"/>
        <w:rPr>
          <w:lang w:val="ru-RU"/>
        </w:rPr>
      </w:pPr>
      <w:r>
        <w:rPr>
          <w:lang w:val="ru-RU"/>
        </w:rPr>
        <w:tab/>
      </w:r>
      <w:r w:rsidRPr="00A16A49">
        <w:rPr>
          <w:rStyle w:val="FootnoteReference"/>
          <w:vertAlign w:val="baseline"/>
          <w:lang w:val="ru-RU"/>
        </w:rPr>
        <w:t>**</w:t>
      </w:r>
      <w:r w:rsidRPr="00A16A49">
        <w:rPr>
          <w:lang w:val="ru-RU"/>
        </w:rPr>
        <w:t xml:space="preserve"> </w:t>
      </w:r>
      <w:r>
        <w:rPr>
          <w:lang w:val="ru-RU"/>
        </w:rPr>
        <w:tab/>
        <w:t>Настоящий</w:t>
      </w:r>
      <w:r w:rsidRPr="00B212C1">
        <w:rPr>
          <w:lang w:val="ru-RU"/>
        </w:rPr>
        <w:t xml:space="preserve"> </w:t>
      </w:r>
      <w:r>
        <w:rPr>
          <w:lang w:val="ru-RU"/>
        </w:rPr>
        <w:t>документ</w:t>
      </w:r>
      <w:r w:rsidRPr="00B212C1">
        <w:rPr>
          <w:lang w:val="ru-RU"/>
        </w:rPr>
        <w:t xml:space="preserve"> </w:t>
      </w:r>
      <w:r>
        <w:rPr>
          <w:lang w:val="ru-RU"/>
        </w:rPr>
        <w:t>является</w:t>
      </w:r>
      <w:r w:rsidRPr="00B212C1">
        <w:rPr>
          <w:lang w:val="ru-RU"/>
        </w:rPr>
        <w:t xml:space="preserve"> </w:t>
      </w:r>
      <w:r>
        <w:rPr>
          <w:lang w:val="ru-RU"/>
        </w:rPr>
        <w:t>частью</w:t>
      </w:r>
      <w:r w:rsidRPr="00B212C1">
        <w:rPr>
          <w:lang w:val="ru-RU"/>
        </w:rPr>
        <w:t xml:space="preserve">  </w:t>
      </w:r>
      <w:r>
        <w:rPr>
          <w:lang w:val="ru-RU"/>
        </w:rPr>
        <w:t>доклада государства-участника, который включает доклады Китая</w:t>
      </w:r>
      <w:r w:rsidRPr="00B212C1">
        <w:rPr>
          <w:lang w:val="ru-RU"/>
        </w:rPr>
        <w:t xml:space="preserve"> (</w:t>
      </w:r>
      <w:r w:rsidRPr="00693F9F">
        <w:t>E</w:t>
      </w:r>
      <w:r w:rsidRPr="00B212C1">
        <w:rPr>
          <w:lang w:val="ru-RU"/>
        </w:rPr>
        <w:t>/</w:t>
      </w:r>
      <w:r w:rsidRPr="00693F9F">
        <w:t>C</w:t>
      </w:r>
      <w:r w:rsidRPr="00B212C1">
        <w:rPr>
          <w:lang w:val="ru-RU"/>
        </w:rPr>
        <w:t>.12/</w:t>
      </w:r>
      <w:r w:rsidRPr="00693F9F">
        <w:t>CHN</w:t>
      </w:r>
      <w:r w:rsidRPr="00B212C1">
        <w:rPr>
          <w:lang w:val="ru-RU"/>
        </w:rPr>
        <w:t xml:space="preserve">/2), </w:t>
      </w:r>
      <w:r>
        <w:rPr>
          <w:lang w:val="ru-RU"/>
        </w:rPr>
        <w:t>Макао</w:t>
      </w:r>
      <w:r w:rsidRPr="00B212C1">
        <w:rPr>
          <w:lang w:val="ru-RU"/>
        </w:rPr>
        <w:t xml:space="preserve"> (</w:t>
      </w:r>
      <w:r>
        <w:t>E</w:t>
      </w:r>
      <w:r w:rsidRPr="00B212C1">
        <w:rPr>
          <w:lang w:val="ru-RU"/>
        </w:rPr>
        <w:t>/</w:t>
      </w:r>
      <w:r>
        <w:t>C</w:t>
      </w:r>
      <w:r w:rsidRPr="00B212C1">
        <w:rPr>
          <w:lang w:val="ru-RU"/>
        </w:rPr>
        <w:t>.12/</w:t>
      </w:r>
      <w:r>
        <w:t>CHN</w:t>
      </w:r>
      <w:r w:rsidRPr="00B212C1">
        <w:rPr>
          <w:lang w:val="ru-RU"/>
        </w:rPr>
        <w:t>-</w:t>
      </w:r>
      <w:r>
        <w:t>MAC</w:t>
      </w:r>
      <w:r w:rsidRPr="00B212C1">
        <w:rPr>
          <w:lang w:val="ru-RU"/>
        </w:rPr>
        <w:t xml:space="preserve">/2) </w:t>
      </w:r>
      <w:r>
        <w:rPr>
          <w:lang w:val="ru-RU"/>
        </w:rPr>
        <w:t>и Гонконга</w:t>
      </w:r>
      <w:r w:rsidRPr="00B212C1">
        <w:rPr>
          <w:lang w:val="ru-RU"/>
        </w:rPr>
        <w:t xml:space="preserve"> (</w:t>
      </w:r>
      <w:r>
        <w:t>E</w:t>
      </w:r>
      <w:r w:rsidRPr="00B212C1">
        <w:rPr>
          <w:lang w:val="ru-RU"/>
        </w:rPr>
        <w:t>/</w:t>
      </w:r>
      <w:r>
        <w:t>C</w:t>
      </w:r>
      <w:r w:rsidRPr="00B212C1">
        <w:rPr>
          <w:lang w:val="ru-RU"/>
        </w:rPr>
        <w:t>.12/</w:t>
      </w:r>
      <w:r>
        <w:t>CHN</w:t>
      </w:r>
      <w:r w:rsidRPr="00B212C1">
        <w:rPr>
          <w:lang w:val="ru-RU"/>
        </w:rPr>
        <w:t>-</w:t>
      </w:r>
      <w:r>
        <w:t>HKG</w:t>
      </w:r>
      <w:r w:rsidRPr="00B212C1">
        <w:rPr>
          <w:lang w:val="ru-RU"/>
        </w:rPr>
        <w:t>/3).</w:t>
      </w:r>
    </w:p>
  </w:footnote>
  <w:footnote w:id="3">
    <w:p w:rsidR="00F568BC" w:rsidRPr="00A16A49" w:rsidRDefault="00F568BC" w:rsidP="00993DAD">
      <w:pPr>
        <w:pStyle w:val="FootnoteText"/>
        <w:rPr>
          <w:lang w:val="ru-RU"/>
        </w:rPr>
      </w:pPr>
      <w:r>
        <w:rPr>
          <w:lang w:val="ru-RU"/>
        </w:rPr>
        <w:tab/>
      </w:r>
      <w:r w:rsidRPr="00A16A49">
        <w:rPr>
          <w:rStyle w:val="FootnoteReference"/>
          <w:vertAlign w:val="baseline"/>
          <w:lang w:val="ru-RU"/>
        </w:rPr>
        <w:t>***</w:t>
      </w:r>
      <w:r w:rsidRPr="00A16A49">
        <w:rPr>
          <w:lang w:val="ru-RU"/>
        </w:rPr>
        <w:t xml:space="preserve"> </w:t>
      </w:r>
      <w:r>
        <w:rPr>
          <w:lang w:val="ru-RU"/>
        </w:rPr>
        <w:tab/>
      </w:r>
      <w:r w:rsidRPr="00A16A49">
        <w:rPr>
          <w:lang w:val="ru-RU"/>
        </w:rPr>
        <w:t>Настоящий документ был представлен совместно с общим обновленным базовым документом (HRI/CORE/CHN-HKG/2010).</w:t>
      </w:r>
    </w:p>
  </w:footnote>
  <w:footnote w:id="4">
    <w:p w:rsidR="00F568BC" w:rsidRPr="002D3C7C" w:rsidRDefault="00F568BC" w:rsidP="00993DAD">
      <w:pPr>
        <w:pStyle w:val="FootnoteText"/>
        <w:rPr>
          <w:lang w:val="ru-RU"/>
        </w:rPr>
      </w:pPr>
      <w:r w:rsidRPr="00B212C1">
        <w:rPr>
          <w:lang w:val="ru-RU"/>
        </w:rPr>
        <w:tab/>
      </w:r>
      <w:r>
        <w:rPr>
          <w:rStyle w:val="FootnoteReference"/>
        </w:rPr>
        <w:footnoteRef/>
      </w:r>
      <w:r w:rsidRPr="002D3C7C">
        <w:rPr>
          <w:lang w:val="ru-RU"/>
        </w:rPr>
        <w:t xml:space="preserve"> </w:t>
      </w:r>
      <w:r w:rsidRPr="002D3C7C">
        <w:rPr>
          <w:lang w:val="ru-RU"/>
        </w:rPr>
        <w:tab/>
      </w:r>
      <w:r>
        <w:rPr>
          <w:lang w:val="ru-RU"/>
        </w:rPr>
        <w:t>Ссылка</w:t>
      </w:r>
      <w:r w:rsidRPr="002D3C7C">
        <w:rPr>
          <w:lang w:val="ru-RU"/>
        </w:rPr>
        <w:t xml:space="preserve"> </w:t>
      </w:r>
      <w:r>
        <w:rPr>
          <w:lang w:val="ru-RU"/>
        </w:rPr>
        <w:t>на</w:t>
      </w:r>
      <w:r w:rsidRPr="002D3C7C">
        <w:rPr>
          <w:lang w:val="ru-RU"/>
        </w:rPr>
        <w:t xml:space="preserve"> </w:t>
      </w:r>
      <w:r>
        <w:rPr>
          <w:lang w:val="ru-RU"/>
        </w:rPr>
        <w:t>пункты</w:t>
      </w:r>
      <w:r w:rsidRPr="002D3C7C">
        <w:rPr>
          <w:lang w:val="ru-RU"/>
        </w:rPr>
        <w:t xml:space="preserve"> </w:t>
      </w:r>
      <w:r>
        <w:rPr>
          <w:lang w:val="ru-RU"/>
        </w:rPr>
        <w:t>предыдущего</w:t>
      </w:r>
      <w:r w:rsidRPr="002D3C7C">
        <w:rPr>
          <w:lang w:val="ru-RU"/>
        </w:rPr>
        <w:t xml:space="preserve"> </w:t>
      </w:r>
      <w:r>
        <w:rPr>
          <w:lang w:val="ru-RU"/>
        </w:rPr>
        <w:t>доклада</w:t>
      </w:r>
      <w:r w:rsidRPr="002D3C7C">
        <w:rPr>
          <w:lang w:val="ru-RU"/>
        </w:rPr>
        <w:t xml:space="preserve"> (</w:t>
      </w:r>
      <w:r>
        <w:rPr>
          <w:lang w:val="en-US"/>
        </w:rPr>
        <w:t>E</w:t>
      </w:r>
      <w:r w:rsidRPr="002D3C7C">
        <w:rPr>
          <w:lang w:val="ru-RU"/>
        </w:rPr>
        <w:t>/1990/5/</w:t>
      </w:r>
      <w:r>
        <w:rPr>
          <w:lang w:val="en-US"/>
        </w:rPr>
        <w:t>Add</w:t>
      </w:r>
      <w:r w:rsidRPr="002D3C7C">
        <w:rPr>
          <w:lang w:val="ru-RU"/>
        </w:rPr>
        <w:t xml:space="preserve">.43) </w:t>
      </w:r>
      <w:r>
        <w:rPr>
          <w:lang w:val="ru-RU"/>
        </w:rPr>
        <w:t>означает</w:t>
      </w:r>
      <w:r w:rsidRPr="002D3C7C">
        <w:rPr>
          <w:lang w:val="ru-RU"/>
        </w:rPr>
        <w:t xml:space="preserve"> </w:t>
      </w:r>
      <w:r>
        <w:rPr>
          <w:lang w:val="ru-RU"/>
        </w:rPr>
        <w:t>ссылку</w:t>
      </w:r>
      <w:r w:rsidRPr="002D3C7C">
        <w:rPr>
          <w:lang w:val="ru-RU"/>
        </w:rPr>
        <w:t xml:space="preserve"> </w:t>
      </w:r>
      <w:r>
        <w:rPr>
          <w:lang w:val="ru-RU"/>
        </w:rPr>
        <w:t>на первоначальный</w:t>
      </w:r>
      <w:r w:rsidRPr="002D3C7C">
        <w:rPr>
          <w:lang w:val="ru-RU"/>
        </w:rPr>
        <w:t xml:space="preserve"> </w:t>
      </w:r>
      <w:r>
        <w:rPr>
          <w:lang w:val="ru-RU"/>
        </w:rPr>
        <w:t>доклад</w:t>
      </w:r>
      <w:r w:rsidRPr="002D3C7C">
        <w:rPr>
          <w:lang w:val="ru-RU"/>
        </w:rPr>
        <w:t xml:space="preserve"> </w:t>
      </w:r>
      <w:r>
        <w:rPr>
          <w:lang w:val="ru-RU"/>
        </w:rPr>
        <w:t>государства</w:t>
      </w:r>
      <w:r w:rsidRPr="002D3C7C">
        <w:rPr>
          <w:lang w:val="ru-RU"/>
        </w:rPr>
        <w:t>-</w:t>
      </w:r>
      <w:r>
        <w:rPr>
          <w:lang w:val="ru-RU"/>
        </w:rPr>
        <w:t>участника</w:t>
      </w:r>
      <w:r w:rsidRPr="002D3C7C">
        <w:rPr>
          <w:lang w:val="ru-RU"/>
        </w:rPr>
        <w:t xml:space="preserve">, </w:t>
      </w:r>
      <w:r>
        <w:rPr>
          <w:lang w:val="ru-RU"/>
        </w:rPr>
        <w:t>с</w:t>
      </w:r>
      <w:r w:rsidRPr="002D3C7C">
        <w:rPr>
          <w:lang w:val="ru-RU"/>
        </w:rPr>
        <w:t xml:space="preserve"> </w:t>
      </w:r>
      <w:r>
        <w:rPr>
          <w:lang w:val="ru-RU"/>
        </w:rPr>
        <w:t>которым</w:t>
      </w:r>
      <w:r w:rsidRPr="002D3C7C">
        <w:rPr>
          <w:lang w:val="ru-RU"/>
        </w:rPr>
        <w:t xml:space="preserve"> </w:t>
      </w:r>
      <w:r>
        <w:rPr>
          <w:lang w:val="ru-RU"/>
        </w:rPr>
        <w:t>можно</w:t>
      </w:r>
      <w:r w:rsidRPr="002D3C7C">
        <w:rPr>
          <w:lang w:val="ru-RU"/>
        </w:rPr>
        <w:t xml:space="preserve"> </w:t>
      </w:r>
      <w:r>
        <w:rPr>
          <w:lang w:val="ru-RU"/>
        </w:rPr>
        <w:t>ознакомиться в</w:t>
      </w:r>
      <w:r w:rsidRPr="002D3C7C">
        <w:rPr>
          <w:lang w:val="ru-RU"/>
        </w:rPr>
        <w:t xml:space="preserve"> </w:t>
      </w:r>
      <w:r>
        <w:rPr>
          <w:lang w:val="ru-RU"/>
        </w:rPr>
        <w:t>архиве</w:t>
      </w:r>
      <w:r w:rsidRPr="002D3C7C">
        <w:rPr>
          <w:lang w:val="ru-RU"/>
        </w:rPr>
        <w:t xml:space="preserve"> </w:t>
      </w:r>
      <w:r>
        <w:rPr>
          <w:lang w:val="ru-RU"/>
        </w:rPr>
        <w:t>Секретариата</w:t>
      </w:r>
      <w:r w:rsidRPr="002D3C7C">
        <w:rPr>
          <w:lang w:val="ru-RU"/>
        </w:rPr>
        <w:t xml:space="preserve">. </w:t>
      </w:r>
    </w:p>
  </w:footnote>
  <w:footnote w:id="5">
    <w:p w:rsidR="00F568BC" w:rsidRPr="00035DF1" w:rsidRDefault="00F568BC" w:rsidP="00993DAD">
      <w:pPr>
        <w:pStyle w:val="FootnoteText"/>
        <w:rPr>
          <w:rFonts w:eastAsia="DFKai-SB"/>
          <w:szCs w:val="24"/>
          <w:lang w:val="ru-RU"/>
        </w:rPr>
      </w:pPr>
      <w:r w:rsidRPr="002D3C7C">
        <w:rPr>
          <w:rStyle w:val="XLargeGR"/>
          <w:rFonts w:eastAsia="DFKai-SB"/>
          <w:sz w:val="24"/>
          <w:szCs w:val="24"/>
          <w:lang w:val="ru-RU"/>
        </w:rPr>
        <w:tab/>
      </w:r>
      <w:r w:rsidRPr="006E3C4B">
        <w:rPr>
          <w:rStyle w:val="FootnoteReference"/>
          <w:rFonts w:eastAsia="DFKai-SB"/>
        </w:rPr>
        <w:footnoteRef/>
      </w:r>
      <w:r w:rsidRPr="009058FE">
        <w:rPr>
          <w:rFonts w:eastAsia="DFKai-SB"/>
          <w:lang w:val="ru-RU"/>
        </w:rPr>
        <w:tab/>
      </w:r>
      <w:r>
        <w:rPr>
          <w:rFonts w:eastAsia="DFKai-SB"/>
          <w:lang w:val="ru-RU"/>
        </w:rPr>
        <w:t>Под</w:t>
      </w:r>
      <w:r w:rsidRPr="009058FE">
        <w:rPr>
          <w:rFonts w:eastAsia="DFKai-SB"/>
          <w:lang w:val="ru-RU"/>
        </w:rPr>
        <w:t xml:space="preserve"> </w:t>
      </w:r>
      <w:r>
        <w:rPr>
          <w:rFonts w:eastAsia="DFKai-SB"/>
          <w:lang w:val="ru-RU"/>
        </w:rPr>
        <w:t>термином</w:t>
      </w:r>
      <w:r w:rsidRPr="009058FE">
        <w:rPr>
          <w:rFonts w:eastAsia="DFKai-SB"/>
          <w:lang w:val="ru-RU"/>
        </w:rPr>
        <w:t xml:space="preserve"> </w:t>
      </w:r>
      <w:r>
        <w:rPr>
          <w:rFonts w:eastAsia="DFKai-SB"/>
          <w:lang w:val="ru-RU"/>
        </w:rPr>
        <w:t>"конкретные</w:t>
      </w:r>
      <w:r w:rsidRPr="009058FE">
        <w:rPr>
          <w:rFonts w:eastAsia="DFKai-SB"/>
          <w:lang w:val="ru-RU"/>
        </w:rPr>
        <w:t xml:space="preserve"> </w:t>
      </w:r>
      <w:r>
        <w:rPr>
          <w:rFonts w:eastAsia="DFKai-SB"/>
          <w:lang w:val="ru-RU"/>
        </w:rPr>
        <w:t>запросы</w:t>
      </w:r>
      <w:r w:rsidRPr="009058FE">
        <w:rPr>
          <w:rFonts w:eastAsia="DFKai-SB"/>
          <w:lang w:val="ru-RU"/>
        </w:rPr>
        <w:t xml:space="preserve"> (</w:t>
      </w:r>
      <w:r>
        <w:rPr>
          <w:rFonts w:eastAsia="DFKai-SB"/>
          <w:lang w:val="ru-RU"/>
        </w:rPr>
        <w:t>потенциальные</w:t>
      </w:r>
      <w:r w:rsidRPr="009058FE">
        <w:rPr>
          <w:rFonts w:eastAsia="DFKai-SB"/>
          <w:lang w:val="ru-RU"/>
        </w:rPr>
        <w:t xml:space="preserve"> </w:t>
      </w:r>
      <w:r>
        <w:rPr>
          <w:rFonts w:eastAsia="DFKai-SB"/>
          <w:lang w:val="ru-RU"/>
        </w:rPr>
        <w:t>жалобы</w:t>
      </w:r>
      <w:r w:rsidRPr="009058FE">
        <w:rPr>
          <w:rFonts w:eastAsia="DFKai-SB"/>
          <w:lang w:val="ru-RU"/>
        </w:rPr>
        <w:t>)</w:t>
      </w:r>
      <w:r>
        <w:rPr>
          <w:rFonts w:eastAsia="DFKai-SB"/>
          <w:lang w:val="ru-RU"/>
        </w:rPr>
        <w:t>"</w:t>
      </w:r>
      <w:r w:rsidRPr="009058FE">
        <w:rPr>
          <w:rFonts w:eastAsia="DFKai-SB"/>
          <w:lang w:val="ru-RU"/>
        </w:rPr>
        <w:t xml:space="preserve"> </w:t>
      </w:r>
      <w:r>
        <w:rPr>
          <w:rFonts w:eastAsia="DFKai-SB"/>
          <w:lang w:val="ru-RU"/>
        </w:rPr>
        <w:t>понимаются запросы, которые КРВ расценивает как потенциальные жалобы. Он</w:t>
      </w:r>
      <w:r w:rsidRPr="00035DF1">
        <w:rPr>
          <w:rFonts w:eastAsia="DFKai-SB"/>
          <w:lang w:val="ru-RU"/>
        </w:rPr>
        <w:t xml:space="preserve"> </w:t>
      </w:r>
      <w:r>
        <w:rPr>
          <w:rFonts w:eastAsia="DFKai-SB"/>
          <w:lang w:val="ru-RU"/>
        </w:rPr>
        <w:t>имеет</w:t>
      </w:r>
      <w:r w:rsidRPr="00035DF1">
        <w:rPr>
          <w:rFonts w:eastAsia="DFKai-SB"/>
          <w:lang w:val="ru-RU"/>
        </w:rPr>
        <w:t xml:space="preserve"> </w:t>
      </w:r>
      <w:r>
        <w:rPr>
          <w:rFonts w:eastAsia="DFKai-SB"/>
          <w:lang w:val="ru-RU"/>
        </w:rPr>
        <w:t>то же</w:t>
      </w:r>
      <w:r w:rsidRPr="00035DF1">
        <w:rPr>
          <w:rFonts w:eastAsia="DFKai-SB"/>
          <w:lang w:val="ru-RU"/>
        </w:rPr>
        <w:t xml:space="preserve"> </w:t>
      </w:r>
      <w:r>
        <w:rPr>
          <w:rFonts w:eastAsia="DFKai-SB"/>
          <w:lang w:val="ru-RU"/>
        </w:rPr>
        <w:t>значение,</w:t>
      </w:r>
      <w:r w:rsidRPr="00035DF1">
        <w:rPr>
          <w:rFonts w:eastAsia="DFKai-SB"/>
          <w:lang w:val="ru-RU"/>
        </w:rPr>
        <w:t xml:space="preserve"> </w:t>
      </w:r>
      <w:r>
        <w:rPr>
          <w:rFonts w:eastAsia="DFKai-SB"/>
          <w:lang w:val="ru-RU"/>
        </w:rPr>
        <w:t>что</w:t>
      </w:r>
      <w:r w:rsidRPr="00035DF1">
        <w:rPr>
          <w:rFonts w:eastAsia="DFKai-SB"/>
          <w:lang w:val="ru-RU"/>
        </w:rPr>
        <w:t xml:space="preserve"> </w:t>
      </w:r>
      <w:r>
        <w:rPr>
          <w:rFonts w:eastAsia="DFKai-SB"/>
          <w:lang w:val="ru-RU"/>
        </w:rPr>
        <w:t>и</w:t>
      </w:r>
      <w:r w:rsidRPr="00035DF1">
        <w:rPr>
          <w:rFonts w:eastAsia="DFKai-SB"/>
          <w:lang w:val="ru-RU"/>
        </w:rPr>
        <w:t xml:space="preserve"> </w:t>
      </w:r>
      <w:r>
        <w:rPr>
          <w:rFonts w:eastAsia="DFKai-SB"/>
          <w:lang w:val="ru-RU"/>
        </w:rPr>
        <w:t>термин</w:t>
      </w:r>
      <w:r w:rsidRPr="00035DF1">
        <w:rPr>
          <w:rFonts w:eastAsia="DFKai-SB"/>
          <w:lang w:val="ru-RU"/>
        </w:rPr>
        <w:t xml:space="preserve"> </w:t>
      </w:r>
      <w:r>
        <w:rPr>
          <w:rFonts w:eastAsia="DFKai-SB"/>
          <w:lang w:val="ru-RU"/>
        </w:rPr>
        <w:t>"конкретные</w:t>
      </w:r>
      <w:r w:rsidRPr="00035DF1">
        <w:rPr>
          <w:rFonts w:eastAsia="DFKai-SB"/>
          <w:lang w:val="ru-RU"/>
        </w:rPr>
        <w:t xml:space="preserve"> </w:t>
      </w:r>
      <w:r>
        <w:rPr>
          <w:rFonts w:eastAsia="DFKai-SB"/>
          <w:lang w:val="ru-RU"/>
        </w:rPr>
        <w:t>запросы"</w:t>
      </w:r>
      <w:r w:rsidRPr="00035DF1">
        <w:rPr>
          <w:rFonts w:eastAsia="DFKai-SB"/>
          <w:lang w:val="ru-RU"/>
        </w:rPr>
        <w:t xml:space="preserve"> </w:t>
      </w:r>
      <w:r>
        <w:rPr>
          <w:rFonts w:eastAsia="DFKai-SB"/>
          <w:lang w:val="ru-RU"/>
        </w:rPr>
        <w:t xml:space="preserve">в пункте </w:t>
      </w:r>
      <w:r w:rsidRPr="00035DF1">
        <w:rPr>
          <w:rFonts w:eastAsia="DFKai-SB"/>
          <w:lang w:val="ru-RU"/>
        </w:rPr>
        <w:t xml:space="preserve">12.52 </w:t>
      </w:r>
      <w:r>
        <w:rPr>
          <w:rFonts w:eastAsia="DFKai-SB"/>
          <w:lang w:val="ru-RU"/>
        </w:rPr>
        <w:t>предыдущего доклада</w:t>
      </w:r>
      <w:r w:rsidRPr="00035DF1">
        <w:rPr>
          <w:rFonts w:eastAsia="DFKai-SB"/>
          <w:lang w:val="ru-RU"/>
        </w:rPr>
        <w:t>.</w:t>
      </w:r>
    </w:p>
  </w:footnote>
  <w:footnote w:id="6">
    <w:p w:rsidR="00F568BC" w:rsidRPr="003160F8" w:rsidRDefault="00F568BC" w:rsidP="00993DAD">
      <w:pPr>
        <w:pStyle w:val="FootnoteText"/>
        <w:widowControl w:val="0"/>
        <w:tabs>
          <w:tab w:val="clear" w:pos="1021"/>
          <w:tab w:val="right" w:pos="1020"/>
        </w:tabs>
        <w:rPr>
          <w:lang w:val="ru-RU"/>
        </w:rPr>
      </w:pPr>
      <w:r w:rsidRPr="00035DF1">
        <w:rPr>
          <w:lang w:val="ru-RU"/>
        </w:rPr>
        <w:tab/>
      </w:r>
      <w:r>
        <w:rPr>
          <w:rStyle w:val="FootnoteReference"/>
        </w:rPr>
        <w:footnoteRef/>
      </w:r>
      <w:r w:rsidRPr="003160F8">
        <w:rPr>
          <w:lang w:val="ru-RU"/>
        </w:rPr>
        <w:tab/>
      </w:r>
      <w:r>
        <w:rPr>
          <w:lang w:val="ru-RU"/>
        </w:rPr>
        <w:t>В</w:t>
      </w:r>
      <w:r w:rsidRPr="003160F8">
        <w:rPr>
          <w:lang w:val="ru-RU"/>
        </w:rPr>
        <w:t xml:space="preserve"> </w:t>
      </w:r>
      <w:r>
        <w:rPr>
          <w:lang w:val="ru-RU"/>
        </w:rPr>
        <w:t>соответствии</w:t>
      </w:r>
      <w:r w:rsidRPr="003160F8">
        <w:rPr>
          <w:lang w:val="ru-RU"/>
        </w:rPr>
        <w:t xml:space="preserve"> </w:t>
      </w:r>
      <w:r>
        <w:rPr>
          <w:lang w:val="ru-RU"/>
        </w:rPr>
        <w:t>с</w:t>
      </w:r>
      <w:r w:rsidRPr="003160F8">
        <w:rPr>
          <w:lang w:val="ru-RU"/>
        </w:rPr>
        <w:t xml:space="preserve"> </w:t>
      </w:r>
      <w:r>
        <w:rPr>
          <w:lang w:val="ru-RU"/>
        </w:rPr>
        <w:t>Указом</w:t>
      </w:r>
      <w:r w:rsidRPr="003160F8">
        <w:rPr>
          <w:lang w:val="ru-RU"/>
        </w:rPr>
        <w:t xml:space="preserve"> </w:t>
      </w:r>
      <w:r>
        <w:rPr>
          <w:lang w:val="ru-RU"/>
        </w:rPr>
        <w:t>о</w:t>
      </w:r>
      <w:r w:rsidRPr="003160F8">
        <w:rPr>
          <w:lang w:val="ru-RU"/>
        </w:rPr>
        <w:t xml:space="preserve"> </w:t>
      </w:r>
      <w:r>
        <w:rPr>
          <w:lang w:val="ru-RU"/>
        </w:rPr>
        <w:t>занятости</w:t>
      </w:r>
      <w:r w:rsidRPr="003160F8">
        <w:rPr>
          <w:lang w:val="ru-RU"/>
        </w:rPr>
        <w:t xml:space="preserve"> </w:t>
      </w:r>
      <w:r>
        <w:rPr>
          <w:lang w:val="ru-RU"/>
        </w:rPr>
        <w:t>работник</w:t>
      </w:r>
      <w:r w:rsidRPr="003160F8">
        <w:rPr>
          <w:lang w:val="ru-RU"/>
        </w:rPr>
        <w:t xml:space="preserve">, </w:t>
      </w:r>
      <w:r>
        <w:rPr>
          <w:lang w:val="ru-RU"/>
        </w:rPr>
        <w:t>нанятый</w:t>
      </w:r>
      <w:r w:rsidRPr="003160F8">
        <w:rPr>
          <w:lang w:val="ru-RU"/>
        </w:rPr>
        <w:t xml:space="preserve"> </w:t>
      </w:r>
      <w:r>
        <w:rPr>
          <w:lang w:val="ru-RU"/>
        </w:rPr>
        <w:t>по</w:t>
      </w:r>
      <w:r w:rsidRPr="003160F8">
        <w:rPr>
          <w:lang w:val="ru-RU"/>
        </w:rPr>
        <w:t xml:space="preserve"> </w:t>
      </w:r>
      <w:r>
        <w:rPr>
          <w:lang w:val="ru-RU"/>
        </w:rPr>
        <w:t>"постоянному</w:t>
      </w:r>
      <w:r w:rsidRPr="003160F8">
        <w:rPr>
          <w:lang w:val="ru-RU"/>
        </w:rPr>
        <w:t xml:space="preserve"> </w:t>
      </w:r>
      <w:r>
        <w:rPr>
          <w:lang w:val="ru-RU"/>
        </w:rPr>
        <w:t>договору",</w:t>
      </w:r>
      <w:r w:rsidRPr="003160F8">
        <w:rPr>
          <w:lang w:val="ru-RU"/>
        </w:rPr>
        <w:t xml:space="preserve"> </w:t>
      </w:r>
      <w:r>
        <w:rPr>
          <w:lang w:val="ru-RU"/>
        </w:rPr>
        <w:t>определяется</w:t>
      </w:r>
      <w:r w:rsidRPr="003160F8">
        <w:rPr>
          <w:lang w:val="ru-RU"/>
        </w:rPr>
        <w:t xml:space="preserve"> </w:t>
      </w:r>
      <w:r>
        <w:rPr>
          <w:lang w:val="ru-RU"/>
        </w:rPr>
        <w:t>как</w:t>
      </w:r>
      <w:r w:rsidRPr="003160F8">
        <w:rPr>
          <w:lang w:val="ru-RU"/>
        </w:rPr>
        <w:t xml:space="preserve"> </w:t>
      </w:r>
      <w:r>
        <w:rPr>
          <w:lang w:val="ru-RU"/>
        </w:rPr>
        <w:t>работник</w:t>
      </w:r>
      <w:r w:rsidRPr="003160F8">
        <w:rPr>
          <w:lang w:val="ru-RU"/>
        </w:rPr>
        <w:t xml:space="preserve">, </w:t>
      </w:r>
      <w:r>
        <w:rPr>
          <w:lang w:val="ru-RU"/>
        </w:rPr>
        <w:t>который</w:t>
      </w:r>
      <w:r w:rsidRPr="003160F8">
        <w:rPr>
          <w:lang w:val="ru-RU"/>
        </w:rPr>
        <w:t xml:space="preserve"> </w:t>
      </w:r>
      <w:r>
        <w:rPr>
          <w:lang w:val="ru-RU"/>
        </w:rPr>
        <w:t>был</w:t>
      </w:r>
      <w:r w:rsidRPr="003160F8">
        <w:rPr>
          <w:lang w:val="ru-RU"/>
        </w:rPr>
        <w:t xml:space="preserve"> </w:t>
      </w:r>
      <w:r>
        <w:rPr>
          <w:lang w:val="ru-RU"/>
        </w:rPr>
        <w:t>нанят</w:t>
      </w:r>
      <w:r w:rsidRPr="003160F8">
        <w:rPr>
          <w:lang w:val="ru-RU"/>
        </w:rPr>
        <w:t xml:space="preserve"> </w:t>
      </w:r>
      <w:r>
        <w:rPr>
          <w:lang w:val="ru-RU"/>
        </w:rPr>
        <w:t>по</w:t>
      </w:r>
      <w:r w:rsidRPr="003160F8">
        <w:rPr>
          <w:lang w:val="ru-RU"/>
        </w:rPr>
        <w:t xml:space="preserve"> </w:t>
      </w:r>
      <w:r>
        <w:rPr>
          <w:lang w:val="ru-RU"/>
        </w:rPr>
        <w:t>трудовому</w:t>
      </w:r>
      <w:r w:rsidRPr="003160F8">
        <w:rPr>
          <w:lang w:val="ru-RU"/>
        </w:rPr>
        <w:t xml:space="preserve"> </w:t>
      </w:r>
      <w:r>
        <w:rPr>
          <w:lang w:val="ru-RU"/>
        </w:rPr>
        <w:t>договору</w:t>
      </w:r>
      <w:r w:rsidRPr="003160F8">
        <w:rPr>
          <w:lang w:val="ru-RU"/>
        </w:rPr>
        <w:t xml:space="preserve"> </w:t>
      </w:r>
      <w:r>
        <w:rPr>
          <w:lang w:val="ru-RU"/>
        </w:rPr>
        <w:t>тем же самым работодателем сроком на четыре недели или больше и работал 18 часов или больше каждую неделю</w:t>
      </w:r>
      <w:r w:rsidRPr="003160F8">
        <w:rPr>
          <w:lang w:val="ru-RU"/>
        </w:rPr>
        <w:t>.</w:t>
      </w:r>
    </w:p>
  </w:footnote>
  <w:footnote w:id="7">
    <w:p w:rsidR="00F568BC" w:rsidRPr="006C595E" w:rsidRDefault="00F568BC" w:rsidP="00993DAD">
      <w:pPr>
        <w:pStyle w:val="FootnoteText"/>
        <w:widowControl w:val="0"/>
        <w:tabs>
          <w:tab w:val="clear" w:pos="1021"/>
          <w:tab w:val="right" w:pos="1020"/>
        </w:tabs>
        <w:rPr>
          <w:lang w:val="ru-RU"/>
        </w:rPr>
      </w:pPr>
      <w:r w:rsidRPr="003160F8">
        <w:rPr>
          <w:lang w:val="ru-RU"/>
        </w:rPr>
        <w:tab/>
      </w:r>
      <w:r>
        <w:rPr>
          <w:rStyle w:val="FootnoteReference"/>
        </w:rPr>
        <w:footnoteRef/>
      </w:r>
      <w:r w:rsidRPr="009B0944">
        <w:rPr>
          <w:lang w:val="ru-RU"/>
        </w:rPr>
        <w:tab/>
      </w:r>
      <w:r>
        <w:rPr>
          <w:lang w:val="ru-RU"/>
        </w:rPr>
        <w:t>Департамент</w:t>
      </w:r>
      <w:r w:rsidRPr="009B0944">
        <w:rPr>
          <w:lang w:val="ru-RU"/>
        </w:rPr>
        <w:t xml:space="preserve"> </w:t>
      </w:r>
      <w:r>
        <w:rPr>
          <w:lang w:val="ru-RU"/>
        </w:rPr>
        <w:t>труда</w:t>
      </w:r>
      <w:r w:rsidRPr="009B0944">
        <w:rPr>
          <w:rFonts w:hint="eastAsia"/>
          <w:lang w:val="ru-RU"/>
        </w:rPr>
        <w:t xml:space="preserve"> </w:t>
      </w:r>
      <w:r>
        <w:rPr>
          <w:lang w:val="ru-RU"/>
        </w:rPr>
        <w:t>создал</w:t>
      </w:r>
      <w:r w:rsidRPr="009B0944">
        <w:rPr>
          <w:lang w:val="ru-RU"/>
        </w:rPr>
        <w:t xml:space="preserve"> </w:t>
      </w:r>
      <w:r>
        <w:rPr>
          <w:lang w:val="ru-RU"/>
        </w:rPr>
        <w:t>девять</w:t>
      </w:r>
      <w:r w:rsidRPr="009B0944">
        <w:rPr>
          <w:lang w:val="ru-RU"/>
        </w:rPr>
        <w:t xml:space="preserve"> </w:t>
      </w:r>
      <w:r>
        <w:rPr>
          <w:lang w:val="ru-RU"/>
        </w:rPr>
        <w:t>профильных</w:t>
      </w:r>
      <w:r w:rsidRPr="009B0944">
        <w:rPr>
          <w:lang w:val="ru-RU"/>
        </w:rPr>
        <w:t xml:space="preserve"> </w:t>
      </w:r>
      <w:r>
        <w:rPr>
          <w:lang w:val="ru-RU"/>
        </w:rPr>
        <w:t>трехсторонних</w:t>
      </w:r>
      <w:r w:rsidRPr="009B0944">
        <w:rPr>
          <w:lang w:val="ru-RU"/>
        </w:rPr>
        <w:t xml:space="preserve"> </w:t>
      </w:r>
      <w:r>
        <w:rPr>
          <w:lang w:val="ru-RU"/>
        </w:rPr>
        <w:t>комитетов</w:t>
      </w:r>
      <w:r w:rsidRPr="009B0944">
        <w:rPr>
          <w:lang w:val="ru-RU"/>
        </w:rPr>
        <w:t xml:space="preserve">, </w:t>
      </w:r>
      <w:r>
        <w:rPr>
          <w:lang w:val="ru-RU"/>
        </w:rPr>
        <w:t>охватывающих</w:t>
      </w:r>
      <w:r w:rsidRPr="009B0944">
        <w:rPr>
          <w:lang w:val="ru-RU"/>
        </w:rPr>
        <w:t xml:space="preserve"> </w:t>
      </w:r>
      <w:r>
        <w:rPr>
          <w:lang w:val="ru-RU"/>
        </w:rPr>
        <w:t>секторы</w:t>
      </w:r>
      <w:r w:rsidRPr="009B0944">
        <w:rPr>
          <w:lang w:val="ru-RU"/>
        </w:rPr>
        <w:t xml:space="preserve"> </w:t>
      </w:r>
      <w:r>
        <w:rPr>
          <w:lang w:val="ru-RU"/>
        </w:rPr>
        <w:t>общественного</w:t>
      </w:r>
      <w:r w:rsidRPr="009B0944">
        <w:rPr>
          <w:lang w:val="ru-RU"/>
        </w:rPr>
        <w:t xml:space="preserve"> </w:t>
      </w:r>
      <w:r>
        <w:rPr>
          <w:lang w:val="ru-RU"/>
        </w:rPr>
        <w:t>питания</w:t>
      </w:r>
      <w:r w:rsidRPr="009B0944">
        <w:rPr>
          <w:lang w:val="ru-RU"/>
        </w:rPr>
        <w:t>,</w:t>
      </w:r>
      <w:r>
        <w:rPr>
          <w:lang w:val="ru-RU"/>
        </w:rPr>
        <w:t xml:space="preserve"> управления недвижимостью, розничной торговли, строительства, гостиничного хозяйства и туризма</w:t>
      </w:r>
      <w:r w:rsidRPr="009B0944">
        <w:rPr>
          <w:lang w:val="ru-RU"/>
        </w:rPr>
        <w:t xml:space="preserve">, </w:t>
      </w:r>
      <w:r>
        <w:rPr>
          <w:lang w:val="ru-RU"/>
        </w:rPr>
        <w:t>материально-технического обеспечения,</w:t>
      </w:r>
      <w:r w:rsidRPr="009B0944">
        <w:rPr>
          <w:lang w:val="ru-RU"/>
        </w:rPr>
        <w:t xml:space="preserve"> </w:t>
      </w:r>
      <w:r>
        <w:rPr>
          <w:lang w:val="ru-RU"/>
        </w:rPr>
        <w:t>полиграфии</w:t>
      </w:r>
      <w:r w:rsidRPr="009B0944">
        <w:rPr>
          <w:rFonts w:hint="eastAsia"/>
          <w:lang w:val="ru-RU"/>
        </w:rPr>
        <w:t>,</w:t>
      </w:r>
      <w:r w:rsidRPr="009B0944">
        <w:rPr>
          <w:lang w:val="ru-RU"/>
        </w:rPr>
        <w:t xml:space="preserve"> </w:t>
      </w:r>
      <w:r>
        <w:rPr>
          <w:lang w:val="ru-RU"/>
        </w:rPr>
        <w:t>производства цемента и бетона, а также театрального бизнеса</w:t>
      </w:r>
      <w:r w:rsidRPr="009B0944">
        <w:rPr>
          <w:lang w:val="ru-RU"/>
        </w:rPr>
        <w:t>.</w:t>
      </w:r>
      <w:r w:rsidRPr="009B0944">
        <w:rPr>
          <w:rFonts w:hint="eastAsia"/>
          <w:lang w:val="ru-RU"/>
        </w:rPr>
        <w:t xml:space="preserve"> </w:t>
      </w:r>
      <w:r>
        <w:rPr>
          <w:lang w:val="ru-RU"/>
        </w:rPr>
        <w:t>Путем</w:t>
      </w:r>
      <w:r w:rsidRPr="006C595E">
        <w:rPr>
          <w:lang w:val="ru-RU"/>
        </w:rPr>
        <w:t xml:space="preserve"> </w:t>
      </w:r>
      <w:r>
        <w:rPr>
          <w:lang w:val="ru-RU"/>
        </w:rPr>
        <w:t>совещаний</w:t>
      </w:r>
      <w:r w:rsidRPr="006C595E">
        <w:rPr>
          <w:lang w:val="ru-RU"/>
        </w:rPr>
        <w:t xml:space="preserve"> </w:t>
      </w:r>
      <w:r>
        <w:rPr>
          <w:lang w:val="ru-RU"/>
        </w:rPr>
        <w:t>этих</w:t>
      </w:r>
      <w:r w:rsidRPr="006C595E">
        <w:rPr>
          <w:lang w:val="ru-RU"/>
        </w:rPr>
        <w:t xml:space="preserve"> </w:t>
      </w:r>
      <w:r>
        <w:rPr>
          <w:lang w:val="ru-RU"/>
        </w:rPr>
        <w:t>комитетов</w:t>
      </w:r>
      <w:r w:rsidRPr="006C595E">
        <w:rPr>
          <w:lang w:val="ru-RU"/>
        </w:rPr>
        <w:t xml:space="preserve"> </w:t>
      </w:r>
      <w:r>
        <w:rPr>
          <w:lang w:val="ru-RU"/>
        </w:rPr>
        <w:t>Департамент</w:t>
      </w:r>
      <w:r w:rsidRPr="006C595E">
        <w:rPr>
          <w:lang w:val="ru-RU"/>
        </w:rPr>
        <w:t xml:space="preserve"> </w:t>
      </w:r>
      <w:r>
        <w:rPr>
          <w:lang w:val="ru-RU"/>
        </w:rPr>
        <w:t>труда</w:t>
      </w:r>
      <w:r w:rsidRPr="006C595E">
        <w:rPr>
          <w:lang w:val="ru-RU"/>
        </w:rPr>
        <w:t xml:space="preserve"> </w:t>
      </w:r>
      <w:r>
        <w:rPr>
          <w:lang w:val="ru-RU"/>
        </w:rPr>
        <w:t>создал</w:t>
      </w:r>
      <w:r w:rsidRPr="006C595E">
        <w:rPr>
          <w:lang w:val="ru-RU"/>
        </w:rPr>
        <w:t xml:space="preserve"> </w:t>
      </w:r>
      <w:r>
        <w:rPr>
          <w:lang w:val="ru-RU"/>
        </w:rPr>
        <w:t>полезный</w:t>
      </w:r>
      <w:r w:rsidRPr="006C595E">
        <w:rPr>
          <w:lang w:val="ru-RU"/>
        </w:rPr>
        <w:t xml:space="preserve"> </w:t>
      </w:r>
      <w:r>
        <w:rPr>
          <w:lang w:val="ru-RU"/>
        </w:rPr>
        <w:t>форум</w:t>
      </w:r>
      <w:r w:rsidRPr="006C595E">
        <w:rPr>
          <w:lang w:val="ru-RU"/>
        </w:rPr>
        <w:t xml:space="preserve">, </w:t>
      </w:r>
      <w:r>
        <w:rPr>
          <w:lang w:val="ru-RU"/>
        </w:rPr>
        <w:t>на</w:t>
      </w:r>
      <w:r w:rsidRPr="006C595E">
        <w:rPr>
          <w:lang w:val="ru-RU"/>
        </w:rPr>
        <w:t xml:space="preserve"> </w:t>
      </w:r>
      <w:r>
        <w:rPr>
          <w:lang w:val="ru-RU"/>
        </w:rPr>
        <w:t>котором</w:t>
      </w:r>
      <w:r w:rsidRPr="006C595E">
        <w:rPr>
          <w:lang w:val="ru-RU"/>
        </w:rPr>
        <w:t xml:space="preserve"> </w:t>
      </w:r>
      <w:r>
        <w:rPr>
          <w:lang w:val="ru-RU"/>
        </w:rPr>
        <w:t>представители профсоюзов, работодателей и их ассоциаций могут обсуждать проблемы трудовых отношений и актуальные общие вопросы отраслей и искать средства решения этих проблем</w:t>
      </w:r>
      <w:r w:rsidRPr="006C595E">
        <w:rPr>
          <w:rFonts w:hint="eastAsia"/>
          <w:lang w:val="ru-RU"/>
        </w:rPr>
        <w:t>.</w:t>
      </w:r>
    </w:p>
  </w:footnote>
  <w:footnote w:id="8">
    <w:p w:rsidR="00F568BC" w:rsidRPr="00CB2C86" w:rsidRDefault="00F568BC" w:rsidP="00993DAD">
      <w:pPr>
        <w:pStyle w:val="FootnoteText"/>
        <w:widowControl w:val="0"/>
        <w:tabs>
          <w:tab w:val="clear" w:pos="1021"/>
          <w:tab w:val="right" w:pos="1020"/>
        </w:tabs>
        <w:rPr>
          <w:lang w:val="en-US"/>
        </w:rPr>
      </w:pPr>
      <w:r w:rsidRPr="006C595E">
        <w:rPr>
          <w:lang w:val="ru-RU"/>
        </w:rPr>
        <w:tab/>
      </w:r>
      <w:r>
        <w:rPr>
          <w:rStyle w:val="FootnoteReference"/>
        </w:rPr>
        <w:footnoteRef/>
      </w:r>
      <w:r w:rsidRPr="00CB2C86">
        <w:rPr>
          <w:lang w:val="en-US"/>
        </w:rPr>
        <w:tab/>
      </w:r>
      <w:r>
        <w:rPr>
          <w:lang w:val="ru-RU"/>
        </w:rPr>
        <w:t>Включая</w:t>
      </w:r>
      <w:r w:rsidRPr="00CB2C86">
        <w:rPr>
          <w:lang w:val="en-US"/>
        </w:rPr>
        <w:t xml:space="preserve"> </w:t>
      </w:r>
      <w:r>
        <w:rPr>
          <w:lang w:val="ru-RU"/>
        </w:rPr>
        <w:t>совместные</w:t>
      </w:r>
      <w:r w:rsidRPr="00CB2C86">
        <w:rPr>
          <w:lang w:val="en-US"/>
        </w:rPr>
        <w:t xml:space="preserve"> </w:t>
      </w:r>
      <w:r>
        <w:rPr>
          <w:lang w:val="ru-RU"/>
        </w:rPr>
        <w:t>заявления</w:t>
      </w:r>
      <w:r w:rsidRPr="00CB2C86">
        <w:rPr>
          <w:lang w:val="en-US"/>
        </w:rPr>
        <w:t>.</w:t>
      </w:r>
    </w:p>
  </w:footnote>
  <w:footnote w:id="9">
    <w:p w:rsidR="00F568BC" w:rsidRDefault="00F568BC" w:rsidP="00993DAD">
      <w:pPr>
        <w:pStyle w:val="FootnoteText"/>
        <w:widowControl w:val="0"/>
        <w:tabs>
          <w:tab w:val="clear" w:pos="1021"/>
          <w:tab w:val="right" w:pos="1020"/>
        </w:tabs>
      </w:pPr>
      <w:r w:rsidRPr="00CB2C86">
        <w:rPr>
          <w:lang w:val="en-US"/>
        </w:rPr>
        <w:tab/>
      </w:r>
      <w:r>
        <w:rPr>
          <w:rStyle w:val="FootnoteReference"/>
        </w:rPr>
        <w:footnoteRef/>
      </w:r>
      <w:r>
        <w:tab/>
      </w:r>
      <w:r w:rsidRPr="00C56DC0">
        <w:rPr>
          <w:rFonts w:eastAsia="DFKai-SB"/>
          <w:szCs w:val="24"/>
          <w:lang w:val="en-US"/>
        </w:rPr>
        <w:t>"</w:t>
      </w:r>
      <w:r w:rsidRPr="00444B61">
        <w:rPr>
          <w:rFonts w:eastAsia="DFKai-SB"/>
          <w:szCs w:val="24"/>
        </w:rPr>
        <w:t>Procedural Guide for Handling Child Abuse Cases</w:t>
      </w:r>
      <w:r w:rsidRPr="00C56DC0">
        <w:rPr>
          <w:rFonts w:eastAsia="DFKai-SB"/>
          <w:szCs w:val="24"/>
          <w:lang w:val="en-US"/>
        </w:rPr>
        <w:t>"</w:t>
      </w:r>
      <w:r w:rsidRPr="00444B61">
        <w:rPr>
          <w:rFonts w:eastAsia="DFKai-SB" w:hint="eastAsia"/>
          <w:szCs w:val="24"/>
        </w:rPr>
        <w:t xml:space="preserve"> </w:t>
      </w:r>
      <w:r>
        <w:rPr>
          <w:rFonts w:eastAsia="DFKai-SB" w:hint="eastAsia"/>
          <w:szCs w:val="24"/>
        </w:rPr>
        <w:t>−</w:t>
      </w:r>
      <w:r w:rsidRPr="00444B61">
        <w:rPr>
          <w:rFonts w:eastAsia="DFKai-SB" w:hint="eastAsia"/>
          <w:szCs w:val="24"/>
        </w:rPr>
        <w:t xml:space="preserve"> </w:t>
      </w:r>
      <w:r w:rsidRPr="00444B61">
        <w:rPr>
          <w:rFonts w:eastAsia="DFKai-SB"/>
          <w:szCs w:val="24"/>
        </w:rPr>
        <w:t>Revised 2007</w:t>
      </w:r>
      <w:r w:rsidRPr="00444B61">
        <w:rPr>
          <w:rFonts w:eastAsia="DFKai-SB" w:hint="eastAsia"/>
          <w:szCs w:val="24"/>
        </w:rPr>
        <w:t xml:space="preserve"> (English version); </w:t>
      </w:r>
      <w:r w:rsidRPr="00C56DC0">
        <w:rPr>
          <w:rFonts w:eastAsia="DFKai-SB"/>
          <w:szCs w:val="24"/>
          <w:lang w:val="en-US"/>
        </w:rPr>
        <w:t>"</w:t>
      </w:r>
      <w:r w:rsidRPr="00444B61">
        <w:rPr>
          <w:rFonts w:eastAsia="DFKai-SB"/>
          <w:szCs w:val="24"/>
        </w:rPr>
        <w:t>Procedural Guidelines for Handling Battered Spouse Cases</w:t>
      </w:r>
      <w:r w:rsidRPr="00C56DC0">
        <w:rPr>
          <w:rFonts w:eastAsia="DFKai-SB"/>
          <w:szCs w:val="24"/>
          <w:lang w:val="en-US"/>
        </w:rPr>
        <w:t>"</w:t>
      </w:r>
      <w:r w:rsidRPr="00444B61">
        <w:rPr>
          <w:rFonts w:eastAsia="DFKai-SB" w:hint="eastAsia"/>
          <w:szCs w:val="24"/>
        </w:rPr>
        <w:t xml:space="preserve"> </w:t>
      </w:r>
      <w:r>
        <w:rPr>
          <w:rFonts w:eastAsia="DFKai-SB"/>
          <w:szCs w:val="24"/>
        </w:rPr>
        <w:t>−</w:t>
      </w:r>
      <w:r w:rsidRPr="00444B61">
        <w:rPr>
          <w:rFonts w:eastAsia="DFKai-SB" w:hint="eastAsia"/>
          <w:szCs w:val="24"/>
        </w:rPr>
        <w:t xml:space="preserve"> Revised 2004; and </w:t>
      </w:r>
      <w:r w:rsidRPr="00C56DC0">
        <w:rPr>
          <w:rFonts w:eastAsia="DFKai-SB"/>
          <w:szCs w:val="24"/>
          <w:lang w:val="en-US"/>
        </w:rPr>
        <w:t>"</w:t>
      </w:r>
      <w:r w:rsidRPr="00444B61">
        <w:rPr>
          <w:rFonts w:eastAsia="DFKai-SB"/>
          <w:szCs w:val="24"/>
        </w:rPr>
        <w:t>Procedural Guidelines for Handling Adult Sexual Violence Cases</w:t>
      </w:r>
      <w:r w:rsidRPr="00C56DC0">
        <w:rPr>
          <w:rFonts w:eastAsia="DFKai-SB"/>
          <w:szCs w:val="24"/>
          <w:lang w:val="en-US"/>
        </w:rPr>
        <w:t>"</w:t>
      </w:r>
      <w:r w:rsidRPr="00444B61">
        <w:rPr>
          <w:rFonts w:eastAsia="DFKai-SB" w:hint="eastAsia"/>
          <w:szCs w:val="24"/>
        </w:rPr>
        <w:t xml:space="preserve"> </w:t>
      </w:r>
      <w:r>
        <w:rPr>
          <w:rFonts w:eastAsia="DFKai-SB"/>
          <w:szCs w:val="24"/>
        </w:rPr>
        <w:t>−</w:t>
      </w:r>
      <w:r w:rsidRPr="00444B61">
        <w:rPr>
          <w:rFonts w:eastAsia="DFKai-SB" w:hint="eastAsia"/>
          <w:szCs w:val="24"/>
        </w:rPr>
        <w:t xml:space="preserve"> </w:t>
      </w:r>
      <w:r w:rsidRPr="00444B61">
        <w:rPr>
          <w:rFonts w:eastAsia="DFKai-SB"/>
          <w:szCs w:val="24"/>
        </w:rPr>
        <w:t>Revised 2007</w:t>
      </w:r>
      <w:r w:rsidRPr="00444B61">
        <w:rPr>
          <w:rFonts w:eastAsia="DFKai-SB" w:hint="eastAsia"/>
          <w:szCs w:val="24"/>
        </w:rPr>
        <w:t>.</w:t>
      </w:r>
    </w:p>
  </w:footnote>
  <w:footnote w:id="10">
    <w:p w:rsidR="00F568BC" w:rsidRPr="00113E3F" w:rsidRDefault="00F568BC" w:rsidP="00993DAD">
      <w:pPr>
        <w:pStyle w:val="FootnoteText"/>
        <w:rPr>
          <w:rFonts w:eastAsia="DFKai-SB"/>
          <w:szCs w:val="24"/>
          <w:lang w:val="ru-RU"/>
        </w:rPr>
      </w:pPr>
      <w:r>
        <w:tab/>
      </w:r>
      <w:r>
        <w:rPr>
          <w:rStyle w:val="FootnoteReference"/>
        </w:rPr>
        <w:footnoteRef/>
      </w:r>
      <w:r w:rsidRPr="00113E3F">
        <w:rPr>
          <w:lang w:val="ru-RU"/>
        </w:rPr>
        <w:tab/>
      </w:r>
      <w:r>
        <w:rPr>
          <w:rFonts w:eastAsia="DFKai-SB"/>
          <w:szCs w:val="24"/>
          <w:lang w:val="ru-RU"/>
        </w:rPr>
        <w:t>Общие</w:t>
      </w:r>
      <w:r w:rsidRPr="00113E3F">
        <w:rPr>
          <w:rFonts w:eastAsia="DFKai-SB"/>
          <w:szCs w:val="24"/>
          <w:lang w:val="ru-RU"/>
        </w:rPr>
        <w:t xml:space="preserve"> </w:t>
      </w:r>
      <w:r>
        <w:rPr>
          <w:rFonts w:eastAsia="DFKai-SB"/>
          <w:szCs w:val="24"/>
          <w:lang w:val="ru-RU"/>
        </w:rPr>
        <w:t>начала</w:t>
      </w:r>
      <w:r w:rsidRPr="00113E3F">
        <w:rPr>
          <w:rFonts w:eastAsia="DFKai-SB"/>
          <w:szCs w:val="24"/>
          <w:lang w:val="ru-RU"/>
        </w:rPr>
        <w:t xml:space="preserve"> </w:t>
      </w:r>
      <w:r>
        <w:rPr>
          <w:rFonts w:eastAsia="DFKai-SB"/>
          <w:szCs w:val="24"/>
          <w:lang w:val="ru-RU"/>
        </w:rPr>
        <w:t>назначения</w:t>
      </w:r>
      <w:r w:rsidRPr="00113E3F">
        <w:rPr>
          <w:rFonts w:eastAsia="DFKai-SB"/>
          <w:szCs w:val="24"/>
          <w:lang w:val="ru-RU"/>
        </w:rPr>
        <w:t xml:space="preserve"> </w:t>
      </w:r>
      <w:r>
        <w:rPr>
          <w:rFonts w:eastAsia="DFKai-SB"/>
          <w:szCs w:val="24"/>
          <w:lang w:val="ru-RU"/>
        </w:rPr>
        <w:t>наказания</w:t>
      </w:r>
      <w:r w:rsidRPr="00113E3F">
        <w:rPr>
          <w:rFonts w:eastAsia="DFKai-SB"/>
          <w:szCs w:val="24"/>
          <w:lang w:val="ru-RU"/>
        </w:rPr>
        <w:t xml:space="preserve"> </w:t>
      </w:r>
      <w:r>
        <w:rPr>
          <w:rFonts w:eastAsia="DFKai-SB"/>
          <w:szCs w:val="24"/>
          <w:lang w:val="ru-RU"/>
        </w:rPr>
        <w:t>четырех</w:t>
      </w:r>
      <w:r w:rsidRPr="00113E3F">
        <w:rPr>
          <w:rFonts w:eastAsia="DFKai-SB"/>
          <w:szCs w:val="24"/>
          <w:lang w:val="ru-RU"/>
        </w:rPr>
        <w:t xml:space="preserve"> </w:t>
      </w:r>
      <w:r>
        <w:rPr>
          <w:rFonts w:eastAsia="DFKai-SB"/>
          <w:szCs w:val="24"/>
          <w:lang w:val="ru-RU"/>
        </w:rPr>
        <w:t>уровней</w:t>
      </w:r>
      <w:r w:rsidRPr="00113E3F">
        <w:rPr>
          <w:rFonts w:eastAsia="DFKai-SB"/>
          <w:szCs w:val="24"/>
          <w:lang w:val="ru-RU"/>
        </w:rPr>
        <w:t xml:space="preserve">, </w:t>
      </w:r>
      <w:r>
        <w:rPr>
          <w:rFonts w:eastAsia="DFKai-SB"/>
          <w:szCs w:val="24"/>
          <w:lang w:val="ru-RU"/>
        </w:rPr>
        <w:t>изложенные</w:t>
      </w:r>
      <w:r w:rsidRPr="00113E3F">
        <w:rPr>
          <w:rFonts w:eastAsia="DFKai-SB"/>
          <w:szCs w:val="24"/>
          <w:lang w:val="ru-RU"/>
        </w:rPr>
        <w:t xml:space="preserve"> </w:t>
      </w:r>
      <w:r>
        <w:rPr>
          <w:rFonts w:eastAsia="DFKai-SB"/>
          <w:szCs w:val="24"/>
          <w:lang w:val="ru-RU"/>
        </w:rPr>
        <w:t>Апелляционным</w:t>
      </w:r>
      <w:r w:rsidRPr="00113E3F">
        <w:rPr>
          <w:rFonts w:eastAsia="DFKai-SB"/>
          <w:szCs w:val="24"/>
          <w:lang w:val="ru-RU"/>
        </w:rPr>
        <w:t xml:space="preserve"> </w:t>
      </w:r>
      <w:r>
        <w:rPr>
          <w:rFonts w:eastAsia="DFKai-SB"/>
          <w:szCs w:val="24"/>
          <w:lang w:val="ru-RU"/>
        </w:rPr>
        <w:t>судом</w:t>
      </w:r>
      <w:r w:rsidRPr="00113E3F">
        <w:rPr>
          <w:rFonts w:eastAsia="DFKai-SB"/>
          <w:szCs w:val="24"/>
          <w:lang w:val="ru-RU"/>
        </w:rPr>
        <w:t xml:space="preserve"> </w:t>
      </w:r>
      <w:r>
        <w:rPr>
          <w:rFonts w:eastAsia="DFKai-SB"/>
          <w:szCs w:val="24"/>
          <w:lang w:val="ru-RU"/>
        </w:rPr>
        <w:t>по</w:t>
      </w:r>
      <w:r w:rsidRPr="00113E3F">
        <w:rPr>
          <w:rFonts w:eastAsia="DFKai-SB"/>
          <w:szCs w:val="24"/>
          <w:lang w:val="ru-RU"/>
        </w:rPr>
        <w:t xml:space="preserve"> </w:t>
      </w:r>
      <w:r>
        <w:rPr>
          <w:rFonts w:eastAsia="DFKai-SB"/>
          <w:szCs w:val="24"/>
          <w:lang w:val="ru-RU"/>
        </w:rPr>
        <w:t>делу</w:t>
      </w:r>
      <w:r w:rsidRPr="00113E3F">
        <w:rPr>
          <w:rFonts w:eastAsia="DFKai-SB" w:hint="eastAsia"/>
          <w:szCs w:val="24"/>
          <w:lang w:val="ru-RU"/>
        </w:rPr>
        <w:t xml:space="preserve"> </w:t>
      </w:r>
      <w:r w:rsidRPr="00444B61">
        <w:rPr>
          <w:rFonts w:eastAsia="DFKai-SB" w:hint="eastAsia"/>
          <w:szCs w:val="24"/>
        </w:rPr>
        <w:t>Secretary</w:t>
      </w:r>
      <w:r w:rsidRPr="00113E3F">
        <w:rPr>
          <w:rFonts w:eastAsia="DFKai-SB" w:hint="eastAsia"/>
          <w:szCs w:val="24"/>
          <w:lang w:val="ru-RU"/>
        </w:rPr>
        <w:t xml:space="preserve"> </w:t>
      </w:r>
      <w:r w:rsidRPr="00444B61">
        <w:rPr>
          <w:rFonts w:eastAsia="DFKai-SB" w:hint="eastAsia"/>
          <w:szCs w:val="24"/>
        </w:rPr>
        <w:t>for</w:t>
      </w:r>
      <w:r w:rsidRPr="00113E3F">
        <w:rPr>
          <w:rFonts w:eastAsia="DFKai-SB" w:hint="eastAsia"/>
          <w:szCs w:val="24"/>
          <w:lang w:val="ru-RU"/>
        </w:rPr>
        <w:t xml:space="preserve"> </w:t>
      </w:r>
      <w:r w:rsidRPr="00444B61">
        <w:rPr>
          <w:rFonts w:eastAsia="DFKai-SB" w:hint="eastAsia"/>
          <w:szCs w:val="24"/>
        </w:rPr>
        <w:t>Justice</w:t>
      </w:r>
      <w:r w:rsidRPr="00113E3F">
        <w:rPr>
          <w:rFonts w:eastAsia="DFKai-SB" w:hint="eastAsia"/>
          <w:szCs w:val="24"/>
          <w:lang w:val="ru-RU"/>
        </w:rPr>
        <w:t xml:space="preserve"> </w:t>
      </w:r>
      <w:r w:rsidRPr="00444B61">
        <w:rPr>
          <w:rFonts w:eastAsia="DFKai-SB" w:hint="eastAsia"/>
          <w:szCs w:val="24"/>
        </w:rPr>
        <w:t>v</w:t>
      </w:r>
      <w:r w:rsidRPr="00113E3F">
        <w:rPr>
          <w:rFonts w:eastAsia="DFKai-SB" w:hint="eastAsia"/>
          <w:szCs w:val="24"/>
          <w:lang w:val="ru-RU"/>
        </w:rPr>
        <w:t xml:space="preserve"> </w:t>
      </w:r>
      <w:r w:rsidRPr="00444B61">
        <w:rPr>
          <w:rFonts w:eastAsia="DFKai-SB" w:hint="eastAsia"/>
          <w:szCs w:val="24"/>
        </w:rPr>
        <w:t>Man</w:t>
      </w:r>
      <w:r w:rsidRPr="00113E3F">
        <w:rPr>
          <w:rFonts w:eastAsia="DFKai-SB" w:hint="eastAsia"/>
          <w:szCs w:val="24"/>
          <w:lang w:val="ru-RU"/>
        </w:rPr>
        <w:t xml:space="preserve"> </w:t>
      </w:r>
      <w:r w:rsidRPr="00444B61">
        <w:rPr>
          <w:rFonts w:eastAsia="DFKai-SB" w:hint="eastAsia"/>
          <w:szCs w:val="24"/>
        </w:rPr>
        <w:t>Kwong</w:t>
      </w:r>
      <w:r w:rsidRPr="00113E3F">
        <w:rPr>
          <w:rFonts w:eastAsia="DFKai-SB" w:hint="eastAsia"/>
          <w:szCs w:val="24"/>
          <w:lang w:val="ru-RU"/>
        </w:rPr>
        <w:t>-</w:t>
      </w:r>
      <w:r w:rsidRPr="00444B61">
        <w:rPr>
          <w:rFonts w:eastAsia="DFKai-SB" w:hint="eastAsia"/>
          <w:szCs w:val="24"/>
        </w:rPr>
        <w:t>choi</w:t>
      </w:r>
      <w:r w:rsidRPr="00113E3F">
        <w:rPr>
          <w:rFonts w:eastAsia="DFKai-SB" w:hint="eastAsia"/>
          <w:szCs w:val="24"/>
          <w:lang w:val="ru-RU"/>
        </w:rPr>
        <w:t xml:space="preserve"> [2008] 5 </w:t>
      </w:r>
      <w:r w:rsidRPr="00444B61">
        <w:rPr>
          <w:rFonts w:eastAsia="DFKai-SB" w:hint="eastAsia"/>
          <w:szCs w:val="24"/>
        </w:rPr>
        <w:t>HKLRD</w:t>
      </w:r>
      <w:r w:rsidRPr="00113E3F">
        <w:rPr>
          <w:rFonts w:eastAsia="DFKai-SB" w:hint="eastAsia"/>
          <w:szCs w:val="24"/>
          <w:lang w:val="ru-RU"/>
        </w:rPr>
        <w:t xml:space="preserve"> 519</w:t>
      </w:r>
      <w:r>
        <w:rPr>
          <w:rFonts w:eastAsia="DFKai-SB"/>
          <w:szCs w:val="24"/>
          <w:lang w:val="ru-RU"/>
        </w:rPr>
        <w:t>, сводятся к следующему</w:t>
      </w:r>
      <w:r w:rsidRPr="00113E3F">
        <w:rPr>
          <w:rFonts w:eastAsia="DFKai-SB"/>
          <w:szCs w:val="24"/>
          <w:lang w:val="ru-RU"/>
        </w:rPr>
        <w:t xml:space="preserve">: </w:t>
      </w:r>
    </w:p>
    <w:p w:rsidR="00F568BC" w:rsidRPr="00456C11" w:rsidRDefault="00F568BC" w:rsidP="00993DAD">
      <w:pPr>
        <w:pStyle w:val="FootnoteText"/>
        <w:rPr>
          <w:rFonts w:eastAsia="DFKai-SB"/>
          <w:szCs w:val="24"/>
          <w:lang w:val="ru-RU"/>
        </w:rPr>
      </w:pPr>
      <w:r w:rsidRPr="00113E3F">
        <w:rPr>
          <w:rFonts w:eastAsia="DFKai-SB" w:hint="eastAsia"/>
          <w:szCs w:val="24"/>
          <w:lang w:val="ru-RU"/>
        </w:rPr>
        <w:tab/>
      </w:r>
      <w:r w:rsidRPr="00113E3F">
        <w:rPr>
          <w:rFonts w:eastAsia="DFKai-SB"/>
          <w:szCs w:val="24"/>
          <w:lang w:val="ru-RU"/>
        </w:rPr>
        <w:tab/>
      </w:r>
      <w:r>
        <w:rPr>
          <w:rFonts w:eastAsia="DFKai-SB"/>
          <w:szCs w:val="24"/>
          <w:lang w:val="ru-RU"/>
        </w:rPr>
        <w:t>Уровень−</w:t>
      </w:r>
      <w:r w:rsidRPr="00456C11">
        <w:rPr>
          <w:rFonts w:eastAsia="DFKai-SB"/>
          <w:szCs w:val="24"/>
          <w:lang w:val="ru-RU"/>
        </w:rPr>
        <w:t>1 (</w:t>
      </w:r>
      <w:r>
        <w:rPr>
          <w:rFonts w:eastAsia="DFKai-SB"/>
          <w:i/>
          <w:szCs w:val="24"/>
          <w:lang w:val="ru-RU"/>
        </w:rPr>
        <w:t>изображения</w:t>
      </w:r>
      <w:r w:rsidRPr="00456C11">
        <w:rPr>
          <w:rFonts w:eastAsia="DFKai-SB"/>
          <w:i/>
          <w:szCs w:val="24"/>
          <w:lang w:val="ru-RU"/>
        </w:rPr>
        <w:t xml:space="preserve">, </w:t>
      </w:r>
      <w:r>
        <w:rPr>
          <w:rFonts w:eastAsia="DFKai-SB"/>
          <w:i/>
          <w:szCs w:val="24"/>
          <w:lang w:val="ru-RU"/>
        </w:rPr>
        <w:t>запечатляющие</w:t>
      </w:r>
      <w:r w:rsidRPr="00456C11">
        <w:rPr>
          <w:rFonts w:eastAsia="DFKai-SB"/>
          <w:i/>
          <w:szCs w:val="24"/>
          <w:lang w:val="ru-RU"/>
        </w:rPr>
        <w:t xml:space="preserve"> </w:t>
      </w:r>
      <w:r>
        <w:rPr>
          <w:rFonts w:eastAsia="DFKai-SB"/>
          <w:i/>
          <w:szCs w:val="24"/>
          <w:lang w:val="ru-RU"/>
        </w:rPr>
        <w:t>эротические</w:t>
      </w:r>
      <w:r w:rsidRPr="00456C11">
        <w:rPr>
          <w:rFonts w:eastAsia="DFKai-SB"/>
          <w:i/>
          <w:szCs w:val="24"/>
          <w:lang w:val="ru-RU"/>
        </w:rPr>
        <w:t xml:space="preserve"> </w:t>
      </w:r>
      <w:r>
        <w:rPr>
          <w:rFonts w:eastAsia="DFKai-SB"/>
          <w:i/>
          <w:szCs w:val="24"/>
          <w:lang w:val="ru-RU"/>
        </w:rPr>
        <w:t>позы</w:t>
      </w:r>
      <w:r w:rsidRPr="00456C11">
        <w:rPr>
          <w:rFonts w:eastAsia="DFKai-SB"/>
          <w:i/>
          <w:szCs w:val="24"/>
          <w:lang w:val="ru-RU"/>
        </w:rPr>
        <w:t xml:space="preserve"> </w:t>
      </w:r>
      <w:r>
        <w:rPr>
          <w:rFonts w:eastAsia="DFKai-SB"/>
          <w:i/>
          <w:szCs w:val="24"/>
          <w:lang w:val="ru-RU"/>
        </w:rPr>
        <w:t>без</w:t>
      </w:r>
      <w:r w:rsidRPr="00456C11">
        <w:rPr>
          <w:rFonts w:eastAsia="DFKai-SB"/>
          <w:i/>
          <w:szCs w:val="24"/>
          <w:lang w:val="ru-RU"/>
        </w:rPr>
        <w:t xml:space="preserve"> </w:t>
      </w:r>
      <w:r>
        <w:rPr>
          <w:rFonts w:eastAsia="DFKai-SB"/>
          <w:i/>
          <w:szCs w:val="24"/>
          <w:lang w:val="ru-RU"/>
        </w:rPr>
        <w:t>сексуальных</w:t>
      </w:r>
      <w:r w:rsidRPr="00456C11">
        <w:rPr>
          <w:rFonts w:eastAsia="DFKai-SB"/>
          <w:i/>
          <w:szCs w:val="24"/>
          <w:lang w:val="ru-RU"/>
        </w:rPr>
        <w:t xml:space="preserve"> </w:t>
      </w:r>
      <w:r>
        <w:rPr>
          <w:rFonts w:eastAsia="DFKai-SB"/>
          <w:i/>
          <w:szCs w:val="24"/>
          <w:lang w:val="ru-RU"/>
        </w:rPr>
        <w:t>действий</w:t>
      </w:r>
      <w:r w:rsidRPr="00456C11">
        <w:rPr>
          <w:rFonts w:eastAsia="DFKai-SB"/>
          <w:szCs w:val="24"/>
          <w:lang w:val="ru-RU"/>
        </w:rPr>
        <w:t xml:space="preserve">): </w:t>
      </w:r>
      <w:r>
        <w:rPr>
          <w:rFonts w:eastAsia="DFKai-SB"/>
          <w:szCs w:val="24"/>
          <w:lang w:val="ru-RU"/>
        </w:rPr>
        <w:t>Приказ</w:t>
      </w:r>
      <w:r w:rsidRPr="00456C11">
        <w:rPr>
          <w:rFonts w:eastAsia="DFKai-SB"/>
          <w:szCs w:val="24"/>
          <w:lang w:val="ru-RU"/>
        </w:rPr>
        <w:t xml:space="preserve"> </w:t>
      </w:r>
      <w:r>
        <w:rPr>
          <w:rFonts w:eastAsia="DFKai-SB"/>
          <w:szCs w:val="24"/>
          <w:lang w:val="ru-RU"/>
        </w:rPr>
        <w:t>об</w:t>
      </w:r>
      <w:r w:rsidRPr="00456C11">
        <w:rPr>
          <w:rFonts w:eastAsia="DFKai-SB"/>
          <w:szCs w:val="24"/>
          <w:lang w:val="ru-RU"/>
        </w:rPr>
        <w:t xml:space="preserve"> </w:t>
      </w:r>
      <w:r>
        <w:rPr>
          <w:rFonts w:eastAsia="DFKai-SB"/>
          <w:szCs w:val="24"/>
          <w:lang w:val="ru-RU"/>
        </w:rPr>
        <w:t>общественных</w:t>
      </w:r>
      <w:r w:rsidRPr="00456C11">
        <w:rPr>
          <w:rFonts w:eastAsia="DFKai-SB"/>
          <w:szCs w:val="24"/>
          <w:lang w:val="ru-RU"/>
        </w:rPr>
        <w:t xml:space="preserve"> </w:t>
      </w:r>
      <w:r>
        <w:rPr>
          <w:rFonts w:eastAsia="DFKai-SB"/>
          <w:szCs w:val="24"/>
          <w:lang w:val="ru-RU"/>
        </w:rPr>
        <w:t>работах</w:t>
      </w:r>
      <w:r w:rsidRPr="00456C11">
        <w:rPr>
          <w:rFonts w:eastAsia="DFKai-SB"/>
          <w:szCs w:val="24"/>
          <w:lang w:val="ru-RU"/>
        </w:rPr>
        <w:t>,</w:t>
      </w:r>
      <w:r>
        <w:rPr>
          <w:rFonts w:eastAsia="DFKai-SB"/>
          <w:szCs w:val="24"/>
          <w:lang w:val="ru-RU"/>
        </w:rPr>
        <w:t xml:space="preserve"> пробация или штраф, если количество порнографической продукции незначительно</w:t>
      </w:r>
      <w:r w:rsidRPr="00456C11">
        <w:rPr>
          <w:rFonts w:eastAsia="DFKai-SB"/>
          <w:szCs w:val="24"/>
          <w:lang w:val="ru-RU"/>
        </w:rPr>
        <w:t xml:space="preserve"> (</w:t>
      </w:r>
      <w:r>
        <w:rPr>
          <w:rFonts w:eastAsia="DFKai-SB"/>
          <w:szCs w:val="24"/>
          <w:lang w:val="ru-RU"/>
        </w:rPr>
        <w:t>скажем</w:t>
      </w:r>
      <w:r w:rsidRPr="00456C11">
        <w:rPr>
          <w:rFonts w:eastAsia="DFKai-SB"/>
          <w:szCs w:val="24"/>
          <w:lang w:val="ru-RU"/>
        </w:rPr>
        <w:t xml:space="preserve"> 20 </w:t>
      </w:r>
      <w:r>
        <w:rPr>
          <w:rFonts w:eastAsia="DFKai-SB"/>
          <w:szCs w:val="24"/>
          <w:lang w:val="ru-RU"/>
        </w:rPr>
        <w:t>изображений или меньше</w:t>
      </w:r>
      <w:r w:rsidRPr="00456C11">
        <w:rPr>
          <w:rFonts w:eastAsia="DFKai-SB"/>
          <w:szCs w:val="24"/>
          <w:lang w:val="ru-RU"/>
        </w:rPr>
        <w:t>);</w:t>
      </w:r>
      <w:r>
        <w:rPr>
          <w:rFonts w:eastAsia="DFKai-SB"/>
          <w:szCs w:val="24"/>
          <w:lang w:val="ru-RU"/>
        </w:rPr>
        <w:t xml:space="preserve"> </w:t>
      </w:r>
      <w:r>
        <w:rPr>
          <w:rFonts w:eastAsia="DFKai-SB"/>
          <w:szCs w:val="24"/>
          <w:lang w:val="ru-RU"/>
        </w:rPr>
        <w:br/>
      </w:r>
      <w:r w:rsidRPr="00B02EE3">
        <w:rPr>
          <w:rFonts w:eastAsia="MS Mincho"/>
          <w:szCs w:val="24"/>
          <w:lang w:val="ru-RU"/>
        </w:rPr>
        <w:t>от</w:t>
      </w:r>
      <w:r>
        <w:rPr>
          <w:rFonts w:eastAsia="DFKai-SB"/>
          <w:szCs w:val="24"/>
          <w:lang w:val="ru-RU"/>
        </w:rPr>
        <w:t xml:space="preserve"> одного до шести месяцев лишения свободы, если количество порнографических изображений велико или они носят крайне провоцирующий характер</w:t>
      </w:r>
      <w:r w:rsidRPr="00456C11">
        <w:rPr>
          <w:rFonts w:eastAsia="DFKai-SB"/>
          <w:szCs w:val="24"/>
          <w:lang w:val="ru-RU"/>
        </w:rPr>
        <w:t>.</w:t>
      </w:r>
    </w:p>
    <w:p w:rsidR="00F568BC" w:rsidRPr="00B6468D" w:rsidRDefault="00F568BC" w:rsidP="00993DAD">
      <w:pPr>
        <w:pStyle w:val="FootnoteText"/>
        <w:rPr>
          <w:rFonts w:eastAsia="DFKai-SB"/>
          <w:szCs w:val="24"/>
          <w:lang w:val="ru-RU"/>
        </w:rPr>
      </w:pPr>
      <w:r w:rsidRPr="00456C11">
        <w:rPr>
          <w:rFonts w:eastAsia="DFKai-SB" w:hint="eastAsia"/>
          <w:szCs w:val="24"/>
          <w:lang w:val="ru-RU"/>
        </w:rPr>
        <w:tab/>
      </w:r>
      <w:r w:rsidRPr="00456C11">
        <w:rPr>
          <w:rFonts w:eastAsia="DFKai-SB"/>
          <w:szCs w:val="24"/>
          <w:lang w:val="ru-RU"/>
        </w:rPr>
        <w:tab/>
      </w:r>
      <w:r>
        <w:rPr>
          <w:rFonts w:eastAsia="DFKai-SB"/>
          <w:szCs w:val="24"/>
          <w:lang w:val="ru-RU"/>
        </w:rPr>
        <w:t>Уровень−</w:t>
      </w:r>
      <w:r w:rsidRPr="00B6468D">
        <w:rPr>
          <w:rFonts w:eastAsia="DFKai-SB"/>
          <w:szCs w:val="24"/>
          <w:lang w:val="ru-RU"/>
        </w:rPr>
        <w:t>2 (</w:t>
      </w:r>
      <w:r>
        <w:rPr>
          <w:rFonts w:eastAsia="DFKai-SB"/>
          <w:i/>
          <w:szCs w:val="24"/>
          <w:lang w:val="ru-RU"/>
        </w:rPr>
        <w:t>сексуальные</w:t>
      </w:r>
      <w:r w:rsidRPr="00B6468D">
        <w:rPr>
          <w:rFonts w:eastAsia="DFKai-SB"/>
          <w:i/>
          <w:szCs w:val="24"/>
          <w:lang w:val="ru-RU"/>
        </w:rPr>
        <w:t xml:space="preserve"> </w:t>
      </w:r>
      <w:r>
        <w:rPr>
          <w:rFonts w:eastAsia="DFKai-SB"/>
          <w:i/>
          <w:szCs w:val="24"/>
          <w:lang w:val="ru-RU"/>
        </w:rPr>
        <w:t>действия</w:t>
      </w:r>
      <w:r w:rsidRPr="00B6468D">
        <w:rPr>
          <w:rFonts w:eastAsia="DFKai-SB"/>
          <w:i/>
          <w:szCs w:val="24"/>
          <w:lang w:val="ru-RU"/>
        </w:rPr>
        <w:t xml:space="preserve"> </w:t>
      </w:r>
      <w:r>
        <w:rPr>
          <w:rFonts w:eastAsia="DFKai-SB"/>
          <w:i/>
          <w:szCs w:val="24"/>
          <w:lang w:val="ru-RU"/>
        </w:rPr>
        <w:t>между</w:t>
      </w:r>
      <w:r w:rsidRPr="00B6468D">
        <w:rPr>
          <w:rFonts w:eastAsia="DFKai-SB"/>
          <w:i/>
          <w:szCs w:val="24"/>
          <w:lang w:val="ru-RU"/>
        </w:rPr>
        <w:t xml:space="preserve"> </w:t>
      </w:r>
      <w:r>
        <w:rPr>
          <w:rFonts w:eastAsia="DFKai-SB"/>
          <w:i/>
          <w:szCs w:val="24"/>
          <w:lang w:val="ru-RU"/>
        </w:rPr>
        <w:t>детьми</w:t>
      </w:r>
      <w:r w:rsidRPr="00B6468D">
        <w:rPr>
          <w:rFonts w:eastAsia="DFKai-SB"/>
          <w:i/>
          <w:szCs w:val="24"/>
          <w:lang w:val="ru-RU"/>
        </w:rPr>
        <w:t xml:space="preserve">, </w:t>
      </w:r>
      <w:r>
        <w:rPr>
          <w:rFonts w:eastAsia="DFKai-SB"/>
          <w:i/>
          <w:szCs w:val="24"/>
          <w:lang w:val="ru-RU"/>
        </w:rPr>
        <w:t>или</w:t>
      </w:r>
      <w:r w:rsidRPr="00B6468D">
        <w:rPr>
          <w:rFonts w:eastAsia="DFKai-SB"/>
          <w:i/>
          <w:szCs w:val="24"/>
          <w:lang w:val="ru-RU"/>
        </w:rPr>
        <w:t xml:space="preserve"> </w:t>
      </w:r>
      <w:r>
        <w:rPr>
          <w:rFonts w:eastAsia="DFKai-SB"/>
          <w:i/>
          <w:szCs w:val="24"/>
          <w:lang w:val="ru-RU"/>
        </w:rPr>
        <w:t>одиночный</w:t>
      </w:r>
      <w:r w:rsidRPr="00B6468D">
        <w:rPr>
          <w:rFonts w:eastAsia="DFKai-SB"/>
          <w:i/>
          <w:szCs w:val="24"/>
          <w:lang w:val="ru-RU"/>
        </w:rPr>
        <w:t xml:space="preserve"> </w:t>
      </w:r>
      <w:r>
        <w:rPr>
          <w:rFonts w:eastAsia="DFKai-SB"/>
          <w:i/>
          <w:szCs w:val="24"/>
          <w:lang w:val="ru-RU"/>
        </w:rPr>
        <w:t>акт</w:t>
      </w:r>
      <w:r w:rsidRPr="00B6468D">
        <w:rPr>
          <w:rFonts w:eastAsia="DFKai-SB"/>
          <w:i/>
          <w:szCs w:val="24"/>
          <w:lang w:val="ru-RU"/>
        </w:rPr>
        <w:t xml:space="preserve"> </w:t>
      </w:r>
      <w:r>
        <w:rPr>
          <w:rFonts w:eastAsia="DFKai-SB"/>
          <w:i/>
          <w:szCs w:val="24"/>
          <w:lang w:val="ru-RU"/>
        </w:rPr>
        <w:t>онанизма</w:t>
      </w:r>
      <w:r w:rsidRPr="00B6468D">
        <w:rPr>
          <w:rFonts w:eastAsia="DFKai-SB"/>
          <w:i/>
          <w:szCs w:val="24"/>
          <w:lang w:val="ru-RU"/>
        </w:rPr>
        <w:t xml:space="preserve"> </w:t>
      </w:r>
      <w:r>
        <w:rPr>
          <w:rFonts w:eastAsia="DFKai-SB"/>
          <w:i/>
          <w:szCs w:val="24"/>
          <w:lang w:val="ru-RU"/>
        </w:rPr>
        <w:t>ребенка</w:t>
      </w:r>
      <w:r w:rsidRPr="00B6468D">
        <w:rPr>
          <w:rFonts w:eastAsia="DFKai-SB"/>
          <w:i/>
          <w:szCs w:val="24"/>
          <w:lang w:val="ru-RU"/>
        </w:rPr>
        <w:t xml:space="preserve">) </w:t>
      </w:r>
      <w:r>
        <w:rPr>
          <w:rFonts w:eastAsia="DFKai-SB"/>
          <w:szCs w:val="24"/>
          <w:lang w:val="ru-RU"/>
        </w:rPr>
        <w:t>Обычно н</w:t>
      </w:r>
      <w:r w:rsidRPr="005655B8">
        <w:rPr>
          <w:rFonts w:eastAsia="DFKai-SB"/>
          <w:szCs w:val="24"/>
          <w:lang w:val="ru-RU"/>
        </w:rPr>
        <w:t>емедленное</w:t>
      </w:r>
      <w:r w:rsidRPr="00B6468D">
        <w:rPr>
          <w:rFonts w:eastAsia="DFKai-SB"/>
          <w:szCs w:val="24"/>
          <w:lang w:val="ru-RU"/>
        </w:rPr>
        <w:t xml:space="preserve"> </w:t>
      </w:r>
      <w:r w:rsidRPr="005655B8">
        <w:rPr>
          <w:rFonts w:eastAsia="DFKai-SB"/>
          <w:szCs w:val="24"/>
          <w:lang w:val="ru-RU"/>
        </w:rPr>
        <w:t>заключение</w:t>
      </w:r>
      <w:r w:rsidRPr="00B6468D">
        <w:rPr>
          <w:rFonts w:eastAsia="DFKai-SB"/>
          <w:szCs w:val="24"/>
          <w:lang w:val="ru-RU"/>
        </w:rPr>
        <w:t xml:space="preserve"> </w:t>
      </w:r>
      <w:r w:rsidRPr="005655B8">
        <w:rPr>
          <w:rFonts w:eastAsia="DFKai-SB"/>
          <w:szCs w:val="24"/>
          <w:lang w:val="ru-RU"/>
        </w:rPr>
        <w:t>под</w:t>
      </w:r>
      <w:r w:rsidRPr="00B6468D">
        <w:rPr>
          <w:rFonts w:eastAsia="DFKai-SB"/>
          <w:szCs w:val="24"/>
          <w:lang w:val="ru-RU"/>
        </w:rPr>
        <w:t xml:space="preserve"> </w:t>
      </w:r>
      <w:r w:rsidRPr="005655B8">
        <w:rPr>
          <w:rFonts w:eastAsia="DFKai-SB"/>
          <w:szCs w:val="24"/>
          <w:lang w:val="ru-RU"/>
        </w:rPr>
        <w:t>стражу</w:t>
      </w:r>
      <w:r>
        <w:rPr>
          <w:rFonts w:eastAsia="DFKai-SB"/>
          <w:szCs w:val="24"/>
          <w:lang w:val="ru-RU"/>
        </w:rPr>
        <w:t xml:space="preserve"> на</w:t>
      </w:r>
      <w:r w:rsidRPr="00B6468D">
        <w:rPr>
          <w:rFonts w:eastAsia="DFKai-SB"/>
          <w:szCs w:val="24"/>
          <w:lang w:val="ru-RU"/>
        </w:rPr>
        <w:t xml:space="preserve"> </w:t>
      </w:r>
      <w:r>
        <w:rPr>
          <w:rFonts w:eastAsia="DFKai-SB"/>
          <w:szCs w:val="24"/>
          <w:lang w:val="ru-RU"/>
        </w:rPr>
        <w:t>срок</w:t>
      </w:r>
      <w:r w:rsidRPr="00B6468D">
        <w:rPr>
          <w:rFonts w:eastAsia="DFKai-SB"/>
          <w:szCs w:val="24"/>
          <w:lang w:val="ru-RU"/>
        </w:rPr>
        <w:t xml:space="preserve"> </w:t>
      </w:r>
      <w:r>
        <w:rPr>
          <w:rFonts w:eastAsia="DFKai-SB"/>
          <w:szCs w:val="24"/>
          <w:lang w:val="ru-RU"/>
        </w:rPr>
        <w:t>до</w:t>
      </w:r>
      <w:r w:rsidRPr="00B6468D">
        <w:rPr>
          <w:rFonts w:eastAsia="DFKai-SB"/>
          <w:szCs w:val="24"/>
          <w:lang w:val="ru-RU"/>
        </w:rPr>
        <w:t xml:space="preserve"> </w:t>
      </w:r>
      <w:r>
        <w:rPr>
          <w:rFonts w:eastAsia="DFKai-SB"/>
          <w:szCs w:val="24"/>
          <w:lang w:val="ru-RU"/>
        </w:rPr>
        <w:t>девяти</w:t>
      </w:r>
      <w:r w:rsidRPr="00B6468D">
        <w:rPr>
          <w:rFonts w:eastAsia="DFKai-SB"/>
          <w:szCs w:val="24"/>
          <w:lang w:val="ru-RU"/>
        </w:rPr>
        <w:t xml:space="preserve"> </w:t>
      </w:r>
      <w:r>
        <w:rPr>
          <w:rFonts w:eastAsia="DFKai-SB"/>
          <w:szCs w:val="24"/>
          <w:lang w:val="ru-RU"/>
        </w:rPr>
        <w:t>месяцев</w:t>
      </w:r>
      <w:r w:rsidRPr="00B6468D">
        <w:rPr>
          <w:rFonts w:eastAsia="DFKai-SB"/>
          <w:szCs w:val="24"/>
          <w:lang w:val="ru-RU"/>
        </w:rPr>
        <w:t xml:space="preserve"> </w:t>
      </w:r>
      <w:r>
        <w:rPr>
          <w:rFonts w:eastAsia="DFKai-SB"/>
          <w:szCs w:val="24"/>
          <w:lang w:val="ru-RU"/>
        </w:rPr>
        <w:t>в зависимости от количества порнографической продукции</w:t>
      </w:r>
      <w:r w:rsidRPr="00B6468D">
        <w:rPr>
          <w:rFonts w:eastAsia="DFKai-SB"/>
          <w:szCs w:val="24"/>
          <w:lang w:val="ru-RU"/>
        </w:rPr>
        <w:t xml:space="preserve">, </w:t>
      </w:r>
      <w:r>
        <w:rPr>
          <w:rFonts w:eastAsia="DFKai-SB"/>
          <w:szCs w:val="24"/>
          <w:lang w:val="ru-RU"/>
        </w:rPr>
        <w:t>но даже несколько изображений влекут заключение под стражу</w:t>
      </w:r>
      <w:r w:rsidRPr="00B6468D">
        <w:rPr>
          <w:rFonts w:eastAsia="DFKai-SB"/>
          <w:szCs w:val="24"/>
          <w:lang w:val="ru-RU"/>
        </w:rPr>
        <w:t>.</w:t>
      </w:r>
    </w:p>
    <w:p w:rsidR="00F568BC" w:rsidRPr="00E67D34" w:rsidRDefault="00F568BC" w:rsidP="00993DAD">
      <w:pPr>
        <w:pStyle w:val="FootnoteText"/>
        <w:rPr>
          <w:rFonts w:eastAsia="DFKai-SB"/>
          <w:szCs w:val="24"/>
          <w:lang w:val="ru-RU"/>
        </w:rPr>
      </w:pPr>
      <w:r w:rsidRPr="00B6468D">
        <w:rPr>
          <w:rFonts w:eastAsia="DFKai-SB" w:hint="eastAsia"/>
          <w:szCs w:val="24"/>
          <w:lang w:val="ru-RU"/>
        </w:rPr>
        <w:tab/>
      </w:r>
      <w:r w:rsidRPr="00B6468D">
        <w:rPr>
          <w:rFonts w:eastAsia="DFKai-SB"/>
          <w:szCs w:val="24"/>
          <w:lang w:val="ru-RU"/>
        </w:rPr>
        <w:tab/>
      </w:r>
      <w:r>
        <w:rPr>
          <w:rFonts w:eastAsia="DFKai-SB"/>
          <w:szCs w:val="24"/>
          <w:lang w:val="ru-RU"/>
        </w:rPr>
        <w:t>Уровень−</w:t>
      </w:r>
      <w:r w:rsidRPr="00E67D34">
        <w:rPr>
          <w:rFonts w:eastAsia="DFKai-SB"/>
          <w:szCs w:val="24"/>
          <w:lang w:val="ru-RU"/>
        </w:rPr>
        <w:t>3 (</w:t>
      </w:r>
      <w:r>
        <w:rPr>
          <w:rFonts w:eastAsia="DFKai-SB"/>
          <w:i/>
          <w:szCs w:val="24"/>
          <w:lang w:val="ru-RU"/>
        </w:rPr>
        <w:t>сексуальные</w:t>
      </w:r>
      <w:r w:rsidRPr="00E67D34">
        <w:rPr>
          <w:rFonts w:eastAsia="DFKai-SB"/>
          <w:i/>
          <w:szCs w:val="24"/>
          <w:lang w:val="ru-RU"/>
        </w:rPr>
        <w:t xml:space="preserve"> </w:t>
      </w:r>
      <w:r>
        <w:rPr>
          <w:rFonts w:eastAsia="DFKai-SB"/>
          <w:i/>
          <w:szCs w:val="24"/>
          <w:lang w:val="ru-RU"/>
        </w:rPr>
        <w:t>действия</w:t>
      </w:r>
      <w:r w:rsidRPr="00E67D34">
        <w:rPr>
          <w:rFonts w:eastAsia="DFKai-SB"/>
          <w:i/>
          <w:szCs w:val="24"/>
          <w:lang w:val="ru-RU"/>
        </w:rPr>
        <w:t xml:space="preserve"> </w:t>
      </w:r>
      <w:r>
        <w:rPr>
          <w:rFonts w:eastAsia="DFKai-SB"/>
          <w:i/>
          <w:szCs w:val="24"/>
          <w:lang w:val="ru-RU"/>
        </w:rPr>
        <w:t>между</w:t>
      </w:r>
      <w:r w:rsidRPr="00E67D34">
        <w:rPr>
          <w:rFonts w:eastAsia="DFKai-SB"/>
          <w:i/>
          <w:szCs w:val="24"/>
          <w:lang w:val="ru-RU"/>
        </w:rPr>
        <w:t xml:space="preserve"> </w:t>
      </w:r>
      <w:r>
        <w:rPr>
          <w:rFonts w:eastAsia="DFKai-SB"/>
          <w:i/>
          <w:szCs w:val="24"/>
          <w:lang w:val="ru-RU"/>
        </w:rPr>
        <w:t>взрослыми</w:t>
      </w:r>
      <w:r w:rsidRPr="00E67D34">
        <w:rPr>
          <w:rFonts w:eastAsia="DFKai-SB"/>
          <w:i/>
          <w:szCs w:val="24"/>
          <w:lang w:val="ru-RU"/>
        </w:rPr>
        <w:t xml:space="preserve"> </w:t>
      </w:r>
      <w:r>
        <w:rPr>
          <w:rFonts w:eastAsia="DFKai-SB"/>
          <w:i/>
          <w:szCs w:val="24"/>
          <w:lang w:val="ru-RU"/>
        </w:rPr>
        <w:t>и</w:t>
      </w:r>
      <w:r w:rsidRPr="00E67D34">
        <w:rPr>
          <w:rFonts w:eastAsia="DFKai-SB"/>
          <w:i/>
          <w:szCs w:val="24"/>
          <w:lang w:val="ru-RU"/>
        </w:rPr>
        <w:t xml:space="preserve"> </w:t>
      </w:r>
      <w:r>
        <w:rPr>
          <w:rFonts w:eastAsia="DFKai-SB"/>
          <w:i/>
          <w:szCs w:val="24"/>
          <w:lang w:val="ru-RU"/>
        </w:rPr>
        <w:t>детьми</w:t>
      </w:r>
      <w:r w:rsidRPr="00E67D34">
        <w:rPr>
          <w:rFonts w:eastAsia="DFKai-SB"/>
          <w:i/>
          <w:szCs w:val="24"/>
          <w:lang w:val="ru-RU"/>
        </w:rPr>
        <w:t xml:space="preserve"> </w:t>
      </w:r>
      <w:r>
        <w:rPr>
          <w:rFonts w:eastAsia="DFKai-SB"/>
          <w:i/>
          <w:szCs w:val="24"/>
          <w:lang w:val="ru-RU"/>
        </w:rPr>
        <w:t>без</w:t>
      </w:r>
      <w:r w:rsidRPr="00E67D34">
        <w:rPr>
          <w:rFonts w:eastAsia="DFKai-SB"/>
          <w:i/>
          <w:szCs w:val="24"/>
          <w:lang w:val="ru-RU"/>
        </w:rPr>
        <w:t xml:space="preserve"> </w:t>
      </w:r>
      <w:r>
        <w:rPr>
          <w:rFonts w:eastAsia="DFKai-SB"/>
          <w:i/>
          <w:szCs w:val="24"/>
          <w:lang w:val="ru-RU"/>
        </w:rPr>
        <w:t>проникновения</w:t>
      </w:r>
      <w:r w:rsidRPr="00E67D34">
        <w:rPr>
          <w:rFonts w:eastAsia="DFKai-SB"/>
          <w:szCs w:val="24"/>
          <w:lang w:val="ru-RU"/>
        </w:rPr>
        <w:t xml:space="preserve">): </w:t>
      </w:r>
      <w:r>
        <w:rPr>
          <w:rFonts w:eastAsia="DFKai-SB"/>
          <w:szCs w:val="24"/>
          <w:lang w:val="ru-RU"/>
        </w:rPr>
        <w:br/>
        <w:t xml:space="preserve">от </w:t>
      </w:r>
      <w:r w:rsidRPr="00E67D34">
        <w:rPr>
          <w:rFonts w:eastAsia="DFKai-SB" w:hint="eastAsia"/>
          <w:szCs w:val="24"/>
          <w:lang w:val="ru-RU"/>
        </w:rPr>
        <w:t xml:space="preserve">6 </w:t>
      </w:r>
      <w:r w:rsidRPr="00444B61">
        <w:rPr>
          <w:rFonts w:eastAsia="DFKai-SB"/>
          <w:szCs w:val="24"/>
        </w:rPr>
        <w:t>to</w:t>
      </w:r>
      <w:r w:rsidRPr="00E67D34">
        <w:rPr>
          <w:rFonts w:eastAsia="DFKai-SB"/>
          <w:szCs w:val="24"/>
          <w:lang w:val="ru-RU"/>
        </w:rPr>
        <w:t xml:space="preserve"> 12 </w:t>
      </w:r>
      <w:r>
        <w:rPr>
          <w:rFonts w:eastAsia="DFKai-SB"/>
          <w:szCs w:val="24"/>
          <w:lang w:val="ru-RU"/>
        </w:rPr>
        <w:t>месяцев лишения свободы в зависимости от количества изображений</w:t>
      </w:r>
      <w:r w:rsidRPr="00E67D34">
        <w:rPr>
          <w:rFonts w:eastAsia="DFKai-SB"/>
          <w:szCs w:val="24"/>
          <w:lang w:val="ru-RU"/>
        </w:rPr>
        <w:t>.</w:t>
      </w:r>
    </w:p>
    <w:p w:rsidR="00F568BC" w:rsidRPr="00E67D34" w:rsidRDefault="00F568BC" w:rsidP="00993DAD">
      <w:pPr>
        <w:pStyle w:val="FootnoteText"/>
        <w:widowControl w:val="0"/>
        <w:tabs>
          <w:tab w:val="clear" w:pos="1021"/>
          <w:tab w:val="right" w:pos="1020"/>
        </w:tabs>
        <w:rPr>
          <w:lang w:val="ru-RU"/>
        </w:rPr>
      </w:pPr>
      <w:r w:rsidRPr="00E67D34">
        <w:rPr>
          <w:rFonts w:eastAsia="DFKai-SB" w:hint="eastAsia"/>
          <w:szCs w:val="24"/>
          <w:lang w:val="ru-RU"/>
        </w:rPr>
        <w:tab/>
      </w:r>
      <w:r w:rsidRPr="00E67D34">
        <w:rPr>
          <w:rFonts w:eastAsia="DFKai-SB"/>
          <w:szCs w:val="24"/>
          <w:lang w:val="ru-RU"/>
        </w:rPr>
        <w:tab/>
      </w:r>
      <w:r w:rsidRPr="00156BB9">
        <w:rPr>
          <w:rFonts w:eastAsia="DFKai-SB"/>
          <w:color w:val="000000"/>
          <w:szCs w:val="24"/>
          <w:lang w:val="ru-RU"/>
        </w:rPr>
        <w:t>Уровень</w:t>
      </w:r>
      <w:r>
        <w:rPr>
          <w:rFonts w:eastAsia="DFKai-SB"/>
          <w:szCs w:val="24"/>
          <w:lang w:val="ru-RU"/>
        </w:rPr>
        <w:t>−</w:t>
      </w:r>
      <w:r w:rsidRPr="00E67D34">
        <w:rPr>
          <w:rFonts w:eastAsia="DFKai-SB"/>
          <w:szCs w:val="24"/>
          <w:lang w:val="ru-RU"/>
        </w:rPr>
        <w:t>4 (</w:t>
      </w:r>
      <w:r>
        <w:rPr>
          <w:rFonts w:eastAsia="DFKai-SB"/>
          <w:i/>
          <w:szCs w:val="24"/>
          <w:lang w:val="ru-RU"/>
        </w:rPr>
        <w:t>сексуальные</w:t>
      </w:r>
      <w:r w:rsidRPr="00E67D34">
        <w:rPr>
          <w:rFonts w:eastAsia="DFKai-SB"/>
          <w:i/>
          <w:szCs w:val="24"/>
          <w:lang w:val="ru-RU"/>
        </w:rPr>
        <w:t xml:space="preserve"> </w:t>
      </w:r>
      <w:r>
        <w:rPr>
          <w:rFonts w:eastAsia="DFKai-SB"/>
          <w:i/>
          <w:szCs w:val="24"/>
          <w:lang w:val="ru-RU"/>
        </w:rPr>
        <w:t>действия</w:t>
      </w:r>
      <w:r w:rsidRPr="00E67D34">
        <w:rPr>
          <w:rFonts w:eastAsia="DFKai-SB"/>
          <w:i/>
          <w:szCs w:val="24"/>
          <w:lang w:val="ru-RU"/>
        </w:rPr>
        <w:t xml:space="preserve"> </w:t>
      </w:r>
      <w:r>
        <w:rPr>
          <w:rFonts w:eastAsia="DFKai-SB"/>
          <w:i/>
          <w:szCs w:val="24"/>
          <w:lang w:val="ru-RU"/>
        </w:rPr>
        <w:t>между</w:t>
      </w:r>
      <w:r w:rsidRPr="00E67D34">
        <w:rPr>
          <w:rFonts w:eastAsia="DFKai-SB"/>
          <w:i/>
          <w:szCs w:val="24"/>
          <w:lang w:val="ru-RU"/>
        </w:rPr>
        <w:t xml:space="preserve"> </w:t>
      </w:r>
      <w:r>
        <w:rPr>
          <w:rFonts w:eastAsia="DFKai-SB"/>
          <w:i/>
          <w:szCs w:val="24"/>
          <w:lang w:val="ru-RU"/>
        </w:rPr>
        <w:t>взрослыми</w:t>
      </w:r>
      <w:r w:rsidRPr="00E67D34">
        <w:rPr>
          <w:rFonts w:eastAsia="DFKai-SB"/>
          <w:i/>
          <w:szCs w:val="24"/>
          <w:lang w:val="ru-RU"/>
        </w:rPr>
        <w:t xml:space="preserve"> </w:t>
      </w:r>
      <w:r>
        <w:rPr>
          <w:rFonts w:eastAsia="DFKai-SB"/>
          <w:i/>
          <w:szCs w:val="24"/>
          <w:lang w:val="ru-RU"/>
        </w:rPr>
        <w:t>и</w:t>
      </w:r>
      <w:r w:rsidRPr="00E67D34">
        <w:rPr>
          <w:rFonts w:eastAsia="DFKai-SB"/>
          <w:i/>
          <w:szCs w:val="24"/>
          <w:lang w:val="ru-RU"/>
        </w:rPr>
        <w:t xml:space="preserve"> </w:t>
      </w:r>
      <w:r>
        <w:rPr>
          <w:rFonts w:eastAsia="DFKai-SB"/>
          <w:i/>
          <w:szCs w:val="24"/>
          <w:lang w:val="ru-RU"/>
        </w:rPr>
        <w:t>детьми</w:t>
      </w:r>
      <w:r w:rsidRPr="00E67D34">
        <w:rPr>
          <w:rFonts w:eastAsia="DFKai-SB"/>
          <w:i/>
          <w:szCs w:val="24"/>
          <w:lang w:val="ru-RU"/>
        </w:rPr>
        <w:t xml:space="preserve"> </w:t>
      </w:r>
      <w:r>
        <w:rPr>
          <w:rFonts w:eastAsia="DFKai-SB"/>
          <w:i/>
          <w:szCs w:val="24"/>
          <w:lang w:val="ru-RU"/>
        </w:rPr>
        <w:t>с</w:t>
      </w:r>
      <w:r w:rsidRPr="00E67D34">
        <w:rPr>
          <w:rFonts w:eastAsia="DFKai-SB"/>
          <w:i/>
          <w:szCs w:val="24"/>
          <w:lang w:val="ru-RU"/>
        </w:rPr>
        <w:t xml:space="preserve"> </w:t>
      </w:r>
      <w:r>
        <w:rPr>
          <w:rFonts w:eastAsia="DFKai-SB"/>
          <w:i/>
          <w:szCs w:val="24"/>
          <w:lang w:val="ru-RU"/>
        </w:rPr>
        <w:t>проникновением</w:t>
      </w:r>
      <w:r w:rsidRPr="00E67D34">
        <w:rPr>
          <w:rFonts w:eastAsia="DFKai-SB"/>
          <w:i/>
          <w:szCs w:val="24"/>
          <w:lang w:val="ru-RU"/>
        </w:rPr>
        <w:t xml:space="preserve">, </w:t>
      </w:r>
      <w:r>
        <w:rPr>
          <w:rFonts w:eastAsia="DFKai-SB"/>
          <w:i/>
          <w:szCs w:val="24"/>
          <w:lang w:val="ru-RU"/>
        </w:rPr>
        <w:t>садизм</w:t>
      </w:r>
      <w:r w:rsidRPr="00E67D34">
        <w:rPr>
          <w:rFonts w:eastAsia="DFKai-SB"/>
          <w:i/>
          <w:szCs w:val="24"/>
          <w:lang w:val="ru-RU"/>
        </w:rPr>
        <w:t xml:space="preserve"> </w:t>
      </w:r>
      <w:r>
        <w:rPr>
          <w:rFonts w:eastAsia="DFKai-SB"/>
          <w:i/>
          <w:szCs w:val="24"/>
          <w:lang w:val="ru-RU"/>
        </w:rPr>
        <w:t>или</w:t>
      </w:r>
      <w:r w:rsidRPr="00E67D34">
        <w:rPr>
          <w:rFonts w:eastAsia="DFKai-SB"/>
          <w:i/>
          <w:szCs w:val="24"/>
          <w:lang w:val="ru-RU"/>
        </w:rPr>
        <w:t xml:space="preserve"> </w:t>
      </w:r>
      <w:r>
        <w:rPr>
          <w:rFonts w:eastAsia="DFKai-SB"/>
          <w:i/>
          <w:szCs w:val="24"/>
          <w:lang w:val="ru-RU"/>
        </w:rPr>
        <w:t>скотоложство</w:t>
      </w:r>
      <w:r w:rsidRPr="00E67D34">
        <w:rPr>
          <w:rFonts w:eastAsia="DFKai-SB"/>
          <w:szCs w:val="24"/>
          <w:lang w:val="ru-RU"/>
        </w:rPr>
        <w:t xml:space="preserve">): </w:t>
      </w:r>
      <w:r>
        <w:rPr>
          <w:rFonts w:eastAsia="DFKai-SB"/>
          <w:szCs w:val="24"/>
          <w:lang w:val="ru-RU"/>
        </w:rPr>
        <w:t xml:space="preserve">от </w:t>
      </w:r>
      <w:r w:rsidRPr="00E67D34">
        <w:rPr>
          <w:rFonts w:eastAsia="DFKai-SB"/>
          <w:szCs w:val="24"/>
          <w:lang w:val="ru-RU"/>
        </w:rPr>
        <w:t>12</w:t>
      </w:r>
      <w:r>
        <w:rPr>
          <w:rFonts w:eastAsia="DFKai-SB" w:hint="eastAsia"/>
          <w:szCs w:val="24"/>
          <w:lang w:val="ru-RU"/>
        </w:rPr>
        <w:t xml:space="preserve"> </w:t>
      </w:r>
      <w:r w:rsidRPr="00E67D34">
        <w:rPr>
          <w:rFonts w:eastAsia="DFKai-SB"/>
          <w:szCs w:val="24"/>
          <w:lang w:val="ru-RU"/>
        </w:rPr>
        <w:t>(</w:t>
      </w:r>
      <w:r>
        <w:rPr>
          <w:rFonts w:eastAsia="DFKai-SB"/>
          <w:szCs w:val="24"/>
          <w:lang w:val="ru-RU"/>
        </w:rPr>
        <w:t>даже за несколько изображений</w:t>
      </w:r>
      <w:r w:rsidRPr="00E67D34">
        <w:rPr>
          <w:rFonts w:eastAsia="DFKai-SB"/>
          <w:szCs w:val="24"/>
          <w:lang w:val="ru-RU"/>
        </w:rPr>
        <w:t xml:space="preserve">) </w:t>
      </w:r>
      <w:r>
        <w:rPr>
          <w:rFonts w:eastAsia="DFKai-SB"/>
          <w:szCs w:val="24"/>
          <w:lang w:val="ru-RU"/>
        </w:rPr>
        <w:t>до</w:t>
      </w:r>
      <w:r w:rsidRPr="00E67D34">
        <w:rPr>
          <w:rFonts w:eastAsia="DFKai-SB"/>
          <w:szCs w:val="24"/>
          <w:lang w:val="ru-RU"/>
        </w:rPr>
        <w:t xml:space="preserve"> 36 </w:t>
      </w:r>
      <w:r>
        <w:rPr>
          <w:rFonts w:eastAsia="DFKai-SB"/>
          <w:szCs w:val="24"/>
          <w:lang w:val="ru-RU"/>
        </w:rPr>
        <w:t>месяцев лишения свободы</w:t>
      </w:r>
      <w:r w:rsidRPr="00E67D34">
        <w:rPr>
          <w:rFonts w:eastAsia="DFKai-SB"/>
          <w:szCs w:val="24"/>
          <w:lang w:val="ru-RU"/>
        </w:rPr>
        <w:t>.</w:t>
      </w:r>
    </w:p>
  </w:footnote>
  <w:footnote w:id="11">
    <w:p w:rsidR="00F568BC" w:rsidRPr="008762E1" w:rsidRDefault="00F568BC" w:rsidP="00993DAD">
      <w:pPr>
        <w:pStyle w:val="FootnoteText"/>
        <w:widowControl w:val="0"/>
        <w:tabs>
          <w:tab w:val="clear" w:pos="1021"/>
          <w:tab w:val="right" w:pos="1020"/>
        </w:tabs>
        <w:rPr>
          <w:lang w:val="ru-RU"/>
        </w:rPr>
      </w:pPr>
      <w:r w:rsidRPr="00E67D34">
        <w:rPr>
          <w:lang w:val="ru-RU"/>
        </w:rPr>
        <w:tab/>
      </w:r>
      <w:r>
        <w:rPr>
          <w:rStyle w:val="FootnoteReference"/>
        </w:rPr>
        <w:footnoteRef/>
      </w:r>
      <w:r w:rsidRPr="008762E1">
        <w:rPr>
          <w:lang w:val="ru-RU"/>
        </w:rPr>
        <w:tab/>
      </w:r>
      <w:r>
        <w:rPr>
          <w:lang w:val="ru-RU"/>
        </w:rPr>
        <w:t>Включая</w:t>
      </w:r>
      <w:r w:rsidRPr="008762E1">
        <w:rPr>
          <w:lang w:val="ru-RU"/>
        </w:rPr>
        <w:t xml:space="preserve"> </w:t>
      </w:r>
      <w:r>
        <w:rPr>
          <w:lang w:val="ru-RU"/>
        </w:rPr>
        <w:t>примерно</w:t>
      </w:r>
      <w:r w:rsidRPr="008762E1">
        <w:rPr>
          <w:lang w:val="ru-RU"/>
        </w:rPr>
        <w:t xml:space="preserve"> 2 900 </w:t>
      </w:r>
      <w:r>
        <w:rPr>
          <w:lang w:val="ru-RU"/>
        </w:rPr>
        <w:t>мест</w:t>
      </w:r>
      <w:r w:rsidRPr="008762E1">
        <w:rPr>
          <w:lang w:val="ru-RU"/>
        </w:rPr>
        <w:t xml:space="preserve"> </w:t>
      </w:r>
      <w:r>
        <w:rPr>
          <w:lang w:val="ru-RU"/>
        </w:rPr>
        <w:t>в</w:t>
      </w:r>
      <w:r w:rsidRPr="008762E1">
        <w:rPr>
          <w:lang w:val="ru-RU"/>
        </w:rPr>
        <w:t xml:space="preserve"> </w:t>
      </w:r>
      <w:r>
        <w:rPr>
          <w:lang w:val="ru-RU"/>
        </w:rPr>
        <w:t>общежитиях</w:t>
      </w:r>
      <w:r w:rsidRPr="008762E1">
        <w:rPr>
          <w:lang w:val="ru-RU"/>
        </w:rPr>
        <w:t>/</w:t>
      </w:r>
      <w:r>
        <w:rPr>
          <w:lang w:val="ru-RU"/>
        </w:rPr>
        <w:t>домах</w:t>
      </w:r>
      <w:r w:rsidRPr="008762E1">
        <w:rPr>
          <w:lang w:val="ru-RU"/>
        </w:rPr>
        <w:t xml:space="preserve"> </w:t>
      </w:r>
      <w:r>
        <w:rPr>
          <w:lang w:val="ru-RU"/>
        </w:rPr>
        <w:t>самообслуживания</w:t>
      </w:r>
      <w:r w:rsidRPr="008762E1">
        <w:rPr>
          <w:lang w:val="ru-RU"/>
        </w:rPr>
        <w:t xml:space="preserve"> </w:t>
      </w:r>
      <w:r>
        <w:rPr>
          <w:lang w:val="ru-RU"/>
        </w:rPr>
        <w:t>для престарелых</w:t>
      </w:r>
      <w:r w:rsidRPr="008762E1">
        <w:rPr>
          <w:lang w:val="ru-RU"/>
        </w:rPr>
        <w:t xml:space="preserve">, </w:t>
      </w:r>
      <w:r>
        <w:rPr>
          <w:lang w:val="ru-RU"/>
        </w:rPr>
        <w:t>обеспечивающих</w:t>
      </w:r>
      <w:r w:rsidRPr="008762E1">
        <w:rPr>
          <w:lang w:val="ru-RU"/>
        </w:rPr>
        <w:t xml:space="preserve"> </w:t>
      </w:r>
      <w:r>
        <w:rPr>
          <w:lang w:val="ru-RU"/>
        </w:rPr>
        <w:t>общий</w:t>
      </w:r>
      <w:r w:rsidRPr="008762E1">
        <w:rPr>
          <w:lang w:val="ru-RU"/>
        </w:rPr>
        <w:t xml:space="preserve"> </w:t>
      </w:r>
      <w:r>
        <w:rPr>
          <w:lang w:val="ru-RU"/>
        </w:rPr>
        <w:t>уход</w:t>
      </w:r>
      <w:r w:rsidRPr="008762E1">
        <w:rPr>
          <w:lang w:val="ru-RU"/>
        </w:rPr>
        <w:t xml:space="preserve">, 20 200 </w:t>
      </w:r>
      <w:r>
        <w:rPr>
          <w:lang w:val="ru-RU"/>
        </w:rPr>
        <w:t>мест в патронажных домах-интернатах, обеспечивающих бытовой и ограниченный сестринский уход</w:t>
      </w:r>
      <w:r w:rsidRPr="008762E1">
        <w:rPr>
          <w:lang w:val="ru-RU"/>
        </w:rPr>
        <w:t xml:space="preserve">, </w:t>
      </w:r>
      <w:r>
        <w:rPr>
          <w:lang w:val="ru-RU"/>
        </w:rPr>
        <w:t>и</w:t>
      </w:r>
      <w:r w:rsidRPr="008762E1">
        <w:rPr>
          <w:lang w:val="ru-RU"/>
        </w:rPr>
        <w:t xml:space="preserve"> 2</w:t>
      </w:r>
      <w:r>
        <w:rPr>
          <w:lang w:val="ru-RU"/>
        </w:rPr>
        <w:t> </w:t>
      </w:r>
      <w:r w:rsidRPr="008762E1">
        <w:rPr>
          <w:lang w:val="ru-RU"/>
        </w:rPr>
        <w:t>100</w:t>
      </w:r>
      <w:r>
        <w:rPr>
          <w:lang w:val="ru-RU"/>
        </w:rPr>
        <w:t> мест в лечебно-реабилитационных центрах, обеспечивающих высшую категорию сестринского ухода</w:t>
      </w:r>
      <w:r w:rsidRPr="008762E1">
        <w:rPr>
          <w:lang w:val="ru-RU"/>
        </w:rPr>
        <w:t>.</w:t>
      </w:r>
    </w:p>
  </w:footnote>
  <w:footnote w:id="12">
    <w:p w:rsidR="00F568BC" w:rsidRPr="004C3E04" w:rsidRDefault="00F568BC" w:rsidP="00993DAD">
      <w:pPr>
        <w:pStyle w:val="FootnoteText"/>
        <w:widowControl w:val="0"/>
        <w:tabs>
          <w:tab w:val="clear" w:pos="1021"/>
          <w:tab w:val="right" w:pos="1020"/>
        </w:tabs>
        <w:rPr>
          <w:lang w:val="ru-RU"/>
        </w:rPr>
      </w:pPr>
      <w:r w:rsidRPr="008762E1">
        <w:rPr>
          <w:lang w:val="ru-RU"/>
        </w:rPr>
        <w:tab/>
      </w:r>
      <w:r>
        <w:rPr>
          <w:rStyle w:val="FootnoteReference"/>
        </w:rPr>
        <w:footnoteRef/>
      </w:r>
      <w:r w:rsidRPr="004C3E04">
        <w:rPr>
          <w:lang w:val="ru-RU"/>
        </w:rPr>
        <w:tab/>
      </w:r>
      <w:r>
        <w:rPr>
          <w:lang w:val="ru-RU"/>
        </w:rPr>
        <w:t>Под</w:t>
      </w:r>
      <w:r w:rsidRPr="004C3E04">
        <w:rPr>
          <w:lang w:val="ru-RU"/>
        </w:rPr>
        <w:t xml:space="preserve"> </w:t>
      </w:r>
      <w:r>
        <w:rPr>
          <w:lang w:val="ru-RU"/>
        </w:rPr>
        <w:t>малоимущими</w:t>
      </w:r>
      <w:r w:rsidRPr="004C3E04">
        <w:rPr>
          <w:lang w:val="ru-RU"/>
        </w:rPr>
        <w:t xml:space="preserve"> </w:t>
      </w:r>
      <w:r>
        <w:rPr>
          <w:lang w:val="ru-RU"/>
        </w:rPr>
        <w:t>престарелыми</w:t>
      </w:r>
      <w:r w:rsidRPr="004C3E04">
        <w:rPr>
          <w:lang w:val="ru-RU"/>
        </w:rPr>
        <w:t xml:space="preserve"> </w:t>
      </w:r>
      <w:r>
        <w:rPr>
          <w:lang w:val="ru-RU"/>
        </w:rPr>
        <w:t>людьми</w:t>
      </w:r>
      <w:r w:rsidRPr="004C3E04">
        <w:rPr>
          <w:lang w:val="ru-RU"/>
        </w:rPr>
        <w:t xml:space="preserve"> </w:t>
      </w:r>
      <w:r>
        <w:rPr>
          <w:lang w:val="ru-RU"/>
        </w:rPr>
        <w:t>понимаются</w:t>
      </w:r>
      <w:r w:rsidRPr="004C3E04">
        <w:rPr>
          <w:lang w:val="ru-RU"/>
        </w:rPr>
        <w:t xml:space="preserve"> </w:t>
      </w:r>
      <w:r>
        <w:rPr>
          <w:lang w:val="ru-RU"/>
        </w:rPr>
        <w:t>получатели</w:t>
      </w:r>
      <w:r w:rsidRPr="004C3E04">
        <w:rPr>
          <w:lang w:val="ru-RU"/>
        </w:rPr>
        <w:t xml:space="preserve"> </w:t>
      </w:r>
      <w:r>
        <w:rPr>
          <w:lang w:val="ru-RU"/>
        </w:rPr>
        <w:t>пособий</w:t>
      </w:r>
      <w:r w:rsidRPr="004C3E04">
        <w:rPr>
          <w:lang w:val="ru-RU"/>
        </w:rPr>
        <w:t xml:space="preserve"> </w:t>
      </w:r>
      <w:r>
        <w:rPr>
          <w:lang w:val="ru-RU"/>
        </w:rPr>
        <w:t>по</w:t>
      </w:r>
      <w:r w:rsidRPr="004C3E04">
        <w:rPr>
          <w:lang w:val="ru-RU"/>
        </w:rPr>
        <w:t xml:space="preserve"> </w:t>
      </w:r>
      <w:r>
        <w:rPr>
          <w:lang w:val="ru-RU"/>
        </w:rPr>
        <w:t>старости</w:t>
      </w:r>
      <w:r w:rsidRPr="004C3E04">
        <w:rPr>
          <w:lang w:val="ru-RU"/>
        </w:rPr>
        <w:t xml:space="preserve"> </w:t>
      </w:r>
      <w:r>
        <w:rPr>
          <w:lang w:val="ru-RU"/>
        </w:rPr>
        <w:t>по</w:t>
      </w:r>
      <w:r w:rsidRPr="004C3E04">
        <w:rPr>
          <w:lang w:val="ru-RU"/>
        </w:rPr>
        <w:t xml:space="preserve"> </w:t>
      </w:r>
      <w:r>
        <w:rPr>
          <w:lang w:val="ru-RU"/>
        </w:rPr>
        <w:t>линии ПКСП</w:t>
      </w:r>
      <w:r w:rsidRPr="004C3E04">
        <w:rPr>
          <w:lang w:val="ru-RU"/>
        </w:rPr>
        <w:t xml:space="preserve"> </w:t>
      </w:r>
      <w:r>
        <w:rPr>
          <w:lang w:val="ru-RU"/>
        </w:rPr>
        <w:t>и/или лица, проживающие в частных временных жилищах и частных коммунальных квартирах</w:t>
      </w:r>
      <w:r w:rsidRPr="004C3E04">
        <w:rPr>
          <w:lang w:val="ru-RU"/>
        </w:rPr>
        <w:t>.</w:t>
      </w:r>
    </w:p>
  </w:footnote>
  <w:footnote w:id="13">
    <w:p w:rsidR="00F568BC" w:rsidRPr="00DB7D17" w:rsidRDefault="00F568BC" w:rsidP="00993DAD">
      <w:pPr>
        <w:pStyle w:val="FootnoteText"/>
        <w:widowControl w:val="0"/>
        <w:tabs>
          <w:tab w:val="clear" w:pos="1021"/>
          <w:tab w:val="right" w:pos="1020"/>
        </w:tabs>
        <w:rPr>
          <w:lang w:val="ru-RU"/>
        </w:rPr>
      </w:pPr>
      <w:r w:rsidRPr="004C3E04">
        <w:rPr>
          <w:lang w:val="ru-RU"/>
        </w:rPr>
        <w:tab/>
      </w:r>
      <w:r>
        <w:rPr>
          <w:rStyle w:val="FootnoteReference"/>
        </w:rPr>
        <w:footnoteRef/>
      </w:r>
      <w:r w:rsidRPr="00DB7D17">
        <w:rPr>
          <w:lang w:val="ru-RU"/>
        </w:rPr>
        <w:tab/>
      </w:r>
      <w:r>
        <w:rPr>
          <w:lang w:val="ru-RU"/>
        </w:rPr>
        <w:t>Термин "не</w:t>
      </w:r>
      <w:r w:rsidRPr="00DB7D17">
        <w:rPr>
          <w:lang w:val="ru-RU"/>
        </w:rPr>
        <w:t xml:space="preserve"> </w:t>
      </w:r>
      <w:r>
        <w:rPr>
          <w:lang w:val="ru-RU"/>
        </w:rPr>
        <w:t>были</w:t>
      </w:r>
      <w:r w:rsidRPr="00DB7D17">
        <w:rPr>
          <w:lang w:val="ru-RU"/>
        </w:rPr>
        <w:t xml:space="preserve"> </w:t>
      </w:r>
      <w:r>
        <w:rPr>
          <w:lang w:val="ru-RU"/>
        </w:rPr>
        <w:t>обеспечены</w:t>
      </w:r>
      <w:r w:rsidRPr="00DB7D17">
        <w:rPr>
          <w:lang w:val="ru-RU"/>
        </w:rPr>
        <w:t xml:space="preserve"> </w:t>
      </w:r>
      <w:r>
        <w:rPr>
          <w:lang w:val="ru-RU"/>
        </w:rPr>
        <w:t>достаточным</w:t>
      </w:r>
      <w:r w:rsidRPr="00DB7D17">
        <w:rPr>
          <w:lang w:val="ru-RU"/>
        </w:rPr>
        <w:t xml:space="preserve"> </w:t>
      </w:r>
      <w:r>
        <w:rPr>
          <w:lang w:val="ru-RU"/>
        </w:rPr>
        <w:t>жилищем"</w:t>
      </w:r>
      <w:r w:rsidRPr="00DB7D17">
        <w:rPr>
          <w:lang w:val="ru-RU"/>
        </w:rPr>
        <w:t xml:space="preserve"> </w:t>
      </w:r>
      <w:r>
        <w:rPr>
          <w:lang w:val="ru-RU"/>
        </w:rPr>
        <w:t>относится</w:t>
      </w:r>
      <w:r w:rsidRPr="00DB7D17">
        <w:rPr>
          <w:lang w:val="ru-RU"/>
        </w:rPr>
        <w:t xml:space="preserve"> </w:t>
      </w:r>
      <w:r>
        <w:rPr>
          <w:lang w:val="ru-RU"/>
        </w:rPr>
        <w:t>к</w:t>
      </w:r>
      <w:r w:rsidRPr="00DB7D17">
        <w:rPr>
          <w:lang w:val="ru-RU"/>
        </w:rPr>
        <w:t xml:space="preserve"> </w:t>
      </w:r>
      <w:r>
        <w:rPr>
          <w:lang w:val="ru-RU"/>
        </w:rPr>
        <w:t>домашним</w:t>
      </w:r>
      <w:r w:rsidRPr="00DB7D17">
        <w:rPr>
          <w:lang w:val="ru-RU"/>
        </w:rPr>
        <w:t xml:space="preserve"> </w:t>
      </w:r>
      <w:r>
        <w:rPr>
          <w:lang w:val="ru-RU"/>
        </w:rPr>
        <w:t>хозяйствам</w:t>
      </w:r>
      <w:r w:rsidRPr="00DB7D17">
        <w:rPr>
          <w:lang w:val="ru-RU"/>
        </w:rPr>
        <w:t xml:space="preserve"> </w:t>
      </w:r>
      <w:r>
        <w:rPr>
          <w:lang w:val="ru-RU"/>
        </w:rPr>
        <w:t>или</w:t>
      </w:r>
      <w:r w:rsidRPr="00DB7D17">
        <w:rPr>
          <w:lang w:val="ru-RU"/>
        </w:rPr>
        <w:t xml:space="preserve"> </w:t>
      </w:r>
      <w:r>
        <w:rPr>
          <w:lang w:val="ru-RU"/>
        </w:rPr>
        <w:t>людям</w:t>
      </w:r>
      <w:r w:rsidRPr="00DB7D17">
        <w:rPr>
          <w:lang w:val="ru-RU"/>
        </w:rPr>
        <w:t xml:space="preserve">, </w:t>
      </w:r>
      <w:r>
        <w:rPr>
          <w:lang w:val="ru-RU"/>
        </w:rPr>
        <w:t>проживающим</w:t>
      </w:r>
      <w:r w:rsidRPr="00DB7D17">
        <w:rPr>
          <w:lang w:val="ru-RU"/>
        </w:rPr>
        <w:t xml:space="preserve"> </w:t>
      </w:r>
      <w:r>
        <w:rPr>
          <w:lang w:val="ru-RU"/>
        </w:rPr>
        <w:t>во</w:t>
      </w:r>
      <w:r w:rsidRPr="00DB7D17">
        <w:rPr>
          <w:lang w:val="ru-RU"/>
        </w:rPr>
        <w:t xml:space="preserve"> </w:t>
      </w:r>
      <w:r>
        <w:rPr>
          <w:lang w:val="ru-RU"/>
        </w:rPr>
        <w:t>временных</w:t>
      </w:r>
      <w:r w:rsidRPr="00DB7D17">
        <w:rPr>
          <w:lang w:val="ru-RU"/>
        </w:rPr>
        <w:t xml:space="preserve"> </w:t>
      </w:r>
      <w:r>
        <w:rPr>
          <w:lang w:val="ru-RU"/>
        </w:rPr>
        <w:t>постройках</w:t>
      </w:r>
      <w:r w:rsidRPr="00DB7D17">
        <w:rPr>
          <w:lang w:val="ru-RU"/>
        </w:rPr>
        <w:t xml:space="preserve"> </w:t>
      </w:r>
      <w:r>
        <w:rPr>
          <w:lang w:val="ru-RU"/>
        </w:rPr>
        <w:t>или</w:t>
      </w:r>
      <w:r w:rsidRPr="00DB7D17">
        <w:rPr>
          <w:lang w:val="ru-RU"/>
        </w:rPr>
        <w:t xml:space="preserve"> </w:t>
      </w:r>
      <w:r>
        <w:rPr>
          <w:lang w:val="ru-RU"/>
        </w:rPr>
        <w:t>в общих коммунальных жилищах, а также вынужденным делить жилье с другими домохозяйствами</w:t>
      </w:r>
      <w:r w:rsidRPr="00DB7D17">
        <w:rPr>
          <w:lang w:val="ru-RU"/>
        </w:rPr>
        <w:t>.</w:t>
      </w:r>
    </w:p>
  </w:footnote>
  <w:footnote w:id="14">
    <w:p w:rsidR="00F568BC" w:rsidRPr="005938CC" w:rsidRDefault="00F568BC" w:rsidP="00993DAD">
      <w:pPr>
        <w:pStyle w:val="FootnoteText"/>
        <w:widowControl w:val="0"/>
        <w:tabs>
          <w:tab w:val="clear" w:pos="1021"/>
          <w:tab w:val="right" w:pos="1020"/>
        </w:tabs>
        <w:rPr>
          <w:lang w:val="ru-RU"/>
        </w:rPr>
      </w:pPr>
      <w:r w:rsidRPr="00DB7D17">
        <w:rPr>
          <w:lang w:val="ru-RU"/>
        </w:rPr>
        <w:tab/>
      </w:r>
      <w:r>
        <w:rPr>
          <w:rStyle w:val="FootnoteReference"/>
        </w:rPr>
        <w:footnoteRef/>
      </w:r>
      <w:r w:rsidRPr="001C2234">
        <w:rPr>
          <w:lang w:val="ru-RU"/>
        </w:rPr>
        <w:tab/>
      </w:r>
      <w:r>
        <w:rPr>
          <w:lang w:val="ru-RU"/>
        </w:rPr>
        <w:t>Законопроект</w:t>
      </w:r>
      <w:r w:rsidRPr="001C2234">
        <w:rPr>
          <w:lang w:val="ru-RU"/>
        </w:rPr>
        <w:t xml:space="preserve"> </w:t>
      </w:r>
      <w:r>
        <w:rPr>
          <w:lang w:val="ru-RU"/>
        </w:rPr>
        <w:t>о</w:t>
      </w:r>
      <w:r w:rsidRPr="001C2234">
        <w:rPr>
          <w:lang w:val="ru-RU"/>
        </w:rPr>
        <w:t xml:space="preserve"> </w:t>
      </w:r>
      <w:r>
        <w:rPr>
          <w:lang w:val="ru-RU"/>
        </w:rPr>
        <w:t>квартирах</w:t>
      </w:r>
      <w:r w:rsidRPr="001C2234">
        <w:rPr>
          <w:lang w:val="ru-RU"/>
        </w:rPr>
        <w:t>-</w:t>
      </w:r>
      <w:r>
        <w:rPr>
          <w:lang w:val="ru-RU"/>
        </w:rPr>
        <w:t>ночлежках</w:t>
      </w:r>
      <w:r w:rsidRPr="001C2234">
        <w:rPr>
          <w:lang w:val="ru-RU"/>
        </w:rPr>
        <w:t xml:space="preserve"> </w:t>
      </w:r>
      <w:r w:rsidRPr="001C2234">
        <w:rPr>
          <w:rFonts w:hint="eastAsia"/>
          <w:lang w:val="ru-RU"/>
        </w:rPr>
        <w:t>(</w:t>
      </w:r>
      <w:r>
        <w:rPr>
          <w:lang w:val="ru-RU"/>
        </w:rPr>
        <w:t>глава</w:t>
      </w:r>
      <w:r w:rsidRPr="001C2234">
        <w:rPr>
          <w:rFonts w:hint="eastAsia"/>
          <w:lang w:val="ru-RU"/>
        </w:rPr>
        <w:t xml:space="preserve"> 447)</w:t>
      </w:r>
      <w:r w:rsidRPr="001C2234">
        <w:rPr>
          <w:lang w:val="ru-RU"/>
        </w:rPr>
        <w:t>,</w:t>
      </w:r>
      <w:r w:rsidRPr="001C2234">
        <w:rPr>
          <w:rFonts w:hint="eastAsia"/>
          <w:lang w:val="ru-RU"/>
        </w:rPr>
        <w:t xml:space="preserve"> </w:t>
      </w:r>
      <w:r>
        <w:rPr>
          <w:lang w:val="ru-RU"/>
        </w:rPr>
        <w:t>принятый</w:t>
      </w:r>
      <w:r w:rsidRPr="001C2234">
        <w:rPr>
          <w:rFonts w:hint="eastAsia"/>
          <w:lang w:val="ru-RU"/>
        </w:rPr>
        <w:t xml:space="preserve"> </w:t>
      </w:r>
      <w:r>
        <w:rPr>
          <w:lang w:val="ru-RU"/>
        </w:rPr>
        <w:t>в</w:t>
      </w:r>
      <w:r w:rsidRPr="001C2234">
        <w:rPr>
          <w:rFonts w:hint="eastAsia"/>
          <w:lang w:val="ru-RU"/>
        </w:rPr>
        <w:t xml:space="preserve"> 1994</w:t>
      </w:r>
      <w:r>
        <w:rPr>
          <w:rFonts w:hint="eastAsia"/>
          <w:lang w:val="ru-RU"/>
        </w:rPr>
        <w:t> год</w:t>
      </w:r>
      <w:r>
        <w:rPr>
          <w:lang w:val="ru-RU"/>
        </w:rPr>
        <w:t>у</w:t>
      </w:r>
      <w:r w:rsidRPr="001C2234">
        <w:rPr>
          <w:lang w:val="ru-RU"/>
        </w:rPr>
        <w:t xml:space="preserve">, </w:t>
      </w:r>
      <w:r>
        <w:rPr>
          <w:lang w:val="ru-RU"/>
        </w:rPr>
        <w:t>предусматривает</w:t>
      </w:r>
      <w:r w:rsidRPr="001C2234">
        <w:rPr>
          <w:lang w:val="ru-RU"/>
        </w:rPr>
        <w:t xml:space="preserve"> </w:t>
      </w:r>
      <w:r>
        <w:rPr>
          <w:lang w:val="ru-RU"/>
        </w:rPr>
        <w:t>систему лицензирования, регулирующую строительную и пожарную безопасность квартир-ночлежек</w:t>
      </w:r>
      <w:r w:rsidRPr="001C2234">
        <w:rPr>
          <w:rFonts w:hint="eastAsia"/>
          <w:lang w:val="ru-RU"/>
        </w:rPr>
        <w:t xml:space="preserve">. </w:t>
      </w:r>
      <w:r>
        <w:rPr>
          <w:lang w:val="ru-RU"/>
        </w:rPr>
        <w:t>Согласно</w:t>
      </w:r>
      <w:r w:rsidRPr="00A71669">
        <w:rPr>
          <w:lang w:val="ru-RU"/>
        </w:rPr>
        <w:t xml:space="preserve"> </w:t>
      </w:r>
      <w:r>
        <w:rPr>
          <w:lang w:val="ru-RU"/>
        </w:rPr>
        <w:t>этому</w:t>
      </w:r>
      <w:r w:rsidRPr="00A71669">
        <w:rPr>
          <w:lang w:val="ru-RU"/>
        </w:rPr>
        <w:t xml:space="preserve"> </w:t>
      </w:r>
      <w:r>
        <w:rPr>
          <w:lang w:val="ru-RU"/>
        </w:rPr>
        <w:t>законодательному</w:t>
      </w:r>
      <w:r w:rsidRPr="00A71669">
        <w:rPr>
          <w:lang w:val="ru-RU"/>
        </w:rPr>
        <w:t xml:space="preserve"> </w:t>
      </w:r>
      <w:r>
        <w:rPr>
          <w:lang w:val="ru-RU"/>
        </w:rPr>
        <w:t>акту, любое</w:t>
      </w:r>
      <w:r w:rsidRPr="00A71669">
        <w:rPr>
          <w:lang w:val="ru-RU"/>
        </w:rPr>
        <w:t xml:space="preserve"> </w:t>
      </w:r>
      <w:r>
        <w:rPr>
          <w:lang w:val="ru-RU"/>
        </w:rPr>
        <w:t>помещение</w:t>
      </w:r>
      <w:r w:rsidRPr="00A71669">
        <w:rPr>
          <w:lang w:val="ru-RU"/>
        </w:rPr>
        <w:t xml:space="preserve">, </w:t>
      </w:r>
      <w:r>
        <w:rPr>
          <w:lang w:val="ru-RU"/>
        </w:rPr>
        <w:t>которое</w:t>
      </w:r>
      <w:r w:rsidRPr="00A71669">
        <w:rPr>
          <w:lang w:val="ru-RU"/>
        </w:rPr>
        <w:t xml:space="preserve"> </w:t>
      </w:r>
      <w:r>
        <w:rPr>
          <w:lang w:val="ru-RU"/>
        </w:rPr>
        <w:t>оборудовано</w:t>
      </w:r>
      <w:r w:rsidRPr="00A71669">
        <w:rPr>
          <w:lang w:val="ru-RU"/>
        </w:rPr>
        <w:t xml:space="preserve"> 12 </w:t>
      </w:r>
      <w:r>
        <w:rPr>
          <w:lang w:val="ru-RU"/>
        </w:rPr>
        <w:t>и</w:t>
      </w:r>
      <w:r w:rsidRPr="00A71669">
        <w:rPr>
          <w:lang w:val="ru-RU"/>
        </w:rPr>
        <w:t xml:space="preserve"> </w:t>
      </w:r>
      <w:r>
        <w:rPr>
          <w:lang w:val="ru-RU"/>
        </w:rPr>
        <w:t>более</w:t>
      </w:r>
      <w:r w:rsidRPr="00A71669">
        <w:rPr>
          <w:lang w:val="ru-RU"/>
        </w:rPr>
        <w:t xml:space="preserve"> </w:t>
      </w:r>
      <w:r>
        <w:rPr>
          <w:lang w:val="ru-RU"/>
        </w:rPr>
        <w:t>койками</w:t>
      </w:r>
      <w:r w:rsidRPr="00A71669">
        <w:rPr>
          <w:lang w:val="ru-RU"/>
        </w:rPr>
        <w:t xml:space="preserve">, </w:t>
      </w:r>
      <w:r>
        <w:rPr>
          <w:lang w:val="ru-RU"/>
        </w:rPr>
        <w:t>арендуемыми</w:t>
      </w:r>
      <w:r w:rsidRPr="00A71669">
        <w:rPr>
          <w:lang w:val="ru-RU"/>
        </w:rPr>
        <w:t xml:space="preserve"> </w:t>
      </w:r>
      <w:r>
        <w:rPr>
          <w:lang w:val="ru-RU"/>
        </w:rPr>
        <w:t>в качестве</w:t>
      </w:r>
      <w:r w:rsidRPr="00A71669">
        <w:rPr>
          <w:lang w:val="ru-RU"/>
        </w:rPr>
        <w:t xml:space="preserve"> </w:t>
      </w:r>
      <w:r>
        <w:rPr>
          <w:lang w:val="ru-RU"/>
        </w:rPr>
        <w:t>спальных мест</w:t>
      </w:r>
      <w:r w:rsidRPr="00A71669">
        <w:rPr>
          <w:lang w:val="ru-RU"/>
        </w:rPr>
        <w:t xml:space="preserve"> </w:t>
      </w:r>
      <w:r>
        <w:rPr>
          <w:lang w:val="ru-RU"/>
        </w:rPr>
        <w:t>отдельными</w:t>
      </w:r>
      <w:r w:rsidRPr="00A71669">
        <w:rPr>
          <w:lang w:val="ru-RU"/>
        </w:rPr>
        <w:t xml:space="preserve"> </w:t>
      </w:r>
      <w:r>
        <w:rPr>
          <w:lang w:val="ru-RU"/>
        </w:rPr>
        <w:t>лицами</w:t>
      </w:r>
      <w:r w:rsidRPr="00A71669">
        <w:rPr>
          <w:lang w:val="ru-RU"/>
        </w:rPr>
        <w:t xml:space="preserve"> </w:t>
      </w:r>
      <w:r>
        <w:rPr>
          <w:lang w:val="ru-RU"/>
        </w:rPr>
        <w:t>по</w:t>
      </w:r>
      <w:r w:rsidRPr="00A71669">
        <w:rPr>
          <w:lang w:val="ru-RU"/>
        </w:rPr>
        <w:t xml:space="preserve"> </w:t>
      </w:r>
      <w:r>
        <w:rPr>
          <w:lang w:val="ru-RU"/>
        </w:rPr>
        <w:t>договору</w:t>
      </w:r>
      <w:r w:rsidRPr="00A71669">
        <w:rPr>
          <w:lang w:val="ru-RU"/>
        </w:rPr>
        <w:t xml:space="preserve"> </w:t>
      </w:r>
      <w:r>
        <w:rPr>
          <w:lang w:val="ru-RU"/>
        </w:rPr>
        <w:t>аренды</w:t>
      </w:r>
      <w:r w:rsidRPr="00A71669">
        <w:rPr>
          <w:lang w:val="ru-RU"/>
        </w:rPr>
        <w:t xml:space="preserve">, </w:t>
      </w:r>
      <w:r>
        <w:rPr>
          <w:lang w:val="ru-RU"/>
        </w:rPr>
        <w:t>подлежит</w:t>
      </w:r>
      <w:r w:rsidRPr="00A71669">
        <w:rPr>
          <w:lang w:val="ru-RU"/>
        </w:rPr>
        <w:t xml:space="preserve"> </w:t>
      </w:r>
      <w:r>
        <w:rPr>
          <w:lang w:val="ru-RU"/>
        </w:rPr>
        <w:t>лицензированию</w:t>
      </w:r>
      <w:r w:rsidRPr="00A71669">
        <w:rPr>
          <w:lang w:val="ru-RU"/>
        </w:rPr>
        <w:t xml:space="preserve"> </w:t>
      </w:r>
      <w:r>
        <w:rPr>
          <w:lang w:val="ru-RU"/>
        </w:rPr>
        <w:t>до</w:t>
      </w:r>
      <w:r w:rsidRPr="00A71669">
        <w:rPr>
          <w:lang w:val="ru-RU"/>
        </w:rPr>
        <w:t xml:space="preserve"> </w:t>
      </w:r>
      <w:r>
        <w:rPr>
          <w:lang w:val="ru-RU"/>
        </w:rPr>
        <w:t>сдачи</w:t>
      </w:r>
      <w:r w:rsidRPr="00A71669">
        <w:rPr>
          <w:lang w:val="ru-RU"/>
        </w:rPr>
        <w:t xml:space="preserve"> </w:t>
      </w:r>
      <w:r>
        <w:rPr>
          <w:lang w:val="ru-RU"/>
        </w:rPr>
        <w:t>в</w:t>
      </w:r>
      <w:r w:rsidRPr="00A71669">
        <w:rPr>
          <w:lang w:val="ru-RU"/>
        </w:rPr>
        <w:t xml:space="preserve"> </w:t>
      </w:r>
      <w:r>
        <w:rPr>
          <w:lang w:val="ru-RU"/>
        </w:rPr>
        <w:t>аренду, чтобы такие квартиры отвечали всем упомянутым в нем стандартам строительной и пожарной безопасности и санитарным нормам и тем самым гарантировали безопасность их жильцам</w:t>
      </w:r>
      <w:r w:rsidRPr="00A71669">
        <w:rPr>
          <w:rFonts w:hint="eastAsia"/>
          <w:lang w:val="ru-RU"/>
        </w:rPr>
        <w:t xml:space="preserve">. </w:t>
      </w:r>
      <w:r>
        <w:rPr>
          <w:lang w:val="ru-RU"/>
        </w:rPr>
        <w:t>По</w:t>
      </w:r>
      <w:r w:rsidRPr="00F50775">
        <w:rPr>
          <w:lang w:val="ru-RU"/>
        </w:rPr>
        <w:t xml:space="preserve"> </w:t>
      </w:r>
      <w:r>
        <w:rPr>
          <w:lang w:val="ru-RU"/>
        </w:rPr>
        <w:t>состоянию</w:t>
      </w:r>
      <w:r w:rsidRPr="00F50775">
        <w:rPr>
          <w:lang w:val="ru-RU"/>
        </w:rPr>
        <w:t xml:space="preserve"> </w:t>
      </w:r>
      <w:r>
        <w:rPr>
          <w:lang w:val="ru-RU"/>
        </w:rPr>
        <w:t>на</w:t>
      </w:r>
      <w:r w:rsidRPr="00F50775">
        <w:rPr>
          <w:lang w:val="ru-RU"/>
        </w:rPr>
        <w:t xml:space="preserve"> </w:t>
      </w:r>
      <w:r>
        <w:rPr>
          <w:lang w:val="ru-RU"/>
        </w:rPr>
        <w:t>декабрь</w:t>
      </w:r>
      <w:r w:rsidRPr="00F50775">
        <w:rPr>
          <w:lang w:val="ru-RU"/>
        </w:rPr>
        <w:t xml:space="preserve"> 2009</w:t>
      </w:r>
      <w:r>
        <w:rPr>
          <w:lang w:val="ru-RU"/>
        </w:rPr>
        <w:t> года функционировало 18 лицензированных квартир-ночлежек (включая два общежития в рамках Программы общежитий для одиноких, курируемой ДВД). Общее</w:t>
      </w:r>
      <w:r w:rsidRPr="005938CC">
        <w:rPr>
          <w:lang w:val="ru-RU"/>
        </w:rPr>
        <w:t xml:space="preserve"> </w:t>
      </w:r>
      <w:r>
        <w:rPr>
          <w:lang w:val="ru-RU"/>
        </w:rPr>
        <w:t>количество</w:t>
      </w:r>
      <w:r w:rsidRPr="005938CC">
        <w:rPr>
          <w:lang w:val="ru-RU"/>
        </w:rPr>
        <w:t xml:space="preserve"> </w:t>
      </w:r>
      <w:r>
        <w:rPr>
          <w:lang w:val="ru-RU"/>
        </w:rPr>
        <w:t>спальных</w:t>
      </w:r>
      <w:r w:rsidRPr="005938CC">
        <w:rPr>
          <w:lang w:val="ru-RU"/>
        </w:rPr>
        <w:t xml:space="preserve"> </w:t>
      </w:r>
      <w:r>
        <w:rPr>
          <w:lang w:val="ru-RU"/>
        </w:rPr>
        <w:t>мест</w:t>
      </w:r>
      <w:r w:rsidRPr="005938CC">
        <w:rPr>
          <w:lang w:val="ru-RU"/>
        </w:rPr>
        <w:t xml:space="preserve"> </w:t>
      </w:r>
      <w:r>
        <w:rPr>
          <w:lang w:val="ru-RU"/>
        </w:rPr>
        <w:t>в</w:t>
      </w:r>
      <w:r w:rsidRPr="005938CC">
        <w:rPr>
          <w:lang w:val="ru-RU"/>
        </w:rPr>
        <w:t xml:space="preserve"> </w:t>
      </w:r>
      <w:r>
        <w:rPr>
          <w:lang w:val="ru-RU"/>
        </w:rPr>
        <w:t>них</w:t>
      </w:r>
      <w:r w:rsidRPr="005938CC">
        <w:rPr>
          <w:lang w:val="ru-RU"/>
        </w:rPr>
        <w:t xml:space="preserve"> </w:t>
      </w:r>
      <w:r>
        <w:rPr>
          <w:lang w:val="ru-RU"/>
        </w:rPr>
        <w:t xml:space="preserve">составило </w:t>
      </w:r>
      <w:r w:rsidRPr="005938CC">
        <w:rPr>
          <w:lang w:val="ru-RU"/>
        </w:rPr>
        <w:t>1</w:t>
      </w:r>
      <w:r>
        <w:rPr>
          <w:lang w:val="ru-RU"/>
        </w:rPr>
        <w:t> </w:t>
      </w:r>
      <w:r w:rsidRPr="005938CC">
        <w:rPr>
          <w:lang w:val="ru-RU"/>
        </w:rPr>
        <w:t xml:space="preserve">000 </w:t>
      </w:r>
      <w:r>
        <w:rPr>
          <w:lang w:val="ru-RU"/>
        </w:rPr>
        <w:t>коек</w:t>
      </w:r>
      <w:r w:rsidRPr="005938CC">
        <w:rPr>
          <w:lang w:val="ru-RU"/>
        </w:rPr>
        <w:t xml:space="preserve">, </w:t>
      </w:r>
      <w:r>
        <w:rPr>
          <w:lang w:val="ru-RU"/>
        </w:rPr>
        <w:t>а общее количество съемщиков составило примерно</w:t>
      </w:r>
      <w:r w:rsidRPr="005938CC">
        <w:rPr>
          <w:rFonts w:hint="eastAsia"/>
          <w:lang w:val="ru-RU"/>
        </w:rPr>
        <w:t xml:space="preserve"> 790</w:t>
      </w:r>
      <w:r>
        <w:rPr>
          <w:lang w:val="ru-RU"/>
        </w:rPr>
        <w:t xml:space="preserve"> человек</w:t>
      </w:r>
      <w:r w:rsidRPr="005938CC">
        <w:rPr>
          <w:rFonts w:hint="eastAsia"/>
          <w:lang w:val="ru-RU"/>
        </w:rPr>
        <w:t>.</w:t>
      </w:r>
    </w:p>
  </w:footnote>
  <w:footnote w:id="15">
    <w:p w:rsidR="00F568BC" w:rsidRPr="00515BAB" w:rsidRDefault="00F568BC" w:rsidP="00993DAD">
      <w:pPr>
        <w:pStyle w:val="FootnoteText"/>
        <w:widowControl w:val="0"/>
        <w:tabs>
          <w:tab w:val="clear" w:pos="1021"/>
          <w:tab w:val="right" w:pos="1020"/>
        </w:tabs>
        <w:rPr>
          <w:lang w:val="ru-RU"/>
        </w:rPr>
      </w:pPr>
      <w:r w:rsidRPr="005938CC">
        <w:rPr>
          <w:lang w:val="ru-RU"/>
        </w:rPr>
        <w:tab/>
      </w:r>
      <w:r>
        <w:rPr>
          <w:rStyle w:val="FootnoteReference"/>
        </w:rPr>
        <w:footnoteRef/>
      </w:r>
      <w:r w:rsidRPr="00DC356B">
        <w:rPr>
          <w:lang w:val="ru-RU"/>
        </w:rPr>
        <w:tab/>
      </w:r>
      <w:r>
        <w:rPr>
          <w:lang w:val="ru-RU"/>
        </w:rPr>
        <w:t>НСЗГ</w:t>
      </w:r>
      <w:r w:rsidRPr="00DC356B">
        <w:rPr>
          <w:lang w:val="ru-RU"/>
        </w:rPr>
        <w:t xml:space="preserve">, </w:t>
      </w:r>
      <w:r>
        <w:rPr>
          <w:lang w:val="ru-RU"/>
        </w:rPr>
        <w:t>как</w:t>
      </w:r>
      <w:r w:rsidRPr="00DC356B">
        <w:rPr>
          <w:lang w:val="ru-RU"/>
        </w:rPr>
        <w:t xml:space="preserve"> </w:t>
      </w:r>
      <w:r>
        <w:rPr>
          <w:lang w:val="ru-RU"/>
        </w:rPr>
        <w:t>национальные</w:t>
      </w:r>
      <w:r w:rsidRPr="00DC356B">
        <w:rPr>
          <w:lang w:val="ru-RU"/>
        </w:rPr>
        <w:t xml:space="preserve"> </w:t>
      </w:r>
      <w:r>
        <w:rPr>
          <w:lang w:val="ru-RU"/>
        </w:rPr>
        <w:t>или</w:t>
      </w:r>
      <w:r w:rsidRPr="00DC356B">
        <w:rPr>
          <w:lang w:val="ru-RU"/>
        </w:rPr>
        <w:t xml:space="preserve"> </w:t>
      </w:r>
      <w:r>
        <w:rPr>
          <w:lang w:val="ru-RU"/>
        </w:rPr>
        <w:t>внутренние</w:t>
      </w:r>
      <w:r w:rsidRPr="00DC356B">
        <w:rPr>
          <w:lang w:val="ru-RU"/>
        </w:rPr>
        <w:t xml:space="preserve"> </w:t>
      </w:r>
      <w:r>
        <w:rPr>
          <w:lang w:val="ru-RU"/>
        </w:rPr>
        <w:t>счета</w:t>
      </w:r>
      <w:r w:rsidRPr="00DC356B">
        <w:rPr>
          <w:lang w:val="ru-RU"/>
        </w:rPr>
        <w:t xml:space="preserve"> </w:t>
      </w:r>
      <w:r>
        <w:rPr>
          <w:lang w:val="ru-RU"/>
        </w:rPr>
        <w:t>здравоохранения</w:t>
      </w:r>
      <w:r w:rsidRPr="00DC356B">
        <w:rPr>
          <w:lang w:val="ru-RU"/>
        </w:rPr>
        <w:t xml:space="preserve"> </w:t>
      </w:r>
      <w:r>
        <w:rPr>
          <w:lang w:val="ru-RU"/>
        </w:rPr>
        <w:t>многих</w:t>
      </w:r>
      <w:r w:rsidRPr="00DC356B">
        <w:rPr>
          <w:lang w:val="ru-RU"/>
        </w:rPr>
        <w:t xml:space="preserve"> </w:t>
      </w:r>
      <w:r>
        <w:rPr>
          <w:lang w:val="ru-RU"/>
        </w:rPr>
        <w:t>других</w:t>
      </w:r>
      <w:r w:rsidRPr="00DC356B">
        <w:rPr>
          <w:lang w:val="ru-RU"/>
        </w:rPr>
        <w:t xml:space="preserve"> </w:t>
      </w:r>
      <w:r>
        <w:rPr>
          <w:lang w:val="ru-RU"/>
        </w:rPr>
        <w:t>экономик</w:t>
      </w:r>
      <w:r w:rsidRPr="00DC356B">
        <w:rPr>
          <w:lang w:val="ru-RU"/>
        </w:rPr>
        <w:t>,</w:t>
      </w:r>
      <w:r w:rsidRPr="00DC356B">
        <w:rPr>
          <w:rFonts w:hint="eastAsia"/>
          <w:lang w:val="ru-RU"/>
        </w:rPr>
        <w:t xml:space="preserve"> </w:t>
      </w:r>
      <w:r>
        <w:rPr>
          <w:lang w:val="ru-RU"/>
        </w:rPr>
        <w:t>составляются</w:t>
      </w:r>
      <w:r w:rsidRPr="00DC356B">
        <w:rPr>
          <w:lang w:val="ru-RU"/>
        </w:rPr>
        <w:t xml:space="preserve"> </w:t>
      </w:r>
      <w:r>
        <w:rPr>
          <w:lang w:val="ru-RU"/>
        </w:rPr>
        <w:t>на</w:t>
      </w:r>
      <w:r w:rsidRPr="00DC356B">
        <w:rPr>
          <w:lang w:val="ru-RU"/>
        </w:rPr>
        <w:t xml:space="preserve"> </w:t>
      </w:r>
      <w:r>
        <w:rPr>
          <w:lang w:val="ru-RU"/>
        </w:rPr>
        <w:t>основе</w:t>
      </w:r>
      <w:r w:rsidRPr="00DC356B">
        <w:rPr>
          <w:lang w:val="ru-RU"/>
        </w:rPr>
        <w:t xml:space="preserve"> </w:t>
      </w:r>
      <w:r>
        <w:rPr>
          <w:lang w:val="ru-RU"/>
        </w:rPr>
        <w:t>Международной</w:t>
      </w:r>
      <w:r w:rsidRPr="00DC356B">
        <w:rPr>
          <w:lang w:val="ru-RU"/>
        </w:rPr>
        <w:t xml:space="preserve"> </w:t>
      </w:r>
      <w:r>
        <w:rPr>
          <w:lang w:val="ru-RU"/>
        </w:rPr>
        <w:t>классификации</w:t>
      </w:r>
      <w:r w:rsidRPr="00DC356B">
        <w:rPr>
          <w:lang w:val="ru-RU"/>
        </w:rPr>
        <w:t xml:space="preserve"> </w:t>
      </w:r>
      <w:r>
        <w:rPr>
          <w:lang w:val="ru-RU"/>
        </w:rPr>
        <w:t>счетов</w:t>
      </w:r>
      <w:r w:rsidRPr="00DC356B">
        <w:rPr>
          <w:lang w:val="ru-RU"/>
        </w:rPr>
        <w:t xml:space="preserve"> </w:t>
      </w:r>
      <w:r>
        <w:rPr>
          <w:lang w:val="ru-RU"/>
        </w:rPr>
        <w:t>здравоохранения</w:t>
      </w:r>
      <w:r w:rsidRPr="00DC356B">
        <w:rPr>
          <w:lang w:val="ru-RU"/>
        </w:rPr>
        <w:t xml:space="preserve"> (</w:t>
      </w:r>
      <w:r>
        <w:rPr>
          <w:lang w:val="ru-RU"/>
        </w:rPr>
        <w:t>МКСЗ</w:t>
      </w:r>
      <w:r w:rsidRPr="00DC356B">
        <w:rPr>
          <w:lang w:val="ru-RU"/>
        </w:rPr>
        <w:t>)</w:t>
      </w:r>
      <w:r>
        <w:rPr>
          <w:lang w:val="ru-RU"/>
        </w:rPr>
        <w:t xml:space="preserve">, </w:t>
      </w:r>
      <w:r w:rsidRPr="00156BB9">
        <w:rPr>
          <w:color w:val="000000"/>
          <w:lang w:val="ru-RU"/>
        </w:rPr>
        <w:t>предложенной</w:t>
      </w:r>
      <w:r>
        <w:rPr>
          <w:lang w:val="ru-RU"/>
        </w:rPr>
        <w:t xml:space="preserve"> Организацией экономического сотрудничества и развития (ОЭСР) в 2000 году</w:t>
      </w:r>
      <w:r w:rsidRPr="00DC356B">
        <w:rPr>
          <w:rFonts w:hint="eastAsia"/>
          <w:lang w:val="ru-RU"/>
        </w:rPr>
        <w:t xml:space="preserve">. </w:t>
      </w:r>
      <w:r>
        <w:rPr>
          <w:lang w:val="ru-RU"/>
        </w:rPr>
        <w:t>Таким</w:t>
      </w:r>
      <w:r w:rsidRPr="00DC356B">
        <w:rPr>
          <w:lang w:val="ru-RU"/>
        </w:rPr>
        <w:t xml:space="preserve"> </w:t>
      </w:r>
      <w:r>
        <w:rPr>
          <w:lang w:val="ru-RU"/>
        </w:rPr>
        <w:t>образом</w:t>
      </w:r>
      <w:r w:rsidRPr="00DC356B">
        <w:rPr>
          <w:lang w:val="ru-RU"/>
        </w:rPr>
        <w:t xml:space="preserve">, </w:t>
      </w:r>
      <w:r>
        <w:rPr>
          <w:lang w:val="ru-RU"/>
        </w:rPr>
        <w:t>оценки, сделанные на основе НСЗГ, упростят сопоставление с другими экономиками</w:t>
      </w:r>
      <w:r w:rsidRPr="00DC356B">
        <w:rPr>
          <w:rFonts w:hint="eastAsia"/>
          <w:lang w:val="ru-RU"/>
        </w:rPr>
        <w:t xml:space="preserve">. </w:t>
      </w:r>
      <w:r>
        <w:rPr>
          <w:lang w:val="ru-RU"/>
        </w:rPr>
        <w:t>НСЗГ</w:t>
      </w:r>
      <w:r w:rsidRPr="005A703B">
        <w:rPr>
          <w:lang w:val="ru-RU"/>
        </w:rPr>
        <w:t xml:space="preserve"> </w:t>
      </w:r>
      <w:r>
        <w:rPr>
          <w:lang w:val="ru-RU"/>
        </w:rPr>
        <w:t>дают</w:t>
      </w:r>
      <w:r w:rsidRPr="005A703B">
        <w:rPr>
          <w:lang w:val="ru-RU"/>
        </w:rPr>
        <w:t xml:space="preserve"> </w:t>
      </w:r>
      <w:r>
        <w:rPr>
          <w:lang w:val="ru-RU"/>
        </w:rPr>
        <w:t>более</w:t>
      </w:r>
      <w:r w:rsidRPr="005A703B">
        <w:rPr>
          <w:lang w:val="ru-RU"/>
        </w:rPr>
        <w:t xml:space="preserve"> </w:t>
      </w:r>
      <w:r>
        <w:rPr>
          <w:lang w:val="ru-RU"/>
        </w:rPr>
        <w:t>полную</w:t>
      </w:r>
      <w:r w:rsidRPr="005A703B">
        <w:rPr>
          <w:lang w:val="ru-RU"/>
        </w:rPr>
        <w:t xml:space="preserve"> </w:t>
      </w:r>
      <w:r>
        <w:rPr>
          <w:lang w:val="ru-RU"/>
        </w:rPr>
        <w:t>картину расходов</w:t>
      </w:r>
      <w:r w:rsidRPr="005A703B">
        <w:rPr>
          <w:lang w:val="ru-RU"/>
        </w:rPr>
        <w:t xml:space="preserve"> </w:t>
      </w:r>
      <w:r>
        <w:rPr>
          <w:lang w:val="ru-RU"/>
        </w:rPr>
        <w:t>на</w:t>
      </w:r>
      <w:r w:rsidRPr="005A703B">
        <w:rPr>
          <w:lang w:val="ru-RU"/>
        </w:rPr>
        <w:t xml:space="preserve"> </w:t>
      </w:r>
      <w:r>
        <w:rPr>
          <w:lang w:val="ru-RU"/>
        </w:rPr>
        <w:t>национальное</w:t>
      </w:r>
      <w:r w:rsidRPr="005A703B">
        <w:rPr>
          <w:lang w:val="ru-RU"/>
        </w:rPr>
        <w:t xml:space="preserve"> </w:t>
      </w:r>
      <w:r>
        <w:rPr>
          <w:lang w:val="ru-RU"/>
        </w:rPr>
        <w:t>здравоохранение</w:t>
      </w:r>
      <w:r w:rsidRPr="005A703B">
        <w:rPr>
          <w:lang w:val="ru-RU"/>
        </w:rPr>
        <w:t xml:space="preserve"> </w:t>
      </w:r>
      <w:r>
        <w:rPr>
          <w:lang w:val="ru-RU"/>
        </w:rPr>
        <w:t>Гонконга</w:t>
      </w:r>
      <w:r w:rsidRPr="005A703B">
        <w:rPr>
          <w:lang w:val="ru-RU"/>
        </w:rPr>
        <w:t xml:space="preserve">, </w:t>
      </w:r>
      <w:r>
        <w:rPr>
          <w:lang w:val="ru-RU"/>
        </w:rPr>
        <w:t>нежели</w:t>
      </w:r>
      <w:r w:rsidRPr="005A703B">
        <w:rPr>
          <w:lang w:val="ru-RU"/>
        </w:rPr>
        <w:t xml:space="preserve"> </w:t>
      </w:r>
      <w:r>
        <w:rPr>
          <w:lang w:val="ru-RU"/>
        </w:rPr>
        <w:t>расходы</w:t>
      </w:r>
      <w:r w:rsidRPr="005A703B">
        <w:rPr>
          <w:lang w:val="ru-RU"/>
        </w:rPr>
        <w:t xml:space="preserve"> </w:t>
      </w:r>
      <w:r>
        <w:rPr>
          <w:lang w:val="ru-RU"/>
        </w:rPr>
        <w:t>в</w:t>
      </w:r>
      <w:r w:rsidRPr="005A703B">
        <w:rPr>
          <w:lang w:val="ru-RU"/>
        </w:rPr>
        <w:t xml:space="preserve"> </w:t>
      </w:r>
      <w:r>
        <w:rPr>
          <w:lang w:val="ru-RU"/>
        </w:rPr>
        <w:t>рамках</w:t>
      </w:r>
      <w:r w:rsidRPr="005A703B">
        <w:rPr>
          <w:lang w:val="ru-RU"/>
        </w:rPr>
        <w:t xml:space="preserve"> </w:t>
      </w:r>
      <w:r>
        <w:rPr>
          <w:lang w:val="ru-RU"/>
        </w:rPr>
        <w:t>здравоохранительной</w:t>
      </w:r>
      <w:r w:rsidRPr="005A703B">
        <w:rPr>
          <w:lang w:val="ru-RU"/>
        </w:rPr>
        <w:t xml:space="preserve"> </w:t>
      </w:r>
      <w:r>
        <w:rPr>
          <w:lang w:val="ru-RU"/>
        </w:rPr>
        <w:t>политики</w:t>
      </w:r>
      <w:r w:rsidRPr="005A703B">
        <w:rPr>
          <w:lang w:val="ru-RU"/>
        </w:rPr>
        <w:t xml:space="preserve"> </w:t>
      </w:r>
      <w:r>
        <w:rPr>
          <w:lang w:val="ru-RU"/>
        </w:rPr>
        <w:t>по</w:t>
      </w:r>
      <w:r w:rsidRPr="005A703B">
        <w:rPr>
          <w:lang w:val="ru-RU"/>
        </w:rPr>
        <w:t xml:space="preserve"> </w:t>
      </w:r>
      <w:r>
        <w:rPr>
          <w:lang w:val="ru-RU"/>
        </w:rPr>
        <w:t>счету</w:t>
      </w:r>
      <w:r w:rsidRPr="005A703B">
        <w:rPr>
          <w:lang w:val="ru-RU"/>
        </w:rPr>
        <w:t xml:space="preserve"> </w:t>
      </w:r>
      <w:r>
        <w:rPr>
          <w:lang w:val="ru-RU"/>
        </w:rPr>
        <w:t>общих</w:t>
      </w:r>
      <w:r w:rsidRPr="005A703B">
        <w:rPr>
          <w:lang w:val="ru-RU"/>
        </w:rPr>
        <w:t xml:space="preserve"> </w:t>
      </w:r>
      <w:r>
        <w:rPr>
          <w:lang w:val="ru-RU"/>
        </w:rPr>
        <w:t>доходов</w:t>
      </w:r>
      <w:r w:rsidRPr="005A703B">
        <w:rPr>
          <w:lang w:val="ru-RU"/>
        </w:rPr>
        <w:t xml:space="preserve"> </w:t>
      </w:r>
      <w:r>
        <w:rPr>
          <w:lang w:val="ru-RU"/>
        </w:rPr>
        <w:t>правительства</w:t>
      </w:r>
      <w:r w:rsidRPr="005A703B">
        <w:rPr>
          <w:lang w:val="ru-RU"/>
        </w:rPr>
        <w:t xml:space="preserve"> </w:t>
      </w:r>
      <w:r w:rsidRPr="005A703B">
        <w:rPr>
          <w:rFonts w:hint="eastAsia"/>
          <w:lang w:val="ru-RU"/>
        </w:rPr>
        <w:t>(</w:t>
      </w:r>
      <w:r>
        <w:rPr>
          <w:lang w:val="ru-RU"/>
        </w:rPr>
        <w:t>СОД</w:t>
      </w:r>
      <w:r w:rsidRPr="005A703B">
        <w:rPr>
          <w:rFonts w:hint="eastAsia"/>
          <w:lang w:val="ru-RU"/>
        </w:rPr>
        <w:t xml:space="preserve">) </w:t>
      </w:r>
      <w:r>
        <w:rPr>
          <w:lang w:val="ru-RU"/>
        </w:rPr>
        <w:t>поскольку, помимо расходов, уже классифицированных как расходы на национальное здравоохранение,</w:t>
      </w:r>
      <w:r w:rsidRPr="005A703B">
        <w:rPr>
          <w:bCs/>
          <w:lang w:val="ru-RU"/>
        </w:rPr>
        <w:t xml:space="preserve"> </w:t>
      </w:r>
      <w:r>
        <w:rPr>
          <w:bCs/>
          <w:lang w:val="ru-RU"/>
        </w:rPr>
        <w:t>расходы на национальное здравоохранение на основе НСЗГ</w:t>
      </w:r>
      <w:r w:rsidRPr="005A703B">
        <w:rPr>
          <w:bCs/>
          <w:lang w:val="ru-RU"/>
        </w:rPr>
        <w:t xml:space="preserve"> </w:t>
      </w:r>
      <w:r>
        <w:rPr>
          <w:bCs/>
          <w:lang w:val="ru-RU"/>
        </w:rPr>
        <w:t>охватывают также другие связанные с медициной услуги, предоставляемые другими государственными департаментами</w:t>
      </w:r>
      <w:r w:rsidRPr="005A703B">
        <w:rPr>
          <w:bCs/>
          <w:lang w:val="ru-RU"/>
        </w:rPr>
        <w:t xml:space="preserve">. </w:t>
      </w:r>
      <w:r>
        <w:rPr>
          <w:bCs/>
          <w:lang w:val="ru-RU"/>
        </w:rPr>
        <w:t>Например</w:t>
      </w:r>
      <w:r w:rsidRPr="00AC5A07">
        <w:rPr>
          <w:bCs/>
          <w:lang w:val="ru-RU"/>
        </w:rPr>
        <w:t xml:space="preserve">, </w:t>
      </w:r>
      <w:r>
        <w:rPr>
          <w:bCs/>
          <w:lang w:val="ru-RU"/>
        </w:rPr>
        <w:t>в НСЗГ</w:t>
      </w:r>
      <w:r w:rsidRPr="00AC5A07">
        <w:rPr>
          <w:bCs/>
          <w:lang w:val="ru-RU"/>
        </w:rPr>
        <w:t xml:space="preserve"> </w:t>
      </w:r>
      <w:r>
        <w:rPr>
          <w:bCs/>
          <w:lang w:val="ru-RU"/>
        </w:rPr>
        <w:t>включаются</w:t>
      </w:r>
      <w:r w:rsidRPr="00AC5A07">
        <w:rPr>
          <w:bCs/>
          <w:lang w:val="ru-RU"/>
        </w:rPr>
        <w:t xml:space="preserve"> </w:t>
      </w:r>
      <w:r>
        <w:rPr>
          <w:bCs/>
          <w:lang w:val="ru-RU"/>
        </w:rPr>
        <w:t>расходы на</w:t>
      </w:r>
      <w:r w:rsidRPr="00AC5A07">
        <w:rPr>
          <w:bCs/>
          <w:lang w:val="ru-RU"/>
        </w:rPr>
        <w:t xml:space="preserve"> </w:t>
      </w:r>
      <w:r>
        <w:rPr>
          <w:bCs/>
          <w:lang w:val="ru-RU"/>
        </w:rPr>
        <w:t>дома</w:t>
      </w:r>
      <w:r w:rsidRPr="00AC5A07">
        <w:rPr>
          <w:bCs/>
          <w:lang w:val="ru-RU"/>
        </w:rPr>
        <w:t xml:space="preserve"> </w:t>
      </w:r>
      <w:r>
        <w:rPr>
          <w:bCs/>
          <w:lang w:val="ru-RU"/>
        </w:rPr>
        <w:t>сестринского</w:t>
      </w:r>
      <w:r w:rsidRPr="00AC5A07">
        <w:rPr>
          <w:bCs/>
          <w:lang w:val="ru-RU"/>
        </w:rPr>
        <w:t xml:space="preserve"> </w:t>
      </w:r>
      <w:r>
        <w:rPr>
          <w:bCs/>
          <w:lang w:val="ru-RU"/>
        </w:rPr>
        <w:t>ухода</w:t>
      </w:r>
      <w:r w:rsidRPr="00AC5A07">
        <w:rPr>
          <w:bCs/>
          <w:lang w:val="ru-RU"/>
        </w:rPr>
        <w:t xml:space="preserve">, </w:t>
      </w:r>
      <w:r>
        <w:rPr>
          <w:bCs/>
          <w:lang w:val="ru-RU"/>
        </w:rPr>
        <w:t>реабилитацию</w:t>
      </w:r>
      <w:r w:rsidRPr="00AC5A07">
        <w:rPr>
          <w:bCs/>
          <w:lang w:val="ru-RU"/>
        </w:rPr>
        <w:t xml:space="preserve"> </w:t>
      </w:r>
      <w:r>
        <w:rPr>
          <w:bCs/>
          <w:lang w:val="ru-RU"/>
        </w:rPr>
        <w:t>и</w:t>
      </w:r>
      <w:r w:rsidRPr="00AC5A07">
        <w:rPr>
          <w:bCs/>
          <w:lang w:val="ru-RU"/>
        </w:rPr>
        <w:t xml:space="preserve"> </w:t>
      </w:r>
      <w:r>
        <w:rPr>
          <w:bCs/>
          <w:lang w:val="ru-RU"/>
        </w:rPr>
        <w:t>социально-медицинское обслуживание по линии ДСО и скорую медицинскую помощь со стороны Департамента пожарной охраны и Службы вспомогательной медицинской помощи и т.д.</w:t>
      </w:r>
      <w:r w:rsidRPr="00AC5A07">
        <w:rPr>
          <w:bCs/>
          <w:lang w:val="ru-RU"/>
        </w:rPr>
        <w:t xml:space="preserve"> </w:t>
      </w:r>
      <w:r>
        <w:rPr>
          <w:bCs/>
          <w:lang w:val="ru-RU"/>
        </w:rPr>
        <w:t>Эти данные не включаются в государственные расходы в области здравоохранительной политики СОД</w:t>
      </w:r>
      <w:r w:rsidRPr="00515BAB">
        <w:rPr>
          <w:bCs/>
          <w:lang w:val="ru-RU"/>
        </w:rPr>
        <w:t>.</w:t>
      </w:r>
    </w:p>
  </w:footnote>
  <w:footnote w:id="16">
    <w:p w:rsidR="00F568BC" w:rsidRPr="00515BAB" w:rsidRDefault="00F568BC" w:rsidP="00993DAD">
      <w:pPr>
        <w:pStyle w:val="FootnoteText"/>
        <w:widowControl w:val="0"/>
        <w:tabs>
          <w:tab w:val="clear" w:pos="1021"/>
          <w:tab w:val="right" w:pos="1020"/>
        </w:tabs>
        <w:rPr>
          <w:lang w:val="ru-RU"/>
        </w:rPr>
      </w:pPr>
      <w:r w:rsidRPr="00515BAB">
        <w:rPr>
          <w:lang w:val="ru-RU"/>
        </w:rPr>
        <w:tab/>
      </w:r>
      <w:r>
        <w:rPr>
          <w:rStyle w:val="FootnoteReference"/>
        </w:rPr>
        <w:footnoteRef/>
      </w:r>
      <w:r w:rsidRPr="00515BAB">
        <w:rPr>
          <w:lang w:val="ru-RU"/>
        </w:rPr>
        <w:tab/>
      </w:r>
      <w:r>
        <w:rPr>
          <w:lang w:val="ru-RU"/>
        </w:rPr>
        <w:t>Данные заимствованы из Национальных счетов здравоохранения Гонконга: Оценки внутренних расходов на здравоохранение</w:t>
      </w:r>
      <w:r w:rsidRPr="00515BAB">
        <w:rPr>
          <w:lang w:val="ru-RU"/>
        </w:rPr>
        <w:t>, 1989/90</w:t>
      </w:r>
      <w:r>
        <w:rPr>
          <w:lang w:val="ru-RU"/>
        </w:rPr>
        <w:t>−</w:t>
      </w:r>
      <w:r w:rsidRPr="00515BAB">
        <w:rPr>
          <w:lang w:val="ru-RU"/>
        </w:rPr>
        <w:t>2005/06</w:t>
      </w:r>
      <w:r w:rsidRPr="00515BAB">
        <w:rPr>
          <w:rFonts w:hint="eastAsia"/>
          <w:lang w:val="ru-RU"/>
        </w:rPr>
        <w:t xml:space="preserve">. </w:t>
      </w:r>
      <w:r>
        <w:rPr>
          <w:lang w:val="ru-RU"/>
        </w:rPr>
        <w:t>Эти</w:t>
      </w:r>
      <w:r w:rsidRPr="00515BAB">
        <w:rPr>
          <w:lang w:val="ru-RU"/>
        </w:rPr>
        <w:t xml:space="preserve"> </w:t>
      </w:r>
      <w:r>
        <w:rPr>
          <w:lang w:val="ru-RU"/>
        </w:rPr>
        <w:t>цифры</w:t>
      </w:r>
      <w:r w:rsidRPr="00515BAB">
        <w:rPr>
          <w:lang w:val="ru-RU"/>
        </w:rPr>
        <w:t xml:space="preserve"> </w:t>
      </w:r>
      <w:r>
        <w:rPr>
          <w:lang w:val="ru-RU"/>
        </w:rPr>
        <w:t>являются</w:t>
      </w:r>
      <w:r w:rsidRPr="00515BAB">
        <w:rPr>
          <w:lang w:val="ru-RU"/>
        </w:rPr>
        <w:t xml:space="preserve"> </w:t>
      </w:r>
      <w:r>
        <w:rPr>
          <w:lang w:val="ru-RU"/>
        </w:rPr>
        <w:t>самыми</w:t>
      </w:r>
      <w:r w:rsidRPr="00515BAB">
        <w:rPr>
          <w:lang w:val="ru-RU"/>
        </w:rPr>
        <w:t xml:space="preserve"> </w:t>
      </w:r>
      <w:r>
        <w:rPr>
          <w:lang w:val="ru-RU"/>
        </w:rPr>
        <w:t>последними</w:t>
      </w:r>
      <w:r w:rsidRPr="00515BAB">
        <w:rPr>
          <w:lang w:val="ru-RU"/>
        </w:rPr>
        <w:t xml:space="preserve"> </w:t>
      </w:r>
      <w:r>
        <w:rPr>
          <w:lang w:val="ru-RU"/>
        </w:rPr>
        <w:t>имеющимися</w:t>
      </w:r>
      <w:r w:rsidRPr="00515BAB">
        <w:rPr>
          <w:rFonts w:hint="eastAsia"/>
          <w:lang w:val="ru-RU"/>
        </w:rPr>
        <w:t xml:space="preserve"> </w:t>
      </w:r>
      <w:r>
        <w:rPr>
          <w:lang w:val="ru-RU"/>
        </w:rPr>
        <w:t>оценками</w:t>
      </w:r>
      <w:r w:rsidRPr="00515BAB">
        <w:rPr>
          <w:rFonts w:hint="eastAsia"/>
          <w:lang w:val="ru-RU"/>
        </w:rPr>
        <w:t>.</w:t>
      </w:r>
    </w:p>
  </w:footnote>
  <w:footnote w:id="17">
    <w:p w:rsidR="00F568BC" w:rsidRPr="00FB26C4" w:rsidRDefault="00F568BC" w:rsidP="00993DAD">
      <w:pPr>
        <w:pStyle w:val="FootnoteText"/>
        <w:widowControl w:val="0"/>
        <w:tabs>
          <w:tab w:val="clear" w:pos="1021"/>
          <w:tab w:val="right" w:pos="1020"/>
        </w:tabs>
        <w:rPr>
          <w:lang w:val="ru-RU"/>
        </w:rPr>
      </w:pPr>
      <w:r w:rsidRPr="00515BAB">
        <w:rPr>
          <w:lang w:val="ru-RU"/>
        </w:rPr>
        <w:tab/>
      </w:r>
      <w:r>
        <w:rPr>
          <w:rStyle w:val="FootnoteReference"/>
        </w:rPr>
        <w:footnoteRef/>
      </w:r>
      <w:r w:rsidRPr="00FB26C4">
        <w:rPr>
          <w:lang w:val="ru-RU"/>
        </w:rPr>
        <w:tab/>
      </w:r>
      <w:r>
        <w:rPr>
          <w:lang w:val="ru-RU"/>
        </w:rPr>
        <w:t>См. сноску</w:t>
      </w:r>
      <w:r w:rsidRPr="00FB26C4">
        <w:rPr>
          <w:lang w:val="ru-RU"/>
        </w:rPr>
        <w:t xml:space="preserve"> 12.</w:t>
      </w:r>
    </w:p>
  </w:footnote>
  <w:footnote w:id="18">
    <w:p w:rsidR="00F568BC" w:rsidRPr="00CB2C86" w:rsidRDefault="00F568BC" w:rsidP="00993DAD">
      <w:pPr>
        <w:pStyle w:val="FootnoteText"/>
        <w:widowControl w:val="0"/>
        <w:tabs>
          <w:tab w:val="clear" w:pos="1021"/>
          <w:tab w:val="right" w:pos="1020"/>
        </w:tabs>
        <w:rPr>
          <w:lang w:val="ru-RU"/>
        </w:rPr>
      </w:pPr>
      <w:r w:rsidRPr="00FB26C4">
        <w:rPr>
          <w:lang w:val="ru-RU"/>
        </w:rPr>
        <w:tab/>
      </w:r>
      <w:r>
        <w:rPr>
          <w:rStyle w:val="FootnoteReference"/>
        </w:rPr>
        <w:footnoteRef/>
      </w:r>
      <w:r w:rsidRPr="00CB2C86">
        <w:rPr>
          <w:lang w:val="ru-RU"/>
        </w:rPr>
        <w:tab/>
      </w:r>
      <w:r>
        <w:rPr>
          <w:lang w:val="ru-RU"/>
        </w:rPr>
        <w:t>См</w:t>
      </w:r>
      <w:r w:rsidRPr="00CB2C86">
        <w:rPr>
          <w:lang w:val="ru-RU"/>
        </w:rPr>
        <w:t xml:space="preserve">. </w:t>
      </w:r>
      <w:r>
        <w:rPr>
          <w:lang w:val="ru-RU"/>
        </w:rPr>
        <w:t>сноску</w:t>
      </w:r>
      <w:r w:rsidRPr="00CB2C86">
        <w:rPr>
          <w:lang w:val="ru-RU"/>
        </w:rPr>
        <w:t xml:space="preserve"> 12.</w:t>
      </w:r>
    </w:p>
  </w:footnote>
  <w:footnote w:id="19">
    <w:p w:rsidR="00F568BC" w:rsidRPr="00A6778A" w:rsidRDefault="00F568BC" w:rsidP="00993DAD">
      <w:pPr>
        <w:pStyle w:val="FootnoteText"/>
        <w:widowControl w:val="0"/>
        <w:tabs>
          <w:tab w:val="clear" w:pos="1021"/>
          <w:tab w:val="right" w:pos="1020"/>
        </w:tabs>
        <w:rPr>
          <w:lang w:val="ru-RU"/>
        </w:rPr>
      </w:pPr>
      <w:r w:rsidRPr="00CB2C86">
        <w:rPr>
          <w:lang w:val="ru-RU"/>
        </w:rPr>
        <w:tab/>
      </w:r>
      <w:r>
        <w:rPr>
          <w:rStyle w:val="FootnoteReference"/>
        </w:rPr>
        <w:footnoteRef/>
      </w:r>
      <w:r w:rsidRPr="00A6778A">
        <w:rPr>
          <w:lang w:val="ru-RU"/>
        </w:rPr>
        <w:tab/>
      </w:r>
      <w:r>
        <w:rPr>
          <w:lang w:val="ru-RU"/>
        </w:rPr>
        <w:t>Например</w:t>
      </w:r>
      <w:r w:rsidRPr="00A6778A">
        <w:rPr>
          <w:lang w:val="ru-RU"/>
        </w:rPr>
        <w:t xml:space="preserve">, </w:t>
      </w:r>
      <w:r>
        <w:rPr>
          <w:lang w:val="ru-RU"/>
        </w:rPr>
        <w:t>Указ</w:t>
      </w:r>
      <w:r w:rsidRPr="00A6778A">
        <w:rPr>
          <w:lang w:val="ru-RU"/>
        </w:rPr>
        <w:t xml:space="preserve"> </w:t>
      </w:r>
      <w:r>
        <w:rPr>
          <w:lang w:val="ru-RU"/>
        </w:rPr>
        <w:t>о</w:t>
      </w:r>
      <w:r w:rsidRPr="00A6778A">
        <w:rPr>
          <w:lang w:val="ru-RU"/>
        </w:rPr>
        <w:t xml:space="preserve"> </w:t>
      </w:r>
      <w:r>
        <w:rPr>
          <w:lang w:val="ru-RU"/>
        </w:rPr>
        <w:t>регистрации</w:t>
      </w:r>
      <w:r w:rsidRPr="00A6778A">
        <w:rPr>
          <w:lang w:val="ru-RU"/>
        </w:rPr>
        <w:t xml:space="preserve"> </w:t>
      </w:r>
      <w:r>
        <w:rPr>
          <w:lang w:val="ru-RU"/>
        </w:rPr>
        <w:t>госпиталей</w:t>
      </w:r>
      <w:r w:rsidRPr="00A6778A">
        <w:rPr>
          <w:lang w:val="ru-RU"/>
        </w:rPr>
        <w:t xml:space="preserve">, </w:t>
      </w:r>
      <w:r>
        <w:rPr>
          <w:lang w:val="ru-RU"/>
        </w:rPr>
        <w:t>сестринских</w:t>
      </w:r>
      <w:r w:rsidRPr="00A6778A">
        <w:rPr>
          <w:lang w:val="ru-RU"/>
        </w:rPr>
        <w:t xml:space="preserve"> </w:t>
      </w:r>
      <w:r>
        <w:rPr>
          <w:lang w:val="ru-RU"/>
        </w:rPr>
        <w:t>домов</w:t>
      </w:r>
      <w:r w:rsidRPr="00A6778A">
        <w:rPr>
          <w:lang w:val="ru-RU"/>
        </w:rPr>
        <w:t xml:space="preserve"> </w:t>
      </w:r>
      <w:r>
        <w:rPr>
          <w:lang w:val="ru-RU"/>
        </w:rPr>
        <w:t>и</w:t>
      </w:r>
      <w:r w:rsidRPr="00A6778A">
        <w:rPr>
          <w:lang w:val="ru-RU"/>
        </w:rPr>
        <w:t xml:space="preserve"> </w:t>
      </w:r>
      <w:r>
        <w:rPr>
          <w:lang w:val="ru-RU"/>
        </w:rPr>
        <w:t>домов</w:t>
      </w:r>
      <w:r w:rsidRPr="00A6778A">
        <w:rPr>
          <w:lang w:val="ru-RU"/>
        </w:rPr>
        <w:t xml:space="preserve"> </w:t>
      </w:r>
      <w:r>
        <w:rPr>
          <w:lang w:val="ru-RU"/>
        </w:rPr>
        <w:t>матери</w:t>
      </w:r>
      <w:r w:rsidRPr="00A6778A">
        <w:rPr>
          <w:lang w:val="ru-RU"/>
        </w:rPr>
        <w:t xml:space="preserve"> </w:t>
      </w:r>
      <w:r>
        <w:rPr>
          <w:lang w:val="ru-RU"/>
        </w:rPr>
        <w:t>и</w:t>
      </w:r>
      <w:r w:rsidRPr="00A6778A">
        <w:rPr>
          <w:lang w:val="ru-RU"/>
        </w:rPr>
        <w:t xml:space="preserve"> </w:t>
      </w:r>
      <w:r>
        <w:rPr>
          <w:lang w:val="ru-RU"/>
        </w:rPr>
        <w:t>ребенка</w:t>
      </w:r>
      <w:r w:rsidRPr="00A6778A">
        <w:rPr>
          <w:lang w:val="ru-RU"/>
        </w:rPr>
        <w:t xml:space="preserve"> (</w:t>
      </w:r>
      <w:r>
        <w:rPr>
          <w:lang w:val="ru-RU"/>
        </w:rPr>
        <w:t>глава</w:t>
      </w:r>
      <w:r w:rsidRPr="00A6778A">
        <w:rPr>
          <w:lang w:val="ru-RU"/>
        </w:rPr>
        <w:t xml:space="preserve"> 165).</w:t>
      </w:r>
    </w:p>
  </w:footnote>
  <w:footnote w:id="20">
    <w:p w:rsidR="00F568BC" w:rsidRPr="00522E15" w:rsidRDefault="00F568BC" w:rsidP="00993DAD">
      <w:pPr>
        <w:pStyle w:val="FootnoteText"/>
        <w:widowControl w:val="0"/>
        <w:tabs>
          <w:tab w:val="clear" w:pos="1021"/>
          <w:tab w:val="right" w:pos="1020"/>
        </w:tabs>
        <w:rPr>
          <w:lang w:val="ru-RU"/>
        </w:rPr>
      </w:pPr>
      <w:r w:rsidRPr="00A6778A">
        <w:rPr>
          <w:lang w:val="ru-RU"/>
        </w:rPr>
        <w:tab/>
      </w:r>
      <w:r>
        <w:rPr>
          <w:rStyle w:val="FootnoteReference"/>
        </w:rPr>
        <w:footnoteRef/>
      </w:r>
      <w:r w:rsidRPr="00FB26C4">
        <w:rPr>
          <w:lang w:val="ru-RU"/>
        </w:rPr>
        <w:tab/>
      </w:r>
      <w:r>
        <w:rPr>
          <w:lang w:val="ru-RU"/>
        </w:rPr>
        <w:t>Управление по надзору за ВИЧ</w:t>
      </w:r>
      <w:r w:rsidRPr="00FB26C4">
        <w:rPr>
          <w:lang w:val="ru-RU"/>
        </w:rPr>
        <w:t>/</w:t>
      </w:r>
      <w:r>
        <w:rPr>
          <w:lang w:val="ru-RU"/>
        </w:rPr>
        <w:t>СПИДом</w:t>
      </w:r>
      <w:r w:rsidRPr="00522E15">
        <w:rPr>
          <w:lang w:val="ru-RU"/>
        </w:rPr>
        <w:t xml:space="preserve">, </w:t>
      </w:r>
      <w:r>
        <w:rPr>
          <w:lang w:val="ru-RU"/>
        </w:rPr>
        <w:t>Специальная профилактическая программа</w:t>
      </w:r>
      <w:r w:rsidRPr="00522E15">
        <w:rPr>
          <w:lang w:val="ru-RU"/>
        </w:rPr>
        <w:t xml:space="preserve">, </w:t>
      </w:r>
      <w:r>
        <w:rPr>
          <w:lang w:val="ru-RU"/>
        </w:rPr>
        <w:t>ДЗ</w:t>
      </w:r>
      <w:r w:rsidRPr="00522E15">
        <w:rPr>
          <w:lang w:val="ru-RU"/>
        </w:rPr>
        <w:t>, 2007</w:t>
      </w:r>
      <w:r>
        <w:rPr>
          <w:lang w:val="ru-RU"/>
        </w:rPr>
        <w:t xml:space="preserve"> год</w:t>
      </w:r>
      <w:r w:rsidRPr="00522E15">
        <w:rPr>
          <w:lang w:val="ru-RU"/>
        </w:rPr>
        <w:t xml:space="preserve">. </w:t>
      </w:r>
    </w:p>
  </w:footnote>
  <w:footnote w:id="21">
    <w:p w:rsidR="00F568BC" w:rsidRPr="000B3C26" w:rsidRDefault="00F568BC" w:rsidP="00993DAD">
      <w:pPr>
        <w:pStyle w:val="FootnoteText"/>
        <w:widowControl w:val="0"/>
        <w:tabs>
          <w:tab w:val="clear" w:pos="1021"/>
          <w:tab w:val="right" w:pos="1020"/>
        </w:tabs>
        <w:rPr>
          <w:lang w:val="ru-RU"/>
        </w:rPr>
      </w:pPr>
      <w:r w:rsidRPr="00522E15">
        <w:rPr>
          <w:lang w:val="ru-RU"/>
        </w:rPr>
        <w:tab/>
      </w:r>
      <w:r>
        <w:rPr>
          <w:rStyle w:val="FootnoteReference"/>
        </w:rPr>
        <w:footnoteRef/>
      </w:r>
      <w:r w:rsidRPr="00B06CC9">
        <w:rPr>
          <w:lang w:val="ru-RU"/>
        </w:rPr>
        <w:tab/>
      </w:r>
      <w:r>
        <w:rPr>
          <w:lang w:val="ru-RU"/>
        </w:rPr>
        <w:t>Для укрепления наших усилий в деле предупреждения и борьбы с неинфекционными заболеваниями в октябре 2008 году ДЗ ввел в действие указанные Рамки.</w:t>
      </w:r>
      <w:r w:rsidRPr="00B06CC9">
        <w:rPr>
          <w:lang w:val="ru-RU"/>
        </w:rPr>
        <w:t xml:space="preserve"> </w:t>
      </w:r>
      <w:r>
        <w:rPr>
          <w:lang w:val="ru-RU"/>
        </w:rPr>
        <w:t>Эти</w:t>
      </w:r>
      <w:r w:rsidRPr="006B4285">
        <w:rPr>
          <w:lang w:val="ru-RU"/>
        </w:rPr>
        <w:t xml:space="preserve"> </w:t>
      </w:r>
      <w:r>
        <w:rPr>
          <w:lang w:val="ru-RU"/>
        </w:rPr>
        <w:t>Рамки</w:t>
      </w:r>
      <w:r w:rsidRPr="006B4285">
        <w:rPr>
          <w:lang w:val="ru-RU"/>
        </w:rPr>
        <w:t xml:space="preserve"> </w:t>
      </w:r>
      <w:r>
        <w:rPr>
          <w:lang w:val="ru-RU"/>
        </w:rPr>
        <w:t>были</w:t>
      </w:r>
      <w:r w:rsidRPr="006B4285">
        <w:rPr>
          <w:lang w:val="ru-RU"/>
        </w:rPr>
        <w:t xml:space="preserve"> </w:t>
      </w:r>
      <w:r>
        <w:rPr>
          <w:lang w:val="ru-RU"/>
        </w:rPr>
        <w:t>разработаны</w:t>
      </w:r>
      <w:r w:rsidRPr="006B4285">
        <w:rPr>
          <w:lang w:val="ru-RU"/>
        </w:rPr>
        <w:t xml:space="preserve"> </w:t>
      </w:r>
      <w:r>
        <w:rPr>
          <w:lang w:val="ru-RU"/>
        </w:rPr>
        <w:t>с</w:t>
      </w:r>
      <w:r w:rsidRPr="006B4285">
        <w:rPr>
          <w:lang w:val="ru-RU"/>
        </w:rPr>
        <w:t xml:space="preserve"> </w:t>
      </w:r>
      <w:r>
        <w:rPr>
          <w:lang w:val="ru-RU"/>
        </w:rPr>
        <w:t>учетом</w:t>
      </w:r>
      <w:r w:rsidRPr="006B4285">
        <w:rPr>
          <w:lang w:val="ru-RU"/>
        </w:rPr>
        <w:t xml:space="preserve"> </w:t>
      </w:r>
      <w:r>
        <w:rPr>
          <w:lang w:val="ru-RU"/>
        </w:rPr>
        <w:t>руководящих</w:t>
      </w:r>
      <w:r w:rsidRPr="006B4285">
        <w:rPr>
          <w:lang w:val="ru-RU"/>
        </w:rPr>
        <w:t xml:space="preserve"> </w:t>
      </w:r>
      <w:r>
        <w:rPr>
          <w:lang w:val="ru-RU"/>
        </w:rPr>
        <w:t>принципов</w:t>
      </w:r>
      <w:r w:rsidRPr="006B4285">
        <w:rPr>
          <w:lang w:val="ru-RU"/>
        </w:rPr>
        <w:t xml:space="preserve"> </w:t>
      </w:r>
      <w:r>
        <w:rPr>
          <w:lang w:val="ru-RU"/>
        </w:rPr>
        <w:t>ВОЗ</w:t>
      </w:r>
      <w:r w:rsidRPr="006B4285">
        <w:rPr>
          <w:lang w:val="ru-RU"/>
        </w:rPr>
        <w:t xml:space="preserve"> </w:t>
      </w:r>
      <w:r>
        <w:rPr>
          <w:lang w:val="ru-RU"/>
        </w:rPr>
        <w:t>по</w:t>
      </w:r>
      <w:r w:rsidRPr="006B4285">
        <w:rPr>
          <w:lang w:val="ru-RU"/>
        </w:rPr>
        <w:t xml:space="preserve"> </w:t>
      </w:r>
      <w:r>
        <w:rPr>
          <w:lang w:val="ru-RU"/>
        </w:rPr>
        <w:t>профилактике</w:t>
      </w:r>
      <w:r w:rsidRPr="006B4285">
        <w:rPr>
          <w:lang w:val="ru-RU"/>
        </w:rPr>
        <w:t xml:space="preserve"> </w:t>
      </w:r>
      <w:r>
        <w:rPr>
          <w:lang w:val="ru-RU"/>
        </w:rPr>
        <w:t>болезней и укреплению здоровья и в консультации с соответствующими сторонами</w:t>
      </w:r>
      <w:r w:rsidRPr="006B4285">
        <w:rPr>
          <w:lang w:val="ru-RU"/>
        </w:rPr>
        <w:t xml:space="preserve">. </w:t>
      </w:r>
      <w:r>
        <w:rPr>
          <w:lang w:val="ru-RU"/>
        </w:rPr>
        <w:t>Для</w:t>
      </w:r>
      <w:r w:rsidRPr="000B3C26">
        <w:rPr>
          <w:lang w:val="ru-RU"/>
        </w:rPr>
        <w:t xml:space="preserve"> </w:t>
      </w:r>
      <w:r>
        <w:rPr>
          <w:lang w:val="ru-RU"/>
        </w:rPr>
        <w:t>обсуждения и надзора за выполнением общей "дорожной карты" и стратегии предупреждения и борьбы с НИБ в Гонконге был</w:t>
      </w:r>
      <w:r w:rsidRPr="000B3C26">
        <w:rPr>
          <w:lang w:val="ru-RU"/>
        </w:rPr>
        <w:t xml:space="preserve"> </w:t>
      </w:r>
      <w:r>
        <w:rPr>
          <w:lang w:val="ru-RU"/>
        </w:rPr>
        <w:t>учрежден</w:t>
      </w:r>
      <w:r w:rsidRPr="000B3C26">
        <w:rPr>
          <w:lang w:val="ru-RU"/>
        </w:rPr>
        <w:t xml:space="preserve"> </w:t>
      </w:r>
      <w:r>
        <w:rPr>
          <w:lang w:val="ru-RU"/>
        </w:rPr>
        <w:t>Руководящий</w:t>
      </w:r>
      <w:r w:rsidRPr="000B3C26">
        <w:rPr>
          <w:lang w:val="ru-RU"/>
        </w:rPr>
        <w:t xml:space="preserve"> </w:t>
      </w:r>
      <w:r>
        <w:rPr>
          <w:lang w:val="ru-RU"/>
        </w:rPr>
        <w:t>комитет</w:t>
      </w:r>
      <w:r w:rsidRPr="000B3C26">
        <w:rPr>
          <w:lang w:val="ru-RU"/>
        </w:rPr>
        <w:t xml:space="preserve"> </w:t>
      </w:r>
      <w:r>
        <w:rPr>
          <w:lang w:val="ru-RU"/>
        </w:rPr>
        <w:t>по</w:t>
      </w:r>
      <w:r w:rsidRPr="000B3C26">
        <w:rPr>
          <w:lang w:val="ru-RU"/>
        </w:rPr>
        <w:t xml:space="preserve"> </w:t>
      </w:r>
      <w:r>
        <w:rPr>
          <w:lang w:val="ru-RU"/>
        </w:rPr>
        <w:t>предупреждению</w:t>
      </w:r>
      <w:r w:rsidRPr="000B3C26">
        <w:rPr>
          <w:lang w:val="ru-RU"/>
        </w:rPr>
        <w:t xml:space="preserve"> </w:t>
      </w:r>
      <w:r>
        <w:rPr>
          <w:lang w:val="ru-RU"/>
        </w:rPr>
        <w:t>и</w:t>
      </w:r>
      <w:r w:rsidRPr="000B3C26">
        <w:rPr>
          <w:lang w:val="ru-RU"/>
        </w:rPr>
        <w:t xml:space="preserve"> </w:t>
      </w:r>
      <w:r>
        <w:rPr>
          <w:lang w:val="ru-RU"/>
        </w:rPr>
        <w:t>борьбе</w:t>
      </w:r>
      <w:r w:rsidRPr="000B3C26">
        <w:rPr>
          <w:lang w:val="ru-RU"/>
        </w:rPr>
        <w:t xml:space="preserve"> </w:t>
      </w:r>
      <w:r>
        <w:rPr>
          <w:lang w:val="ru-RU"/>
        </w:rPr>
        <w:t>с</w:t>
      </w:r>
      <w:r w:rsidRPr="000B3C26">
        <w:rPr>
          <w:lang w:val="ru-RU"/>
        </w:rPr>
        <w:t xml:space="preserve"> </w:t>
      </w:r>
      <w:r>
        <w:rPr>
          <w:lang w:val="ru-RU"/>
        </w:rPr>
        <w:t>НИБ</w:t>
      </w:r>
      <w:r w:rsidRPr="000B3C26">
        <w:rPr>
          <w:lang w:val="ru-RU"/>
        </w:rPr>
        <w:t xml:space="preserve">, </w:t>
      </w:r>
      <w:r>
        <w:rPr>
          <w:lang w:val="ru-RU"/>
        </w:rPr>
        <w:t>возглавляемый</w:t>
      </w:r>
      <w:r w:rsidRPr="000B3C26">
        <w:rPr>
          <w:lang w:val="ru-RU"/>
        </w:rPr>
        <w:t xml:space="preserve"> </w:t>
      </w:r>
      <w:r>
        <w:rPr>
          <w:lang w:val="ru-RU"/>
        </w:rPr>
        <w:t>Секретарем</w:t>
      </w:r>
      <w:r w:rsidRPr="000B3C26">
        <w:rPr>
          <w:lang w:val="ru-RU"/>
        </w:rPr>
        <w:t xml:space="preserve"> </w:t>
      </w:r>
      <w:r>
        <w:rPr>
          <w:lang w:val="ru-RU"/>
        </w:rPr>
        <w:t>по</w:t>
      </w:r>
      <w:r w:rsidRPr="000B3C26">
        <w:rPr>
          <w:lang w:val="ru-RU"/>
        </w:rPr>
        <w:t xml:space="preserve"> </w:t>
      </w:r>
      <w:r>
        <w:rPr>
          <w:lang w:val="ru-RU"/>
        </w:rPr>
        <w:t>вопросам</w:t>
      </w:r>
      <w:r w:rsidRPr="000B3C26">
        <w:rPr>
          <w:lang w:val="ru-RU"/>
        </w:rPr>
        <w:t xml:space="preserve"> </w:t>
      </w:r>
      <w:r>
        <w:rPr>
          <w:lang w:val="ru-RU"/>
        </w:rPr>
        <w:t>продовольствия</w:t>
      </w:r>
      <w:r w:rsidRPr="000B3C26">
        <w:rPr>
          <w:lang w:val="ru-RU"/>
        </w:rPr>
        <w:t xml:space="preserve"> </w:t>
      </w:r>
      <w:r>
        <w:rPr>
          <w:lang w:val="ru-RU"/>
        </w:rPr>
        <w:t>и</w:t>
      </w:r>
      <w:r w:rsidRPr="000B3C26">
        <w:rPr>
          <w:lang w:val="ru-RU"/>
        </w:rPr>
        <w:t xml:space="preserve"> </w:t>
      </w:r>
      <w:r>
        <w:rPr>
          <w:lang w:val="ru-RU"/>
        </w:rPr>
        <w:t>здравоохранения</w:t>
      </w:r>
      <w:r w:rsidRPr="000B3C26">
        <w:rPr>
          <w:lang w:val="ru-RU"/>
        </w:rPr>
        <w:t xml:space="preserve">. </w:t>
      </w:r>
      <w:r>
        <w:rPr>
          <w:lang w:val="ru-RU"/>
        </w:rPr>
        <w:t>В этих Рамках злоупотребление алкоголем является первоочередным направлением действий</w:t>
      </w:r>
      <w:r w:rsidRPr="000B3C26">
        <w:rPr>
          <w:lang w:val="ru-RU"/>
        </w:rPr>
        <w:t xml:space="preserve">. </w:t>
      </w:r>
    </w:p>
  </w:footnote>
  <w:footnote w:id="22">
    <w:p w:rsidR="00F568BC" w:rsidRPr="006D4BB4" w:rsidRDefault="00F568BC" w:rsidP="00993DAD">
      <w:pPr>
        <w:pStyle w:val="FootnoteText"/>
        <w:widowControl w:val="0"/>
        <w:tabs>
          <w:tab w:val="clear" w:pos="1021"/>
          <w:tab w:val="right" w:pos="1020"/>
        </w:tabs>
        <w:rPr>
          <w:lang w:val="ru-RU"/>
        </w:rPr>
      </w:pPr>
      <w:r w:rsidRPr="000B3C26">
        <w:rPr>
          <w:lang w:val="ru-RU"/>
        </w:rPr>
        <w:tab/>
      </w:r>
      <w:r>
        <w:rPr>
          <w:rStyle w:val="FootnoteReference"/>
        </w:rPr>
        <w:footnoteRef/>
      </w:r>
      <w:r w:rsidRPr="006D4BB4">
        <w:rPr>
          <w:lang w:val="ru-RU"/>
        </w:rPr>
        <w:tab/>
      </w:r>
      <w:r>
        <w:rPr>
          <w:lang w:val="ru-RU"/>
        </w:rPr>
        <w:t>Показатель</w:t>
      </w:r>
      <w:r w:rsidRPr="006D4BB4">
        <w:rPr>
          <w:lang w:val="ru-RU"/>
        </w:rPr>
        <w:t xml:space="preserve"> </w:t>
      </w:r>
      <w:r>
        <w:rPr>
          <w:lang w:val="ru-RU"/>
        </w:rPr>
        <w:t>за</w:t>
      </w:r>
      <w:r w:rsidRPr="006D4BB4">
        <w:rPr>
          <w:lang w:val="ru-RU"/>
        </w:rPr>
        <w:t xml:space="preserve"> 2009</w:t>
      </w:r>
      <w:r>
        <w:rPr>
          <w:lang w:val="ru-RU"/>
        </w:rPr>
        <w:t> год представляет</w:t>
      </w:r>
      <w:r w:rsidRPr="006D4BB4">
        <w:rPr>
          <w:lang w:val="ru-RU"/>
        </w:rPr>
        <w:t xml:space="preserve"> 1</w:t>
      </w:r>
      <w:r>
        <w:rPr>
          <w:lang w:val="ru-RU"/>
        </w:rPr>
        <w:t> </w:t>
      </w:r>
      <w:r w:rsidRPr="006D4BB4">
        <w:rPr>
          <w:lang w:val="ru-RU"/>
        </w:rPr>
        <w:t xml:space="preserve">797 </w:t>
      </w:r>
      <w:r>
        <w:rPr>
          <w:lang w:val="ru-RU"/>
        </w:rPr>
        <w:t>физических</w:t>
      </w:r>
      <w:r w:rsidRPr="006D4BB4">
        <w:rPr>
          <w:lang w:val="ru-RU"/>
        </w:rPr>
        <w:t xml:space="preserve"> </w:t>
      </w:r>
      <w:r>
        <w:rPr>
          <w:lang w:val="ru-RU"/>
        </w:rPr>
        <w:t>лиц,</w:t>
      </w:r>
      <w:r w:rsidRPr="006D4BB4">
        <w:rPr>
          <w:lang w:val="ru-RU"/>
        </w:rPr>
        <w:t xml:space="preserve"> </w:t>
      </w:r>
      <w:r>
        <w:rPr>
          <w:lang w:val="ru-RU"/>
        </w:rPr>
        <w:t>или</w:t>
      </w:r>
      <w:r w:rsidRPr="006D4BB4">
        <w:rPr>
          <w:lang w:val="ru-RU"/>
        </w:rPr>
        <w:t xml:space="preserve"> 12</w:t>
      </w:r>
      <w:r>
        <w:rPr>
          <w:lang w:val="ru-RU"/>
        </w:rPr>
        <w:t>,</w:t>
      </w:r>
      <w:r w:rsidRPr="006D4BB4">
        <w:rPr>
          <w:lang w:val="ru-RU"/>
        </w:rPr>
        <w:t xml:space="preserve">9% </w:t>
      </w:r>
      <w:r>
        <w:rPr>
          <w:lang w:val="ru-RU"/>
        </w:rPr>
        <w:t>всех случаев во всех возрастных группах, зарегистрированных в Центральном регистре случаев злоупотребления наркотиками</w:t>
      </w:r>
      <w:r w:rsidRPr="006D4BB4">
        <w:rPr>
          <w:lang w:val="ru-RU"/>
        </w:rPr>
        <w:t xml:space="preserve">. </w:t>
      </w:r>
    </w:p>
  </w:footnote>
  <w:footnote w:id="23">
    <w:p w:rsidR="00F568BC" w:rsidRPr="00730429" w:rsidRDefault="00F568BC" w:rsidP="00993DAD">
      <w:pPr>
        <w:pStyle w:val="FootnoteText"/>
        <w:widowControl w:val="0"/>
        <w:tabs>
          <w:tab w:val="clear" w:pos="1021"/>
          <w:tab w:val="right" w:pos="1020"/>
        </w:tabs>
        <w:rPr>
          <w:lang w:val="ru-RU"/>
        </w:rPr>
      </w:pPr>
      <w:r w:rsidRPr="006D4BB4">
        <w:rPr>
          <w:lang w:val="ru-RU"/>
        </w:rPr>
        <w:tab/>
      </w:r>
      <w:r>
        <w:rPr>
          <w:rStyle w:val="FootnoteReference"/>
        </w:rPr>
        <w:footnoteRef/>
      </w:r>
      <w:r w:rsidRPr="00730429">
        <w:rPr>
          <w:lang w:val="ru-RU"/>
        </w:rPr>
        <w:tab/>
      </w:r>
      <w:r>
        <w:rPr>
          <w:lang w:val="ru-RU"/>
        </w:rPr>
        <w:t xml:space="preserve">Предполагается создать в РУКЗК новый и прогрессивный центр, посвященный изобразительному искусству </w:t>
      </w:r>
      <w:r>
        <w:rPr>
          <w:lang w:val="en-US"/>
        </w:rPr>
        <w:t>XX</w:t>
      </w:r>
      <w:r>
        <w:rPr>
          <w:lang w:val="ru-RU"/>
        </w:rPr>
        <w:t xml:space="preserve"> и </w:t>
      </w:r>
      <w:r>
        <w:rPr>
          <w:lang w:val="en-US"/>
        </w:rPr>
        <w:t>XX</w:t>
      </w:r>
      <w:r w:rsidRPr="00730429">
        <w:rPr>
          <w:lang w:val="ru-RU"/>
        </w:rPr>
        <w:t>1</w:t>
      </w:r>
      <w:r>
        <w:rPr>
          <w:lang w:val="ru-RU"/>
        </w:rPr>
        <w:t>веков</w:t>
      </w:r>
      <w:r w:rsidRPr="00730429">
        <w:rPr>
          <w:rFonts w:hint="eastAsia"/>
          <w:lang w:val="ru-RU"/>
        </w:rPr>
        <w:t>.</w:t>
      </w:r>
    </w:p>
  </w:footnote>
  <w:footnote w:id="24">
    <w:p w:rsidR="00F568BC" w:rsidRPr="00344C04" w:rsidRDefault="00F568BC" w:rsidP="00993DAD">
      <w:pPr>
        <w:pStyle w:val="FootnoteText"/>
        <w:widowControl w:val="0"/>
        <w:tabs>
          <w:tab w:val="clear" w:pos="1021"/>
          <w:tab w:val="right" w:pos="1020"/>
        </w:tabs>
        <w:rPr>
          <w:lang w:val="ru-RU"/>
        </w:rPr>
      </w:pPr>
      <w:r w:rsidRPr="00730429">
        <w:rPr>
          <w:lang w:val="ru-RU"/>
        </w:rPr>
        <w:tab/>
      </w:r>
      <w:r>
        <w:rPr>
          <w:rStyle w:val="FootnoteReference"/>
        </w:rPr>
        <w:footnoteRef/>
      </w:r>
      <w:r w:rsidRPr="00344C04">
        <w:rPr>
          <w:lang w:val="ru-RU"/>
        </w:rPr>
        <w:tab/>
      </w:r>
      <w:r>
        <w:rPr>
          <w:lang w:val="ru-RU"/>
        </w:rPr>
        <w:t>Фонд</w:t>
      </w:r>
      <w:r w:rsidRPr="00344C04">
        <w:rPr>
          <w:lang w:val="ru-RU"/>
        </w:rPr>
        <w:t xml:space="preserve"> </w:t>
      </w:r>
      <w:r>
        <w:rPr>
          <w:lang w:val="ru-RU"/>
        </w:rPr>
        <w:t>инновационной</w:t>
      </w:r>
      <w:r w:rsidRPr="00344C04">
        <w:rPr>
          <w:lang w:val="ru-RU"/>
        </w:rPr>
        <w:t xml:space="preserve"> </w:t>
      </w:r>
      <w:r>
        <w:rPr>
          <w:lang w:val="ru-RU"/>
        </w:rPr>
        <w:t>технологии</w:t>
      </w:r>
      <w:r w:rsidRPr="00344C04">
        <w:rPr>
          <w:lang w:val="ru-RU"/>
        </w:rPr>
        <w:t xml:space="preserve"> </w:t>
      </w:r>
      <w:r>
        <w:rPr>
          <w:lang w:val="ru-RU"/>
        </w:rPr>
        <w:t>поддерживает</w:t>
      </w:r>
      <w:r w:rsidRPr="00344C04">
        <w:rPr>
          <w:lang w:val="ru-RU"/>
        </w:rPr>
        <w:t xml:space="preserve"> </w:t>
      </w:r>
      <w:r>
        <w:rPr>
          <w:lang w:val="ru-RU"/>
        </w:rPr>
        <w:t>проекты</w:t>
      </w:r>
      <w:r w:rsidRPr="00344C04">
        <w:rPr>
          <w:lang w:val="ru-RU"/>
        </w:rPr>
        <w:t xml:space="preserve">, </w:t>
      </w:r>
      <w:r>
        <w:rPr>
          <w:lang w:val="ru-RU"/>
        </w:rPr>
        <w:t>которые</w:t>
      </w:r>
      <w:r w:rsidRPr="00344C04">
        <w:rPr>
          <w:lang w:val="ru-RU"/>
        </w:rPr>
        <w:t xml:space="preserve"> </w:t>
      </w:r>
      <w:r>
        <w:rPr>
          <w:lang w:val="ru-RU"/>
        </w:rPr>
        <w:t>вносят</w:t>
      </w:r>
      <w:r w:rsidRPr="00344C04">
        <w:rPr>
          <w:lang w:val="ru-RU"/>
        </w:rPr>
        <w:t xml:space="preserve"> </w:t>
      </w:r>
      <w:r>
        <w:rPr>
          <w:lang w:val="ru-RU"/>
        </w:rPr>
        <w:t>лепту</w:t>
      </w:r>
      <w:r w:rsidRPr="00344C04">
        <w:rPr>
          <w:lang w:val="ru-RU"/>
        </w:rPr>
        <w:t xml:space="preserve"> </w:t>
      </w:r>
      <w:r>
        <w:rPr>
          <w:lang w:val="ru-RU"/>
        </w:rPr>
        <w:t>в</w:t>
      </w:r>
      <w:r w:rsidRPr="00344C04">
        <w:rPr>
          <w:lang w:val="ru-RU"/>
        </w:rPr>
        <w:t xml:space="preserve"> </w:t>
      </w:r>
      <w:r>
        <w:rPr>
          <w:lang w:val="ru-RU"/>
        </w:rPr>
        <w:t>совершенствование</w:t>
      </w:r>
      <w:r w:rsidRPr="00344C04">
        <w:rPr>
          <w:lang w:val="ru-RU"/>
        </w:rPr>
        <w:t xml:space="preserve"> </w:t>
      </w:r>
      <w:r>
        <w:rPr>
          <w:lang w:val="ru-RU"/>
        </w:rPr>
        <w:t>инновационных</w:t>
      </w:r>
      <w:r w:rsidRPr="00344C04">
        <w:rPr>
          <w:lang w:val="ru-RU"/>
        </w:rPr>
        <w:t xml:space="preserve"> </w:t>
      </w:r>
      <w:r>
        <w:rPr>
          <w:lang w:val="ru-RU"/>
        </w:rPr>
        <w:t>технологий</w:t>
      </w:r>
      <w:r w:rsidRPr="00344C04">
        <w:rPr>
          <w:lang w:val="ru-RU"/>
        </w:rPr>
        <w:t xml:space="preserve"> </w:t>
      </w:r>
      <w:r>
        <w:rPr>
          <w:lang w:val="ru-RU"/>
        </w:rPr>
        <w:t>в</w:t>
      </w:r>
      <w:r w:rsidRPr="00344C04">
        <w:rPr>
          <w:lang w:val="ru-RU"/>
        </w:rPr>
        <w:t xml:space="preserve"> </w:t>
      </w:r>
      <w:r>
        <w:rPr>
          <w:lang w:val="ru-RU"/>
        </w:rPr>
        <w:t>местной</w:t>
      </w:r>
      <w:r w:rsidRPr="00344C04">
        <w:rPr>
          <w:lang w:val="ru-RU"/>
        </w:rPr>
        <w:t xml:space="preserve"> </w:t>
      </w:r>
      <w:r>
        <w:rPr>
          <w:lang w:val="ru-RU"/>
        </w:rPr>
        <w:t>промышленности</w:t>
      </w:r>
      <w:r w:rsidRPr="00344C04">
        <w:rPr>
          <w:lang w:val="ru-RU"/>
        </w:rPr>
        <w:t>.</w:t>
      </w:r>
    </w:p>
  </w:footnote>
  <w:footnote w:id="25">
    <w:p w:rsidR="00F568BC" w:rsidRPr="00192D04" w:rsidRDefault="00F568BC" w:rsidP="00993DAD">
      <w:pPr>
        <w:pStyle w:val="FootnoteText"/>
        <w:widowControl w:val="0"/>
        <w:tabs>
          <w:tab w:val="clear" w:pos="1021"/>
          <w:tab w:val="right" w:pos="1020"/>
        </w:tabs>
        <w:rPr>
          <w:lang w:val="ru-RU"/>
        </w:rPr>
      </w:pPr>
      <w:r w:rsidRPr="00344C04">
        <w:rPr>
          <w:lang w:val="ru-RU"/>
        </w:rPr>
        <w:tab/>
      </w:r>
      <w:r>
        <w:rPr>
          <w:rStyle w:val="FootnoteReference"/>
        </w:rPr>
        <w:footnoteRef/>
      </w:r>
      <w:r w:rsidRPr="00192D04">
        <w:rPr>
          <w:lang w:val="ru-RU"/>
        </w:rPr>
        <w:tab/>
      </w:r>
      <w:r>
        <w:rPr>
          <w:lang w:val="ru-RU"/>
        </w:rPr>
        <w:t>Гонконгские научно-технологические парки оказывают инфраструктурную помощь технологическим компаниям и видам деятельности</w:t>
      </w:r>
      <w:r w:rsidRPr="00192D04">
        <w:rPr>
          <w:lang w:val="ru-RU"/>
        </w:rPr>
        <w:t>.</w:t>
      </w:r>
    </w:p>
  </w:footnote>
  <w:footnote w:id="26">
    <w:p w:rsidR="00F568BC" w:rsidRPr="00303DAB" w:rsidRDefault="00F568BC" w:rsidP="00993DAD">
      <w:pPr>
        <w:pStyle w:val="FootnoteText"/>
        <w:widowControl w:val="0"/>
        <w:tabs>
          <w:tab w:val="clear" w:pos="1021"/>
          <w:tab w:val="right" w:pos="1020"/>
        </w:tabs>
        <w:rPr>
          <w:lang w:val="ru-RU"/>
        </w:rPr>
      </w:pPr>
      <w:r w:rsidRPr="00192D04">
        <w:rPr>
          <w:lang w:val="ru-RU"/>
        </w:rPr>
        <w:tab/>
      </w:r>
      <w:r>
        <w:rPr>
          <w:rStyle w:val="FootnoteReference"/>
        </w:rPr>
        <w:footnoteRef/>
      </w:r>
      <w:r w:rsidRPr="00303DAB">
        <w:rPr>
          <w:lang w:val="ru-RU"/>
        </w:rPr>
        <w:tab/>
      </w:r>
      <w:r>
        <w:rPr>
          <w:lang w:val="ru-RU"/>
        </w:rPr>
        <w:t>Центры</w:t>
      </w:r>
      <w:r w:rsidRPr="00303DAB">
        <w:rPr>
          <w:lang w:val="ru-RU"/>
        </w:rPr>
        <w:t xml:space="preserve"> </w:t>
      </w:r>
      <w:r>
        <w:rPr>
          <w:lang w:val="ru-RU"/>
        </w:rPr>
        <w:t>НИОКР</w:t>
      </w:r>
      <w:r w:rsidRPr="00303DAB">
        <w:rPr>
          <w:lang w:val="ru-RU"/>
        </w:rPr>
        <w:t xml:space="preserve"> </w:t>
      </w:r>
      <w:r>
        <w:rPr>
          <w:lang w:val="ru-RU"/>
        </w:rPr>
        <w:t>проводят</w:t>
      </w:r>
      <w:r w:rsidRPr="00303DAB">
        <w:rPr>
          <w:lang w:val="ru-RU"/>
        </w:rPr>
        <w:t xml:space="preserve"> </w:t>
      </w:r>
      <w:r>
        <w:rPr>
          <w:lang w:val="ru-RU"/>
        </w:rPr>
        <w:t>ориентированные</w:t>
      </w:r>
      <w:r w:rsidRPr="00303DAB">
        <w:rPr>
          <w:lang w:val="ru-RU"/>
        </w:rPr>
        <w:t xml:space="preserve"> </w:t>
      </w:r>
      <w:r>
        <w:rPr>
          <w:lang w:val="ru-RU"/>
        </w:rPr>
        <w:t>на</w:t>
      </w:r>
      <w:r w:rsidRPr="00303DAB">
        <w:rPr>
          <w:lang w:val="ru-RU"/>
        </w:rPr>
        <w:t xml:space="preserve"> </w:t>
      </w:r>
      <w:r>
        <w:rPr>
          <w:lang w:val="ru-RU"/>
        </w:rPr>
        <w:t>промышленность</w:t>
      </w:r>
      <w:r w:rsidRPr="00303DAB">
        <w:rPr>
          <w:lang w:val="ru-RU"/>
        </w:rPr>
        <w:t xml:space="preserve"> </w:t>
      </w:r>
      <w:r>
        <w:rPr>
          <w:lang w:val="ru-RU"/>
        </w:rPr>
        <w:t>исследования и создают основу для передачи и коммерциализации технологии</w:t>
      </w:r>
      <w:r w:rsidRPr="00303DAB">
        <w:rPr>
          <w:lang w:val="ru-RU"/>
        </w:rPr>
        <w:t>.</w:t>
      </w:r>
    </w:p>
  </w:footnote>
  <w:footnote w:id="27">
    <w:p w:rsidR="00F568BC" w:rsidRPr="005C3D21" w:rsidRDefault="00F568BC" w:rsidP="00993DAD">
      <w:pPr>
        <w:pStyle w:val="FootnoteText"/>
        <w:widowControl w:val="0"/>
        <w:tabs>
          <w:tab w:val="clear" w:pos="1021"/>
          <w:tab w:val="right" w:pos="1020"/>
        </w:tabs>
        <w:rPr>
          <w:lang w:val="ru-RU"/>
        </w:rPr>
      </w:pPr>
      <w:r w:rsidRPr="00303DAB">
        <w:rPr>
          <w:lang w:val="ru-RU"/>
        </w:rPr>
        <w:tab/>
      </w:r>
      <w:r>
        <w:rPr>
          <w:rStyle w:val="FootnoteReference"/>
        </w:rPr>
        <w:footnoteRef/>
      </w:r>
      <w:r w:rsidRPr="005C3D21">
        <w:rPr>
          <w:lang w:val="ru-RU"/>
        </w:rPr>
        <w:tab/>
      </w:r>
      <w:r>
        <w:rPr>
          <w:lang w:val="ru-RU"/>
        </w:rPr>
        <w:t>Инновационный фестиваль</w:t>
      </w:r>
      <w:r w:rsidRPr="005C3D21">
        <w:rPr>
          <w:lang w:val="ru-RU"/>
        </w:rPr>
        <w:t xml:space="preserve"> </w:t>
      </w:r>
      <w:r>
        <w:rPr>
          <w:lang w:val="ru-RU"/>
        </w:rPr>
        <w:t>включает</w:t>
      </w:r>
      <w:r w:rsidRPr="005C3D21">
        <w:rPr>
          <w:lang w:val="ru-RU"/>
        </w:rPr>
        <w:t xml:space="preserve"> </w:t>
      </w:r>
      <w:r>
        <w:rPr>
          <w:lang w:val="ru-RU"/>
        </w:rPr>
        <w:t>ряд придорожных</w:t>
      </w:r>
      <w:r w:rsidRPr="005C3D21">
        <w:rPr>
          <w:lang w:val="ru-RU"/>
        </w:rPr>
        <w:t xml:space="preserve"> </w:t>
      </w:r>
      <w:r>
        <w:rPr>
          <w:lang w:val="ru-RU"/>
        </w:rPr>
        <w:t>презентаций</w:t>
      </w:r>
      <w:r w:rsidRPr="005C3D21">
        <w:rPr>
          <w:lang w:val="ru-RU"/>
        </w:rPr>
        <w:t xml:space="preserve">, </w:t>
      </w:r>
      <w:r>
        <w:rPr>
          <w:lang w:val="ru-RU"/>
        </w:rPr>
        <w:t>выставок</w:t>
      </w:r>
      <w:r w:rsidRPr="005C3D21">
        <w:rPr>
          <w:lang w:val="ru-RU"/>
        </w:rPr>
        <w:t xml:space="preserve"> </w:t>
      </w:r>
      <w:r>
        <w:rPr>
          <w:lang w:val="ru-RU"/>
        </w:rPr>
        <w:t>и</w:t>
      </w:r>
      <w:r w:rsidRPr="005C3D21">
        <w:rPr>
          <w:lang w:val="ru-RU"/>
        </w:rPr>
        <w:t xml:space="preserve"> </w:t>
      </w:r>
      <w:r>
        <w:rPr>
          <w:lang w:val="ru-RU"/>
        </w:rPr>
        <w:t>соревнований</w:t>
      </w:r>
      <w:r w:rsidRPr="005C3D21">
        <w:rPr>
          <w:lang w:val="ru-RU"/>
        </w:rPr>
        <w:t xml:space="preserve"> </w:t>
      </w:r>
      <w:r>
        <w:rPr>
          <w:lang w:val="ru-RU"/>
        </w:rPr>
        <w:t>с</w:t>
      </w:r>
      <w:r w:rsidRPr="005C3D21">
        <w:rPr>
          <w:lang w:val="ru-RU"/>
        </w:rPr>
        <w:t xml:space="preserve"> </w:t>
      </w:r>
      <w:r>
        <w:rPr>
          <w:lang w:val="ru-RU"/>
        </w:rPr>
        <w:t>целью</w:t>
      </w:r>
      <w:r w:rsidRPr="005C3D21">
        <w:rPr>
          <w:lang w:val="ru-RU"/>
        </w:rPr>
        <w:t xml:space="preserve"> </w:t>
      </w:r>
      <w:r>
        <w:rPr>
          <w:lang w:val="ru-RU"/>
        </w:rPr>
        <w:t>вызывать</w:t>
      </w:r>
      <w:r w:rsidRPr="005C3D21">
        <w:rPr>
          <w:lang w:val="ru-RU"/>
        </w:rPr>
        <w:t xml:space="preserve"> </w:t>
      </w:r>
      <w:r>
        <w:rPr>
          <w:lang w:val="ru-RU"/>
        </w:rPr>
        <w:t>интерес</w:t>
      </w:r>
      <w:r w:rsidRPr="005C3D21">
        <w:rPr>
          <w:lang w:val="ru-RU"/>
        </w:rPr>
        <w:t xml:space="preserve"> </w:t>
      </w:r>
      <w:r>
        <w:rPr>
          <w:lang w:val="ru-RU"/>
        </w:rPr>
        <w:t>широкой</w:t>
      </w:r>
      <w:r w:rsidRPr="005C3D21">
        <w:rPr>
          <w:lang w:val="ru-RU"/>
        </w:rPr>
        <w:t xml:space="preserve"> </w:t>
      </w:r>
      <w:r>
        <w:rPr>
          <w:lang w:val="ru-RU"/>
        </w:rPr>
        <w:t>общественности</w:t>
      </w:r>
      <w:r w:rsidRPr="005C3D21">
        <w:rPr>
          <w:lang w:val="ru-RU"/>
        </w:rPr>
        <w:t xml:space="preserve"> </w:t>
      </w:r>
      <w:r>
        <w:rPr>
          <w:lang w:val="ru-RU"/>
        </w:rPr>
        <w:t>к</w:t>
      </w:r>
      <w:r w:rsidRPr="005C3D21">
        <w:rPr>
          <w:lang w:val="ru-RU"/>
        </w:rPr>
        <w:t xml:space="preserve"> </w:t>
      </w:r>
      <w:r>
        <w:rPr>
          <w:lang w:val="ru-RU"/>
        </w:rPr>
        <w:t>инновационной</w:t>
      </w:r>
      <w:r w:rsidRPr="005C3D21">
        <w:rPr>
          <w:lang w:val="ru-RU"/>
        </w:rPr>
        <w:t xml:space="preserve"> </w:t>
      </w:r>
      <w:r>
        <w:rPr>
          <w:lang w:val="ru-RU"/>
        </w:rPr>
        <w:t>технологии</w:t>
      </w:r>
      <w:r w:rsidRPr="005C3D21">
        <w:rPr>
          <w:rFonts w:hint="eastAsia"/>
          <w:lang w:val="ru-RU"/>
        </w:rPr>
        <w:t>.</w:t>
      </w:r>
    </w:p>
  </w:footnote>
  <w:footnote w:id="28">
    <w:p w:rsidR="00F568BC" w:rsidRPr="000861BF" w:rsidRDefault="00F568BC" w:rsidP="00993DAD">
      <w:pPr>
        <w:pStyle w:val="FootnoteText"/>
        <w:widowControl w:val="0"/>
        <w:tabs>
          <w:tab w:val="clear" w:pos="1021"/>
          <w:tab w:val="right" w:pos="1020"/>
        </w:tabs>
        <w:rPr>
          <w:lang w:val="ru-RU"/>
        </w:rPr>
      </w:pPr>
      <w:r w:rsidRPr="005C3D21">
        <w:rPr>
          <w:lang w:val="ru-RU"/>
        </w:rPr>
        <w:tab/>
      </w:r>
      <w:r>
        <w:rPr>
          <w:rStyle w:val="FootnoteReference"/>
        </w:rPr>
        <w:footnoteRef/>
      </w:r>
      <w:r w:rsidRPr="000861BF">
        <w:rPr>
          <w:lang w:val="ru-RU"/>
        </w:rPr>
        <w:tab/>
      </w:r>
      <w:r>
        <w:rPr>
          <w:lang w:val="ru-RU"/>
        </w:rPr>
        <w:t>Гонконгский конкурс студенческих научных проектов призван формировать интерес молодежи к науке и технике</w:t>
      </w:r>
      <w:r w:rsidRPr="000861BF">
        <w:rPr>
          <w:lang w:val="ru-RU"/>
        </w:rPr>
        <w:t>.</w:t>
      </w:r>
    </w:p>
  </w:footnote>
  <w:footnote w:id="29">
    <w:p w:rsidR="00F568BC" w:rsidRPr="002D6FE9" w:rsidRDefault="00F568BC" w:rsidP="00993DAD">
      <w:pPr>
        <w:pStyle w:val="FootnoteText"/>
        <w:widowControl w:val="0"/>
        <w:tabs>
          <w:tab w:val="clear" w:pos="1021"/>
          <w:tab w:val="right" w:pos="1020"/>
        </w:tabs>
        <w:rPr>
          <w:lang w:val="ru-RU"/>
        </w:rPr>
      </w:pPr>
      <w:r w:rsidRPr="000861BF">
        <w:rPr>
          <w:lang w:val="ru-RU"/>
        </w:rPr>
        <w:tab/>
      </w:r>
      <w:r>
        <w:rPr>
          <w:rStyle w:val="FootnoteReference"/>
        </w:rPr>
        <w:footnoteRef/>
      </w:r>
      <w:r w:rsidRPr="002D6FE9">
        <w:rPr>
          <w:lang w:val="ru-RU"/>
        </w:rPr>
        <w:tab/>
      </w:r>
      <w:r>
        <w:rPr>
          <w:lang w:val="ru-RU"/>
        </w:rPr>
        <w:t>Студенческий</w:t>
      </w:r>
      <w:r w:rsidRPr="002D6FE9">
        <w:rPr>
          <w:lang w:val="ru-RU"/>
        </w:rPr>
        <w:t xml:space="preserve"> </w:t>
      </w:r>
      <w:r>
        <w:rPr>
          <w:lang w:val="ru-RU"/>
        </w:rPr>
        <w:t>клуб</w:t>
      </w:r>
      <w:r w:rsidRPr="002D6FE9">
        <w:rPr>
          <w:lang w:val="ru-RU"/>
        </w:rPr>
        <w:t xml:space="preserve"> </w:t>
      </w:r>
      <w:r>
        <w:rPr>
          <w:lang w:val="ru-RU"/>
        </w:rPr>
        <w:t>инновационной</w:t>
      </w:r>
      <w:r w:rsidRPr="002D6FE9">
        <w:rPr>
          <w:lang w:val="ru-RU"/>
        </w:rPr>
        <w:t xml:space="preserve"> </w:t>
      </w:r>
      <w:r>
        <w:rPr>
          <w:lang w:val="ru-RU"/>
        </w:rPr>
        <w:t>технологии</w:t>
      </w:r>
      <w:r w:rsidRPr="002D6FE9">
        <w:rPr>
          <w:lang w:val="ru-RU"/>
        </w:rPr>
        <w:t xml:space="preserve"> </w:t>
      </w:r>
      <w:r>
        <w:rPr>
          <w:lang w:val="ru-RU"/>
        </w:rPr>
        <w:t>нацелен</w:t>
      </w:r>
      <w:r w:rsidRPr="002D6FE9">
        <w:rPr>
          <w:lang w:val="ru-RU"/>
        </w:rPr>
        <w:t xml:space="preserve"> </w:t>
      </w:r>
      <w:r>
        <w:rPr>
          <w:lang w:val="ru-RU"/>
        </w:rPr>
        <w:t>на</w:t>
      </w:r>
      <w:r w:rsidRPr="002D6FE9">
        <w:rPr>
          <w:lang w:val="ru-RU"/>
        </w:rPr>
        <w:t xml:space="preserve"> </w:t>
      </w:r>
      <w:r>
        <w:rPr>
          <w:lang w:val="ru-RU"/>
        </w:rPr>
        <w:t>дальнейшее</w:t>
      </w:r>
      <w:r w:rsidRPr="002D6FE9">
        <w:rPr>
          <w:lang w:val="ru-RU"/>
        </w:rPr>
        <w:t xml:space="preserve"> </w:t>
      </w:r>
      <w:r>
        <w:rPr>
          <w:lang w:val="ru-RU"/>
        </w:rPr>
        <w:t>развитие</w:t>
      </w:r>
      <w:r w:rsidRPr="002D6FE9">
        <w:rPr>
          <w:lang w:val="ru-RU"/>
        </w:rPr>
        <w:t xml:space="preserve"> </w:t>
      </w:r>
      <w:r>
        <w:rPr>
          <w:lang w:val="ru-RU"/>
        </w:rPr>
        <w:t>научного</w:t>
      </w:r>
      <w:r w:rsidRPr="002D6FE9">
        <w:rPr>
          <w:lang w:val="ru-RU"/>
        </w:rPr>
        <w:t xml:space="preserve"> </w:t>
      </w:r>
      <w:r>
        <w:rPr>
          <w:lang w:val="ru-RU"/>
        </w:rPr>
        <w:t>и</w:t>
      </w:r>
      <w:r w:rsidRPr="002D6FE9">
        <w:rPr>
          <w:lang w:val="ru-RU"/>
        </w:rPr>
        <w:t xml:space="preserve"> </w:t>
      </w:r>
      <w:r>
        <w:rPr>
          <w:lang w:val="ru-RU"/>
        </w:rPr>
        <w:t>технологического</w:t>
      </w:r>
      <w:r w:rsidRPr="002D6FE9">
        <w:rPr>
          <w:lang w:val="ru-RU"/>
        </w:rPr>
        <w:t xml:space="preserve"> </w:t>
      </w:r>
      <w:r>
        <w:rPr>
          <w:lang w:val="ru-RU"/>
        </w:rPr>
        <w:t>потенциала путем организации различных интерактивных мероприятий, в частности таких как серия семинаров по будущей технологии, наставничество в области исследований, технологический вестник, летние лагеря, посол технологии</w:t>
      </w:r>
      <w:r w:rsidRPr="002D6FE9">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BC" w:rsidRPr="00D511BF" w:rsidRDefault="00F568BC">
    <w:pPr>
      <w:pStyle w:val="Header"/>
      <w:rPr>
        <w:lang w:val="en-US"/>
      </w:rPr>
    </w:pPr>
    <w:r>
      <w:rPr>
        <w:lang w:val="en-US"/>
      </w:rPr>
      <w:t>E/</w:t>
    </w:r>
    <w:r w:rsidRPr="00D511BF">
      <w:rPr>
        <w:lang w:val="en-US"/>
      </w:rPr>
      <w:t>C.12/CHN-HKG/3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BC" w:rsidRPr="00D511BF" w:rsidRDefault="00F568BC">
    <w:pPr>
      <w:pStyle w:val="Header"/>
      <w:rPr>
        <w:lang w:val="en-US"/>
      </w:rPr>
    </w:pPr>
    <w:r>
      <w:rPr>
        <w:lang w:val="en-US"/>
      </w:rPr>
      <w:tab/>
      <w:t>E/</w:t>
    </w:r>
    <w:r w:rsidRPr="00D511BF">
      <w:rPr>
        <w:lang w:val="en-US"/>
      </w:rPr>
      <w:t>C.12/CHN-HKG/3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7773B3"/>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2C41F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52D619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207466E"/>
    <w:multiLevelType w:val="hybridMultilevel"/>
    <w:tmpl w:val="3B92985A"/>
    <w:lvl w:ilvl="0" w:tplc="7B865070">
      <w:start w:val="1"/>
      <w:numFmt w:val="lowerLetter"/>
      <w:lvlText w:val="(%1)"/>
      <w:lvlJc w:val="left"/>
      <w:pPr>
        <w:tabs>
          <w:tab w:val="num" w:pos="955"/>
        </w:tabs>
        <w:ind w:left="955"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70D539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5B47073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7C830341"/>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17"/>
  </w:num>
  <w:num w:numId="3">
    <w:abstractNumId w:val="21"/>
  </w:num>
  <w:num w:numId="4">
    <w:abstractNumId w:val="23"/>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2"/>
  </w:num>
  <w:num w:numId="18">
    <w:abstractNumId w:val="17"/>
  </w:num>
  <w:num w:numId="19">
    <w:abstractNumId w:val="17"/>
  </w:num>
  <w:num w:numId="20">
    <w:abstractNumId w:val="22"/>
  </w:num>
  <w:num w:numId="21">
    <w:abstractNumId w:val="17"/>
  </w:num>
  <w:num w:numId="22">
    <w:abstractNumId w:val="21"/>
  </w:num>
  <w:num w:numId="23">
    <w:abstractNumId w:val="21"/>
  </w:num>
  <w:num w:numId="24">
    <w:abstractNumId w:val="13"/>
  </w:num>
  <w:num w:numId="25">
    <w:abstractNumId w:val="11"/>
  </w:num>
  <w:num w:numId="26">
    <w:abstractNumId w:val="20"/>
  </w:num>
  <w:num w:numId="27">
    <w:abstractNumId w:val="19"/>
  </w:num>
  <w:num w:numId="28">
    <w:abstractNumId w:val="15"/>
  </w:num>
  <w:num w:numId="29">
    <w:abstractNumId w:val="14"/>
  </w:num>
  <w:num w:numId="30">
    <w:abstractNumId w:val="10"/>
  </w:num>
  <w:num w:numId="31">
    <w:abstractNumId w:val="24"/>
  </w:num>
  <w:num w:numId="3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11BF"/>
    <w:rsid w:val="000033D8"/>
    <w:rsid w:val="00005C1C"/>
    <w:rsid w:val="00016553"/>
    <w:rsid w:val="000233B3"/>
    <w:rsid w:val="00023E9E"/>
    <w:rsid w:val="00026B0C"/>
    <w:rsid w:val="00034840"/>
    <w:rsid w:val="0003638E"/>
    <w:rsid w:val="00036FF2"/>
    <w:rsid w:val="0004010A"/>
    <w:rsid w:val="00043126"/>
    <w:rsid w:val="00043D88"/>
    <w:rsid w:val="00046E4D"/>
    <w:rsid w:val="0006274D"/>
    <w:rsid w:val="0006401A"/>
    <w:rsid w:val="00064570"/>
    <w:rsid w:val="00072C27"/>
    <w:rsid w:val="00086182"/>
    <w:rsid w:val="00090891"/>
    <w:rsid w:val="00092E62"/>
    <w:rsid w:val="00097227"/>
    <w:rsid w:val="00097975"/>
    <w:rsid w:val="000A3DDF"/>
    <w:rsid w:val="000A60A0"/>
    <w:rsid w:val="000B1A9D"/>
    <w:rsid w:val="000C3688"/>
    <w:rsid w:val="000D6863"/>
    <w:rsid w:val="000F6254"/>
    <w:rsid w:val="00102F51"/>
    <w:rsid w:val="00111256"/>
    <w:rsid w:val="00117AEE"/>
    <w:rsid w:val="00122DDF"/>
    <w:rsid w:val="0014166D"/>
    <w:rsid w:val="001463F7"/>
    <w:rsid w:val="0015769C"/>
    <w:rsid w:val="00180752"/>
    <w:rsid w:val="00185076"/>
    <w:rsid w:val="0018543C"/>
    <w:rsid w:val="00190231"/>
    <w:rsid w:val="00192056"/>
    <w:rsid w:val="00192ABD"/>
    <w:rsid w:val="001A75D5"/>
    <w:rsid w:val="001A7D40"/>
    <w:rsid w:val="001D00F2"/>
    <w:rsid w:val="001D07F7"/>
    <w:rsid w:val="001D2E07"/>
    <w:rsid w:val="001D7B8F"/>
    <w:rsid w:val="001E12DC"/>
    <w:rsid w:val="001E48EE"/>
    <w:rsid w:val="001E5730"/>
    <w:rsid w:val="001F2D04"/>
    <w:rsid w:val="0020059C"/>
    <w:rsid w:val="002019BD"/>
    <w:rsid w:val="002024C5"/>
    <w:rsid w:val="002200D8"/>
    <w:rsid w:val="00232D42"/>
    <w:rsid w:val="00237334"/>
    <w:rsid w:val="0024217B"/>
    <w:rsid w:val="002444F4"/>
    <w:rsid w:val="00247D76"/>
    <w:rsid w:val="00250299"/>
    <w:rsid w:val="00254ACE"/>
    <w:rsid w:val="002629A0"/>
    <w:rsid w:val="00262E99"/>
    <w:rsid w:val="0028492B"/>
    <w:rsid w:val="00291C8F"/>
    <w:rsid w:val="002A0193"/>
    <w:rsid w:val="002A6C3D"/>
    <w:rsid w:val="002C5036"/>
    <w:rsid w:val="002C6A71"/>
    <w:rsid w:val="002C6D5F"/>
    <w:rsid w:val="002D15EA"/>
    <w:rsid w:val="002D474C"/>
    <w:rsid w:val="002D6C07"/>
    <w:rsid w:val="002E0CE6"/>
    <w:rsid w:val="002E1163"/>
    <w:rsid w:val="002E43F3"/>
    <w:rsid w:val="0030360E"/>
    <w:rsid w:val="00306D2D"/>
    <w:rsid w:val="003215F5"/>
    <w:rsid w:val="00332891"/>
    <w:rsid w:val="00352809"/>
    <w:rsid w:val="00356BB2"/>
    <w:rsid w:val="00360477"/>
    <w:rsid w:val="00365702"/>
    <w:rsid w:val="0036785B"/>
    <w:rsid w:val="00367FC9"/>
    <w:rsid w:val="003711A1"/>
    <w:rsid w:val="00372123"/>
    <w:rsid w:val="00382B38"/>
    <w:rsid w:val="00386581"/>
    <w:rsid w:val="00387100"/>
    <w:rsid w:val="00391724"/>
    <w:rsid w:val="003951D3"/>
    <w:rsid w:val="003978C6"/>
    <w:rsid w:val="003A3427"/>
    <w:rsid w:val="003A3F16"/>
    <w:rsid w:val="003B40A9"/>
    <w:rsid w:val="003B773C"/>
    <w:rsid w:val="003C016E"/>
    <w:rsid w:val="003D5EBD"/>
    <w:rsid w:val="003E40E4"/>
    <w:rsid w:val="003F38E3"/>
    <w:rsid w:val="00401CE0"/>
    <w:rsid w:val="00403234"/>
    <w:rsid w:val="00407AC3"/>
    <w:rsid w:val="00414586"/>
    <w:rsid w:val="00415059"/>
    <w:rsid w:val="00424FDD"/>
    <w:rsid w:val="0043033D"/>
    <w:rsid w:val="00435FE4"/>
    <w:rsid w:val="00445153"/>
    <w:rsid w:val="0045377F"/>
    <w:rsid w:val="00457634"/>
    <w:rsid w:val="00474F42"/>
    <w:rsid w:val="0048244D"/>
    <w:rsid w:val="004A0DE8"/>
    <w:rsid w:val="004A4CB7"/>
    <w:rsid w:val="004A57B5"/>
    <w:rsid w:val="004A78A4"/>
    <w:rsid w:val="004B19DA"/>
    <w:rsid w:val="004C23B7"/>
    <w:rsid w:val="004C2A53"/>
    <w:rsid w:val="004C3B35"/>
    <w:rsid w:val="004C43EC"/>
    <w:rsid w:val="004C7F43"/>
    <w:rsid w:val="004E6729"/>
    <w:rsid w:val="004F0E47"/>
    <w:rsid w:val="004F720A"/>
    <w:rsid w:val="00501DC6"/>
    <w:rsid w:val="0051339C"/>
    <w:rsid w:val="0051412F"/>
    <w:rsid w:val="00522B6F"/>
    <w:rsid w:val="0052430E"/>
    <w:rsid w:val="005276AD"/>
    <w:rsid w:val="00540A9A"/>
    <w:rsid w:val="00542CE2"/>
    <w:rsid w:val="00543522"/>
    <w:rsid w:val="00545680"/>
    <w:rsid w:val="0056618E"/>
    <w:rsid w:val="00576F59"/>
    <w:rsid w:val="00577A34"/>
    <w:rsid w:val="00580AAD"/>
    <w:rsid w:val="0058597C"/>
    <w:rsid w:val="00593A04"/>
    <w:rsid w:val="00593DA0"/>
    <w:rsid w:val="005A6D5A"/>
    <w:rsid w:val="005B1B28"/>
    <w:rsid w:val="005B7D51"/>
    <w:rsid w:val="005B7F35"/>
    <w:rsid w:val="005C2081"/>
    <w:rsid w:val="005C678A"/>
    <w:rsid w:val="005D346D"/>
    <w:rsid w:val="005E5107"/>
    <w:rsid w:val="005E6362"/>
    <w:rsid w:val="005E74AB"/>
    <w:rsid w:val="00606A3E"/>
    <w:rsid w:val="006104D3"/>
    <w:rsid w:val="006115AA"/>
    <w:rsid w:val="006120AE"/>
    <w:rsid w:val="00635E86"/>
    <w:rsid w:val="00636A37"/>
    <w:rsid w:val="006501A5"/>
    <w:rsid w:val="006515C8"/>
    <w:rsid w:val="006567B2"/>
    <w:rsid w:val="00662ADE"/>
    <w:rsid w:val="00664106"/>
    <w:rsid w:val="006756F1"/>
    <w:rsid w:val="00677773"/>
    <w:rsid w:val="006805FC"/>
    <w:rsid w:val="006926C7"/>
    <w:rsid w:val="00694C37"/>
    <w:rsid w:val="006A1BEB"/>
    <w:rsid w:val="006A401C"/>
    <w:rsid w:val="006A7C6E"/>
    <w:rsid w:val="006B23D9"/>
    <w:rsid w:val="006C1814"/>
    <w:rsid w:val="006C2F45"/>
    <w:rsid w:val="006C361A"/>
    <w:rsid w:val="006C4ED3"/>
    <w:rsid w:val="006C5657"/>
    <w:rsid w:val="006D5E4E"/>
    <w:rsid w:val="006E6860"/>
    <w:rsid w:val="006E7183"/>
    <w:rsid w:val="006F437F"/>
    <w:rsid w:val="006F5FBF"/>
    <w:rsid w:val="0070327E"/>
    <w:rsid w:val="00707B5F"/>
    <w:rsid w:val="00735602"/>
    <w:rsid w:val="00751DC5"/>
    <w:rsid w:val="0075279B"/>
    <w:rsid w:val="00753748"/>
    <w:rsid w:val="00762446"/>
    <w:rsid w:val="007674F4"/>
    <w:rsid w:val="007801E7"/>
    <w:rsid w:val="00781ACB"/>
    <w:rsid w:val="007837CA"/>
    <w:rsid w:val="007A1295"/>
    <w:rsid w:val="007A79EB"/>
    <w:rsid w:val="007C0492"/>
    <w:rsid w:val="007D4CA0"/>
    <w:rsid w:val="007D7A23"/>
    <w:rsid w:val="007D7D42"/>
    <w:rsid w:val="007E38C3"/>
    <w:rsid w:val="007E549E"/>
    <w:rsid w:val="007E71C9"/>
    <w:rsid w:val="007F18DC"/>
    <w:rsid w:val="007F7553"/>
    <w:rsid w:val="0080755E"/>
    <w:rsid w:val="008120D4"/>
    <w:rsid w:val="00812CCB"/>
    <w:rsid w:val="008139A5"/>
    <w:rsid w:val="00817F73"/>
    <w:rsid w:val="0082228E"/>
    <w:rsid w:val="00830402"/>
    <w:rsid w:val="008305D7"/>
    <w:rsid w:val="00834887"/>
    <w:rsid w:val="00842FED"/>
    <w:rsid w:val="008455CF"/>
    <w:rsid w:val="00847689"/>
    <w:rsid w:val="00857E54"/>
    <w:rsid w:val="008607B7"/>
    <w:rsid w:val="00861C52"/>
    <w:rsid w:val="008727A1"/>
    <w:rsid w:val="00886B0F"/>
    <w:rsid w:val="00886BE5"/>
    <w:rsid w:val="00891C08"/>
    <w:rsid w:val="00893629"/>
    <w:rsid w:val="008A2C8F"/>
    <w:rsid w:val="008A35F4"/>
    <w:rsid w:val="008A3879"/>
    <w:rsid w:val="008A5FA8"/>
    <w:rsid w:val="008A7575"/>
    <w:rsid w:val="008B286C"/>
    <w:rsid w:val="008B5F47"/>
    <w:rsid w:val="008C5BF3"/>
    <w:rsid w:val="008C7B87"/>
    <w:rsid w:val="008D6A7A"/>
    <w:rsid w:val="008E318A"/>
    <w:rsid w:val="008E3E87"/>
    <w:rsid w:val="008E7F13"/>
    <w:rsid w:val="008F3185"/>
    <w:rsid w:val="00915034"/>
    <w:rsid w:val="00915B0A"/>
    <w:rsid w:val="00926904"/>
    <w:rsid w:val="009372F0"/>
    <w:rsid w:val="00937FBD"/>
    <w:rsid w:val="00950CC6"/>
    <w:rsid w:val="00954145"/>
    <w:rsid w:val="00955022"/>
    <w:rsid w:val="00957B4D"/>
    <w:rsid w:val="00963F7A"/>
    <w:rsid w:val="00964EEA"/>
    <w:rsid w:val="009700B7"/>
    <w:rsid w:val="00980C86"/>
    <w:rsid w:val="009818E4"/>
    <w:rsid w:val="00993DAD"/>
    <w:rsid w:val="009A01BD"/>
    <w:rsid w:val="009B1D9B"/>
    <w:rsid w:val="009B4074"/>
    <w:rsid w:val="009C30BB"/>
    <w:rsid w:val="009C60BE"/>
    <w:rsid w:val="009C6500"/>
    <w:rsid w:val="009E372B"/>
    <w:rsid w:val="009E6279"/>
    <w:rsid w:val="009F00A6"/>
    <w:rsid w:val="009F56A7"/>
    <w:rsid w:val="009F5B05"/>
    <w:rsid w:val="00A026CA"/>
    <w:rsid w:val="00A07232"/>
    <w:rsid w:val="00A10348"/>
    <w:rsid w:val="00A14800"/>
    <w:rsid w:val="00A156DE"/>
    <w:rsid w:val="00A157ED"/>
    <w:rsid w:val="00A16A49"/>
    <w:rsid w:val="00A2446A"/>
    <w:rsid w:val="00A35E26"/>
    <w:rsid w:val="00A4025D"/>
    <w:rsid w:val="00A533BF"/>
    <w:rsid w:val="00A800D1"/>
    <w:rsid w:val="00A92699"/>
    <w:rsid w:val="00AA0C85"/>
    <w:rsid w:val="00AB5BF0"/>
    <w:rsid w:val="00AC1C95"/>
    <w:rsid w:val="00AC2CCB"/>
    <w:rsid w:val="00AC443A"/>
    <w:rsid w:val="00AE60E2"/>
    <w:rsid w:val="00AF4467"/>
    <w:rsid w:val="00B0169F"/>
    <w:rsid w:val="00B05F21"/>
    <w:rsid w:val="00B138AB"/>
    <w:rsid w:val="00B14EA9"/>
    <w:rsid w:val="00B16654"/>
    <w:rsid w:val="00B30A3C"/>
    <w:rsid w:val="00B33852"/>
    <w:rsid w:val="00B63D5C"/>
    <w:rsid w:val="00B76A38"/>
    <w:rsid w:val="00B80BEF"/>
    <w:rsid w:val="00B80F52"/>
    <w:rsid w:val="00B81305"/>
    <w:rsid w:val="00B92291"/>
    <w:rsid w:val="00BB17DC"/>
    <w:rsid w:val="00BB1AF9"/>
    <w:rsid w:val="00BB4C4A"/>
    <w:rsid w:val="00BB6933"/>
    <w:rsid w:val="00BB6CC9"/>
    <w:rsid w:val="00BC06AE"/>
    <w:rsid w:val="00BD3CAE"/>
    <w:rsid w:val="00BD5F3C"/>
    <w:rsid w:val="00BE3C88"/>
    <w:rsid w:val="00BE3E96"/>
    <w:rsid w:val="00BF28D4"/>
    <w:rsid w:val="00C04E05"/>
    <w:rsid w:val="00C07C0F"/>
    <w:rsid w:val="00C145C4"/>
    <w:rsid w:val="00C20D2F"/>
    <w:rsid w:val="00C2131B"/>
    <w:rsid w:val="00C37AF8"/>
    <w:rsid w:val="00C37C79"/>
    <w:rsid w:val="00C41BBC"/>
    <w:rsid w:val="00C51419"/>
    <w:rsid w:val="00C54056"/>
    <w:rsid w:val="00C56DC0"/>
    <w:rsid w:val="00C64FC1"/>
    <w:rsid w:val="00C65B01"/>
    <w:rsid w:val="00C663A3"/>
    <w:rsid w:val="00C6773A"/>
    <w:rsid w:val="00C75CB2"/>
    <w:rsid w:val="00C81394"/>
    <w:rsid w:val="00C90723"/>
    <w:rsid w:val="00C90D5C"/>
    <w:rsid w:val="00C926B4"/>
    <w:rsid w:val="00CA609E"/>
    <w:rsid w:val="00CA7DA4"/>
    <w:rsid w:val="00CB31FB"/>
    <w:rsid w:val="00CE3D6F"/>
    <w:rsid w:val="00CE5C50"/>
    <w:rsid w:val="00CE79A5"/>
    <w:rsid w:val="00CF0042"/>
    <w:rsid w:val="00CF1236"/>
    <w:rsid w:val="00CF262F"/>
    <w:rsid w:val="00D025D5"/>
    <w:rsid w:val="00D067D0"/>
    <w:rsid w:val="00D11791"/>
    <w:rsid w:val="00D17547"/>
    <w:rsid w:val="00D26B13"/>
    <w:rsid w:val="00D26CC1"/>
    <w:rsid w:val="00D30662"/>
    <w:rsid w:val="00D32A0B"/>
    <w:rsid w:val="00D37021"/>
    <w:rsid w:val="00D511BF"/>
    <w:rsid w:val="00D6236B"/>
    <w:rsid w:val="00D7165C"/>
    <w:rsid w:val="00D7303F"/>
    <w:rsid w:val="00D809D1"/>
    <w:rsid w:val="00D84ECF"/>
    <w:rsid w:val="00DA2851"/>
    <w:rsid w:val="00DA2B7C"/>
    <w:rsid w:val="00DA5569"/>
    <w:rsid w:val="00DA5686"/>
    <w:rsid w:val="00DB1B52"/>
    <w:rsid w:val="00DB2FC0"/>
    <w:rsid w:val="00DF18FA"/>
    <w:rsid w:val="00DF49CA"/>
    <w:rsid w:val="00DF775B"/>
    <w:rsid w:val="00E007F3"/>
    <w:rsid w:val="00E00DEA"/>
    <w:rsid w:val="00E0491E"/>
    <w:rsid w:val="00E04EDF"/>
    <w:rsid w:val="00E06EF0"/>
    <w:rsid w:val="00E11679"/>
    <w:rsid w:val="00E11EF0"/>
    <w:rsid w:val="00E269FE"/>
    <w:rsid w:val="00E307D1"/>
    <w:rsid w:val="00E35299"/>
    <w:rsid w:val="00E367DD"/>
    <w:rsid w:val="00E46A04"/>
    <w:rsid w:val="00E53490"/>
    <w:rsid w:val="00E56A49"/>
    <w:rsid w:val="00E717F3"/>
    <w:rsid w:val="00E72C5E"/>
    <w:rsid w:val="00E7314B"/>
    <w:rsid w:val="00E73451"/>
    <w:rsid w:val="00E7489F"/>
    <w:rsid w:val="00E75147"/>
    <w:rsid w:val="00E758E4"/>
    <w:rsid w:val="00E76BE9"/>
    <w:rsid w:val="00E8167D"/>
    <w:rsid w:val="00E81773"/>
    <w:rsid w:val="00E907E9"/>
    <w:rsid w:val="00E93C2D"/>
    <w:rsid w:val="00E96BE7"/>
    <w:rsid w:val="00EA2CD0"/>
    <w:rsid w:val="00EA7608"/>
    <w:rsid w:val="00EB3533"/>
    <w:rsid w:val="00EC0044"/>
    <w:rsid w:val="00EC6B9F"/>
    <w:rsid w:val="00ED3AEF"/>
    <w:rsid w:val="00EE516D"/>
    <w:rsid w:val="00EF4D1B"/>
    <w:rsid w:val="00EF7295"/>
    <w:rsid w:val="00F02488"/>
    <w:rsid w:val="00F069D1"/>
    <w:rsid w:val="00F1503D"/>
    <w:rsid w:val="00F22712"/>
    <w:rsid w:val="00F275F5"/>
    <w:rsid w:val="00F33188"/>
    <w:rsid w:val="00F35BDE"/>
    <w:rsid w:val="00F440B1"/>
    <w:rsid w:val="00F441D3"/>
    <w:rsid w:val="00F52A0E"/>
    <w:rsid w:val="00F568BC"/>
    <w:rsid w:val="00F66529"/>
    <w:rsid w:val="00F71F63"/>
    <w:rsid w:val="00F87506"/>
    <w:rsid w:val="00F91733"/>
    <w:rsid w:val="00F92C41"/>
    <w:rsid w:val="00F936A8"/>
    <w:rsid w:val="00FA5522"/>
    <w:rsid w:val="00FA6E4A"/>
    <w:rsid w:val="00FB2793"/>
    <w:rsid w:val="00FB2B35"/>
    <w:rsid w:val="00FC4AE1"/>
    <w:rsid w:val="00FD22B8"/>
    <w:rsid w:val="00FD78A3"/>
    <w:rsid w:val="00FE46E6"/>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eastAsia="en-US"/>
    </w:rPr>
  </w:style>
  <w:style w:type="paragraph" w:styleId="Heading1">
    <w:name w:val="heading 1"/>
    <w:aliases w:val="Table_GR,Table_G"/>
    <w:basedOn w:val="Normal"/>
    <w:next w:val="Normal"/>
    <w:link w:val="Heading1Char"/>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rsid w:val="00A1034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6_G"/>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1_G"/>
    <w:basedOn w:val="FootnoteReference"/>
    <w:rsid w:val="008120D4"/>
    <w:rPr>
      <w:rFonts w:ascii="Times New Roman" w:hAnsi="Times New Roman"/>
      <w:dstrike w:val="0"/>
      <w:sz w:val="18"/>
      <w:vertAlign w:val="superscript"/>
    </w:rPr>
  </w:style>
  <w:style w:type="paragraph" w:styleId="Footer">
    <w:name w:val="footer"/>
    <w:aliases w:val="3_GR,3_G"/>
    <w:basedOn w:val="Normal"/>
    <w:link w:val="FooterChar"/>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7_G"/>
    <w:rsid w:val="00E72C5E"/>
    <w:rPr>
      <w:rFonts w:ascii="Times New Roman" w:hAnsi="Times New Roman"/>
      <w:b/>
      <w:sz w:val="18"/>
    </w:rPr>
  </w:style>
  <w:style w:type="paragraph" w:styleId="EndnoteText">
    <w:name w:val="endnote text"/>
    <w:aliases w:val="2_GR,2_G"/>
    <w:basedOn w:val="FootnoteText"/>
    <w:rsid w:val="00D84ECF"/>
  </w:style>
  <w:style w:type="paragraph" w:styleId="FootnoteText">
    <w:name w:val="footnote text"/>
    <w:aliases w:val="5_GR,5_G"/>
    <w:basedOn w:val="Normal"/>
    <w:link w:val="FootnoteTextChar"/>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MG">
    <w:name w:val="_ H __M_G"/>
    <w:basedOn w:val="Normal"/>
    <w:next w:val="Normal"/>
    <w:rsid w:val="00F936A8"/>
    <w:pPr>
      <w:keepNext/>
      <w:keepLines/>
      <w:tabs>
        <w:tab w:val="right" w:pos="851"/>
      </w:tabs>
      <w:suppressAutoHyphens/>
      <w:spacing w:before="240" w:after="240" w:line="360" w:lineRule="exact"/>
      <w:ind w:left="1134" w:right="1134" w:hanging="1134"/>
    </w:pPr>
    <w:rPr>
      <w:b/>
      <w:spacing w:val="0"/>
      <w:w w:val="100"/>
      <w:kern w:val="0"/>
      <w:sz w:val="34"/>
      <w:lang w:val="en-GB"/>
    </w:rPr>
  </w:style>
  <w:style w:type="character" w:styleId="Emphasis">
    <w:name w:val="Emphasis"/>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semiHidden/>
    <w:rsid w:val="007E71C9"/>
    <w:rPr>
      <w:i/>
      <w:iCs/>
    </w:rPr>
  </w:style>
  <w:style w:type="character" w:styleId="HTMLTypewriter">
    <w:name w:val="HTML Typewriter"/>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semiHidden/>
    <w:rsid w:val="007E71C9"/>
    <w:rPr>
      <w:i/>
      <w:iCs/>
    </w:rPr>
  </w:style>
  <w:style w:type="paragraph" w:styleId="E-mailSignature">
    <w:name w:val="E-mail Signature"/>
    <w:basedOn w:val="Normal"/>
    <w:semiHidden/>
    <w:rsid w:val="007E71C9"/>
  </w:style>
  <w:style w:type="character" w:styleId="Hyperlink">
    <w:name w:val="Hyperlink"/>
    <w:semiHidden/>
    <w:rsid w:val="007E71C9"/>
    <w:rPr>
      <w:color w:val="000000"/>
      <w:u w:val="single"/>
    </w:rPr>
  </w:style>
  <w:style w:type="paragraph" w:customStyle="1" w:styleId="HChG">
    <w:name w:val="_ H _Ch_G"/>
    <w:basedOn w:val="Normal"/>
    <w:next w:val="Normal"/>
    <w:rsid w:val="00F936A8"/>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semiHidden/>
    <w:rsid w:val="007E71C9"/>
    <w:rPr>
      <w:sz w:val="16"/>
      <w:szCs w:val="16"/>
    </w:rPr>
  </w:style>
  <w:style w:type="paragraph" w:customStyle="1" w:styleId="ParaNoG">
    <w:name w:val="_ParaNo._G"/>
    <w:basedOn w:val="SingleTxtG"/>
    <w:rsid w:val="00F936A8"/>
    <w:pPr>
      <w:numPr>
        <w:numId w:val="25"/>
      </w:numPr>
      <w:tabs>
        <w:tab w:val="clear" w:pos="0"/>
        <w:tab w:val="num" w:pos="360"/>
        <w:tab w:val="num" w:pos="926"/>
        <w:tab w:val="num" w:pos="2268"/>
      </w:tabs>
      <w:ind w:left="926" w:hanging="360"/>
    </w:p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SingleTxtG">
    <w:name w:val="_ Single Txt_G"/>
    <w:basedOn w:val="Normal"/>
    <w:link w:val="SingleTxtGChar"/>
    <w:rsid w:val="00F936A8"/>
    <w:pPr>
      <w:suppressAutoHyphens/>
      <w:spacing w:after="120"/>
      <w:ind w:left="1134" w:right="1134"/>
      <w:jc w:val="both"/>
    </w:pPr>
    <w:rPr>
      <w:spacing w:val="0"/>
      <w:w w:val="100"/>
      <w:kern w:val="0"/>
      <w:lang w:val="en-GB"/>
    </w:rPr>
  </w:style>
  <w:style w:type="paragraph" w:customStyle="1" w:styleId="SMG">
    <w:name w:val="__S_M_G"/>
    <w:basedOn w:val="Normal"/>
    <w:next w:val="Normal"/>
    <w:rsid w:val="00F936A8"/>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Normal"/>
    <w:next w:val="Normal"/>
    <w:rsid w:val="00F936A8"/>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Normal"/>
    <w:next w:val="Normal"/>
    <w:rsid w:val="00F936A8"/>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Normal"/>
    <w:next w:val="Normal"/>
    <w:rsid w:val="00F936A8"/>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Normal"/>
    <w:rsid w:val="00F936A8"/>
    <w:pPr>
      <w:numPr>
        <w:numId w:val="11"/>
      </w:numPr>
      <w:suppressAutoHyphens/>
      <w:spacing w:after="120"/>
      <w:ind w:right="1134"/>
      <w:jc w:val="both"/>
    </w:pPr>
    <w:rPr>
      <w:spacing w:val="0"/>
      <w:w w:val="100"/>
      <w:kern w:val="0"/>
      <w:lang w:val="en-GB"/>
    </w:rPr>
  </w:style>
  <w:style w:type="paragraph" w:styleId="CommentText">
    <w:name w:val="annotation text"/>
    <w:basedOn w:val="Normal"/>
    <w:link w:val="CommentTextChar"/>
    <w:semiHidden/>
    <w:rsid w:val="00F936A8"/>
    <w:pPr>
      <w:suppressAutoHyphens/>
    </w:pPr>
    <w:rPr>
      <w:spacing w:val="0"/>
      <w:w w:val="100"/>
      <w:kern w:val="0"/>
      <w:lang w:val="en-GB"/>
    </w:rPr>
  </w:style>
  <w:style w:type="paragraph" w:customStyle="1" w:styleId="Bullet2G">
    <w:name w:val="_Bullet 2_G"/>
    <w:basedOn w:val="Normal"/>
    <w:rsid w:val="00F936A8"/>
    <w:pPr>
      <w:numPr>
        <w:numId w:val="12"/>
      </w:numPr>
      <w:suppressAutoHyphens/>
      <w:spacing w:after="120"/>
      <w:ind w:right="1134"/>
      <w:jc w:val="both"/>
    </w:pPr>
    <w:rPr>
      <w:spacing w:val="0"/>
      <w:w w:val="100"/>
      <w:kern w:val="0"/>
      <w:lang w:val="en-GB"/>
    </w:rPr>
  </w:style>
  <w:style w:type="paragraph" w:customStyle="1" w:styleId="H1G">
    <w:name w:val="_ H_1_G"/>
    <w:basedOn w:val="Normal"/>
    <w:next w:val="Normal"/>
    <w:rsid w:val="00F936A8"/>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Normal"/>
    <w:next w:val="Normal"/>
    <w:rsid w:val="00F936A8"/>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Normal"/>
    <w:next w:val="Normal"/>
    <w:rsid w:val="00F936A8"/>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Normal"/>
    <w:next w:val="Normal"/>
    <w:rsid w:val="00F936A8"/>
    <w:pPr>
      <w:keepNext/>
      <w:keepLines/>
      <w:numPr>
        <w:numId w:val="24"/>
      </w:numPr>
      <w:tabs>
        <w:tab w:val="clear" w:pos="2268"/>
        <w:tab w:val="right" w:pos="851"/>
      </w:tabs>
      <w:suppressAutoHyphens/>
      <w:spacing w:before="240" w:after="120" w:line="240" w:lineRule="exact"/>
      <w:ind w:left="1134" w:right="1134" w:hanging="1134"/>
    </w:pPr>
    <w:rPr>
      <w:spacing w:val="0"/>
      <w:w w:val="100"/>
      <w:kern w:val="0"/>
      <w:lang w:val="en-GB"/>
    </w:rPr>
  </w:style>
  <w:style w:type="table" w:styleId="TableWeb3">
    <w:name w:val="Table Web 3"/>
    <w:basedOn w:val="TableNormal"/>
    <w:semiHidden/>
    <w:rsid w:val="00F936A8"/>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1">
    <w:name w:val="1 / 1.1 / 1.1.11"/>
    <w:basedOn w:val="NoList"/>
    <w:next w:val="111111"/>
    <w:semiHidden/>
    <w:rsid w:val="00F936A8"/>
    <w:pPr>
      <w:numPr>
        <w:numId w:val="30"/>
      </w:numPr>
    </w:pPr>
  </w:style>
  <w:style w:type="numbering" w:customStyle="1" w:styleId="1ai1">
    <w:name w:val="1 / a / i1"/>
    <w:basedOn w:val="NoList"/>
    <w:next w:val="1ai"/>
    <w:semiHidden/>
    <w:rsid w:val="00F936A8"/>
    <w:pPr>
      <w:numPr>
        <w:numId w:val="31"/>
      </w:numPr>
    </w:pPr>
  </w:style>
  <w:style w:type="character" w:customStyle="1" w:styleId="SingleTxtGChar">
    <w:name w:val="_ Single Txt_G Char"/>
    <w:link w:val="SingleTxtG"/>
    <w:rsid w:val="00F936A8"/>
    <w:rPr>
      <w:lang w:val="en-GB" w:eastAsia="en-US" w:bidi="ar-SA"/>
    </w:rPr>
  </w:style>
  <w:style w:type="character" w:customStyle="1" w:styleId="Heading1Char">
    <w:name w:val="Heading 1 Char"/>
    <w:aliases w:val="Table_GR Char,Table_G Char"/>
    <w:link w:val="Heading1"/>
    <w:rsid w:val="00F936A8"/>
    <w:rPr>
      <w:rFonts w:cs="Arial"/>
      <w:b/>
      <w:bCs/>
      <w:spacing w:val="4"/>
      <w:w w:val="103"/>
      <w:kern w:val="14"/>
      <w:szCs w:val="32"/>
      <w:lang w:val="ru-RU" w:eastAsia="ru-RU" w:bidi="ar-SA"/>
    </w:rPr>
  </w:style>
  <w:style w:type="character" w:customStyle="1" w:styleId="FootnoteTextChar">
    <w:name w:val="Footnote Text Char"/>
    <w:aliases w:val="5_GR Char,5_G Char"/>
    <w:link w:val="FootnoteText"/>
    <w:semiHidden/>
    <w:rsid w:val="00F936A8"/>
    <w:rPr>
      <w:spacing w:val="5"/>
      <w:w w:val="104"/>
      <w:kern w:val="14"/>
      <w:sz w:val="18"/>
      <w:lang w:val="en-GB" w:eastAsia="ru-RU" w:bidi="ar-SA"/>
    </w:rPr>
  </w:style>
  <w:style w:type="paragraph" w:styleId="BalloonText">
    <w:name w:val="Balloon Text"/>
    <w:basedOn w:val="Normal"/>
    <w:semiHidden/>
    <w:rsid w:val="00F936A8"/>
    <w:pPr>
      <w:suppressAutoHyphens/>
    </w:pPr>
    <w:rPr>
      <w:rFonts w:ascii="Tahoma" w:hAnsi="Tahoma" w:cs="Tahoma"/>
      <w:spacing w:val="0"/>
      <w:w w:val="100"/>
      <w:kern w:val="0"/>
      <w:sz w:val="16"/>
      <w:szCs w:val="16"/>
      <w:lang w:val="en-GB"/>
    </w:rPr>
  </w:style>
  <w:style w:type="character" w:customStyle="1" w:styleId="FooterChar">
    <w:name w:val="Footer Char"/>
    <w:aliases w:val="3_GR Char,3_G Char"/>
    <w:link w:val="Footer"/>
    <w:rsid w:val="00F936A8"/>
    <w:rPr>
      <w:sz w:val="16"/>
      <w:lang w:val="en-GB" w:eastAsia="ru-RU" w:bidi="ar-SA"/>
    </w:rPr>
  </w:style>
  <w:style w:type="paragraph" w:styleId="CommentSubject">
    <w:name w:val="annotation subject"/>
    <w:basedOn w:val="CommentText"/>
    <w:next w:val="CommentText"/>
    <w:link w:val="CommentSubjectChar"/>
    <w:rsid w:val="00F936A8"/>
    <w:rPr>
      <w:b/>
      <w:bCs/>
    </w:rPr>
  </w:style>
  <w:style w:type="character" w:customStyle="1" w:styleId="CommentTextChar">
    <w:name w:val="Comment Text Char"/>
    <w:link w:val="CommentText"/>
    <w:semiHidden/>
    <w:rsid w:val="00F936A8"/>
    <w:rPr>
      <w:lang w:val="en-GB" w:eastAsia="en-US" w:bidi="ar-SA"/>
    </w:rPr>
  </w:style>
  <w:style w:type="character" w:customStyle="1" w:styleId="CommentSubjectChar">
    <w:name w:val="Comment Subject Char"/>
    <w:link w:val="CommentSubject"/>
    <w:rsid w:val="00F936A8"/>
    <w:rPr>
      <w:b/>
      <w:bCs/>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pd.gov.hk/epd/msw"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192</Pages>
  <Words>79342</Words>
  <Characters>452254</Characters>
  <Application>Microsoft Office Word</Application>
  <DocSecurity>4</DocSecurity>
  <Lines>3768</Lines>
  <Paragraphs>1061</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530535</CharactersWithSpaces>
  <SharedDoc>false</SharedDoc>
  <HLinks>
    <vt:vector size="6" baseType="variant">
      <vt:variant>
        <vt:i4>5242952</vt:i4>
      </vt:variant>
      <vt:variant>
        <vt:i4>10</vt:i4>
      </vt:variant>
      <vt:variant>
        <vt:i4>0</vt:i4>
      </vt:variant>
      <vt:variant>
        <vt:i4>5</vt:i4>
      </vt:variant>
      <vt:variant>
        <vt:lpwstr>http://www.epd.gov.hk/epd/msw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Благодатских Анна</dc:creator>
  <cp:keywords/>
  <dc:description/>
  <cp:lastModifiedBy>Larisa Maykovskaya</cp:lastModifiedBy>
  <cp:revision>2</cp:revision>
  <cp:lastPrinted>2013-01-22T14:34:00Z</cp:lastPrinted>
  <dcterms:created xsi:type="dcterms:W3CDTF">2013-01-22T15:46:00Z</dcterms:created>
  <dcterms:modified xsi:type="dcterms:W3CDTF">2013-01-22T15:46:00Z</dcterms:modified>
</cp:coreProperties>
</file>