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 w:rsidR="003A1E35">
                <w:t>C.12/MNG/4</w:t>
              </w:r>
            </w:fldSimple>
            <w:r>
              <w:t xml:space="preserve">                  </w:t>
            </w:r>
          </w:p>
        </w:tc>
      </w:tr>
      <w:tr w:rsidR="00A10348" w:rsidRPr="00635870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A10348" w:rsidP="00FD22B8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F827BA" w:rsidRDefault="00A10348" w:rsidP="00FD22B8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0"/>
          </w:p>
          <w:p w:rsidR="00A10348" w:rsidRPr="00F827BA" w:rsidRDefault="00A10348" w:rsidP="00FD22B8">
            <w:pPr>
              <w:rPr>
                <w:lang w:val="en-US"/>
              </w:rPr>
            </w:pPr>
            <w:fldSimple w:instr=" FILLIN  &quot;Введите дату документа&quot; \* MERGEFORMAT ">
              <w:r w:rsidR="003A1E35">
                <w:rPr>
                  <w:lang w:val="en-US"/>
                </w:rPr>
                <w:t>2 December 2013</w:t>
              </w:r>
            </w:fldSimple>
          </w:p>
          <w:p w:rsidR="00A10348" w:rsidRPr="00F827BA" w:rsidRDefault="00A10348" w:rsidP="00FD22B8">
            <w:r w:rsidRPr="00F827BA">
              <w:rPr>
                <w:lang w:val="en-US"/>
              </w:rPr>
              <w:t>Russian</w:t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1"/>
          </w:p>
          <w:p w:rsidR="00A10348" w:rsidRPr="00635870" w:rsidRDefault="00A10348" w:rsidP="00FD22B8"/>
        </w:tc>
      </w:tr>
    </w:tbl>
    <w:p w:rsidR="00033653" w:rsidRPr="00033653" w:rsidRDefault="00033653" w:rsidP="00033653">
      <w:pPr>
        <w:spacing w:before="120"/>
        <w:rPr>
          <w:b/>
          <w:sz w:val="24"/>
          <w:szCs w:val="24"/>
        </w:rPr>
      </w:pPr>
      <w:r w:rsidRPr="00033653">
        <w:rPr>
          <w:b/>
          <w:sz w:val="24"/>
          <w:szCs w:val="24"/>
        </w:rPr>
        <w:t>Комитет по экономическим, социальным</w:t>
      </w:r>
      <w:r w:rsidRPr="00033653">
        <w:rPr>
          <w:b/>
          <w:sz w:val="24"/>
          <w:szCs w:val="24"/>
        </w:rPr>
        <w:br/>
        <w:t>и культурным правам</w:t>
      </w:r>
    </w:p>
    <w:p w:rsidR="00033653" w:rsidRPr="00033653" w:rsidRDefault="00033653" w:rsidP="00AB1D7A">
      <w:pPr>
        <w:pStyle w:val="HMGR"/>
      </w:pPr>
      <w:r w:rsidRPr="00033653">
        <w:tab/>
      </w:r>
      <w:r w:rsidRPr="00033653">
        <w:tab/>
        <w:t>Рассмотрение докладов, представляемых государствами-участниками в соответствии со</w:t>
      </w:r>
      <w:r w:rsidRPr="00033653">
        <w:rPr>
          <w:lang w:val="en-GB"/>
        </w:rPr>
        <w:t> </w:t>
      </w:r>
      <w:r w:rsidRPr="00033653">
        <w:t>статьями 16 и 17 Международного пакта об</w:t>
      </w:r>
      <w:r w:rsidRPr="00033653">
        <w:rPr>
          <w:lang w:val="en-GB"/>
        </w:rPr>
        <w:t> </w:t>
      </w:r>
      <w:r w:rsidRPr="00033653">
        <w:t>экономических, социальных и</w:t>
      </w:r>
      <w:r w:rsidRPr="00033653">
        <w:rPr>
          <w:lang w:val="en-US"/>
        </w:rPr>
        <w:t> </w:t>
      </w:r>
      <w:r w:rsidRPr="00033653">
        <w:t>культурных правах</w:t>
      </w:r>
    </w:p>
    <w:p w:rsidR="00033653" w:rsidRPr="00033653" w:rsidRDefault="00033653" w:rsidP="00D86F68">
      <w:pPr>
        <w:pStyle w:val="HChGR"/>
      </w:pPr>
      <w:r w:rsidRPr="00033653">
        <w:tab/>
      </w:r>
      <w:r w:rsidRPr="00033653">
        <w:tab/>
        <w:t>Четвертые периодические доклады государств-участников, подлежащие представл</w:t>
      </w:r>
      <w:r w:rsidRPr="00033653">
        <w:t>е</w:t>
      </w:r>
      <w:r w:rsidRPr="00033653">
        <w:t>нию в 2003 году</w:t>
      </w:r>
    </w:p>
    <w:p w:rsidR="00D14A2A" w:rsidRDefault="00033653" w:rsidP="00D86F68">
      <w:pPr>
        <w:pStyle w:val="HMGR"/>
        <w:rPr>
          <w:b w:val="0"/>
          <w:lang w:val="en-US" w:eastAsia="en-US"/>
        </w:rPr>
      </w:pPr>
      <w:r w:rsidRPr="00033653">
        <w:tab/>
      </w:r>
      <w:r w:rsidRPr="00033653">
        <w:tab/>
        <w:t>Монголия</w:t>
      </w:r>
      <w:r w:rsidR="00D86F68" w:rsidRPr="00D86F68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D86F68" w:rsidRPr="00D86F68">
        <w:rPr>
          <w:b w:val="0"/>
          <w:lang w:eastAsia="en-US"/>
        </w:rPr>
        <w:t xml:space="preserve"> </w:t>
      </w:r>
    </w:p>
    <w:p w:rsidR="00D86F68" w:rsidRDefault="00D86F68" w:rsidP="00D86F68">
      <w:pPr>
        <w:pStyle w:val="SingleTxtGR"/>
        <w:jc w:val="right"/>
        <w:rPr>
          <w:lang w:val="en-US"/>
        </w:rPr>
      </w:pPr>
      <w:r w:rsidRPr="00D86F68">
        <w:t>[22 февраля 2012 года]</w:t>
      </w:r>
    </w:p>
    <w:p w:rsidR="0008406B" w:rsidRDefault="00D86F68" w:rsidP="0008406B">
      <w:pPr>
        <w:pStyle w:val="SingleTxtGR"/>
        <w:suppressAutoHyphens/>
        <w:ind w:left="0" w:right="0"/>
        <w:jc w:val="left"/>
        <w:rPr>
          <w:sz w:val="28"/>
          <w:lang w:val="en-US"/>
        </w:rPr>
      </w:pPr>
      <w:r>
        <w:rPr>
          <w:lang w:val="en-US"/>
        </w:rPr>
        <w:br w:type="page"/>
      </w:r>
      <w:r w:rsidR="0008406B">
        <w:rPr>
          <w:sz w:val="28"/>
          <w:lang w:val="en-US"/>
        </w:rPr>
        <w:t>Содержание</w:t>
      </w:r>
    </w:p>
    <w:p w:rsidR="0008406B" w:rsidRDefault="0008406B" w:rsidP="0008406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929"/>
          <w:tab w:val="right" w:pos="9638"/>
        </w:tabs>
        <w:suppressAutoHyphens/>
        <w:ind w:left="283" w:right="0"/>
        <w:jc w:val="left"/>
        <w:rPr>
          <w:lang w:val="en-US"/>
        </w:rPr>
      </w:pPr>
      <w:r>
        <w:rPr>
          <w:i/>
          <w:sz w:val="18"/>
          <w:lang w:val="en-US"/>
        </w:rPr>
        <w:tab/>
        <w:t>Пункты</w:t>
      </w:r>
      <w:r>
        <w:rPr>
          <w:i/>
          <w:sz w:val="18"/>
          <w:lang w:val="en-US"/>
        </w:rPr>
        <w:tab/>
        <w:t>Стр.</w:t>
      </w:r>
    </w:p>
    <w:p w:rsidR="00491D03" w:rsidRPr="000B72A0" w:rsidRDefault="0008406B" w:rsidP="00491D0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</w:pPr>
      <w:r>
        <w:rPr>
          <w:lang w:val="en-US"/>
        </w:rPr>
        <w:tab/>
      </w:r>
      <w:r>
        <w:rPr>
          <w:lang w:val="en-US"/>
        </w:rPr>
        <w:tab/>
      </w:r>
      <w:r w:rsidR="00491D03" w:rsidRPr="000B72A0">
        <w:t xml:space="preserve">Методология подготовки национального доклада </w:t>
      </w:r>
      <w:r w:rsidR="00491D03" w:rsidRPr="00491D03">
        <w:br/>
      </w:r>
      <w:r w:rsidR="00491D03" w:rsidRPr="000B72A0">
        <w:t>и консультационная деятельность</w:t>
      </w:r>
      <w:r w:rsidR="00491D03" w:rsidRPr="000B72A0">
        <w:tab/>
      </w:r>
      <w:r w:rsidR="00491D03" w:rsidRPr="000B72A0">
        <w:tab/>
        <w:t>1</w:t>
      </w:r>
      <w:r w:rsidR="00491D03" w:rsidRPr="00491D03">
        <w:t>−</w:t>
      </w:r>
      <w:r w:rsidR="00491D03" w:rsidRPr="000B72A0">
        <w:t>5</w:t>
      </w:r>
      <w:r w:rsidR="00491D03" w:rsidRPr="000B72A0">
        <w:tab/>
        <w:t>3</w:t>
      </w:r>
    </w:p>
    <w:p w:rsidR="00491D03" w:rsidRPr="000B72A0" w:rsidRDefault="00491D03" w:rsidP="00491D0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0B72A0">
        <w:tab/>
      </w:r>
      <w:r w:rsidRPr="000B72A0">
        <w:rPr>
          <w:lang w:val="en-GB"/>
        </w:rPr>
        <w:t>I</w:t>
      </w:r>
      <w:r w:rsidRPr="000B72A0">
        <w:t>.</w:t>
      </w:r>
      <w:r w:rsidRPr="000B72A0">
        <w:tab/>
        <w:t>Общие сведения</w:t>
      </w:r>
      <w:r w:rsidRPr="000B72A0">
        <w:tab/>
      </w:r>
      <w:r w:rsidRPr="000B72A0">
        <w:tab/>
        <w:t>6</w:t>
      </w:r>
      <w:r>
        <w:rPr>
          <w:lang w:val="en-US"/>
        </w:rPr>
        <w:t>−</w:t>
      </w:r>
      <w:r w:rsidRPr="000B72A0">
        <w:t>36</w:t>
      </w:r>
      <w:r w:rsidRPr="000B72A0">
        <w:tab/>
        <w:t>3</w:t>
      </w:r>
    </w:p>
    <w:p w:rsidR="00491D03" w:rsidRPr="000B72A0" w:rsidRDefault="00491D03" w:rsidP="00491D0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0B72A0">
        <w:tab/>
      </w:r>
      <w:r w:rsidRPr="000B72A0">
        <w:rPr>
          <w:lang w:val="en-GB"/>
        </w:rPr>
        <w:t>II</w:t>
      </w:r>
      <w:r w:rsidRPr="000B72A0">
        <w:t>.</w:t>
      </w:r>
      <w:r w:rsidRPr="000B72A0">
        <w:tab/>
        <w:t>Общие положения Пакта</w:t>
      </w:r>
      <w:r w:rsidRPr="000B72A0">
        <w:tab/>
      </w:r>
      <w:r w:rsidRPr="000B72A0">
        <w:tab/>
        <w:t>37–43</w:t>
      </w:r>
      <w:r w:rsidRPr="000B72A0">
        <w:tab/>
        <w:t>9</w:t>
      </w:r>
    </w:p>
    <w:p w:rsidR="00491D03" w:rsidRPr="000B72A0" w:rsidRDefault="00491D03" w:rsidP="00491D03">
      <w:pPr>
        <w:tabs>
          <w:tab w:val="right" w:pos="850"/>
          <w:tab w:val="left" w:pos="1134"/>
          <w:tab w:val="left" w:pos="1559"/>
          <w:tab w:val="left" w:leader="dot" w:pos="7654"/>
          <w:tab w:val="right" w:pos="8929"/>
          <w:tab w:val="right" w:pos="9638"/>
        </w:tabs>
        <w:suppressAutoHyphens/>
        <w:spacing w:after="120"/>
        <w:ind w:left="1134"/>
      </w:pPr>
      <w:r w:rsidRPr="000B72A0">
        <w:t>Статья 1</w:t>
      </w:r>
      <w:r w:rsidRPr="000B72A0">
        <w:tab/>
      </w:r>
      <w:r w:rsidRPr="000B72A0">
        <w:tab/>
        <w:t>37–38</w:t>
      </w:r>
      <w:r w:rsidRPr="000B72A0">
        <w:tab/>
        <w:t>9</w:t>
      </w:r>
    </w:p>
    <w:p w:rsidR="00491D03" w:rsidRPr="000B72A0" w:rsidRDefault="00491D03" w:rsidP="00491D03">
      <w:pPr>
        <w:tabs>
          <w:tab w:val="right" w:pos="850"/>
          <w:tab w:val="left" w:pos="1134"/>
          <w:tab w:val="left" w:pos="1559"/>
          <w:tab w:val="left" w:leader="dot" w:pos="7654"/>
          <w:tab w:val="right" w:pos="8929"/>
          <w:tab w:val="right" w:pos="9638"/>
        </w:tabs>
        <w:suppressAutoHyphens/>
        <w:spacing w:after="120"/>
        <w:ind w:left="1134"/>
      </w:pPr>
      <w:r w:rsidRPr="000B72A0">
        <w:t>Статья 2</w:t>
      </w:r>
      <w:r w:rsidRPr="000B72A0">
        <w:tab/>
      </w:r>
      <w:r w:rsidRPr="000B72A0">
        <w:tab/>
        <w:t>39–43</w:t>
      </w:r>
      <w:r w:rsidRPr="000B72A0">
        <w:tab/>
        <w:t>10</w:t>
      </w:r>
    </w:p>
    <w:p w:rsidR="00491D03" w:rsidRPr="000B72A0" w:rsidRDefault="00491D03" w:rsidP="00491D0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0B72A0">
        <w:tab/>
      </w:r>
      <w:r w:rsidRPr="000B72A0">
        <w:rPr>
          <w:lang w:val="en-US"/>
        </w:rPr>
        <w:t>III</w:t>
      </w:r>
      <w:r w:rsidRPr="000B72A0">
        <w:t>.</w:t>
      </w:r>
      <w:r w:rsidRPr="000B72A0">
        <w:tab/>
        <w:t>Конкретные права</w:t>
      </w:r>
      <w:r w:rsidRPr="000B72A0">
        <w:tab/>
      </w:r>
      <w:r w:rsidRPr="000B72A0">
        <w:tab/>
        <w:t>44–250</w:t>
      </w:r>
      <w:r w:rsidRPr="000B72A0">
        <w:tab/>
        <w:t>11</w:t>
      </w:r>
    </w:p>
    <w:p w:rsidR="00491D03" w:rsidRPr="000B72A0" w:rsidRDefault="00491D03" w:rsidP="00491D03">
      <w:pPr>
        <w:tabs>
          <w:tab w:val="right" w:pos="850"/>
          <w:tab w:val="left" w:pos="1134"/>
          <w:tab w:val="left" w:pos="1559"/>
          <w:tab w:val="left" w:leader="dot" w:pos="7654"/>
          <w:tab w:val="right" w:pos="8929"/>
          <w:tab w:val="right" w:pos="9638"/>
        </w:tabs>
        <w:suppressAutoHyphens/>
        <w:spacing w:after="120"/>
        <w:ind w:left="1134"/>
      </w:pPr>
      <w:r w:rsidRPr="000B72A0">
        <w:t>Статья 6</w:t>
      </w:r>
      <w:r w:rsidRPr="000B72A0">
        <w:tab/>
      </w:r>
      <w:r w:rsidRPr="000B72A0">
        <w:tab/>
        <w:t>44–56</w:t>
      </w:r>
      <w:r w:rsidRPr="000B72A0">
        <w:tab/>
        <w:t>11</w:t>
      </w:r>
    </w:p>
    <w:p w:rsidR="00491D03" w:rsidRPr="000B72A0" w:rsidRDefault="00491D03" w:rsidP="00491D03">
      <w:pPr>
        <w:tabs>
          <w:tab w:val="right" w:pos="850"/>
          <w:tab w:val="left" w:pos="1134"/>
          <w:tab w:val="left" w:pos="1559"/>
          <w:tab w:val="left" w:leader="dot" w:pos="7654"/>
          <w:tab w:val="right" w:pos="8929"/>
          <w:tab w:val="right" w:pos="9638"/>
        </w:tabs>
        <w:suppressAutoHyphens/>
        <w:spacing w:after="120"/>
        <w:ind w:left="1134"/>
      </w:pPr>
      <w:r w:rsidRPr="000B72A0">
        <w:t>Статья 7</w:t>
      </w:r>
      <w:r w:rsidRPr="000B72A0">
        <w:tab/>
      </w:r>
      <w:r w:rsidRPr="000B72A0">
        <w:tab/>
        <w:t>57–72</w:t>
      </w:r>
      <w:r w:rsidRPr="000B72A0">
        <w:tab/>
        <w:t>15</w:t>
      </w:r>
    </w:p>
    <w:p w:rsidR="00491D03" w:rsidRPr="00C733D3" w:rsidRDefault="00491D03" w:rsidP="00491D03">
      <w:pPr>
        <w:tabs>
          <w:tab w:val="right" w:pos="850"/>
          <w:tab w:val="left" w:pos="1134"/>
          <w:tab w:val="left" w:pos="1559"/>
          <w:tab w:val="left" w:leader="dot" w:pos="7654"/>
          <w:tab w:val="right" w:pos="8929"/>
          <w:tab w:val="right" w:pos="9638"/>
        </w:tabs>
        <w:suppressAutoHyphens/>
        <w:spacing w:after="120"/>
        <w:ind w:left="1134"/>
        <w:rPr>
          <w:lang w:val="en-US"/>
        </w:rPr>
      </w:pPr>
      <w:r w:rsidRPr="000B72A0">
        <w:t>Статья 8</w:t>
      </w:r>
      <w:r w:rsidRPr="000B72A0">
        <w:tab/>
      </w:r>
      <w:r w:rsidRPr="000B72A0">
        <w:tab/>
        <w:t>73–78</w:t>
      </w:r>
      <w:r w:rsidRPr="000B72A0">
        <w:tab/>
        <w:t>2</w:t>
      </w:r>
      <w:r w:rsidR="00C733D3">
        <w:rPr>
          <w:lang w:val="en-US"/>
        </w:rPr>
        <w:t>2</w:t>
      </w:r>
    </w:p>
    <w:p w:rsidR="00491D03" w:rsidRPr="00C733D3" w:rsidRDefault="00491D03" w:rsidP="00491D03">
      <w:pPr>
        <w:tabs>
          <w:tab w:val="right" w:pos="850"/>
          <w:tab w:val="left" w:pos="1134"/>
          <w:tab w:val="left" w:pos="1559"/>
          <w:tab w:val="left" w:leader="dot" w:pos="7654"/>
          <w:tab w:val="right" w:pos="8929"/>
          <w:tab w:val="right" w:pos="9638"/>
        </w:tabs>
        <w:suppressAutoHyphens/>
        <w:spacing w:after="120"/>
        <w:ind w:left="1134"/>
        <w:rPr>
          <w:lang w:val="en-US"/>
        </w:rPr>
      </w:pPr>
      <w:r w:rsidRPr="000B72A0">
        <w:t>Статья 9</w:t>
      </w:r>
      <w:r w:rsidRPr="000B72A0">
        <w:tab/>
      </w:r>
      <w:r w:rsidRPr="000B72A0">
        <w:tab/>
        <w:t>79–87</w:t>
      </w:r>
      <w:r w:rsidRPr="000B72A0">
        <w:tab/>
        <w:t>2</w:t>
      </w:r>
      <w:r w:rsidR="00C733D3">
        <w:rPr>
          <w:lang w:val="en-US"/>
        </w:rPr>
        <w:t>4</w:t>
      </w:r>
    </w:p>
    <w:p w:rsidR="00491D03" w:rsidRPr="000B72A0" w:rsidRDefault="00491D03" w:rsidP="00491D03">
      <w:pPr>
        <w:tabs>
          <w:tab w:val="right" w:pos="850"/>
          <w:tab w:val="left" w:pos="1134"/>
          <w:tab w:val="left" w:pos="1559"/>
          <w:tab w:val="left" w:leader="dot" w:pos="7654"/>
          <w:tab w:val="right" w:pos="8929"/>
          <w:tab w:val="right" w:pos="9638"/>
        </w:tabs>
        <w:suppressAutoHyphens/>
        <w:spacing w:after="120"/>
        <w:ind w:left="1134"/>
      </w:pPr>
      <w:r w:rsidRPr="000B72A0">
        <w:t>Статья 10</w:t>
      </w:r>
      <w:r w:rsidRPr="000B72A0">
        <w:tab/>
      </w:r>
      <w:r w:rsidRPr="000B72A0">
        <w:tab/>
        <w:t>88–102</w:t>
      </w:r>
      <w:r w:rsidRPr="000B72A0">
        <w:tab/>
        <w:t>28</w:t>
      </w:r>
    </w:p>
    <w:p w:rsidR="00491D03" w:rsidRPr="00C733D3" w:rsidRDefault="00491D03" w:rsidP="00491D03">
      <w:pPr>
        <w:tabs>
          <w:tab w:val="right" w:pos="850"/>
          <w:tab w:val="left" w:pos="1134"/>
          <w:tab w:val="left" w:pos="1559"/>
          <w:tab w:val="left" w:leader="dot" w:pos="7654"/>
          <w:tab w:val="right" w:pos="8929"/>
          <w:tab w:val="right" w:pos="9638"/>
        </w:tabs>
        <w:suppressAutoHyphens/>
        <w:spacing w:after="120"/>
        <w:ind w:left="1134"/>
      </w:pPr>
      <w:r w:rsidRPr="000B72A0">
        <w:t>Статья 11</w:t>
      </w:r>
      <w:r w:rsidRPr="000B72A0">
        <w:tab/>
      </w:r>
      <w:r w:rsidRPr="000B72A0">
        <w:tab/>
        <w:t>103–120</w:t>
      </w:r>
      <w:r w:rsidRPr="000B72A0">
        <w:tab/>
        <w:t>3</w:t>
      </w:r>
      <w:r w:rsidR="00C733D3" w:rsidRPr="00C733D3">
        <w:t>4</w:t>
      </w:r>
    </w:p>
    <w:p w:rsidR="00491D03" w:rsidRPr="00C733D3" w:rsidRDefault="00491D03" w:rsidP="00491D03">
      <w:pPr>
        <w:tabs>
          <w:tab w:val="right" w:pos="850"/>
          <w:tab w:val="left" w:pos="1134"/>
          <w:tab w:val="left" w:pos="1559"/>
          <w:tab w:val="left" w:leader="dot" w:pos="7654"/>
          <w:tab w:val="right" w:pos="8929"/>
          <w:tab w:val="right" w:pos="9638"/>
        </w:tabs>
        <w:suppressAutoHyphens/>
        <w:spacing w:after="120"/>
        <w:ind w:left="1134"/>
      </w:pPr>
      <w:r w:rsidRPr="000B72A0">
        <w:t>Статья 12</w:t>
      </w:r>
      <w:r w:rsidRPr="000B72A0">
        <w:tab/>
      </w:r>
      <w:r w:rsidRPr="000B72A0">
        <w:tab/>
        <w:t>121–190</w:t>
      </w:r>
      <w:r w:rsidRPr="000B72A0">
        <w:tab/>
        <w:t>3</w:t>
      </w:r>
      <w:r w:rsidR="00C733D3" w:rsidRPr="00C733D3">
        <w:t>8</w:t>
      </w:r>
    </w:p>
    <w:p w:rsidR="00491D03" w:rsidRPr="00C733D3" w:rsidRDefault="00491D03" w:rsidP="00491D03">
      <w:pPr>
        <w:tabs>
          <w:tab w:val="right" w:pos="850"/>
          <w:tab w:val="left" w:pos="1134"/>
          <w:tab w:val="left" w:pos="1559"/>
          <w:tab w:val="left" w:leader="dot" w:pos="7654"/>
          <w:tab w:val="right" w:pos="8929"/>
          <w:tab w:val="right" w:pos="9638"/>
        </w:tabs>
        <w:suppressAutoHyphens/>
        <w:spacing w:after="120"/>
        <w:ind w:left="1134"/>
      </w:pPr>
      <w:r w:rsidRPr="000B72A0">
        <w:t>Статьи 13 и 14</w:t>
      </w:r>
      <w:r w:rsidRPr="000B72A0">
        <w:tab/>
      </w:r>
      <w:r w:rsidRPr="000B72A0">
        <w:tab/>
        <w:t>191–240</w:t>
      </w:r>
      <w:r w:rsidRPr="000B72A0">
        <w:tab/>
        <w:t>5</w:t>
      </w:r>
      <w:r w:rsidR="00C733D3" w:rsidRPr="00C733D3">
        <w:t>4</w:t>
      </w:r>
    </w:p>
    <w:p w:rsidR="00491D03" w:rsidRPr="00C733D3" w:rsidRDefault="00491D03" w:rsidP="00491D03">
      <w:pPr>
        <w:tabs>
          <w:tab w:val="right" w:pos="850"/>
          <w:tab w:val="left" w:pos="1134"/>
          <w:tab w:val="left" w:pos="1559"/>
          <w:tab w:val="left" w:leader="dot" w:pos="7654"/>
          <w:tab w:val="right" w:pos="8929"/>
          <w:tab w:val="right" w:pos="9638"/>
        </w:tabs>
        <w:suppressAutoHyphens/>
        <w:spacing w:after="120"/>
        <w:ind w:left="1134"/>
      </w:pPr>
      <w:r w:rsidRPr="000B72A0">
        <w:t>Статья 15</w:t>
      </w:r>
      <w:r w:rsidRPr="000B72A0">
        <w:tab/>
      </w:r>
      <w:r w:rsidRPr="000B72A0">
        <w:tab/>
        <w:t>241–250</w:t>
      </w:r>
      <w:r w:rsidRPr="000B72A0">
        <w:tab/>
        <w:t>6</w:t>
      </w:r>
      <w:r w:rsidR="00C733D3" w:rsidRPr="00C733D3">
        <w:t>1</w:t>
      </w:r>
    </w:p>
    <w:p w:rsidR="00D86F68" w:rsidRPr="0011170C" w:rsidRDefault="00491D03" w:rsidP="00252E9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284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0B72A0">
        <w:tab/>
      </w:r>
      <w:r w:rsidR="00252E96" w:rsidRPr="000E3CCA">
        <w:tab/>
      </w:r>
      <w:r w:rsidRPr="000B72A0">
        <w:t>Приложение</w:t>
      </w:r>
      <w:r w:rsidR="00252E96" w:rsidRPr="00252E96">
        <w:rPr>
          <w:rStyle w:val="FootnoteReference"/>
          <w:sz w:val="20"/>
          <w:vertAlign w:val="baseline"/>
        </w:rPr>
        <w:footnoteReference w:customMarkFollows="1" w:id="2"/>
        <w:t>**</w:t>
      </w:r>
    </w:p>
    <w:p w:rsidR="0011170C" w:rsidRPr="0011170C" w:rsidRDefault="00D86F68" w:rsidP="0011170C">
      <w:pPr>
        <w:pStyle w:val="HChGR"/>
      </w:pPr>
      <w:r w:rsidRPr="0011170C">
        <w:br w:type="page"/>
      </w:r>
      <w:r w:rsidR="0011170C" w:rsidRPr="0011170C">
        <w:tab/>
      </w:r>
      <w:r w:rsidR="0011170C" w:rsidRPr="0011170C">
        <w:tab/>
        <w:t>Методология под</w:t>
      </w:r>
      <w:r w:rsidR="0011170C">
        <w:t>готовки национального доклада и</w:t>
      </w:r>
      <w:r w:rsidR="0011170C">
        <w:rPr>
          <w:lang w:val="en-US"/>
        </w:rPr>
        <w:t> </w:t>
      </w:r>
      <w:r w:rsidR="0011170C" w:rsidRPr="0011170C">
        <w:t>консультационная деятел</w:t>
      </w:r>
      <w:r w:rsidR="0011170C" w:rsidRPr="0011170C">
        <w:t>ь</w:t>
      </w:r>
      <w:r w:rsidR="0011170C" w:rsidRPr="0011170C">
        <w:t>ность</w:t>
      </w:r>
    </w:p>
    <w:p w:rsidR="0011170C" w:rsidRPr="0011170C" w:rsidRDefault="0011170C" w:rsidP="0011170C">
      <w:pPr>
        <w:pStyle w:val="SingleTxtGR"/>
      </w:pPr>
      <w:r w:rsidRPr="0011170C">
        <w:t>1.</w:t>
      </w:r>
      <w:r w:rsidRPr="0011170C">
        <w:tab/>
        <w:t>Четвертый национальный доклад был подготовлен согласно пересмо</w:t>
      </w:r>
      <w:r w:rsidRPr="0011170C">
        <w:t>т</w:t>
      </w:r>
      <w:r w:rsidRPr="0011170C">
        <w:t>ренным инструкциям в отношении формы и содержания национальных докл</w:t>
      </w:r>
      <w:r w:rsidRPr="0011170C">
        <w:t>а</w:t>
      </w:r>
      <w:r w:rsidRPr="0011170C">
        <w:t>дов, представляемых в соответствии с положениями статей 16 и 17 Междун</w:t>
      </w:r>
      <w:r w:rsidRPr="0011170C">
        <w:t>а</w:t>
      </w:r>
      <w:r w:rsidRPr="0011170C">
        <w:t>родного пакта об экономических, социальных и культурных правах. Доклад включает в себя анализ национальных законов и законодательства на предмет их соотве</w:t>
      </w:r>
      <w:r w:rsidRPr="0011170C">
        <w:t>т</w:t>
      </w:r>
      <w:r w:rsidRPr="0011170C">
        <w:t>ствия положениям Пакта, прогресса в деле реализации особых прав, проблем и ошибок, с которыми пришлось столкнуться в ходе осуществления Пакта, а также предложений, связанных с принятием дальнейших мер и с ра</w:t>
      </w:r>
      <w:r w:rsidRPr="0011170C">
        <w:t>з</w:t>
      </w:r>
      <w:r w:rsidRPr="0011170C">
        <w:t>работкой п</w:t>
      </w:r>
      <w:r w:rsidRPr="0011170C">
        <w:t>о</w:t>
      </w:r>
      <w:r w:rsidRPr="0011170C">
        <w:t>литики.</w:t>
      </w:r>
    </w:p>
    <w:p w:rsidR="0011170C" w:rsidRPr="0011170C" w:rsidRDefault="0011170C" w:rsidP="0011170C">
      <w:pPr>
        <w:pStyle w:val="SingleTxtGR"/>
      </w:pPr>
      <w:r w:rsidRPr="0011170C">
        <w:t>2.</w:t>
      </w:r>
      <w:r w:rsidRPr="0011170C">
        <w:tab/>
        <w:t>По распоряжению Министра социального обеспечения и труда была со</w:t>
      </w:r>
      <w:r w:rsidRPr="0011170C">
        <w:t>з</w:t>
      </w:r>
      <w:r w:rsidRPr="0011170C">
        <w:t>дана Рабочая группа, состоящая из представителей министерств, ведомств, н</w:t>
      </w:r>
      <w:r w:rsidRPr="0011170C">
        <w:t>е</w:t>
      </w:r>
      <w:r w:rsidRPr="0011170C">
        <w:t xml:space="preserve">правительственных организаций (НПО), действующих в области прав человека. Был разработан и утвержден План действий, и Рабочая группа приступила </w:t>
      </w:r>
      <w:r w:rsidR="00101EC1">
        <w:t>к ос</w:t>
      </w:r>
      <w:r w:rsidRPr="0011170C">
        <w:t>уществлению своей деятельности.</w:t>
      </w:r>
    </w:p>
    <w:p w:rsidR="0011170C" w:rsidRPr="0011170C" w:rsidRDefault="0011170C" w:rsidP="0011170C">
      <w:pPr>
        <w:pStyle w:val="SingleTxtGR"/>
      </w:pPr>
      <w:r w:rsidRPr="0011170C">
        <w:t>3.</w:t>
      </w:r>
      <w:r w:rsidRPr="0011170C">
        <w:tab/>
        <w:t>В соответствии с Планом Рабочая группа провела пять заседаний.</w:t>
      </w:r>
    </w:p>
    <w:p w:rsidR="0011170C" w:rsidRPr="0011170C" w:rsidRDefault="0011170C" w:rsidP="0011170C">
      <w:pPr>
        <w:pStyle w:val="SingleTxtGR"/>
      </w:pPr>
      <w:r w:rsidRPr="0011170C">
        <w:t>4.</w:t>
      </w:r>
      <w:r w:rsidRPr="0011170C">
        <w:tab/>
        <w:t>Были организованы два обсуждения первого проекта доклада между пр</w:t>
      </w:r>
      <w:r w:rsidRPr="0011170C">
        <w:t>а</w:t>
      </w:r>
      <w:r w:rsidRPr="0011170C">
        <w:t xml:space="preserve">вительственными учреждениями и НПО, в которых приняли участие свыше </w:t>
      </w:r>
      <w:r>
        <w:t>30</w:t>
      </w:r>
      <w:r>
        <w:rPr>
          <w:lang w:val="en-US"/>
        </w:rPr>
        <w:t> </w:t>
      </w:r>
      <w:r w:rsidRPr="0011170C">
        <w:t>представителей НПО, соответствующих министерств, ведомств, учреждений Организации Объединенных Наций, а также экспертов.</w:t>
      </w:r>
    </w:p>
    <w:p w:rsidR="0011170C" w:rsidRPr="0011170C" w:rsidRDefault="0011170C" w:rsidP="0011170C">
      <w:pPr>
        <w:pStyle w:val="SingleTxtGR"/>
      </w:pPr>
      <w:r w:rsidRPr="0011170C">
        <w:t>5.</w:t>
      </w:r>
      <w:r w:rsidRPr="0011170C">
        <w:tab/>
        <w:t>Особое внимание было уделено транспарентности доклада, при этом п</w:t>
      </w:r>
      <w:r w:rsidRPr="0011170C">
        <w:t>е</w:t>
      </w:r>
      <w:r w:rsidRPr="0011170C">
        <w:t>ресмотренные варианты доклада были размещены на веб-сайтах соответс</w:t>
      </w:r>
      <w:r w:rsidRPr="0011170C">
        <w:t>т</w:t>
      </w:r>
      <w:r w:rsidRPr="0011170C">
        <w:t>вующих организаций.</w:t>
      </w:r>
    </w:p>
    <w:p w:rsidR="0011170C" w:rsidRPr="0011170C" w:rsidRDefault="0011170C" w:rsidP="0011170C">
      <w:pPr>
        <w:pStyle w:val="HChGR"/>
      </w:pPr>
      <w:r w:rsidRPr="0011170C">
        <w:tab/>
        <w:t>I.</w:t>
      </w:r>
      <w:r w:rsidRPr="0011170C">
        <w:tab/>
        <w:t>Общие сведения</w:t>
      </w:r>
    </w:p>
    <w:p w:rsidR="0011170C" w:rsidRPr="0011170C" w:rsidRDefault="0011170C" w:rsidP="0011170C">
      <w:pPr>
        <w:pStyle w:val="H4GR"/>
        <w:spacing w:before="240"/>
      </w:pPr>
      <w:r w:rsidRPr="0011170C">
        <w:tab/>
      </w:r>
      <w:r w:rsidRPr="0011170C">
        <w:tab/>
        <w:t>Географическое расположение и климатические условия</w:t>
      </w:r>
    </w:p>
    <w:p w:rsidR="0011170C" w:rsidRPr="0011170C" w:rsidRDefault="0011170C" w:rsidP="0011170C">
      <w:pPr>
        <w:pStyle w:val="SingleTxtGR"/>
      </w:pPr>
      <w:r w:rsidRPr="0011170C">
        <w:t>6.</w:t>
      </w:r>
      <w:r w:rsidRPr="0011170C">
        <w:tab/>
        <w:t>Монголия является страной, не имеющей выхода к морю, расположенной в центральной части Азии между Россией и Китаем. Площадь территории Мо</w:t>
      </w:r>
      <w:r w:rsidRPr="0011170C">
        <w:t>н</w:t>
      </w:r>
      <w:r w:rsidRPr="0011170C">
        <w:t>голии составляет 1 562 000 кв. км. По размерам своей территории она больше, чем территории Великобритании, Франции, Германии и Италии вместе взятые, и занимает 7-е место в Азии и 18-е в мире.</w:t>
      </w:r>
    </w:p>
    <w:p w:rsidR="0011170C" w:rsidRPr="0011170C" w:rsidRDefault="00983D48" w:rsidP="0011170C">
      <w:pPr>
        <w:pStyle w:val="SingleTxtGR"/>
      </w:pPr>
      <w:r w:rsidRPr="00983D48">
        <w:t>7.</w:t>
      </w:r>
      <w:r w:rsidRPr="00983D48">
        <w:tab/>
      </w:r>
      <w:r w:rsidR="0011170C" w:rsidRPr="0011170C">
        <w:t>Климат резко континентальный и суровый со значительными колебани</w:t>
      </w:r>
      <w:r w:rsidR="0011170C" w:rsidRPr="0011170C">
        <w:t>я</w:t>
      </w:r>
      <w:r w:rsidR="0011170C" w:rsidRPr="0011170C">
        <w:t xml:space="preserve">ми между дневной и ночной температурой, а также в жаркое и холодное время года, когда температура колеблется от −45 </w:t>
      </w:r>
      <w:r w:rsidR="0011170C" w:rsidRPr="0011170C">
        <w:sym w:font="Symbol" w:char="F0B0"/>
      </w:r>
      <w:r w:rsidR="0011170C" w:rsidRPr="0011170C">
        <w:t xml:space="preserve">С зимой до +40 </w:t>
      </w:r>
      <w:r w:rsidR="0011170C" w:rsidRPr="0011170C">
        <w:sym w:font="Symbol" w:char="F0B0"/>
      </w:r>
      <w:r w:rsidR="0011170C" w:rsidRPr="0011170C">
        <w:t>С летом. Годовой уровень осадков низкий, составляющий в среднем 250–400 мм в северной части страны и 100–150 мм в южной части.</w:t>
      </w:r>
    </w:p>
    <w:p w:rsidR="0011170C" w:rsidRPr="0011170C" w:rsidRDefault="00983D48" w:rsidP="0011170C">
      <w:pPr>
        <w:pStyle w:val="SingleTxtGR"/>
      </w:pPr>
      <w:r w:rsidRPr="00983D48">
        <w:t>8.</w:t>
      </w:r>
      <w:r w:rsidRPr="00983D48">
        <w:tab/>
      </w:r>
      <w:r w:rsidR="0011170C" w:rsidRPr="0011170C">
        <w:t>Основную часть территории занимают пустыня и степи, а на леса прих</w:t>
      </w:r>
      <w:r w:rsidR="0011170C" w:rsidRPr="0011170C">
        <w:t>о</w:t>
      </w:r>
      <w:r w:rsidR="0011170C" w:rsidRPr="0011170C">
        <w:t>дится менее 10% территории страны. Водных ресурсов рек недостаточно, если уч</w:t>
      </w:r>
      <w:r w:rsidR="0011170C" w:rsidRPr="0011170C">
        <w:t>и</w:t>
      </w:r>
      <w:r w:rsidR="0011170C" w:rsidRPr="0011170C">
        <w:t>тывать площадь территории страны, почвы бедные средней плодородности, подверженные эрозии и загрязнению. Однако большая часть почв приходится на целинные земли ввиду их использования только под пастбищное животн</w:t>
      </w:r>
      <w:r w:rsidR="0011170C" w:rsidRPr="0011170C">
        <w:t>о</w:t>
      </w:r>
      <w:r w:rsidR="0011170C" w:rsidRPr="0011170C">
        <w:t>водство.</w:t>
      </w:r>
    </w:p>
    <w:p w:rsidR="0011170C" w:rsidRPr="0011170C" w:rsidRDefault="00983D48" w:rsidP="0011170C">
      <w:pPr>
        <w:pStyle w:val="SingleTxtGR"/>
      </w:pPr>
      <w:r w:rsidRPr="00983D48">
        <w:t>9.</w:t>
      </w:r>
      <w:r w:rsidRPr="00983D48">
        <w:tab/>
      </w:r>
      <w:r w:rsidR="0011170C" w:rsidRPr="0011170C">
        <w:t>Страна богата минеральными и сырьевыми ресурсами, такими как зол</w:t>
      </w:r>
      <w:r w:rsidR="0011170C" w:rsidRPr="0011170C">
        <w:t>о</w:t>
      </w:r>
      <w:r w:rsidR="0011170C" w:rsidRPr="0011170C">
        <w:t>то, медь, уран, уголь, залежи которых имеют международное значение.</w:t>
      </w:r>
    </w:p>
    <w:p w:rsidR="0011170C" w:rsidRPr="0011170C" w:rsidRDefault="00983D48" w:rsidP="00983D48">
      <w:pPr>
        <w:pStyle w:val="H4GR"/>
      </w:pPr>
      <w:r>
        <w:rPr>
          <w:lang w:val="en-US"/>
        </w:rPr>
        <w:tab/>
      </w:r>
      <w:r>
        <w:rPr>
          <w:lang w:val="en-US"/>
        </w:rPr>
        <w:tab/>
      </w:r>
      <w:r w:rsidR="0011170C" w:rsidRPr="0011170C">
        <w:t>История и культура</w:t>
      </w:r>
    </w:p>
    <w:p w:rsidR="0011170C" w:rsidRPr="0011170C" w:rsidRDefault="00983D48" w:rsidP="0011170C">
      <w:pPr>
        <w:pStyle w:val="SingleTxtGR"/>
      </w:pPr>
      <w:r w:rsidRPr="00983D48">
        <w:t>10.</w:t>
      </w:r>
      <w:r w:rsidRPr="00983D48">
        <w:tab/>
      </w:r>
      <w:r w:rsidR="0011170C" w:rsidRPr="0011170C">
        <w:t>Люди начали заселять территорию нынешней Монголии почти миллион лет назад. В 2011 году отмечалась 2200-я годовщина создания на территории нынешней Монголии Империи Хунну. В 2006 году отмечалось 800-летие Вел</w:t>
      </w:r>
      <w:r w:rsidR="0011170C" w:rsidRPr="0011170C">
        <w:t>и</w:t>
      </w:r>
      <w:r w:rsidR="0011170C" w:rsidRPr="0011170C">
        <w:t>кой мо</w:t>
      </w:r>
      <w:r w:rsidR="0011170C" w:rsidRPr="0011170C">
        <w:t>н</w:t>
      </w:r>
      <w:r w:rsidR="0011170C" w:rsidRPr="0011170C">
        <w:t xml:space="preserve">гольской империи, созданной </w:t>
      </w:r>
      <w:r>
        <w:t>Чингисханом и его преемниками в</w:t>
      </w:r>
      <w:r>
        <w:rPr>
          <w:lang w:val="en-US"/>
        </w:rPr>
        <w:t> </w:t>
      </w:r>
      <w:r w:rsidR="0011170C" w:rsidRPr="0011170C">
        <w:t>XII−XIII веках. В конце XVII века Монголия вместе с Китаем на 200 лет п</w:t>
      </w:r>
      <w:r w:rsidR="0011170C" w:rsidRPr="0011170C">
        <w:t>е</w:t>
      </w:r>
      <w:r w:rsidR="0011170C" w:rsidRPr="0011170C">
        <w:t>решла под правление маньчжуров. В результате национально-освободительного движения была провозглашена независимая Мо</w:t>
      </w:r>
      <w:r>
        <w:t>нгольская Республика во главе с</w:t>
      </w:r>
      <w:r>
        <w:rPr>
          <w:lang w:val="en-US"/>
        </w:rPr>
        <w:t> </w:t>
      </w:r>
      <w:r w:rsidR="0011170C" w:rsidRPr="0011170C">
        <w:t>Богдо-ханом. Несмотря на то, что в 1921 году произошла национально-демократическая революция, с 1940-х годов Монголия стала сателлитом СССР и почти на 40 лет членом социалистического блока, что привело как к прогре</w:t>
      </w:r>
      <w:r w:rsidR="0011170C" w:rsidRPr="0011170C">
        <w:t>с</w:t>
      </w:r>
      <w:r w:rsidR="0011170C" w:rsidRPr="0011170C">
        <w:t>су, так и к неудачам. К основным достижениям того периода относятся улучш</w:t>
      </w:r>
      <w:r w:rsidR="0011170C" w:rsidRPr="0011170C">
        <w:t>е</w:t>
      </w:r>
      <w:r w:rsidR="0011170C" w:rsidRPr="0011170C">
        <w:t>ния в области общественного здравоохранения, государственного образования и культуры, а также вступление в члены О</w:t>
      </w:r>
      <w:r>
        <w:t>рганизации Объединенных Наций в</w:t>
      </w:r>
      <w:r>
        <w:rPr>
          <w:lang w:val="en-US"/>
        </w:rPr>
        <w:t> </w:t>
      </w:r>
      <w:r w:rsidR="0011170C" w:rsidRPr="0011170C">
        <w:t>1961 году. С победой демократической революции в 1990 году Монголия ст</w:t>
      </w:r>
      <w:r w:rsidR="0011170C" w:rsidRPr="0011170C">
        <w:t>а</w:t>
      </w:r>
      <w:r w:rsidR="0011170C" w:rsidRPr="0011170C">
        <w:t>ла демократическим государством с современной цивилизацией.</w:t>
      </w:r>
    </w:p>
    <w:p w:rsidR="0011170C" w:rsidRPr="0011170C" w:rsidRDefault="00983D48" w:rsidP="0011170C">
      <w:pPr>
        <w:pStyle w:val="SingleTxtGR"/>
      </w:pPr>
      <w:r w:rsidRPr="00983D48">
        <w:t>11.</w:t>
      </w:r>
      <w:r w:rsidRPr="00983D48">
        <w:tab/>
      </w:r>
      <w:r w:rsidR="0011170C" w:rsidRPr="0011170C">
        <w:t>Монголы являются народом с древней культурой. Монгольский язык о</w:t>
      </w:r>
      <w:r w:rsidR="0011170C" w:rsidRPr="0011170C">
        <w:t>т</w:t>
      </w:r>
      <w:r w:rsidR="0011170C" w:rsidRPr="0011170C">
        <w:t>носится к алтайской группе языков и является хорошо развитым языком с бог</w:t>
      </w:r>
      <w:r w:rsidR="0011170C" w:rsidRPr="0011170C">
        <w:t>а</w:t>
      </w:r>
      <w:r w:rsidR="0011170C" w:rsidRPr="0011170C">
        <w:t>той лексикой. Монголы пользуются древней письменностью, которая, как и к</w:t>
      </w:r>
      <w:r w:rsidR="0011170C" w:rsidRPr="0011170C">
        <w:t>и</w:t>
      </w:r>
      <w:r w:rsidR="0011170C" w:rsidRPr="0011170C">
        <w:t>риллица, имеет тысячелетнюю историю. Монгольская борьба, скачки, стрельба из лука, протяжное песнопение, горловое пение и народные танцы представл</w:t>
      </w:r>
      <w:r w:rsidR="0011170C" w:rsidRPr="0011170C">
        <w:t>я</w:t>
      </w:r>
      <w:r w:rsidR="0011170C" w:rsidRPr="0011170C">
        <w:t>ют собой ценный вклад в мировое культурное наследие.</w:t>
      </w:r>
    </w:p>
    <w:p w:rsidR="0011170C" w:rsidRPr="0011170C" w:rsidRDefault="0011170C" w:rsidP="00983D48">
      <w:pPr>
        <w:pStyle w:val="H4GR"/>
        <w:spacing w:before="240"/>
      </w:pPr>
      <w:r w:rsidRPr="0011170C">
        <w:tab/>
      </w:r>
      <w:r w:rsidRPr="0011170C">
        <w:tab/>
        <w:t>Население</w:t>
      </w:r>
    </w:p>
    <w:p w:rsidR="0011170C" w:rsidRPr="0011170C" w:rsidRDefault="00983D48" w:rsidP="0011170C">
      <w:pPr>
        <w:pStyle w:val="SingleTxtGR"/>
      </w:pPr>
      <w:r w:rsidRPr="00983D48">
        <w:t>12.</w:t>
      </w:r>
      <w:r w:rsidRPr="00983D48">
        <w:tab/>
      </w:r>
      <w:r w:rsidR="0011170C" w:rsidRPr="0011170C">
        <w:t>Население Монголии насчитывает 2,7 млн. человек, и страна считается малонаселенной с низкой плотностью населения. Исключая небольшие группы населения казахского или тюркского происхождения, население страны в о</w:t>
      </w:r>
      <w:r w:rsidR="0011170C" w:rsidRPr="0011170C">
        <w:t>с</w:t>
      </w:r>
      <w:r w:rsidR="0011170C" w:rsidRPr="0011170C">
        <w:t>новном является однородным и состоит из монголов. Во второй половине пр</w:t>
      </w:r>
      <w:r w:rsidR="0011170C" w:rsidRPr="0011170C">
        <w:t>о</w:t>
      </w:r>
      <w:r w:rsidR="0011170C" w:rsidRPr="0011170C">
        <w:t>шлого столетия население страны выросло на 66,1%. В первом десятилетии нынешнего столетия рост населения замедлился и сократился до 13,7%, но с</w:t>
      </w:r>
      <w:r w:rsidR="0011170C" w:rsidRPr="0011170C">
        <w:t>о</w:t>
      </w:r>
      <w:r w:rsidR="0011170C" w:rsidRPr="0011170C">
        <w:t>гласно сравнительным данным ВОЗ 2010 года рождаемость в стране составляла 238‰ (при среднем глобальном показателе равном 203‰), смертность – 56‰ (при среднем глобальном показателе равном 86‰), чистый прирост населения – 182‰ (при среднем глобальном показателе равном 118‰), что является хор</w:t>
      </w:r>
      <w:r w:rsidR="0011170C" w:rsidRPr="0011170C">
        <w:t>о</w:t>
      </w:r>
      <w:r w:rsidR="0011170C" w:rsidRPr="0011170C">
        <w:t>шими показателями.</w:t>
      </w:r>
    </w:p>
    <w:p w:rsidR="0011170C" w:rsidRPr="0011170C" w:rsidRDefault="00983D48" w:rsidP="0011170C">
      <w:pPr>
        <w:pStyle w:val="SingleTxtGR"/>
      </w:pPr>
      <w:r w:rsidRPr="00983D48">
        <w:t>13.</w:t>
      </w:r>
      <w:r w:rsidRPr="00983D48">
        <w:tab/>
      </w:r>
      <w:r w:rsidR="0011170C" w:rsidRPr="0011170C">
        <w:t>Из общей численности населения на молодых людей в возрасте до 35 лет приходится 66,7%, а на людей старше 60 лет</w:t>
      </w:r>
      <w:r>
        <w:t xml:space="preserve"> – 33,3%. Согласно прогнозам, в</w:t>
      </w:r>
      <w:r>
        <w:rPr>
          <w:lang w:val="en-US"/>
        </w:rPr>
        <w:t> </w:t>
      </w:r>
      <w:r w:rsidR="0011170C" w:rsidRPr="0011170C">
        <w:t>следующие 15-20 лет процесс старения населения замедлится, и демограф</w:t>
      </w:r>
      <w:r w:rsidR="0011170C" w:rsidRPr="0011170C">
        <w:t>и</w:t>
      </w:r>
      <w:r w:rsidR="0011170C" w:rsidRPr="0011170C">
        <w:t xml:space="preserve">ческая нагрузка уменьшится, и это означает, что </w:t>
      </w:r>
      <w:r w:rsidR="00C467DA">
        <w:t>"</w:t>
      </w:r>
      <w:r w:rsidR="0011170C" w:rsidRPr="0011170C">
        <w:t>демографическое окно</w:t>
      </w:r>
      <w:r w:rsidR="00C467DA">
        <w:t>"</w:t>
      </w:r>
      <w:r w:rsidR="0011170C" w:rsidRPr="0011170C">
        <w:t xml:space="preserve"> будет оставаться открытым в течение достаточно длительного времени. По данным на 2009 год средняя продолжительность жизни сос</w:t>
      </w:r>
      <w:r>
        <w:t>тавляла 68 лет (для мужчин – 64</w:t>
      </w:r>
      <w:r>
        <w:rPr>
          <w:lang w:val="en-US"/>
        </w:rPr>
        <w:t> </w:t>
      </w:r>
      <w:r w:rsidR="0011170C" w:rsidRPr="0011170C">
        <w:t>года и для женщин – 72 года). В 2010 году индекс развития человеческого потенциала составил 0,622.</w:t>
      </w:r>
    </w:p>
    <w:p w:rsidR="0011170C" w:rsidRPr="0011170C" w:rsidRDefault="00983D48" w:rsidP="00983D48">
      <w:pPr>
        <w:pStyle w:val="H4GR"/>
        <w:spacing w:before="240"/>
      </w:pPr>
      <w:r>
        <w:rPr>
          <w:lang w:val="en-US"/>
        </w:rPr>
        <w:tab/>
      </w:r>
      <w:r>
        <w:rPr>
          <w:lang w:val="en-US"/>
        </w:rPr>
        <w:tab/>
      </w:r>
      <w:r w:rsidR="0011170C" w:rsidRPr="0011170C">
        <w:t>Экономическое положение</w:t>
      </w:r>
    </w:p>
    <w:p w:rsidR="0011170C" w:rsidRPr="0011170C" w:rsidRDefault="00983D48" w:rsidP="0011170C">
      <w:pPr>
        <w:pStyle w:val="SingleTxtGR"/>
      </w:pPr>
      <w:r w:rsidRPr="00983D48">
        <w:t>14.</w:t>
      </w:r>
      <w:r w:rsidRPr="00983D48">
        <w:tab/>
      </w:r>
      <w:r w:rsidR="0011170C" w:rsidRPr="0011170C">
        <w:t>Прошло почти 20 лет с тех пор, как Монголия начала переход от экон</w:t>
      </w:r>
      <w:r w:rsidR="0011170C" w:rsidRPr="0011170C">
        <w:t>о</w:t>
      </w:r>
      <w:r w:rsidR="0011170C" w:rsidRPr="0011170C">
        <w:t>мики централизованного планирования к рыночной экономике. Первые три года были годами краха. В течение следующих четырех лет переходного периода спад прекратился и был отмечен небольшой рост. С 2000 года рост ускорился и в 2007 году достиг 10,2%. Однако в 2009</w:t>
      </w:r>
      <w:r>
        <w:t xml:space="preserve"> году он сократился на 1,3% и в</w:t>
      </w:r>
      <w:r>
        <w:rPr>
          <w:lang w:val="en-US"/>
        </w:rPr>
        <w:t> </w:t>
      </w:r>
      <w:r w:rsidR="0011170C" w:rsidRPr="0011170C">
        <w:t>2010 году составил 6,1%. По мнению экспертов, темпы роста монгольской экономики в предстоящие три–четыре года удвоятся в результате интенсивного развития добывающего сектора, и в предстоящие десять лет существенный рост будет продолжаться.</w:t>
      </w:r>
    </w:p>
    <w:p w:rsidR="0011170C" w:rsidRPr="0011170C" w:rsidRDefault="00983D48" w:rsidP="0011170C">
      <w:pPr>
        <w:pStyle w:val="SingleTxtGR"/>
      </w:pPr>
      <w:r w:rsidRPr="00983D48">
        <w:t>15.</w:t>
      </w:r>
      <w:r w:rsidRPr="00983D48">
        <w:tab/>
      </w:r>
      <w:r w:rsidR="0011170C" w:rsidRPr="0011170C">
        <w:t>Хотя Монголия занимает второе место по темпам роста экономики среди 15 сопоставимых стран, она занимает только 14-е место по росту занятости, то есть второе от конца, что говорит о том, что преимущества роста должны нах</w:t>
      </w:r>
      <w:r w:rsidR="0011170C" w:rsidRPr="0011170C">
        <w:t>о</w:t>
      </w:r>
      <w:r w:rsidR="0011170C" w:rsidRPr="0011170C">
        <w:t>дить отражение в росте занятости, приносящей высокие доходы, распростран</w:t>
      </w:r>
      <w:r w:rsidR="0011170C" w:rsidRPr="0011170C">
        <w:t>е</w:t>
      </w:r>
      <w:r w:rsidR="0011170C" w:rsidRPr="0011170C">
        <w:t>нии преимуществ развития на все группы населения, и сегодня это является н</w:t>
      </w:r>
      <w:r w:rsidR="0011170C" w:rsidRPr="0011170C">
        <w:t>а</w:t>
      </w:r>
      <w:r w:rsidR="0011170C" w:rsidRPr="0011170C">
        <w:t>сущным вопросом для нашего общества. За прошедшие годы уровень бедности не понизился до уровня ниже 36%, реальная безработица по-прежнему исчи</w:t>
      </w:r>
      <w:r w:rsidR="0011170C" w:rsidRPr="0011170C">
        <w:t>с</w:t>
      </w:r>
      <w:r w:rsidR="0011170C" w:rsidRPr="0011170C">
        <w:t>ляется двузначными цифрами, глубина бедности увеличилась с 8,8% в 2006 г</w:t>
      </w:r>
      <w:r w:rsidR="0011170C" w:rsidRPr="0011170C">
        <w:t>о</w:t>
      </w:r>
      <w:r w:rsidR="0011170C" w:rsidRPr="0011170C">
        <w:t>ду до 11,3% в 2007 году.</w:t>
      </w:r>
    </w:p>
    <w:p w:rsidR="0011170C" w:rsidRPr="0011170C" w:rsidRDefault="00983D48" w:rsidP="0011170C">
      <w:pPr>
        <w:pStyle w:val="SingleTxtGR"/>
      </w:pPr>
      <w:r w:rsidRPr="00983D48">
        <w:t>16.</w:t>
      </w:r>
      <w:r w:rsidRPr="00983D48">
        <w:tab/>
      </w:r>
      <w:r w:rsidR="0011170C" w:rsidRPr="0011170C">
        <w:t>Надлежащее и ответственное управление горнодобывающей промышле</w:t>
      </w:r>
      <w:r w:rsidR="0011170C" w:rsidRPr="0011170C">
        <w:t>н</w:t>
      </w:r>
      <w:r w:rsidR="0011170C" w:rsidRPr="0011170C">
        <w:t>ностью с учетом национальных интересов, развитие и диверсификация труд</w:t>
      </w:r>
      <w:r w:rsidR="0011170C" w:rsidRPr="0011170C">
        <w:t>о</w:t>
      </w:r>
      <w:r w:rsidR="0011170C" w:rsidRPr="0011170C">
        <w:t>емких секторов, таких как строительство объектов инфраструктуры, перераб</w:t>
      </w:r>
      <w:r w:rsidR="0011170C" w:rsidRPr="0011170C">
        <w:t>а</w:t>
      </w:r>
      <w:r w:rsidR="0011170C" w:rsidRPr="0011170C">
        <w:t xml:space="preserve">тывающая и пищевая промышленность, а также сфера услуг поможет избежать </w:t>
      </w:r>
      <w:r w:rsidR="00C467DA">
        <w:t>"</w:t>
      </w:r>
      <w:r w:rsidR="0011170C" w:rsidRPr="0011170C">
        <w:t>ресурсного проклятия</w:t>
      </w:r>
      <w:r w:rsidR="00C467DA">
        <w:t>"</w:t>
      </w:r>
      <w:r w:rsidR="0011170C" w:rsidRPr="0011170C">
        <w:t>, создав тем самым основу для долгосрочного устойч</w:t>
      </w:r>
      <w:r w:rsidR="0011170C" w:rsidRPr="0011170C">
        <w:t>и</w:t>
      </w:r>
      <w:r w:rsidR="0011170C" w:rsidRPr="0011170C">
        <w:t>вого развития. Одной из специфических особенностей развития нашей страны является тот факт, что большинство товаров и услуг (свыше 70%) производится частным сектором. Развитие частного сектора и приватизация оказали двоякое воздействие на социальную жизнь. Исследователи заметили, что, тогда как пл</w:t>
      </w:r>
      <w:r w:rsidR="0011170C" w:rsidRPr="0011170C">
        <w:t>о</w:t>
      </w:r>
      <w:r w:rsidR="0011170C" w:rsidRPr="0011170C">
        <w:t>хо о</w:t>
      </w:r>
      <w:r w:rsidR="0011170C" w:rsidRPr="0011170C">
        <w:t>р</w:t>
      </w:r>
      <w:r w:rsidR="0011170C" w:rsidRPr="0011170C">
        <w:t>ганизованная приватизация государственных предприятий привела к росту безработицы и обеднению, вновь созданные частные предприятия, а также ко</w:t>
      </w:r>
      <w:r w:rsidR="0011170C" w:rsidRPr="0011170C">
        <w:t>м</w:t>
      </w:r>
      <w:r w:rsidR="0011170C" w:rsidRPr="0011170C">
        <w:t>пании в сфере услуг послужили фактором, обусловившим рост спроса на раб</w:t>
      </w:r>
      <w:r w:rsidR="0011170C" w:rsidRPr="0011170C">
        <w:t>о</w:t>
      </w:r>
      <w:r w:rsidR="0011170C" w:rsidRPr="0011170C">
        <w:t>чую силу, тем самым позитивно повлияв на уровень безработицы.</w:t>
      </w:r>
    </w:p>
    <w:p w:rsidR="0011170C" w:rsidRPr="0011170C" w:rsidRDefault="0011170C" w:rsidP="00983D48">
      <w:pPr>
        <w:pStyle w:val="H4GR"/>
        <w:spacing w:before="240"/>
      </w:pPr>
      <w:r w:rsidRPr="0011170C">
        <w:tab/>
      </w:r>
      <w:r w:rsidRPr="0011170C">
        <w:tab/>
        <w:t>Конституция, политическая и правовая структура</w:t>
      </w:r>
    </w:p>
    <w:p w:rsidR="0011170C" w:rsidRPr="0011170C" w:rsidRDefault="00983D48" w:rsidP="0011170C">
      <w:pPr>
        <w:pStyle w:val="SingleTxtGR"/>
      </w:pPr>
      <w:r w:rsidRPr="00983D48">
        <w:t>17.</w:t>
      </w:r>
      <w:r w:rsidRPr="00983D48">
        <w:tab/>
      </w:r>
      <w:r w:rsidR="0011170C" w:rsidRPr="0011170C">
        <w:t>В новой Конституции, принятой в 1992 году, Монголия провозглашена парламентской республикой. Государственная власть в Монголии разделяется следующим образом: высшим законодательным органом является Великий Г</w:t>
      </w:r>
      <w:r w:rsidR="0011170C" w:rsidRPr="0011170C">
        <w:t>о</w:t>
      </w:r>
      <w:r w:rsidR="0011170C" w:rsidRPr="0011170C">
        <w:t>сударственный Хурал, правительство представляет собой высший исполнител</w:t>
      </w:r>
      <w:r w:rsidR="0011170C" w:rsidRPr="0011170C">
        <w:t>ь</w:t>
      </w:r>
      <w:r w:rsidR="0011170C" w:rsidRPr="0011170C">
        <w:t>ный орган, а высшая судебная власть принадлежит Верховному суду. Великий Государственный Хурал имеет одну палату, и в его состав входят 76 депутатов, избираемых гражданами, имеющими право голоса, на основе всеобщего, св</w:t>
      </w:r>
      <w:r w:rsidR="0011170C" w:rsidRPr="0011170C">
        <w:t>о</w:t>
      </w:r>
      <w:r w:rsidR="0011170C" w:rsidRPr="0011170C">
        <w:t>бодного и прямого избирательного права. Он является высшим органом гос</w:t>
      </w:r>
      <w:r w:rsidR="0011170C" w:rsidRPr="0011170C">
        <w:t>у</w:t>
      </w:r>
      <w:r w:rsidR="0011170C" w:rsidRPr="0011170C">
        <w:t>дарственной власти и наделен исключительным правом принимать законы.</w:t>
      </w:r>
    </w:p>
    <w:p w:rsidR="0011170C" w:rsidRPr="0011170C" w:rsidRDefault="00983D48" w:rsidP="0011170C">
      <w:pPr>
        <w:pStyle w:val="SingleTxtGR"/>
      </w:pPr>
      <w:r w:rsidRPr="00983D48">
        <w:t>18.</w:t>
      </w:r>
      <w:r w:rsidRPr="00983D48">
        <w:tab/>
      </w:r>
      <w:r w:rsidR="0011170C" w:rsidRPr="0011170C">
        <w:t>В состав правительства входит Премье</w:t>
      </w:r>
      <w:r>
        <w:t>р-министр и члены правительс</w:t>
      </w:r>
      <w:r>
        <w:t>т</w:t>
      </w:r>
      <w:r>
        <w:t>ва</w:t>
      </w:r>
      <w:r>
        <w:rPr>
          <w:lang w:val="en-US"/>
        </w:rPr>
        <w:t> </w:t>
      </w:r>
      <w:r w:rsidR="0011170C" w:rsidRPr="0011170C">
        <w:t>– министры. Общие и отраслевые министерства обладают по</w:t>
      </w:r>
      <w:r w:rsidR="0011170C" w:rsidRPr="0011170C">
        <w:t>л</w:t>
      </w:r>
      <w:r w:rsidR="0011170C" w:rsidRPr="0011170C">
        <w:t>номочиями по разработке политики и осуществлению всеобъемлющих мер вместе со спец</w:t>
      </w:r>
      <w:r w:rsidR="0011170C" w:rsidRPr="0011170C">
        <w:t>и</w:t>
      </w:r>
      <w:r w:rsidR="0011170C" w:rsidRPr="0011170C">
        <w:t>альными правительственными учреждениями, ведающими вопросами коорд</w:t>
      </w:r>
      <w:r w:rsidR="0011170C" w:rsidRPr="0011170C">
        <w:t>и</w:t>
      </w:r>
      <w:r w:rsidR="0011170C" w:rsidRPr="0011170C">
        <w:t>национной и исполнительной деятельности. Судебной властью наделены суды всех уро</w:t>
      </w:r>
      <w:r w:rsidR="0011170C" w:rsidRPr="0011170C">
        <w:t>в</w:t>
      </w:r>
      <w:r w:rsidR="0011170C" w:rsidRPr="0011170C">
        <w:t>ней, Прокуратура и Верховный суд.</w:t>
      </w:r>
    </w:p>
    <w:p w:rsidR="0011170C" w:rsidRPr="0011170C" w:rsidRDefault="00983D48" w:rsidP="0011170C">
      <w:pPr>
        <w:pStyle w:val="SingleTxtGR"/>
      </w:pPr>
      <w:r w:rsidRPr="00983D48">
        <w:t>19.</w:t>
      </w:r>
      <w:r w:rsidRPr="00983D48">
        <w:tab/>
      </w:r>
      <w:r w:rsidR="0011170C" w:rsidRPr="0011170C">
        <w:t>Президент является главой государства, избираемым всеобщим голосов</w:t>
      </w:r>
      <w:r w:rsidR="0011170C" w:rsidRPr="0011170C">
        <w:t>а</w:t>
      </w:r>
      <w:r w:rsidR="0011170C" w:rsidRPr="0011170C">
        <w:t>нием, и наделен правом законодательной инициативы и правом налагать вето на законы, назначать судей и освобождать их от должности, предлагать Великому Г</w:t>
      </w:r>
      <w:r w:rsidR="0011170C" w:rsidRPr="0011170C">
        <w:t>о</w:t>
      </w:r>
      <w:r w:rsidR="0011170C" w:rsidRPr="0011170C">
        <w:t>сударственному Хуралу кандидатуру для назначения на пост Премьер-министра.</w:t>
      </w:r>
    </w:p>
    <w:p w:rsidR="0011170C" w:rsidRPr="0011170C" w:rsidRDefault="00983D48" w:rsidP="0011170C">
      <w:pPr>
        <w:pStyle w:val="SingleTxtGR"/>
      </w:pPr>
      <w:r w:rsidRPr="00983D48">
        <w:t>20.</w:t>
      </w:r>
      <w:r w:rsidRPr="00983D48">
        <w:tab/>
      </w:r>
      <w:r w:rsidR="0011170C" w:rsidRPr="0011170C">
        <w:t>Территория Монголии в административном отношении делится на айм</w:t>
      </w:r>
      <w:r w:rsidR="0011170C" w:rsidRPr="0011170C">
        <w:t>а</w:t>
      </w:r>
      <w:r w:rsidR="0011170C" w:rsidRPr="0011170C">
        <w:t>ки и столицу; аймаки разделяются на сомоны, а сомоны – на баги; столица с</w:t>
      </w:r>
      <w:r w:rsidR="0011170C" w:rsidRPr="0011170C">
        <w:t>о</w:t>
      </w:r>
      <w:r w:rsidR="0011170C" w:rsidRPr="0011170C">
        <w:t>стоит из округов, которые делятся на хороны. Органами самоуправления выш</w:t>
      </w:r>
      <w:r w:rsidR="0011170C" w:rsidRPr="0011170C">
        <w:t>е</w:t>
      </w:r>
      <w:r w:rsidR="0011170C" w:rsidRPr="0011170C">
        <w:t>названных единиц являются хуралы, состоящие из представителей граждан и общественных собраний граждан соответствующих территорий, а также из г</w:t>
      </w:r>
      <w:r w:rsidR="0011170C" w:rsidRPr="0011170C">
        <w:t>у</w:t>
      </w:r>
      <w:r w:rsidR="0011170C" w:rsidRPr="0011170C">
        <w:t>бернаторов всех уровней.</w:t>
      </w:r>
    </w:p>
    <w:p w:rsidR="0011170C" w:rsidRPr="0011170C" w:rsidRDefault="00983D48" w:rsidP="0011170C">
      <w:pPr>
        <w:pStyle w:val="SingleTxtGR"/>
      </w:pPr>
      <w:r w:rsidRPr="00983D48">
        <w:t>21.</w:t>
      </w:r>
      <w:r w:rsidRPr="00983D48">
        <w:tab/>
      </w:r>
      <w:r w:rsidR="0011170C" w:rsidRPr="0011170C">
        <w:t>Гражданское общество в Монголии представлено неправительственными организациями. Они создаются и работают в соответствии с Законом о НПО 1997 года. В настоящее время зарегистриро</w:t>
      </w:r>
      <w:r w:rsidR="00C93B29">
        <w:t>вано 8329 НПО, ведущих работу в</w:t>
      </w:r>
      <w:r w:rsidR="00C93B29">
        <w:rPr>
          <w:lang w:val="en-US"/>
        </w:rPr>
        <w:t> </w:t>
      </w:r>
      <w:r w:rsidR="0011170C" w:rsidRPr="0011170C">
        <w:t>различных областях.</w:t>
      </w:r>
    </w:p>
    <w:p w:rsidR="0011170C" w:rsidRPr="0011170C" w:rsidRDefault="00983D48" w:rsidP="0011170C">
      <w:pPr>
        <w:pStyle w:val="SingleTxtGR"/>
      </w:pPr>
      <w:r w:rsidRPr="00983D48">
        <w:t>22.</w:t>
      </w:r>
      <w:r w:rsidRPr="00983D48">
        <w:tab/>
      </w:r>
      <w:r w:rsidR="0011170C" w:rsidRPr="0011170C">
        <w:t>Отношения между религиями, церквями и храмами регулируются зак</w:t>
      </w:r>
      <w:r w:rsidR="0011170C" w:rsidRPr="0011170C">
        <w:t>о</w:t>
      </w:r>
      <w:r w:rsidR="0011170C" w:rsidRPr="0011170C">
        <w:t>ном и принципами взаимного невмешательства государства в религиозную де</w:t>
      </w:r>
      <w:r w:rsidR="0011170C" w:rsidRPr="0011170C">
        <w:t>я</w:t>
      </w:r>
      <w:r w:rsidR="0011170C" w:rsidRPr="0011170C">
        <w:t>тельность и церкви в дела государства, что гарантирует свободу отправления религиозных обрядов и создает условия для формирования различных религ</w:t>
      </w:r>
      <w:r w:rsidR="0011170C" w:rsidRPr="0011170C">
        <w:t>и</w:t>
      </w:r>
      <w:r w:rsidR="0011170C" w:rsidRPr="0011170C">
        <w:t>озных движений.</w:t>
      </w:r>
    </w:p>
    <w:p w:rsidR="0011170C" w:rsidRPr="0011170C" w:rsidRDefault="00983D48" w:rsidP="0011170C">
      <w:pPr>
        <w:pStyle w:val="SingleTxtGR"/>
      </w:pPr>
      <w:r w:rsidRPr="00983D48">
        <w:t>23.</w:t>
      </w:r>
      <w:r w:rsidRPr="00983D48">
        <w:tab/>
      </w:r>
      <w:r w:rsidR="0011170C" w:rsidRPr="0011170C">
        <w:t>На сегодняшний день зарегистрированы различные религиозные орган</w:t>
      </w:r>
      <w:r w:rsidR="0011170C" w:rsidRPr="0011170C">
        <w:t>и</w:t>
      </w:r>
      <w:r w:rsidR="0011170C" w:rsidRPr="0011170C">
        <w:t>зации, представляющие буддизм, христианство, мусульманство, бахаизм, шам</w:t>
      </w:r>
      <w:r w:rsidR="0011170C" w:rsidRPr="0011170C">
        <w:t>а</w:t>
      </w:r>
      <w:r w:rsidR="0011170C" w:rsidRPr="0011170C">
        <w:t>низм и мунизм, из которых свыше 50% являются буддистскими организациями и почти 40% – христианскими.</w:t>
      </w:r>
    </w:p>
    <w:p w:rsidR="0011170C" w:rsidRPr="0011170C" w:rsidRDefault="00C93B29" w:rsidP="0011170C">
      <w:pPr>
        <w:pStyle w:val="SingleTxtGR"/>
      </w:pPr>
      <w:r w:rsidRPr="00C93B29">
        <w:t>24.</w:t>
      </w:r>
      <w:r w:rsidRPr="00C93B29">
        <w:tab/>
      </w:r>
      <w:r w:rsidR="0011170C" w:rsidRPr="0011170C">
        <w:t>Организации гражданского общества, политические партии и профсоюзы ведут свою деятельность на основе специальных законов. Партии фашистской и коммунистической идеологии запрещены.</w:t>
      </w:r>
    </w:p>
    <w:p w:rsidR="0011170C" w:rsidRPr="0011170C" w:rsidRDefault="00C93B29" w:rsidP="0011170C">
      <w:pPr>
        <w:pStyle w:val="SingleTxtGR"/>
      </w:pPr>
      <w:r w:rsidRPr="00C93B29">
        <w:t>25.</w:t>
      </w:r>
      <w:r w:rsidRPr="00C93B29">
        <w:tab/>
      </w:r>
      <w:r w:rsidR="0011170C" w:rsidRPr="0011170C">
        <w:t>В настоящее время в Монголии зарегистрированы 27 партий. Монгол</w:t>
      </w:r>
      <w:r w:rsidR="0011170C" w:rsidRPr="0011170C">
        <w:t>ь</w:t>
      </w:r>
      <w:r w:rsidR="0011170C" w:rsidRPr="0011170C">
        <w:t xml:space="preserve">ская демократическая партия, Монгольская народная партия, Партия </w:t>
      </w:r>
      <w:r w:rsidR="00C467DA">
        <w:t>"</w:t>
      </w:r>
      <w:r w:rsidR="0011170C" w:rsidRPr="0011170C">
        <w:t>Гражда</w:t>
      </w:r>
      <w:r w:rsidR="0011170C" w:rsidRPr="0011170C">
        <w:t>н</w:t>
      </w:r>
      <w:r w:rsidR="0011170C" w:rsidRPr="0011170C">
        <w:t>ская воля</w:t>
      </w:r>
      <w:r w:rsidR="00C467DA">
        <w:t>"</w:t>
      </w:r>
      <w:r w:rsidR="0011170C" w:rsidRPr="0011170C">
        <w:t xml:space="preserve"> и Партия </w:t>
      </w:r>
      <w:r w:rsidR="00C467DA">
        <w:t>"</w:t>
      </w:r>
      <w:r w:rsidR="0011170C" w:rsidRPr="0011170C">
        <w:t>зеленых</w:t>
      </w:r>
      <w:r w:rsidR="00C467DA">
        <w:t>"</w:t>
      </w:r>
      <w:r w:rsidR="0011170C" w:rsidRPr="0011170C">
        <w:t xml:space="preserve"> имеют места в парламенте. По итогам выборов 2008 года Монгольская народная партия получила</w:t>
      </w:r>
      <w:r w:rsidR="008D7AC0">
        <w:t xml:space="preserve"> 59,2% мест в парламенте, а </w:t>
      </w:r>
      <w:r w:rsidR="0011170C" w:rsidRPr="0011170C">
        <w:t>Демократическая партия – 38,9%. Из 76 членов парламента только три же</w:t>
      </w:r>
      <w:r w:rsidR="0011170C" w:rsidRPr="0011170C">
        <w:t>н</w:t>
      </w:r>
      <w:r w:rsidR="0011170C" w:rsidRPr="0011170C">
        <w:t>щины.</w:t>
      </w:r>
    </w:p>
    <w:p w:rsidR="0011170C" w:rsidRPr="0011170C" w:rsidRDefault="00C93B29" w:rsidP="0011170C">
      <w:pPr>
        <w:pStyle w:val="SingleTxtGR"/>
      </w:pPr>
      <w:r w:rsidRPr="00C93B29">
        <w:t>26.</w:t>
      </w:r>
      <w:r w:rsidRPr="00C93B29">
        <w:tab/>
      </w:r>
      <w:r w:rsidR="0011170C" w:rsidRPr="0011170C">
        <w:t>Судебной власти посвящена специальная глава в Конституции Монголии, в которой в статьях 47–56 регулируются основные вопросы, касающиеся по</w:t>
      </w:r>
      <w:r w:rsidR="0011170C" w:rsidRPr="0011170C">
        <w:t>л</w:t>
      </w:r>
      <w:r w:rsidR="0011170C" w:rsidRPr="0011170C">
        <w:t xml:space="preserve">номочий органов судебной власти, таких как суды и прокуратура, их основные обязанности и принципы деятельности. Они </w:t>
      </w:r>
      <w:r>
        <w:t>подробно рассмотрены в Законе о</w:t>
      </w:r>
      <w:r>
        <w:rPr>
          <w:lang w:val="en-US"/>
        </w:rPr>
        <w:t> </w:t>
      </w:r>
      <w:r w:rsidR="0011170C" w:rsidRPr="0011170C">
        <w:t>судах и Законе о прокуратуре. Статья 16 Конституции провозглашает, что к</w:t>
      </w:r>
      <w:r w:rsidR="0011170C" w:rsidRPr="0011170C">
        <w:t>а</w:t>
      </w:r>
      <w:r w:rsidR="0011170C" w:rsidRPr="0011170C">
        <w:t xml:space="preserve">ждый гражданин имеет </w:t>
      </w:r>
      <w:r w:rsidR="00C467DA">
        <w:t>"</w:t>
      </w:r>
      <w:r w:rsidR="0011170C" w:rsidRPr="0011170C">
        <w:t>право на обращение в суд для защиты своих прав, если он/она считает, что его/ее права или свободы были нарушены; право осущест</w:t>
      </w:r>
      <w:r w:rsidR="0011170C" w:rsidRPr="0011170C">
        <w:t>в</w:t>
      </w:r>
      <w:r w:rsidR="0011170C" w:rsidRPr="0011170C">
        <w:t>лять самостоятельно свою защиту; право получать юридическую помощь; пр</w:t>
      </w:r>
      <w:r w:rsidR="0011170C" w:rsidRPr="0011170C">
        <w:t>а</w:t>
      </w:r>
      <w:r w:rsidR="0011170C" w:rsidRPr="0011170C">
        <w:t>во знакомиться с доказательствами; право на справедливое судебное разбир</w:t>
      </w:r>
      <w:r w:rsidR="0011170C" w:rsidRPr="0011170C">
        <w:t>а</w:t>
      </w:r>
      <w:r w:rsidR="0011170C" w:rsidRPr="0011170C">
        <w:t>тельство. Каждый человек считается невиновным, пока его вина не доказана судом при должном соблюдении процессуальных норм</w:t>
      </w:r>
      <w:r w:rsidR="00C467DA">
        <w:t>"</w:t>
      </w:r>
      <w:r w:rsidR="0011170C" w:rsidRPr="0011170C">
        <w:t>, что является конце</w:t>
      </w:r>
      <w:r w:rsidR="0011170C" w:rsidRPr="0011170C">
        <w:t>п</w:t>
      </w:r>
      <w:r w:rsidR="0011170C" w:rsidRPr="0011170C">
        <w:t>цией, которой придерживаются судебные органы страны.</w:t>
      </w:r>
    </w:p>
    <w:p w:rsidR="0011170C" w:rsidRPr="0011170C" w:rsidRDefault="00C93B29" w:rsidP="0011170C">
      <w:pPr>
        <w:pStyle w:val="SingleTxtGR"/>
      </w:pPr>
      <w:r w:rsidRPr="00C93B29">
        <w:t>27.</w:t>
      </w:r>
      <w:r w:rsidRPr="00C93B29">
        <w:tab/>
      </w:r>
      <w:r w:rsidR="0011170C" w:rsidRPr="0011170C">
        <w:t>Статья 40.1.4 Закона об уголовном судопроизводстве предусматривает, что лица, которые не способны воспользоваться своим правом самостоятельно осущ</w:t>
      </w:r>
      <w:r w:rsidR="0011170C" w:rsidRPr="0011170C">
        <w:t>е</w:t>
      </w:r>
      <w:r w:rsidR="0011170C" w:rsidRPr="0011170C">
        <w:t>ствлять свою защиту по причине нарушения функций речи, слуха, зрения или в связи с психическим заболеванием получают помощь адвоката, перев</w:t>
      </w:r>
      <w:r w:rsidR="0011170C" w:rsidRPr="0011170C">
        <w:t>о</w:t>
      </w:r>
      <w:r w:rsidR="0011170C" w:rsidRPr="0011170C">
        <w:t>дчика и сурдопереводчика во время суда, и это требование должно соблюдаться на всех стадия уголовного производства – возбуждения дела, следствия, суде</w:t>
      </w:r>
      <w:r w:rsidR="0011170C" w:rsidRPr="0011170C">
        <w:t>б</w:t>
      </w:r>
      <w:r w:rsidR="0011170C" w:rsidRPr="0011170C">
        <w:t>ного преследования и слушаний в суде. Однако не имеется данных о процен</w:t>
      </w:r>
      <w:r w:rsidR="0011170C" w:rsidRPr="0011170C">
        <w:t>т</w:t>
      </w:r>
      <w:r w:rsidR="0011170C" w:rsidRPr="0011170C">
        <w:t>ном отн</w:t>
      </w:r>
      <w:r w:rsidR="0011170C" w:rsidRPr="0011170C">
        <w:t>о</w:t>
      </w:r>
      <w:r w:rsidR="0011170C" w:rsidRPr="0011170C">
        <w:t>шении дел инвалидов к общему числу дел, рассматриваемых судами.</w:t>
      </w:r>
    </w:p>
    <w:p w:rsidR="0011170C" w:rsidRPr="0011170C" w:rsidRDefault="00C93B29" w:rsidP="0011170C">
      <w:pPr>
        <w:pStyle w:val="SingleTxtGR"/>
      </w:pPr>
      <w:r w:rsidRPr="00C93B29">
        <w:t>28.</w:t>
      </w:r>
      <w:r w:rsidRPr="00C93B29">
        <w:tab/>
      </w:r>
      <w:r w:rsidR="0011170C" w:rsidRPr="0011170C">
        <w:t>В последние несколько лет наблюдается тенденция к росту преступности, что вызывает беспокойство в обществе, однако необходимо отметить, что улучш</w:t>
      </w:r>
      <w:r w:rsidR="0011170C" w:rsidRPr="0011170C">
        <w:t>и</w:t>
      </w:r>
      <w:r w:rsidR="0011170C" w:rsidRPr="0011170C">
        <w:t>лась раскрываемость уголовных преступлений.</w:t>
      </w:r>
    </w:p>
    <w:p w:rsidR="0011170C" w:rsidRPr="0011170C" w:rsidRDefault="00C93B29" w:rsidP="00C93B29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11170C" w:rsidRPr="0011170C">
        <w:t>Защита и поддержка прав человека</w:t>
      </w:r>
    </w:p>
    <w:p w:rsidR="0011170C" w:rsidRPr="0011170C" w:rsidRDefault="0011170C" w:rsidP="00C93B29">
      <w:pPr>
        <w:pStyle w:val="H4GR"/>
        <w:spacing w:before="240"/>
      </w:pPr>
      <w:r w:rsidRPr="0011170C">
        <w:tab/>
      </w:r>
      <w:r w:rsidRPr="0011170C">
        <w:tab/>
        <w:t>Признание международных стандартов и норм в области прав ч</w:t>
      </w:r>
      <w:r w:rsidRPr="0011170C">
        <w:t>е</w:t>
      </w:r>
      <w:r w:rsidRPr="0011170C">
        <w:t>ловека</w:t>
      </w:r>
    </w:p>
    <w:p w:rsidR="00D86F68" w:rsidRDefault="00C93B29" w:rsidP="0011170C">
      <w:pPr>
        <w:pStyle w:val="SingleTxtGR"/>
        <w:rPr>
          <w:lang w:val="en-US"/>
        </w:rPr>
      </w:pPr>
      <w:r w:rsidRPr="00C93B29">
        <w:t>29.</w:t>
      </w:r>
      <w:r w:rsidRPr="00C93B29">
        <w:tab/>
      </w:r>
      <w:r w:rsidR="0011170C" w:rsidRPr="0011170C">
        <w:t>Информация по основным международным документам в области прав человека, к которым присоединилась Монголия, представлена в приводимых ниже таблицах.</w:t>
      </w:r>
    </w:p>
    <w:p w:rsidR="00C93B29" w:rsidRDefault="003F5D42" w:rsidP="003F5D42">
      <w:pPr>
        <w:pStyle w:val="Heading1"/>
        <w:spacing w:after="120"/>
        <w:ind w:left="1134"/>
        <w:jc w:val="left"/>
        <w:rPr>
          <w:lang w:val="en-US"/>
        </w:rPr>
      </w:pPr>
      <w:r w:rsidRPr="003F5D42">
        <w:rPr>
          <w:b w:val="0"/>
        </w:rPr>
        <w:t>Таблица 1</w:t>
      </w:r>
      <w:r w:rsidRPr="003F5D42">
        <w:rPr>
          <w:b w:val="0"/>
        </w:rPr>
        <w:br/>
      </w:r>
      <w:r w:rsidRPr="003F5D42">
        <w:t xml:space="preserve">Основные конвенции и протоколы ООН в области прав человека, </w:t>
      </w:r>
      <w:r w:rsidRPr="003F5D42">
        <w:br/>
        <w:t>ратифицированные Мо</w:t>
      </w:r>
      <w:r w:rsidRPr="003F5D42">
        <w:t>н</w:t>
      </w:r>
      <w:r w:rsidRPr="003F5D42">
        <w:t>голией</w:t>
      </w:r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67"/>
        <w:gridCol w:w="1603"/>
      </w:tblGrid>
      <w:tr w:rsidR="000A67F1" w:rsidRPr="00336874" w:rsidTr="008F3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tblHeader/>
        </w:trPr>
        <w:tc>
          <w:tcPr>
            <w:tcW w:w="57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67F1" w:rsidRPr="00336874" w:rsidRDefault="000A67F1" w:rsidP="000A67F1">
            <w:pPr>
              <w:suppressAutoHyphens/>
              <w:autoSpaceDE w:val="0"/>
              <w:autoSpaceDN w:val="0"/>
              <w:adjustRightInd w:val="0"/>
              <w:spacing w:before="80" w:after="80" w:line="200" w:lineRule="exact"/>
              <w:rPr>
                <w:i/>
                <w:sz w:val="16"/>
                <w:szCs w:val="24"/>
                <w:lang w:eastAsia="en-GB"/>
              </w:rPr>
            </w:pPr>
            <w:r w:rsidRPr="00336874">
              <w:rPr>
                <w:i/>
                <w:sz w:val="16"/>
                <w:szCs w:val="22"/>
                <w:lang w:eastAsia="en-GB"/>
              </w:rPr>
              <w:t>Названия конвенций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67F1" w:rsidRPr="00336874" w:rsidRDefault="000A67F1" w:rsidP="008F357D">
            <w:pPr>
              <w:suppressAutoHyphens/>
              <w:autoSpaceDE w:val="0"/>
              <w:autoSpaceDN w:val="0"/>
              <w:adjustRightInd w:val="0"/>
              <w:spacing w:before="80" w:after="80" w:line="200" w:lineRule="exact"/>
              <w:jc w:val="right"/>
              <w:rPr>
                <w:i/>
                <w:sz w:val="16"/>
                <w:szCs w:val="24"/>
                <w:lang w:eastAsia="en-GB"/>
              </w:rPr>
            </w:pPr>
            <w:r w:rsidRPr="00336874">
              <w:rPr>
                <w:i/>
                <w:sz w:val="16"/>
                <w:szCs w:val="22"/>
                <w:lang w:eastAsia="en-GB"/>
              </w:rPr>
              <w:t>Год присоедин</w:t>
            </w:r>
            <w:r w:rsidRPr="00336874">
              <w:rPr>
                <w:i/>
                <w:sz w:val="16"/>
                <w:szCs w:val="22"/>
                <w:lang w:eastAsia="en-GB"/>
              </w:rPr>
              <w:t>е</w:t>
            </w:r>
            <w:r w:rsidRPr="00336874">
              <w:rPr>
                <w:i/>
                <w:sz w:val="16"/>
                <w:szCs w:val="22"/>
                <w:lang w:eastAsia="en-GB"/>
              </w:rPr>
              <w:t>ния/</w:t>
            </w:r>
            <w:r w:rsidRPr="000A67F1">
              <w:rPr>
                <w:i/>
                <w:sz w:val="16"/>
                <w:szCs w:val="22"/>
                <w:lang w:eastAsia="en-GB"/>
              </w:rPr>
              <w:br/>
            </w:r>
            <w:r w:rsidRPr="00336874">
              <w:rPr>
                <w:i/>
                <w:sz w:val="16"/>
                <w:szCs w:val="22"/>
                <w:lang w:eastAsia="en-GB"/>
              </w:rPr>
              <w:t>ратификации</w:t>
            </w:r>
          </w:p>
        </w:tc>
      </w:tr>
      <w:tr w:rsidR="000A67F1" w:rsidRPr="00336874" w:rsidTr="008F3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767" w:type="dxa"/>
            <w:tcBorders>
              <w:top w:val="single" w:sz="12" w:space="0" w:color="auto"/>
            </w:tcBorders>
            <w:shd w:val="clear" w:color="auto" w:fill="auto"/>
          </w:tcPr>
          <w:p w:rsidR="000A67F1" w:rsidRPr="008F357D" w:rsidRDefault="000A67F1" w:rsidP="008F357D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8F357D">
              <w:rPr>
                <w:sz w:val="18"/>
                <w:szCs w:val="18"/>
                <w:lang w:eastAsia="en-GB"/>
              </w:rPr>
              <w:t xml:space="preserve">Конвенция о борьбе с дискриминацией в области образования </w:t>
            </w:r>
            <w:r w:rsidRPr="008F357D">
              <w:rPr>
                <w:sz w:val="18"/>
                <w:szCs w:val="18"/>
                <w:lang w:eastAsia="en-GB"/>
              </w:rPr>
              <w:br/>
              <w:t>(1960 год)</w:t>
            </w:r>
          </w:p>
        </w:tc>
        <w:tc>
          <w:tcPr>
            <w:tcW w:w="160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A67F1" w:rsidRPr="008F357D" w:rsidRDefault="000A67F1" w:rsidP="008F357D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8F357D">
              <w:rPr>
                <w:sz w:val="18"/>
                <w:szCs w:val="18"/>
                <w:lang w:eastAsia="en-GB"/>
              </w:rPr>
              <w:t>1964</w:t>
            </w:r>
          </w:p>
        </w:tc>
      </w:tr>
      <w:tr w:rsidR="000A67F1" w:rsidRPr="00336874" w:rsidTr="008F3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767" w:type="dxa"/>
            <w:shd w:val="clear" w:color="auto" w:fill="auto"/>
          </w:tcPr>
          <w:p w:rsidR="000A67F1" w:rsidRPr="008F357D" w:rsidRDefault="000A67F1" w:rsidP="008F357D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8F357D">
              <w:rPr>
                <w:sz w:val="18"/>
                <w:szCs w:val="18"/>
              </w:rPr>
              <w:t>Международная конвенция о ликвидации всех форм расовой дискриминации</w:t>
            </w:r>
            <w:r w:rsidRPr="008F357D">
              <w:rPr>
                <w:sz w:val="18"/>
                <w:szCs w:val="18"/>
                <w:lang w:eastAsia="en-GB"/>
              </w:rPr>
              <w:t xml:space="preserve"> (1966 год)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0A67F1" w:rsidRPr="008F357D" w:rsidRDefault="000A67F1" w:rsidP="008F357D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8F357D">
              <w:rPr>
                <w:sz w:val="18"/>
                <w:szCs w:val="18"/>
                <w:lang w:eastAsia="en-GB"/>
              </w:rPr>
              <w:t>1969</w:t>
            </w:r>
          </w:p>
        </w:tc>
      </w:tr>
      <w:tr w:rsidR="000A67F1" w:rsidRPr="00336874" w:rsidTr="008F3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767" w:type="dxa"/>
            <w:shd w:val="clear" w:color="auto" w:fill="auto"/>
          </w:tcPr>
          <w:p w:rsidR="000A67F1" w:rsidRPr="008F357D" w:rsidRDefault="000A67F1" w:rsidP="008F357D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8F357D">
              <w:rPr>
                <w:sz w:val="18"/>
                <w:szCs w:val="18"/>
              </w:rPr>
              <w:t>Международный пакт о гражданских и политических правах</w:t>
            </w:r>
            <w:r w:rsidRPr="008F357D">
              <w:rPr>
                <w:sz w:val="18"/>
                <w:szCs w:val="18"/>
                <w:lang w:eastAsia="en-GB"/>
              </w:rPr>
              <w:t xml:space="preserve"> </w:t>
            </w:r>
            <w:r w:rsidRPr="008F357D">
              <w:rPr>
                <w:sz w:val="18"/>
                <w:szCs w:val="18"/>
                <w:lang w:eastAsia="en-GB"/>
              </w:rPr>
              <w:br/>
              <w:t>(1966 год)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0A67F1" w:rsidRPr="008F357D" w:rsidRDefault="000A67F1" w:rsidP="008F357D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8F357D">
              <w:rPr>
                <w:sz w:val="18"/>
                <w:szCs w:val="18"/>
                <w:lang w:eastAsia="en-GB"/>
              </w:rPr>
              <w:t>1974</w:t>
            </w:r>
          </w:p>
        </w:tc>
      </w:tr>
      <w:tr w:rsidR="000A67F1" w:rsidRPr="00336874" w:rsidTr="008F3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767" w:type="dxa"/>
            <w:shd w:val="clear" w:color="auto" w:fill="auto"/>
          </w:tcPr>
          <w:p w:rsidR="000A67F1" w:rsidRPr="008F357D" w:rsidRDefault="000A67F1" w:rsidP="008F357D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8F357D">
              <w:rPr>
                <w:sz w:val="18"/>
                <w:szCs w:val="18"/>
              </w:rPr>
              <w:t>Международный пакт об экономических, социальных и</w:t>
            </w:r>
            <w:r w:rsidRPr="008F357D">
              <w:rPr>
                <w:sz w:val="18"/>
                <w:szCs w:val="18"/>
                <w:lang w:val="en-US"/>
              </w:rPr>
              <w:t> </w:t>
            </w:r>
            <w:r w:rsidRPr="008F357D">
              <w:rPr>
                <w:sz w:val="18"/>
                <w:szCs w:val="18"/>
              </w:rPr>
              <w:t>культурных правах</w:t>
            </w:r>
            <w:r w:rsidRPr="008F357D">
              <w:rPr>
                <w:sz w:val="18"/>
                <w:szCs w:val="18"/>
                <w:lang w:eastAsia="en-GB"/>
              </w:rPr>
              <w:t xml:space="preserve"> (1966 год)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0A67F1" w:rsidRPr="008F357D" w:rsidRDefault="000A67F1" w:rsidP="008F357D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8F357D">
              <w:rPr>
                <w:sz w:val="18"/>
                <w:szCs w:val="18"/>
                <w:lang w:eastAsia="en-GB"/>
              </w:rPr>
              <w:t>1974</w:t>
            </w:r>
          </w:p>
        </w:tc>
      </w:tr>
      <w:tr w:rsidR="000A67F1" w:rsidRPr="00336874" w:rsidTr="008F3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767" w:type="dxa"/>
            <w:shd w:val="clear" w:color="auto" w:fill="auto"/>
          </w:tcPr>
          <w:p w:rsidR="000A67F1" w:rsidRPr="008F357D" w:rsidRDefault="000A67F1" w:rsidP="008F357D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8F357D">
              <w:rPr>
                <w:sz w:val="18"/>
                <w:szCs w:val="18"/>
              </w:rPr>
              <w:t>Конвенция о ликвидации всех форм дискриминации в</w:t>
            </w:r>
            <w:r w:rsidRPr="008F357D">
              <w:rPr>
                <w:sz w:val="18"/>
                <w:szCs w:val="18"/>
                <w:lang w:val="en-US"/>
              </w:rPr>
              <w:t> </w:t>
            </w:r>
            <w:r w:rsidRPr="008F357D">
              <w:rPr>
                <w:sz w:val="18"/>
                <w:szCs w:val="18"/>
              </w:rPr>
              <w:t>отношении женщин</w:t>
            </w:r>
            <w:r w:rsidRPr="008F357D">
              <w:rPr>
                <w:sz w:val="18"/>
                <w:szCs w:val="18"/>
                <w:lang w:eastAsia="en-GB"/>
              </w:rPr>
              <w:t xml:space="preserve"> (1979 год)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0A67F1" w:rsidRPr="008F357D" w:rsidRDefault="000A67F1" w:rsidP="008F357D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8F357D">
              <w:rPr>
                <w:sz w:val="18"/>
                <w:szCs w:val="18"/>
                <w:lang w:eastAsia="en-GB"/>
              </w:rPr>
              <w:t>1981</w:t>
            </w:r>
          </w:p>
        </w:tc>
      </w:tr>
      <w:tr w:rsidR="000A67F1" w:rsidRPr="00336874" w:rsidTr="008F3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767" w:type="dxa"/>
            <w:shd w:val="clear" w:color="auto" w:fill="auto"/>
          </w:tcPr>
          <w:p w:rsidR="000A67F1" w:rsidRPr="008F357D" w:rsidRDefault="000A67F1" w:rsidP="008F357D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8F357D">
              <w:rPr>
                <w:sz w:val="18"/>
                <w:szCs w:val="18"/>
              </w:rPr>
              <w:t>Конвенция о правах ребенка</w:t>
            </w:r>
            <w:r w:rsidRPr="008F357D">
              <w:rPr>
                <w:sz w:val="18"/>
                <w:szCs w:val="18"/>
                <w:lang w:eastAsia="en-GB"/>
              </w:rPr>
              <w:t xml:space="preserve"> и Факультативный протокол к ней </w:t>
            </w:r>
            <w:r w:rsidR="000028CD" w:rsidRPr="000028CD">
              <w:rPr>
                <w:sz w:val="18"/>
                <w:szCs w:val="18"/>
                <w:lang w:eastAsia="en-GB"/>
              </w:rPr>
              <w:br/>
            </w:r>
            <w:r w:rsidRPr="008F357D">
              <w:rPr>
                <w:sz w:val="18"/>
                <w:szCs w:val="18"/>
                <w:lang w:eastAsia="en-GB"/>
              </w:rPr>
              <w:t>(1990 год)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0A67F1" w:rsidRPr="008F357D" w:rsidRDefault="000A67F1" w:rsidP="008F357D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8F357D">
              <w:rPr>
                <w:sz w:val="18"/>
                <w:szCs w:val="18"/>
                <w:lang w:eastAsia="en-GB"/>
              </w:rPr>
              <w:t>1990</w:t>
            </w:r>
          </w:p>
        </w:tc>
      </w:tr>
      <w:tr w:rsidR="000A67F1" w:rsidRPr="00336874" w:rsidTr="008F3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767" w:type="dxa"/>
            <w:shd w:val="clear" w:color="auto" w:fill="auto"/>
          </w:tcPr>
          <w:p w:rsidR="000A67F1" w:rsidRPr="008F357D" w:rsidRDefault="000A67F1" w:rsidP="008F357D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8F357D">
              <w:rPr>
                <w:sz w:val="18"/>
                <w:szCs w:val="18"/>
                <w:lang w:eastAsia="en-GB"/>
              </w:rPr>
              <w:t xml:space="preserve">Факультативный протокол к </w:t>
            </w:r>
            <w:r w:rsidRPr="008F357D">
              <w:rPr>
                <w:sz w:val="18"/>
                <w:szCs w:val="18"/>
              </w:rPr>
              <w:t>Международному пакту о</w:t>
            </w:r>
            <w:r w:rsidRPr="008F357D">
              <w:rPr>
                <w:sz w:val="18"/>
                <w:szCs w:val="18"/>
                <w:lang w:val="en-US"/>
              </w:rPr>
              <w:t> </w:t>
            </w:r>
            <w:r w:rsidRPr="008F357D">
              <w:rPr>
                <w:sz w:val="18"/>
                <w:szCs w:val="18"/>
              </w:rPr>
              <w:t>гражданских и</w:t>
            </w:r>
            <w:r w:rsidRPr="008F357D">
              <w:rPr>
                <w:sz w:val="18"/>
                <w:szCs w:val="18"/>
                <w:lang w:val="en-US"/>
              </w:rPr>
              <w:t> </w:t>
            </w:r>
            <w:r w:rsidRPr="008F357D">
              <w:rPr>
                <w:sz w:val="18"/>
                <w:szCs w:val="18"/>
              </w:rPr>
              <w:t>политических правах</w:t>
            </w:r>
            <w:r w:rsidRPr="008F357D">
              <w:rPr>
                <w:sz w:val="18"/>
                <w:szCs w:val="18"/>
                <w:lang w:eastAsia="en-GB"/>
              </w:rPr>
              <w:t xml:space="preserve"> (1976 год)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0A67F1" w:rsidRPr="008F357D" w:rsidRDefault="000A67F1" w:rsidP="008F357D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8F357D">
              <w:rPr>
                <w:sz w:val="18"/>
                <w:szCs w:val="18"/>
                <w:lang w:eastAsia="en-GB"/>
              </w:rPr>
              <w:t>1991</w:t>
            </w:r>
          </w:p>
        </w:tc>
      </w:tr>
      <w:tr w:rsidR="000A67F1" w:rsidRPr="00336874" w:rsidTr="008F3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767" w:type="dxa"/>
            <w:shd w:val="clear" w:color="auto" w:fill="auto"/>
          </w:tcPr>
          <w:p w:rsidR="000A67F1" w:rsidRPr="008F357D" w:rsidRDefault="000A67F1" w:rsidP="008F357D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8F357D">
              <w:rPr>
                <w:sz w:val="18"/>
                <w:szCs w:val="18"/>
              </w:rPr>
              <w:t>Конвенция о</w:t>
            </w:r>
            <w:r w:rsidRPr="008F357D">
              <w:rPr>
                <w:sz w:val="18"/>
                <w:szCs w:val="18"/>
                <w:lang w:eastAsia="en-GB"/>
              </w:rPr>
              <w:t xml:space="preserve"> согласии на вступление в брак, минимальном брачном возрасте и регистрации браков (1962 год)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0A67F1" w:rsidRPr="008F357D" w:rsidRDefault="000A67F1" w:rsidP="008F357D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8F357D">
              <w:rPr>
                <w:sz w:val="18"/>
                <w:szCs w:val="18"/>
                <w:lang w:eastAsia="en-GB"/>
              </w:rPr>
              <w:t>1991</w:t>
            </w:r>
          </w:p>
        </w:tc>
      </w:tr>
      <w:tr w:rsidR="000A67F1" w:rsidRPr="00336874" w:rsidTr="008F3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767" w:type="dxa"/>
            <w:shd w:val="clear" w:color="auto" w:fill="auto"/>
          </w:tcPr>
          <w:p w:rsidR="000A67F1" w:rsidRPr="008F357D" w:rsidRDefault="000A67F1" w:rsidP="008F357D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8F357D">
              <w:rPr>
                <w:sz w:val="18"/>
                <w:szCs w:val="18"/>
              </w:rPr>
              <w:t>Конвенция о защите детей и сотрудничестве в вопросах международного ус</w:t>
            </w:r>
            <w:r w:rsidRPr="008F357D">
              <w:rPr>
                <w:sz w:val="18"/>
                <w:szCs w:val="18"/>
              </w:rPr>
              <w:t>ы</w:t>
            </w:r>
            <w:r w:rsidRPr="008F357D">
              <w:rPr>
                <w:sz w:val="18"/>
                <w:szCs w:val="18"/>
              </w:rPr>
              <w:t>новления/удочерения</w:t>
            </w:r>
            <w:r w:rsidRPr="008F357D">
              <w:rPr>
                <w:sz w:val="18"/>
                <w:szCs w:val="18"/>
                <w:lang w:eastAsia="en-GB"/>
              </w:rPr>
              <w:t xml:space="preserve"> (1993 год)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0A67F1" w:rsidRPr="008F357D" w:rsidRDefault="000A67F1" w:rsidP="008F357D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8F357D">
              <w:rPr>
                <w:sz w:val="18"/>
                <w:szCs w:val="18"/>
                <w:lang w:eastAsia="en-GB"/>
              </w:rPr>
              <w:t>1998</w:t>
            </w:r>
          </w:p>
        </w:tc>
      </w:tr>
      <w:tr w:rsidR="000A67F1" w:rsidRPr="00336874" w:rsidTr="008F3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767" w:type="dxa"/>
            <w:shd w:val="clear" w:color="auto" w:fill="auto"/>
          </w:tcPr>
          <w:p w:rsidR="000A67F1" w:rsidRPr="008F357D" w:rsidRDefault="000A67F1" w:rsidP="008F357D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8F357D">
              <w:rPr>
                <w:sz w:val="18"/>
                <w:szCs w:val="18"/>
              </w:rPr>
              <w:t>Конвенция против пыток и других жест</w:t>
            </w:r>
            <w:r w:rsidRPr="008F357D">
              <w:rPr>
                <w:sz w:val="18"/>
                <w:szCs w:val="18"/>
              </w:rPr>
              <w:t>о</w:t>
            </w:r>
            <w:r w:rsidRPr="008F357D">
              <w:rPr>
                <w:sz w:val="18"/>
                <w:szCs w:val="18"/>
              </w:rPr>
              <w:t>ких, бесчеловечных или унижающих до</w:t>
            </w:r>
            <w:r w:rsidRPr="008F357D">
              <w:rPr>
                <w:sz w:val="18"/>
                <w:szCs w:val="18"/>
              </w:rPr>
              <w:t>с</w:t>
            </w:r>
            <w:r w:rsidRPr="008F357D">
              <w:rPr>
                <w:sz w:val="18"/>
                <w:szCs w:val="18"/>
              </w:rPr>
              <w:t>тоинство видов обращения и наказания</w:t>
            </w:r>
            <w:r w:rsidRPr="008F357D">
              <w:rPr>
                <w:sz w:val="18"/>
                <w:szCs w:val="18"/>
                <w:lang w:eastAsia="en-GB"/>
              </w:rPr>
              <w:t xml:space="preserve"> (1984 год)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0A67F1" w:rsidRPr="008F357D" w:rsidRDefault="000A67F1" w:rsidP="008F357D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8F357D">
              <w:rPr>
                <w:sz w:val="18"/>
                <w:szCs w:val="18"/>
                <w:lang w:eastAsia="en-GB"/>
              </w:rPr>
              <w:t>2000</w:t>
            </w:r>
          </w:p>
        </w:tc>
      </w:tr>
      <w:tr w:rsidR="000A67F1" w:rsidRPr="00336874" w:rsidTr="008F3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767" w:type="dxa"/>
            <w:shd w:val="clear" w:color="auto" w:fill="auto"/>
          </w:tcPr>
          <w:p w:rsidR="000A67F1" w:rsidRPr="008F357D" w:rsidRDefault="000A67F1" w:rsidP="008F357D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8F357D">
              <w:rPr>
                <w:sz w:val="18"/>
                <w:szCs w:val="18"/>
                <w:lang w:eastAsia="en-GB"/>
              </w:rPr>
              <w:t xml:space="preserve">Факультативный протокол к </w:t>
            </w:r>
            <w:r w:rsidRPr="008F357D">
              <w:rPr>
                <w:sz w:val="18"/>
                <w:szCs w:val="18"/>
              </w:rPr>
              <w:t>Конвенции о правах ребенка</w:t>
            </w:r>
            <w:r w:rsidRPr="008F357D">
              <w:rPr>
                <w:sz w:val="18"/>
                <w:szCs w:val="18"/>
                <w:lang w:eastAsia="en-GB"/>
              </w:rPr>
              <w:t>, касающийся торговли детьми, детской проституции и детской порнографии (2000 год)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0A67F1" w:rsidRPr="008F357D" w:rsidRDefault="000A67F1" w:rsidP="008F357D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8F357D">
              <w:rPr>
                <w:sz w:val="18"/>
                <w:szCs w:val="18"/>
                <w:lang w:eastAsia="en-GB"/>
              </w:rPr>
              <w:t>2003</w:t>
            </w:r>
          </w:p>
        </w:tc>
      </w:tr>
      <w:tr w:rsidR="000A67F1" w:rsidRPr="00336874" w:rsidTr="008F3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767" w:type="dxa"/>
            <w:shd w:val="clear" w:color="auto" w:fill="auto"/>
          </w:tcPr>
          <w:p w:rsidR="000A67F1" w:rsidRPr="008F357D" w:rsidRDefault="000A67F1" w:rsidP="008F357D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8F357D">
              <w:rPr>
                <w:sz w:val="18"/>
                <w:szCs w:val="18"/>
                <w:lang w:eastAsia="en-GB"/>
              </w:rPr>
              <w:t xml:space="preserve">Факультативный протокол к </w:t>
            </w:r>
            <w:r w:rsidRPr="008F357D">
              <w:rPr>
                <w:sz w:val="18"/>
                <w:szCs w:val="18"/>
              </w:rPr>
              <w:t>Конвенции о правах ребенка, касающийся</w:t>
            </w:r>
            <w:r w:rsidRPr="008F357D">
              <w:rPr>
                <w:sz w:val="18"/>
                <w:szCs w:val="18"/>
                <w:lang w:eastAsia="en-GB"/>
              </w:rPr>
              <w:t xml:space="preserve"> участия детей в вооруженных конфликтах (2000 год)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0A67F1" w:rsidRPr="008F357D" w:rsidRDefault="000A67F1" w:rsidP="008F357D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8F357D">
              <w:rPr>
                <w:sz w:val="18"/>
                <w:szCs w:val="18"/>
                <w:lang w:eastAsia="en-GB"/>
              </w:rPr>
              <w:t>2004</w:t>
            </w:r>
          </w:p>
        </w:tc>
      </w:tr>
      <w:tr w:rsidR="000A67F1" w:rsidRPr="00336874" w:rsidTr="008F3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5767" w:type="dxa"/>
            <w:shd w:val="clear" w:color="auto" w:fill="auto"/>
          </w:tcPr>
          <w:p w:rsidR="000A67F1" w:rsidRPr="008F357D" w:rsidRDefault="000A67F1" w:rsidP="008F357D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8F357D">
              <w:rPr>
                <w:sz w:val="18"/>
                <w:szCs w:val="18"/>
                <w:lang w:eastAsia="en-GB"/>
              </w:rPr>
              <w:t>Конвенция о правах инвалидов (2006 год)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0A67F1" w:rsidRPr="008F357D" w:rsidRDefault="000A67F1" w:rsidP="008F357D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8F357D">
              <w:rPr>
                <w:sz w:val="18"/>
                <w:szCs w:val="18"/>
                <w:lang w:eastAsia="en-GB"/>
              </w:rPr>
              <w:t>2009</w:t>
            </w:r>
          </w:p>
        </w:tc>
      </w:tr>
      <w:tr w:rsidR="000A67F1" w:rsidRPr="00336874" w:rsidTr="008F3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767" w:type="dxa"/>
            <w:shd w:val="clear" w:color="auto" w:fill="auto"/>
          </w:tcPr>
          <w:p w:rsidR="000A67F1" w:rsidRPr="008F357D" w:rsidRDefault="000A67F1" w:rsidP="008F357D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8F357D">
              <w:rPr>
                <w:sz w:val="18"/>
                <w:szCs w:val="18"/>
                <w:lang w:eastAsia="en-GB"/>
              </w:rPr>
              <w:t xml:space="preserve">Факультативный протокол к </w:t>
            </w:r>
            <w:r w:rsidRPr="008F357D">
              <w:rPr>
                <w:sz w:val="18"/>
                <w:szCs w:val="18"/>
              </w:rPr>
              <w:t>Конвенции</w:t>
            </w:r>
            <w:r w:rsidRPr="008F357D">
              <w:rPr>
                <w:sz w:val="18"/>
                <w:szCs w:val="18"/>
                <w:lang w:eastAsia="en-GB"/>
              </w:rPr>
              <w:t xml:space="preserve"> о правах инвалидов </w:t>
            </w:r>
            <w:r w:rsidR="000028CD" w:rsidRPr="000028CD">
              <w:rPr>
                <w:sz w:val="18"/>
                <w:szCs w:val="18"/>
                <w:lang w:eastAsia="en-GB"/>
              </w:rPr>
              <w:br/>
            </w:r>
            <w:r w:rsidRPr="008F357D">
              <w:rPr>
                <w:sz w:val="18"/>
                <w:szCs w:val="18"/>
                <w:lang w:eastAsia="en-GB"/>
              </w:rPr>
              <w:t>(2006 год)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0A67F1" w:rsidRPr="008F357D" w:rsidRDefault="000A67F1" w:rsidP="008F357D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8F357D">
              <w:rPr>
                <w:sz w:val="18"/>
                <w:szCs w:val="18"/>
                <w:lang w:eastAsia="en-GB"/>
              </w:rPr>
              <w:t>2009</w:t>
            </w:r>
          </w:p>
        </w:tc>
      </w:tr>
      <w:tr w:rsidR="000A67F1" w:rsidRPr="00336874" w:rsidTr="008F3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767" w:type="dxa"/>
            <w:tcBorders>
              <w:bottom w:val="single" w:sz="12" w:space="0" w:color="auto"/>
            </w:tcBorders>
            <w:shd w:val="clear" w:color="auto" w:fill="auto"/>
          </w:tcPr>
          <w:p w:rsidR="000A67F1" w:rsidRPr="008F357D" w:rsidRDefault="000A67F1" w:rsidP="008F357D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8F357D">
              <w:rPr>
                <w:sz w:val="18"/>
                <w:szCs w:val="18"/>
                <w:lang w:eastAsia="en-GB"/>
              </w:rPr>
              <w:t xml:space="preserve">Факультативный протокол к </w:t>
            </w:r>
            <w:r w:rsidRPr="008F357D">
              <w:rPr>
                <w:sz w:val="18"/>
                <w:szCs w:val="18"/>
              </w:rPr>
              <w:t>Международному пакту</w:t>
            </w:r>
            <w:r w:rsidRPr="008F357D">
              <w:rPr>
                <w:sz w:val="18"/>
                <w:szCs w:val="18"/>
                <w:lang w:eastAsia="en-GB"/>
              </w:rPr>
              <w:t xml:space="preserve"> </w:t>
            </w:r>
            <w:r w:rsidRPr="008F357D">
              <w:rPr>
                <w:sz w:val="18"/>
                <w:szCs w:val="18"/>
              </w:rPr>
              <w:t>об</w:t>
            </w:r>
            <w:r w:rsidRPr="008F357D">
              <w:rPr>
                <w:sz w:val="18"/>
                <w:szCs w:val="18"/>
                <w:lang w:val="en-US"/>
              </w:rPr>
              <w:t> </w:t>
            </w:r>
            <w:r w:rsidRPr="008F357D">
              <w:rPr>
                <w:sz w:val="18"/>
                <w:szCs w:val="18"/>
              </w:rPr>
              <w:t>экономических, социальных и культурных правах</w:t>
            </w:r>
            <w:r w:rsidRPr="008F357D">
              <w:rPr>
                <w:sz w:val="18"/>
                <w:szCs w:val="18"/>
                <w:lang w:eastAsia="en-GB"/>
              </w:rPr>
              <w:t xml:space="preserve"> (2008 год)</w:t>
            </w:r>
          </w:p>
        </w:tc>
        <w:tc>
          <w:tcPr>
            <w:tcW w:w="160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A67F1" w:rsidRPr="008F357D" w:rsidRDefault="000A67F1" w:rsidP="008F357D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8F357D">
              <w:rPr>
                <w:sz w:val="18"/>
                <w:szCs w:val="18"/>
                <w:lang w:eastAsia="en-GB"/>
              </w:rPr>
              <w:t>2010</w:t>
            </w:r>
          </w:p>
        </w:tc>
      </w:tr>
    </w:tbl>
    <w:p w:rsidR="003F5D42" w:rsidRPr="0002100D" w:rsidRDefault="0002100D" w:rsidP="0002100D">
      <w:pPr>
        <w:pStyle w:val="Heading1"/>
        <w:spacing w:before="240" w:after="120"/>
        <w:ind w:left="1134"/>
        <w:jc w:val="left"/>
      </w:pPr>
      <w:r w:rsidRPr="0002100D">
        <w:rPr>
          <w:b w:val="0"/>
        </w:rPr>
        <w:t>Таблица 2</w:t>
      </w:r>
      <w:r w:rsidRPr="0002100D">
        <w:rPr>
          <w:b w:val="0"/>
        </w:rPr>
        <w:br/>
      </w:r>
      <w:r w:rsidRPr="0002100D">
        <w:t>Конвенции МОТ, ратифицированные Монголией</w:t>
      </w:r>
    </w:p>
    <w:tbl>
      <w:tblPr>
        <w:tblW w:w="0" w:type="auto"/>
        <w:tblInd w:w="1134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67"/>
        <w:gridCol w:w="1605"/>
      </w:tblGrid>
      <w:tr w:rsidR="0002100D" w:rsidRPr="00E46A2F" w:rsidTr="00326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tblHeader/>
        </w:trPr>
        <w:tc>
          <w:tcPr>
            <w:tcW w:w="57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2100D" w:rsidRPr="00E46A2F" w:rsidRDefault="0002100D" w:rsidP="00326250">
            <w:pPr>
              <w:keepNext/>
              <w:suppressAutoHyphens/>
              <w:autoSpaceDE w:val="0"/>
              <w:autoSpaceDN w:val="0"/>
              <w:adjustRightInd w:val="0"/>
              <w:spacing w:before="80" w:after="80" w:line="200" w:lineRule="exact"/>
              <w:rPr>
                <w:i/>
                <w:sz w:val="16"/>
                <w:szCs w:val="24"/>
                <w:lang w:eastAsia="en-GB"/>
              </w:rPr>
            </w:pPr>
            <w:r w:rsidRPr="00E46A2F">
              <w:rPr>
                <w:i/>
                <w:sz w:val="16"/>
                <w:szCs w:val="22"/>
                <w:lang w:eastAsia="en-GB"/>
              </w:rPr>
              <w:t>Названия конвенций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2100D" w:rsidRPr="00E46A2F" w:rsidRDefault="0002100D" w:rsidP="00326250">
            <w:pPr>
              <w:suppressAutoHyphens/>
              <w:autoSpaceDE w:val="0"/>
              <w:autoSpaceDN w:val="0"/>
              <w:adjustRightInd w:val="0"/>
              <w:spacing w:before="80" w:after="80" w:line="200" w:lineRule="exact"/>
              <w:jc w:val="right"/>
              <w:rPr>
                <w:i/>
                <w:sz w:val="16"/>
                <w:szCs w:val="24"/>
                <w:lang w:eastAsia="en-GB"/>
              </w:rPr>
            </w:pPr>
            <w:r w:rsidRPr="00E46A2F">
              <w:rPr>
                <w:i/>
                <w:sz w:val="16"/>
                <w:szCs w:val="22"/>
                <w:lang w:eastAsia="en-GB"/>
              </w:rPr>
              <w:t>Год присоедин</w:t>
            </w:r>
            <w:r w:rsidRPr="00E46A2F">
              <w:rPr>
                <w:i/>
                <w:sz w:val="16"/>
                <w:szCs w:val="22"/>
                <w:lang w:eastAsia="en-GB"/>
              </w:rPr>
              <w:t>е</w:t>
            </w:r>
            <w:r w:rsidRPr="00E46A2F">
              <w:rPr>
                <w:i/>
                <w:sz w:val="16"/>
                <w:szCs w:val="22"/>
                <w:lang w:eastAsia="en-GB"/>
              </w:rPr>
              <w:t>ния/</w:t>
            </w:r>
            <w:r w:rsidRPr="0002100D">
              <w:rPr>
                <w:i/>
                <w:sz w:val="16"/>
                <w:szCs w:val="22"/>
                <w:lang w:eastAsia="en-GB"/>
              </w:rPr>
              <w:br/>
            </w:r>
            <w:r w:rsidRPr="00E46A2F">
              <w:rPr>
                <w:i/>
                <w:sz w:val="16"/>
                <w:szCs w:val="22"/>
                <w:lang w:eastAsia="en-GB"/>
              </w:rPr>
              <w:t>ратификации</w:t>
            </w:r>
          </w:p>
        </w:tc>
      </w:tr>
      <w:tr w:rsidR="0002100D" w:rsidRPr="0002100D" w:rsidTr="00326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767" w:type="dxa"/>
            <w:tcBorders>
              <w:top w:val="single" w:sz="12" w:space="0" w:color="auto"/>
            </w:tcBorders>
            <w:shd w:val="clear" w:color="auto" w:fill="auto"/>
          </w:tcPr>
          <w:p w:rsidR="0002100D" w:rsidRPr="00326250" w:rsidRDefault="0002100D" w:rsidP="00326250">
            <w:pPr>
              <w:keepNext/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326250">
              <w:rPr>
                <w:sz w:val="18"/>
                <w:szCs w:val="18"/>
              </w:rPr>
              <w:t xml:space="preserve">Конвенция </w:t>
            </w:r>
            <w:r w:rsidRPr="00326250">
              <w:rPr>
                <w:bCs/>
                <w:sz w:val="18"/>
                <w:szCs w:val="18"/>
              </w:rPr>
              <w:t>о применении принципов права на объединение в</w:t>
            </w:r>
            <w:r w:rsidRPr="00326250">
              <w:rPr>
                <w:bCs/>
                <w:sz w:val="18"/>
                <w:szCs w:val="18"/>
                <w:lang w:val="en-US"/>
              </w:rPr>
              <w:t> </w:t>
            </w:r>
            <w:r w:rsidRPr="00326250">
              <w:rPr>
                <w:bCs/>
                <w:sz w:val="18"/>
                <w:szCs w:val="18"/>
              </w:rPr>
              <w:t>профсоюзы и на ведение коллективных переговоров</w:t>
            </w:r>
            <w:r w:rsidRPr="00326250">
              <w:rPr>
                <w:sz w:val="18"/>
                <w:szCs w:val="18"/>
                <w:lang w:eastAsia="en-GB"/>
              </w:rPr>
              <w:t xml:space="preserve"> (№ 98)</w:t>
            </w:r>
          </w:p>
        </w:tc>
        <w:tc>
          <w:tcPr>
            <w:tcW w:w="160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2100D" w:rsidRPr="00326250" w:rsidRDefault="0002100D" w:rsidP="00326250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326250">
              <w:rPr>
                <w:sz w:val="18"/>
                <w:szCs w:val="18"/>
                <w:lang w:eastAsia="en-GB"/>
              </w:rPr>
              <w:t>1969</w:t>
            </w:r>
          </w:p>
        </w:tc>
      </w:tr>
      <w:tr w:rsidR="0002100D" w:rsidRPr="0002100D" w:rsidTr="00326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767" w:type="dxa"/>
            <w:shd w:val="clear" w:color="auto" w:fill="auto"/>
          </w:tcPr>
          <w:p w:rsidR="0002100D" w:rsidRPr="00326250" w:rsidRDefault="0002100D" w:rsidP="00326250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326250">
              <w:rPr>
                <w:sz w:val="18"/>
                <w:szCs w:val="18"/>
              </w:rPr>
              <w:t>Конвенция о свободе объединений и защ</w:t>
            </w:r>
            <w:r w:rsidR="00326250">
              <w:rPr>
                <w:sz w:val="18"/>
                <w:szCs w:val="18"/>
              </w:rPr>
              <w:t>ите права объединяться в</w:t>
            </w:r>
            <w:r w:rsidR="00326250">
              <w:rPr>
                <w:sz w:val="18"/>
                <w:szCs w:val="18"/>
                <w:lang w:val="en-US"/>
              </w:rPr>
              <w:t> </w:t>
            </w:r>
            <w:r w:rsidRPr="00326250">
              <w:rPr>
                <w:sz w:val="18"/>
                <w:szCs w:val="18"/>
              </w:rPr>
              <w:t>профсоюзы</w:t>
            </w:r>
            <w:r w:rsidRPr="00326250">
              <w:rPr>
                <w:sz w:val="18"/>
                <w:szCs w:val="18"/>
                <w:lang w:eastAsia="en-GB"/>
              </w:rPr>
              <w:t xml:space="preserve"> (№ 87)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02100D" w:rsidRPr="00326250" w:rsidRDefault="0002100D" w:rsidP="00326250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326250">
              <w:rPr>
                <w:sz w:val="18"/>
                <w:szCs w:val="18"/>
                <w:lang w:eastAsia="en-GB"/>
              </w:rPr>
              <w:t>1969</w:t>
            </w:r>
          </w:p>
        </w:tc>
      </w:tr>
      <w:tr w:rsidR="0002100D" w:rsidRPr="0002100D" w:rsidTr="00326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767" w:type="dxa"/>
            <w:shd w:val="clear" w:color="auto" w:fill="auto"/>
          </w:tcPr>
          <w:p w:rsidR="0002100D" w:rsidRPr="00326250" w:rsidRDefault="0002100D" w:rsidP="00326250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326250">
              <w:rPr>
                <w:sz w:val="18"/>
                <w:szCs w:val="18"/>
              </w:rPr>
              <w:t>Конвенция о равном вознаграждении</w:t>
            </w:r>
            <w:r w:rsidRPr="00326250">
              <w:rPr>
                <w:sz w:val="18"/>
                <w:szCs w:val="18"/>
                <w:lang w:eastAsia="en-GB"/>
              </w:rPr>
              <w:t xml:space="preserve"> (№ 100)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02100D" w:rsidRPr="00326250" w:rsidRDefault="0002100D" w:rsidP="00326250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326250">
              <w:rPr>
                <w:sz w:val="18"/>
                <w:szCs w:val="18"/>
                <w:lang w:eastAsia="en-GB"/>
              </w:rPr>
              <w:t>1969</w:t>
            </w:r>
          </w:p>
        </w:tc>
      </w:tr>
      <w:tr w:rsidR="0002100D" w:rsidRPr="0002100D" w:rsidTr="00326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767" w:type="dxa"/>
            <w:shd w:val="clear" w:color="auto" w:fill="auto"/>
          </w:tcPr>
          <w:p w:rsidR="0002100D" w:rsidRPr="00326250" w:rsidRDefault="0002100D" w:rsidP="00326250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326250">
              <w:rPr>
                <w:sz w:val="18"/>
                <w:szCs w:val="18"/>
              </w:rPr>
              <w:t>Конвенция о дискриминации в области труда и занятий</w:t>
            </w:r>
            <w:r w:rsidRPr="00326250">
              <w:rPr>
                <w:sz w:val="18"/>
                <w:szCs w:val="18"/>
                <w:lang w:eastAsia="en-GB"/>
              </w:rPr>
              <w:t xml:space="preserve"> (№ 111)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02100D" w:rsidRPr="00326250" w:rsidRDefault="0002100D" w:rsidP="00326250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326250">
              <w:rPr>
                <w:sz w:val="18"/>
                <w:szCs w:val="18"/>
                <w:lang w:eastAsia="en-GB"/>
              </w:rPr>
              <w:t>1969</w:t>
            </w:r>
          </w:p>
        </w:tc>
      </w:tr>
      <w:tr w:rsidR="0002100D" w:rsidRPr="0002100D" w:rsidTr="00326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767" w:type="dxa"/>
            <w:shd w:val="clear" w:color="auto" w:fill="auto"/>
          </w:tcPr>
          <w:p w:rsidR="0002100D" w:rsidRPr="00326250" w:rsidRDefault="0002100D" w:rsidP="00326250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326250">
              <w:rPr>
                <w:bCs/>
                <w:sz w:val="18"/>
                <w:szCs w:val="18"/>
              </w:rPr>
              <w:t>Конвенция о защите прав представителей трудящихся на предприятии и предоставляемых им возможностях</w:t>
            </w:r>
            <w:r w:rsidRPr="00326250">
              <w:rPr>
                <w:sz w:val="18"/>
                <w:szCs w:val="18"/>
                <w:lang w:eastAsia="en-GB"/>
              </w:rPr>
              <w:t xml:space="preserve"> (№ 135)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02100D" w:rsidRPr="00326250" w:rsidRDefault="0002100D" w:rsidP="00326250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326250">
              <w:rPr>
                <w:sz w:val="18"/>
                <w:szCs w:val="18"/>
                <w:lang w:eastAsia="en-GB"/>
              </w:rPr>
              <w:t>1974</w:t>
            </w:r>
          </w:p>
        </w:tc>
      </w:tr>
      <w:tr w:rsidR="0002100D" w:rsidRPr="0002100D" w:rsidTr="00326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767" w:type="dxa"/>
            <w:shd w:val="clear" w:color="auto" w:fill="auto"/>
          </w:tcPr>
          <w:p w:rsidR="0002100D" w:rsidRPr="00326250" w:rsidRDefault="0002100D" w:rsidP="00326250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326250">
              <w:rPr>
                <w:bCs/>
                <w:sz w:val="18"/>
                <w:szCs w:val="18"/>
              </w:rPr>
              <w:t>Конвенция о трехсторонних консультациях</w:t>
            </w:r>
            <w:r w:rsidRPr="00326250">
              <w:rPr>
                <w:sz w:val="18"/>
                <w:szCs w:val="18"/>
                <w:lang w:eastAsia="en-GB"/>
              </w:rPr>
              <w:t xml:space="preserve"> (№ 144)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02100D" w:rsidRPr="00326250" w:rsidRDefault="0002100D" w:rsidP="00326250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326250">
              <w:rPr>
                <w:sz w:val="18"/>
                <w:szCs w:val="18"/>
                <w:lang w:eastAsia="en-GB"/>
              </w:rPr>
              <w:t>1998</w:t>
            </w:r>
          </w:p>
        </w:tc>
      </w:tr>
      <w:tr w:rsidR="0002100D" w:rsidRPr="0002100D" w:rsidTr="00326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767" w:type="dxa"/>
            <w:shd w:val="clear" w:color="auto" w:fill="auto"/>
          </w:tcPr>
          <w:p w:rsidR="0002100D" w:rsidRPr="00326250" w:rsidRDefault="0002100D" w:rsidP="00326250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326250">
              <w:rPr>
                <w:sz w:val="18"/>
                <w:szCs w:val="18"/>
              </w:rPr>
              <w:t>Конвенция о политике в области занят</w:t>
            </w:r>
            <w:r w:rsidRPr="00326250">
              <w:rPr>
                <w:sz w:val="18"/>
                <w:szCs w:val="18"/>
              </w:rPr>
              <w:t>о</w:t>
            </w:r>
            <w:r w:rsidRPr="00326250">
              <w:rPr>
                <w:sz w:val="18"/>
                <w:szCs w:val="18"/>
              </w:rPr>
              <w:t>сти</w:t>
            </w:r>
            <w:r w:rsidRPr="00326250">
              <w:rPr>
                <w:sz w:val="18"/>
                <w:szCs w:val="18"/>
                <w:lang w:eastAsia="en-GB"/>
              </w:rPr>
              <w:t xml:space="preserve"> (№ 122)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02100D" w:rsidRPr="00326250" w:rsidRDefault="0002100D" w:rsidP="00326250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326250">
              <w:rPr>
                <w:sz w:val="18"/>
                <w:szCs w:val="18"/>
                <w:lang w:eastAsia="en-GB"/>
              </w:rPr>
              <w:t>2005</w:t>
            </w:r>
          </w:p>
        </w:tc>
      </w:tr>
      <w:tr w:rsidR="0002100D" w:rsidRPr="0002100D" w:rsidTr="00326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767" w:type="dxa"/>
            <w:shd w:val="clear" w:color="auto" w:fill="auto"/>
          </w:tcPr>
          <w:p w:rsidR="0002100D" w:rsidRPr="00326250" w:rsidRDefault="0002100D" w:rsidP="00326250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326250">
              <w:rPr>
                <w:sz w:val="18"/>
                <w:szCs w:val="18"/>
              </w:rPr>
              <w:t>Конвенция о принудительном</w:t>
            </w:r>
            <w:r w:rsidRPr="00326250">
              <w:rPr>
                <w:sz w:val="18"/>
                <w:szCs w:val="18"/>
                <w:lang w:eastAsia="en-GB"/>
              </w:rPr>
              <w:t xml:space="preserve"> труде (№ 29)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02100D" w:rsidRPr="00326250" w:rsidRDefault="0002100D" w:rsidP="00326250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326250">
              <w:rPr>
                <w:sz w:val="18"/>
                <w:szCs w:val="18"/>
                <w:lang w:eastAsia="en-GB"/>
              </w:rPr>
              <w:t>2005</w:t>
            </w:r>
          </w:p>
        </w:tc>
      </w:tr>
      <w:tr w:rsidR="0002100D" w:rsidRPr="0002100D" w:rsidTr="00326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767" w:type="dxa"/>
            <w:shd w:val="clear" w:color="auto" w:fill="auto"/>
          </w:tcPr>
          <w:p w:rsidR="0002100D" w:rsidRPr="00326250" w:rsidRDefault="0002100D" w:rsidP="00326250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326250">
              <w:rPr>
                <w:sz w:val="18"/>
                <w:szCs w:val="18"/>
              </w:rPr>
              <w:t>Конвенция об упразднении принудительного труда</w:t>
            </w:r>
            <w:r w:rsidRPr="00326250">
              <w:rPr>
                <w:sz w:val="18"/>
                <w:szCs w:val="18"/>
                <w:lang w:eastAsia="en-GB"/>
              </w:rPr>
              <w:t xml:space="preserve"> (№ 105)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02100D" w:rsidRPr="00326250" w:rsidRDefault="0002100D" w:rsidP="00326250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326250">
              <w:rPr>
                <w:sz w:val="18"/>
                <w:szCs w:val="18"/>
                <w:lang w:eastAsia="en-GB"/>
              </w:rPr>
              <w:t>2005</w:t>
            </w:r>
          </w:p>
        </w:tc>
      </w:tr>
      <w:tr w:rsidR="0002100D" w:rsidRPr="0002100D" w:rsidTr="00326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767" w:type="dxa"/>
            <w:shd w:val="clear" w:color="auto" w:fill="auto"/>
          </w:tcPr>
          <w:p w:rsidR="0002100D" w:rsidRPr="00326250" w:rsidRDefault="0002100D" w:rsidP="00326250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326250">
              <w:rPr>
                <w:sz w:val="18"/>
                <w:szCs w:val="18"/>
                <w:lang w:eastAsia="en-GB"/>
              </w:rPr>
              <w:t>Конвенция о наихудших формах детского труда (№ 182)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02100D" w:rsidRPr="00326250" w:rsidRDefault="0002100D" w:rsidP="00326250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326250">
              <w:rPr>
                <w:sz w:val="18"/>
                <w:szCs w:val="18"/>
                <w:lang w:eastAsia="en-GB"/>
              </w:rPr>
              <w:t>2000</w:t>
            </w:r>
          </w:p>
        </w:tc>
      </w:tr>
      <w:tr w:rsidR="0002100D" w:rsidRPr="0002100D" w:rsidTr="00326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767" w:type="dxa"/>
            <w:shd w:val="clear" w:color="auto" w:fill="auto"/>
          </w:tcPr>
          <w:p w:rsidR="0002100D" w:rsidRPr="00326250" w:rsidRDefault="0002100D" w:rsidP="00326250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326250">
              <w:rPr>
                <w:bCs/>
                <w:sz w:val="18"/>
                <w:szCs w:val="18"/>
              </w:rPr>
              <w:t>Конвенция о безопасности и гигиене труда</w:t>
            </w:r>
            <w:r w:rsidRPr="00326250">
              <w:rPr>
                <w:sz w:val="18"/>
                <w:szCs w:val="18"/>
                <w:lang w:eastAsia="en-GB"/>
              </w:rPr>
              <w:t xml:space="preserve"> (№ 155)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02100D" w:rsidRPr="00326250" w:rsidRDefault="0002100D" w:rsidP="00326250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326250">
              <w:rPr>
                <w:sz w:val="18"/>
                <w:szCs w:val="18"/>
                <w:lang w:eastAsia="en-GB"/>
              </w:rPr>
              <w:t>1998</w:t>
            </w:r>
          </w:p>
        </w:tc>
      </w:tr>
      <w:tr w:rsidR="0002100D" w:rsidRPr="0002100D" w:rsidTr="00326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767" w:type="dxa"/>
            <w:shd w:val="clear" w:color="auto" w:fill="auto"/>
          </w:tcPr>
          <w:p w:rsidR="0002100D" w:rsidRPr="00326250" w:rsidRDefault="0002100D" w:rsidP="00326250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326250">
              <w:rPr>
                <w:bCs/>
                <w:sz w:val="18"/>
                <w:szCs w:val="18"/>
              </w:rPr>
              <w:t>Конвенция о профессиональной реабилитации и занятости инвалидов</w:t>
            </w:r>
            <w:r w:rsidRPr="00326250">
              <w:rPr>
                <w:sz w:val="18"/>
                <w:szCs w:val="18"/>
                <w:lang w:eastAsia="en-GB"/>
              </w:rPr>
              <w:t xml:space="preserve"> (№ 159)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02100D" w:rsidRPr="00326250" w:rsidRDefault="0002100D" w:rsidP="00326250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326250">
              <w:rPr>
                <w:sz w:val="18"/>
                <w:szCs w:val="18"/>
                <w:lang w:eastAsia="en-GB"/>
              </w:rPr>
              <w:t>2002</w:t>
            </w:r>
          </w:p>
        </w:tc>
      </w:tr>
      <w:tr w:rsidR="0002100D" w:rsidRPr="0002100D" w:rsidTr="00326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767" w:type="dxa"/>
            <w:shd w:val="clear" w:color="auto" w:fill="auto"/>
          </w:tcPr>
          <w:p w:rsidR="0002100D" w:rsidRPr="00326250" w:rsidRDefault="0002100D" w:rsidP="00326250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326250">
              <w:rPr>
                <w:bCs/>
                <w:sz w:val="18"/>
                <w:szCs w:val="18"/>
              </w:rPr>
              <w:t>Конвенция о минимальном возрасте</w:t>
            </w:r>
            <w:r w:rsidRPr="00326250">
              <w:rPr>
                <w:sz w:val="18"/>
                <w:szCs w:val="18"/>
                <w:lang w:eastAsia="en-GB"/>
              </w:rPr>
              <w:t xml:space="preserve"> (№ 138)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02100D" w:rsidRPr="00326250" w:rsidRDefault="0002100D" w:rsidP="00326250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326250">
              <w:rPr>
                <w:sz w:val="18"/>
                <w:szCs w:val="18"/>
                <w:lang w:eastAsia="en-GB"/>
              </w:rPr>
              <w:t>1981</w:t>
            </w:r>
          </w:p>
        </w:tc>
      </w:tr>
      <w:tr w:rsidR="0002100D" w:rsidRPr="0002100D" w:rsidTr="00326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767" w:type="dxa"/>
            <w:shd w:val="clear" w:color="auto" w:fill="auto"/>
          </w:tcPr>
          <w:p w:rsidR="0002100D" w:rsidRPr="00326250" w:rsidRDefault="0002100D" w:rsidP="00326250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  <w:r w:rsidRPr="00326250">
              <w:rPr>
                <w:sz w:val="18"/>
                <w:szCs w:val="18"/>
              </w:rPr>
              <w:t>Конвенция о минимальном возрасте допуска на подземные работы (</w:t>
            </w:r>
            <w:r w:rsidRPr="00326250">
              <w:rPr>
                <w:sz w:val="18"/>
                <w:szCs w:val="18"/>
                <w:lang w:eastAsia="en-GB"/>
              </w:rPr>
              <w:t xml:space="preserve">№ </w:t>
            </w:r>
            <w:r w:rsidRPr="00326250">
              <w:rPr>
                <w:sz w:val="18"/>
                <w:szCs w:val="18"/>
              </w:rPr>
              <w:t>123)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02100D" w:rsidRPr="00326250" w:rsidRDefault="0002100D" w:rsidP="00326250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26250">
              <w:rPr>
                <w:sz w:val="18"/>
                <w:szCs w:val="18"/>
              </w:rPr>
              <w:t>1981</w:t>
            </w:r>
          </w:p>
        </w:tc>
      </w:tr>
      <w:tr w:rsidR="0002100D" w:rsidRPr="0002100D" w:rsidTr="00326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767" w:type="dxa"/>
            <w:tcBorders>
              <w:bottom w:val="single" w:sz="12" w:space="0" w:color="auto"/>
            </w:tcBorders>
            <w:shd w:val="clear" w:color="auto" w:fill="auto"/>
          </w:tcPr>
          <w:p w:rsidR="0002100D" w:rsidRPr="00326250" w:rsidRDefault="0002100D" w:rsidP="00326250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  <w:r w:rsidRPr="00326250">
              <w:rPr>
                <w:bCs/>
                <w:sz w:val="18"/>
                <w:szCs w:val="18"/>
              </w:rPr>
              <w:t>Конвенция об охране материнства</w:t>
            </w:r>
            <w:r w:rsidRPr="00326250">
              <w:rPr>
                <w:sz w:val="18"/>
                <w:szCs w:val="18"/>
              </w:rPr>
              <w:t xml:space="preserve"> (</w:t>
            </w:r>
            <w:r w:rsidRPr="00326250">
              <w:rPr>
                <w:sz w:val="18"/>
                <w:szCs w:val="18"/>
                <w:lang w:eastAsia="en-GB"/>
              </w:rPr>
              <w:t xml:space="preserve">№ </w:t>
            </w:r>
            <w:r w:rsidRPr="00326250">
              <w:rPr>
                <w:sz w:val="18"/>
                <w:szCs w:val="18"/>
              </w:rPr>
              <w:t>103)</w:t>
            </w:r>
          </w:p>
        </w:tc>
        <w:tc>
          <w:tcPr>
            <w:tcW w:w="160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2100D" w:rsidRPr="00326250" w:rsidRDefault="0002100D" w:rsidP="00326250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26250">
              <w:rPr>
                <w:sz w:val="18"/>
                <w:szCs w:val="18"/>
              </w:rPr>
              <w:t>1969</w:t>
            </w:r>
          </w:p>
        </w:tc>
      </w:tr>
    </w:tbl>
    <w:p w:rsidR="00F0273C" w:rsidRPr="00F0273C" w:rsidRDefault="00F0273C" w:rsidP="00F0273C">
      <w:pPr>
        <w:pStyle w:val="H4GR"/>
        <w:spacing w:before="240"/>
      </w:pPr>
      <w:r>
        <w:rPr>
          <w:lang w:val="en-US"/>
        </w:rPr>
        <w:tab/>
      </w:r>
      <w:r>
        <w:rPr>
          <w:lang w:val="en-US"/>
        </w:rPr>
        <w:tab/>
      </w:r>
      <w:r w:rsidRPr="00F0273C">
        <w:t>Отражение вопросов защиты прав человека в национальном законодательстве</w:t>
      </w:r>
    </w:p>
    <w:p w:rsidR="00F0273C" w:rsidRPr="00F0273C" w:rsidRDefault="00F0273C" w:rsidP="00F0273C">
      <w:pPr>
        <w:pStyle w:val="SingleTxtGR"/>
      </w:pPr>
      <w:r w:rsidRPr="00F0273C">
        <w:t>30.</w:t>
      </w:r>
      <w:r w:rsidRPr="00F0273C">
        <w:tab/>
        <w:t>Конституция Монголии содержит отдельную главу, посвященную правам и свободам монгольских граждан, включая право на жизнь (16), право на св</w:t>
      </w:r>
      <w:r w:rsidRPr="00F0273C">
        <w:t>о</w:t>
      </w:r>
      <w:r w:rsidRPr="00F0273C">
        <w:t>бодный выбор профессии, на обеспечение благоприятных условий труда, на п</w:t>
      </w:r>
      <w:r w:rsidRPr="00F0273C">
        <w:t>о</w:t>
      </w:r>
      <w:r w:rsidRPr="00F0273C">
        <w:t>лучение заработной платы, на отдых (16-4), право на материальную и финанс</w:t>
      </w:r>
      <w:r w:rsidRPr="00F0273C">
        <w:t>о</w:t>
      </w:r>
      <w:r w:rsidRPr="00F0273C">
        <w:t>вую п</w:t>
      </w:r>
      <w:r w:rsidRPr="00F0273C">
        <w:t>о</w:t>
      </w:r>
      <w:r w:rsidRPr="00F0273C">
        <w:t>мощь в старости, в случае нетрудоспособности, при рождении ребенка и для ухода за ним и в других случаях, предусмотренных законом (16-5), право на защиту здоровья и медицинскую помощь (16-6), право на образование при обеспечении бесплатного базового общего образования (16-7).</w:t>
      </w:r>
    </w:p>
    <w:p w:rsidR="00F0273C" w:rsidRPr="00F0273C" w:rsidRDefault="00F0273C" w:rsidP="00F0273C">
      <w:pPr>
        <w:pStyle w:val="SingleTxtGR"/>
      </w:pPr>
      <w:r w:rsidRPr="00F0273C">
        <w:t>31.</w:t>
      </w:r>
      <w:r w:rsidRPr="00F0273C">
        <w:tab/>
        <w:t>Порядок реализации вышеупомянутых прав, закрепленных в Констит</w:t>
      </w:r>
      <w:r w:rsidRPr="00F0273C">
        <w:t>у</w:t>
      </w:r>
      <w:r w:rsidRPr="00F0273C">
        <w:t>ции, их подробная правовая координация изложены в законах и нормативных актах в соответствующих областях. Эти законы будут подробно освещены в</w:t>
      </w:r>
      <w:r>
        <w:rPr>
          <w:lang w:val="en-US"/>
        </w:rPr>
        <w:t> </w:t>
      </w:r>
      <w:r w:rsidRPr="00F0273C">
        <w:t>ра</w:t>
      </w:r>
      <w:r w:rsidRPr="00F0273C">
        <w:t>з</w:t>
      </w:r>
      <w:r w:rsidRPr="00F0273C">
        <w:t>делах, посвященных осуществлению соответствующих статей Пакта.</w:t>
      </w:r>
    </w:p>
    <w:p w:rsidR="00F0273C" w:rsidRPr="00F0273C" w:rsidRDefault="00F0273C" w:rsidP="00F0273C">
      <w:pPr>
        <w:pStyle w:val="SingleTxtGR"/>
      </w:pPr>
      <w:r w:rsidRPr="00F0273C">
        <w:t>32.</w:t>
      </w:r>
      <w:r w:rsidRPr="00F0273C">
        <w:tab/>
        <w:t xml:space="preserve">Одним из важных средств защиты прав </w:t>
      </w:r>
      <w:r>
        <w:t>человека является привлечение к</w:t>
      </w:r>
      <w:r>
        <w:rPr>
          <w:lang w:val="en-US"/>
        </w:rPr>
        <w:t> </w:t>
      </w:r>
      <w:r w:rsidRPr="00F0273C">
        <w:t>ответственности тех, кто нарушает закон. Все вышеупомянутые законы пр</w:t>
      </w:r>
      <w:r w:rsidRPr="00F0273C">
        <w:t>е</w:t>
      </w:r>
      <w:r w:rsidRPr="00F0273C">
        <w:t>дусматривают выплату компенсации жертвам и ответственность лиц, наруши</w:t>
      </w:r>
      <w:r w:rsidRPr="00F0273C">
        <w:t>в</w:t>
      </w:r>
      <w:r w:rsidRPr="00F0273C">
        <w:t>ших з</w:t>
      </w:r>
      <w:r w:rsidRPr="00F0273C">
        <w:t>а</w:t>
      </w:r>
      <w:r w:rsidRPr="00F0273C">
        <w:t>кон.</w:t>
      </w:r>
    </w:p>
    <w:p w:rsidR="00F0273C" w:rsidRPr="00F0273C" w:rsidRDefault="00F0273C" w:rsidP="00F0273C">
      <w:pPr>
        <w:pStyle w:val="H4GR"/>
        <w:spacing w:before="240"/>
        <w:rPr>
          <w:iCs/>
        </w:rPr>
      </w:pPr>
      <w:r>
        <w:rPr>
          <w:iCs/>
          <w:lang w:val="en-US"/>
        </w:rPr>
        <w:tab/>
      </w:r>
      <w:r>
        <w:rPr>
          <w:iCs/>
          <w:lang w:val="en-US"/>
        </w:rPr>
        <w:tab/>
      </w:r>
      <w:r w:rsidRPr="00F0273C">
        <w:rPr>
          <w:iCs/>
        </w:rPr>
        <w:t>Поддержка прав человека на национальном уровне</w:t>
      </w:r>
    </w:p>
    <w:p w:rsidR="00F0273C" w:rsidRPr="00F0273C" w:rsidRDefault="00F0273C" w:rsidP="00F0273C">
      <w:pPr>
        <w:pStyle w:val="SingleTxtGR"/>
      </w:pPr>
      <w:r w:rsidRPr="00F0273C">
        <w:t>33.</w:t>
      </w:r>
      <w:r w:rsidRPr="00F0273C">
        <w:tab/>
        <w:t>Правительство Монголии понимает, что правовая защита прав и свобод человека в значительной мере зависит от способности граждан реализовать свои права и от поддержки в этом отношении со стороны государства и общес</w:t>
      </w:r>
      <w:r w:rsidRPr="00F0273C">
        <w:t>т</w:t>
      </w:r>
      <w:r w:rsidRPr="00F0273C">
        <w:t>ва. Правительство принимает значительные меры в таких областях, как разр</w:t>
      </w:r>
      <w:r w:rsidRPr="00F0273C">
        <w:t>а</w:t>
      </w:r>
      <w:r w:rsidRPr="00F0273C">
        <w:t>ботка политики и стратегий законодательными и исполнительными органами, разработка конкретных программ и законов, выделение необходимых бюдже</w:t>
      </w:r>
      <w:r w:rsidRPr="00F0273C">
        <w:t>т</w:t>
      </w:r>
      <w:r w:rsidRPr="00F0273C">
        <w:t>ных и других ресурсов, организация профессиональной подготовки, информ</w:t>
      </w:r>
      <w:r w:rsidRPr="00F0273C">
        <w:t>а</w:t>
      </w:r>
      <w:r w:rsidRPr="00F0273C">
        <w:t>ционно-просветительская деятельность в средствах массовой информации, с</w:t>
      </w:r>
      <w:r w:rsidRPr="00F0273C">
        <w:t>о</w:t>
      </w:r>
      <w:r w:rsidRPr="00F0273C">
        <w:t>трудничество с общественными и неправительственными организациями, в</w:t>
      </w:r>
      <w:r w:rsidRPr="00F0273C">
        <w:t>е</w:t>
      </w:r>
      <w:r w:rsidRPr="00F0273C">
        <w:t>дущими деятельность в области общих и специальных прав человека в интер</w:t>
      </w:r>
      <w:r w:rsidRPr="00F0273C">
        <w:t>е</w:t>
      </w:r>
      <w:r w:rsidRPr="00F0273C">
        <w:t>сах ра</w:t>
      </w:r>
      <w:r w:rsidRPr="00F0273C">
        <w:t>з</w:t>
      </w:r>
      <w:r w:rsidRPr="00F0273C">
        <w:t>личных социальных групп.</w:t>
      </w:r>
    </w:p>
    <w:p w:rsidR="00F0273C" w:rsidRPr="00F0273C" w:rsidRDefault="00F0273C" w:rsidP="00F0273C">
      <w:pPr>
        <w:pStyle w:val="SingleTxtGR"/>
      </w:pPr>
      <w:r w:rsidRPr="00F0273C">
        <w:t>34.</w:t>
      </w:r>
      <w:r w:rsidRPr="00F0273C">
        <w:tab/>
        <w:t>В структуре исполнительных органов власти функционируют такие у</w:t>
      </w:r>
      <w:r w:rsidRPr="00F0273C">
        <w:t>ч</w:t>
      </w:r>
      <w:r w:rsidRPr="00F0273C">
        <w:t>реждения, как Управление Национального уполномоченного по правам челов</w:t>
      </w:r>
      <w:r w:rsidRPr="00F0273C">
        <w:t>е</w:t>
      </w:r>
      <w:r w:rsidRPr="00F0273C">
        <w:t>ка и Национальное управление по делам детей – исполнительное учреждение правительства. Национальный совет по правам человека, Национальный совет по вопросам гендерного равенства, Национальный совет по делам детей, Н</w:t>
      </w:r>
      <w:r w:rsidRPr="00F0273C">
        <w:t>а</w:t>
      </w:r>
      <w:r w:rsidRPr="00F0273C">
        <w:t>циональный трехсторонний комитет по вопросам трудового и социального ко</w:t>
      </w:r>
      <w:r w:rsidRPr="00F0273C">
        <w:t>н</w:t>
      </w:r>
      <w:r w:rsidRPr="00F0273C">
        <w:t>сенсуса, Национальный совет по вопросам занятости, Национальный совет по вопросам профессионально-технического образования и подготовки, возгла</w:t>
      </w:r>
      <w:r w:rsidRPr="00F0273C">
        <w:t>в</w:t>
      </w:r>
      <w:r w:rsidRPr="00F0273C">
        <w:t>ляемые Премьер-министром и другими высокопоставленными должностными лицами в ранге министра, входят в число организаций, работающих в области защиты прав и интересов граждан. Подразделения, ответственные за вопросы реализации прав человека, имеются в составе таких министерств, как Мин</w:t>
      </w:r>
      <w:r w:rsidRPr="00F0273C">
        <w:t>и</w:t>
      </w:r>
      <w:r w:rsidRPr="00F0273C">
        <w:t>стерство образования, науки и культуры, Министерство социального обеспеч</w:t>
      </w:r>
      <w:r w:rsidRPr="00F0273C">
        <w:t>е</w:t>
      </w:r>
      <w:r w:rsidRPr="00F0273C">
        <w:t>ния и труда и Министерство здравоохранения.</w:t>
      </w:r>
    </w:p>
    <w:p w:rsidR="00F0273C" w:rsidRPr="00F0273C" w:rsidRDefault="00F0273C" w:rsidP="00F0273C">
      <w:pPr>
        <w:pStyle w:val="SingleTxtGR"/>
      </w:pPr>
      <w:r w:rsidRPr="00F0273C">
        <w:t>35.</w:t>
      </w:r>
      <w:r w:rsidRPr="00F0273C">
        <w:tab/>
        <w:t>В целях повышения осведомленности о правах человека, включая права уязвимых, особых групп населения, улучшения защиты и поддержки их прав проводится такая работа, как распространение информационных и печатных материалов, организация учебной подготовки для государственных гражда</w:t>
      </w:r>
      <w:r w:rsidRPr="00F0273C">
        <w:t>н</w:t>
      </w:r>
      <w:r w:rsidRPr="00F0273C">
        <w:t>ских служащих и руководителей.</w:t>
      </w:r>
    </w:p>
    <w:p w:rsidR="00F0273C" w:rsidRPr="00F0273C" w:rsidRDefault="00F0273C" w:rsidP="00F0273C">
      <w:pPr>
        <w:pStyle w:val="SingleTxtGR"/>
      </w:pPr>
      <w:r w:rsidRPr="00F0273C">
        <w:t>36.</w:t>
      </w:r>
      <w:r w:rsidRPr="00F0273C">
        <w:tab/>
        <w:t>Правительство Монголии уделяет особое внимание важной роли сотру</w:t>
      </w:r>
      <w:r w:rsidRPr="00F0273C">
        <w:t>д</w:t>
      </w:r>
      <w:r w:rsidRPr="00F0273C">
        <w:t>ничества между государством, общественными и частными организациями, средствами массовой информации, их тесных отношений и помощи в деле з</w:t>
      </w:r>
      <w:r w:rsidRPr="00F0273C">
        <w:t>а</w:t>
      </w:r>
      <w:r w:rsidRPr="00F0273C">
        <w:t>щиты и поддержки прав и свобод человека, особенно интересов уязвимых групп населения. Специальные меры, принимаемые правительством в этой о</w:t>
      </w:r>
      <w:r w:rsidRPr="00F0273C">
        <w:t>б</w:t>
      </w:r>
      <w:r w:rsidRPr="00F0273C">
        <w:t>ласти, освещаются в разделе доклада, касающемся конкретных положений Па</w:t>
      </w:r>
      <w:r w:rsidRPr="00F0273C">
        <w:t>к</w:t>
      </w:r>
      <w:r w:rsidRPr="00F0273C">
        <w:t>та.</w:t>
      </w:r>
    </w:p>
    <w:p w:rsidR="00F0273C" w:rsidRPr="00F0273C" w:rsidRDefault="00F0273C" w:rsidP="00F0273C">
      <w:pPr>
        <w:pStyle w:val="HChGR"/>
      </w:pPr>
      <w:r w:rsidRPr="00F0273C">
        <w:tab/>
        <w:t>II.</w:t>
      </w:r>
      <w:r w:rsidRPr="00F0273C">
        <w:tab/>
        <w:t>Общие положения Пакта</w:t>
      </w:r>
    </w:p>
    <w:p w:rsidR="00F0273C" w:rsidRPr="00F0273C" w:rsidRDefault="00F0273C" w:rsidP="00F0273C">
      <w:pPr>
        <w:pStyle w:val="H1GR"/>
      </w:pPr>
      <w:r w:rsidRPr="00F0273C">
        <w:tab/>
      </w:r>
      <w:r w:rsidRPr="00F0273C">
        <w:tab/>
        <w:t>Статья 1</w:t>
      </w:r>
    </w:p>
    <w:p w:rsidR="00F0273C" w:rsidRPr="00F0273C" w:rsidRDefault="000F42E7" w:rsidP="00F0273C">
      <w:pPr>
        <w:pStyle w:val="SingleTxtGR"/>
      </w:pPr>
      <w:r w:rsidRPr="000F42E7">
        <w:t>37.</w:t>
      </w:r>
      <w:r w:rsidRPr="000F42E7">
        <w:tab/>
      </w:r>
      <w:r w:rsidR="00F0273C" w:rsidRPr="00F0273C">
        <w:t xml:space="preserve">Статья 1 принятой в 1992 году Конституции Монголии провозглашает Монголию независимой республикой, а в статье 3 отмечается, что </w:t>
      </w:r>
      <w:r w:rsidR="00C467DA">
        <w:t>"</w:t>
      </w:r>
      <w:r w:rsidR="00F0273C" w:rsidRPr="00F0273C">
        <w:t>государс</w:t>
      </w:r>
      <w:r w:rsidR="00F0273C" w:rsidRPr="00F0273C">
        <w:t>т</w:t>
      </w:r>
      <w:r w:rsidR="00F0273C" w:rsidRPr="00F0273C">
        <w:t>венная власть в Монголии находится в руках народа. Монгольский народ пол</w:t>
      </w:r>
      <w:r w:rsidR="00F0273C" w:rsidRPr="00F0273C">
        <w:t>ь</w:t>
      </w:r>
      <w:r w:rsidR="00F0273C" w:rsidRPr="00F0273C">
        <w:t>зуется этой властью путем прямого участия в государственных делах, а также через избранные им представительные органы государственной власти</w:t>
      </w:r>
      <w:r w:rsidR="00C467DA">
        <w:t>"</w:t>
      </w:r>
      <w:r w:rsidR="00F0273C" w:rsidRPr="00F0273C">
        <w:t>. Право монгольских граждан избирать и быть изб</w:t>
      </w:r>
      <w:r>
        <w:t>ранными гарантируется Законом о</w:t>
      </w:r>
      <w:r>
        <w:rPr>
          <w:lang w:val="en-US"/>
        </w:rPr>
        <w:t> </w:t>
      </w:r>
      <w:r w:rsidR="00F0273C" w:rsidRPr="00F0273C">
        <w:t xml:space="preserve">выборах в Великий </w:t>
      </w:r>
      <w:r w:rsidR="006B69C5">
        <w:t>г</w:t>
      </w:r>
      <w:r w:rsidR="00F0273C" w:rsidRPr="00F0273C">
        <w:t xml:space="preserve">осударственный </w:t>
      </w:r>
      <w:r w:rsidR="006B69C5">
        <w:t>х</w:t>
      </w:r>
      <w:r w:rsidR="00F0273C" w:rsidRPr="00F0273C">
        <w:t>урал Монголии и Законом о выборах в местные органы власти, которые были приняты в соответствии с вышеупомян</w:t>
      </w:r>
      <w:r w:rsidR="00F0273C" w:rsidRPr="00F0273C">
        <w:t>у</w:t>
      </w:r>
      <w:r w:rsidR="00F0273C" w:rsidRPr="00F0273C">
        <w:t xml:space="preserve">тым положением Конституции. Например, дееспособные граждане Монголии, достигшие 18 лет, обладают правом голоса, а те, кто достиг 25 лет и имеют право участвовать в выборах, имеют также право быть избранными в Великий </w:t>
      </w:r>
      <w:r w:rsidR="006B69C5">
        <w:t>г</w:t>
      </w:r>
      <w:r w:rsidR="00F0273C" w:rsidRPr="00F0273C">
        <w:t xml:space="preserve">осударственный </w:t>
      </w:r>
      <w:r w:rsidR="006B69C5">
        <w:t>х</w:t>
      </w:r>
      <w:r w:rsidR="00F0273C" w:rsidRPr="00F0273C">
        <w:t>урал. Избиратели сами отдают свой голос в ходе прямого и тайного голосования. Инвалиды имеют право на помощь своего уполномоче</w:t>
      </w:r>
      <w:r w:rsidR="00F0273C" w:rsidRPr="00F0273C">
        <w:t>н</w:t>
      </w:r>
      <w:r w:rsidR="00F0273C" w:rsidRPr="00F0273C">
        <w:t>ного лица. Граждане Монголии, признанные недееспособными по решению с</w:t>
      </w:r>
      <w:r w:rsidR="00F0273C" w:rsidRPr="00F0273C">
        <w:t>у</w:t>
      </w:r>
      <w:r w:rsidR="00F0273C" w:rsidRPr="00F0273C">
        <w:t>да или отбывающие срок тюремного наказани</w:t>
      </w:r>
      <w:r w:rsidR="00101EC1">
        <w:t>я, не имеют права участвовать в </w:t>
      </w:r>
      <w:r w:rsidR="00F0273C" w:rsidRPr="00F0273C">
        <w:t>выборах.</w:t>
      </w:r>
    </w:p>
    <w:p w:rsidR="00F0273C" w:rsidRPr="00F0273C" w:rsidRDefault="000F42E7" w:rsidP="00F0273C">
      <w:pPr>
        <w:pStyle w:val="SingleTxtGR"/>
      </w:pPr>
      <w:r w:rsidRPr="000F42E7">
        <w:t>38.</w:t>
      </w:r>
      <w:r w:rsidRPr="000F42E7">
        <w:tab/>
      </w:r>
      <w:r w:rsidR="00F0273C" w:rsidRPr="00F0273C">
        <w:t>В принятой в 1992 году Конституции Монголии провозглашается право отдельных лиц на собственность. В законах, действующих в экономической, социальной, культурной и прочих областях, подробно регулируются вопросы правовых отношений, связанных с обладанием, владением и защитой частной собственности</w:t>
      </w:r>
      <w:r w:rsidR="006B69C5">
        <w:t>, ее использованием</w:t>
      </w:r>
      <w:r w:rsidR="00F0273C" w:rsidRPr="00F0273C">
        <w:t xml:space="preserve"> и доступом к полученным выгодам. Статья</w:t>
      </w:r>
      <w:r w:rsidR="006B69C5">
        <w:t> </w:t>
      </w:r>
      <w:r w:rsidR="00F0273C" w:rsidRPr="00F0273C">
        <w:t xml:space="preserve">6 Конституции Монголии провозглашает: </w:t>
      </w:r>
      <w:r w:rsidR="00C467DA">
        <w:t>"</w:t>
      </w:r>
      <w:r w:rsidR="00F0273C" w:rsidRPr="00F0273C">
        <w:t>В Монголии земля, ее недра, леса, водные ресурсы, фауна, флора и другие богатства природы принадлежат народу и находятся под охраной государства. Земля, которая не передана в частную собственность гражданам Монголии, а также недра, запасы полезных ископа</w:t>
      </w:r>
      <w:r w:rsidR="00F0273C" w:rsidRPr="00F0273C">
        <w:t>е</w:t>
      </w:r>
      <w:r w:rsidR="00F0273C" w:rsidRPr="00F0273C">
        <w:t>мых, леса, водные ресурсы и дикая природа являются собственностью госуда</w:t>
      </w:r>
      <w:r w:rsidR="00F0273C" w:rsidRPr="00F0273C">
        <w:t>р</w:t>
      </w:r>
      <w:r w:rsidR="00F0273C" w:rsidRPr="00F0273C">
        <w:t>ства. Государство может передавать в частную собственность земельные учас</w:t>
      </w:r>
      <w:r w:rsidR="00F0273C" w:rsidRPr="00F0273C">
        <w:t>т</w:t>
      </w:r>
      <w:r w:rsidR="00F0273C" w:rsidRPr="00F0273C">
        <w:t>ки, за исключением пастбищ и земельных наделов государственного и спец</w:t>
      </w:r>
      <w:r w:rsidR="00F0273C" w:rsidRPr="00F0273C">
        <w:t>и</w:t>
      </w:r>
      <w:r w:rsidR="00F0273C" w:rsidRPr="00F0273C">
        <w:t>ального пользования, только гражданам Монголии</w:t>
      </w:r>
      <w:r w:rsidR="00C467DA">
        <w:t>"</w:t>
      </w:r>
      <w:r w:rsidR="00F0273C" w:rsidRPr="00F0273C">
        <w:t>. В целях реализации выш</w:t>
      </w:r>
      <w:r w:rsidR="00F0273C" w:rsidRPr="00F0273C">
        <w:t>е</w:t>
      </w:r>
      <w:r w:rsidR="00F0273C" w:rsidRPr="00F0273C">
        <w:t>упомянутых положений Конституции были приняты меры, такие как беспла</w:t>
      </w:r>
      <w:r w:rsidR="00F0273C" w:rsidRPr="00F0273C">
        <w:t>т</w:t>
      </w:r>
      <w:r w:rsidR="00F0273C" w:rsidRPr="00F0273C">
        <w:t>ная приватизация земельных участков гражданами, а также бесплатная прив</w:t>
      </w:r>
      <w:r w:rsidR="00F0273C" w:rsidRPr="00F0273C">
        <w:t>а</w:t>
      </w:r>
      <w:r w:rsidR="00F0273C" w:rsidRPr="00F0273C">
        <w:t>тизация жилья и скота. В соответствии с Гражданским кодексом Монголии гр</w:t>
      </w:r>
      <w:r w:rsidR="00F0273C" w:rsidRPr="00F0273C">
        <w:t>а</w:t>
      </w:r>
      <w:r w:rsidR="00F0273C" w:rsidRPr="00F0273C">
        <w:t>ждане Мо</w:t>
      </w:r>
      <w:r w:rsidR="00F0273C" w:rsidRPr="00F0273C">
        <w:t>н</w:t>
      </w:r>
      <w:r w:rsidR="00F0273C" w:rsidRPr="00F0273C">
        <w:t>голии имеют право свободно владеть, пользоваться и распоряжаться принадлежащими им объектами собственности по своему усмотрению и защ</w:t>
      </w:r>
      <w:r w:rsidR="00F0273C" w:rsidRPr="00F0273C">
        <w:t>и</w:t>
      </w:r>
      <w:r w:rsidR="00F0273C" w:rsidRPr="00F0273C">
        <w:t>щать их от любых посягательств в пределах, установленных вышеупомянутым законодательным а</w:t>
      </w:r>
      <w:r w:rsidR="00F0273C" w:rsidRPr="00F0273C">
        <w:t>к</w:t>
      </w:r>
      <w:r w:rsidR="00F0273C" w:rsidRPr="00F0273C">
        <w:t>том.</w:t>
      </w:r>
    </w:p>
    <w:p w:rsidR="00F0273C" w:rsidRPr="000C1CC1" w:rsidRDefault="00F0273C" w:rsidP="000F42E7">
      <w:pPr>
        <w:pStyle w:val="H1GR"/>
        <w:rPr>
          <w:lang w:val="en-US"/>
        </w:rPr>
      </w:pPr>
      <w:r w:rsidRPr="00F0273C">
        <w:tab/>
      </w:r>
      <w:r w:rsidRPr="00F0273C">
        <w:tab/>
        <w:t>Статья 2</w:t>
      </w:r>
    </w:p>
    <w:p w:rsidR="00F0273C" w:rsidRPr="00F0273C" w:rsidRDefault="000F42E7" w:rsidP="00F0273C">
      <w:pPr>
        <w:pStyle w:val="SingleTxtGR"/>
      </w:pPr>
      <w:r w:rsidRPr="000F42E7">
        <w:t>39.</w:t>
      </w:r>
      <w:r w:rsidRPr="000F42E7">
        <w:tab/>
      </w:r>
      <w:r w:rsidR="00F0273C" w:rsidRPr="00F0273C">
        <w:t xml:space="preserve">В статье 14 Конституции Монголии отмечается, что </w:t>
      </w:r>
      <w:r w:rsidR="00C467DA">
        <w:t>"</w:t>
      </w:r>
      <w:r w:rsidR="00F0273C" w:rsidRPr="00F0273C">
        <w:t>все законно прож</w:t>
      </w:r>
      <w:r w:rsidR="00F0273C" w:rsidRPr="00F0273C">
        <w:t>и</w:t>
      </w:r>
      <w:r w:rsidR="00F0273C" w:rsidRPr="00F0273C">
        <w:t>вающие на территории Монголии лица равны перед законом и судом. Никто не может быть подвергнут дискриминации по признаку этнического происхожд</w:t>
      </w:r>
      <w:r w:rsidR="00F0273C" w:rsidRPr="00F0273C">
        <w:t>е</w:t>
      </w:r>
      <w:r w:rsidR="00F0273C" w:rsidRPr="00F0273C">
        <w:t>ния, языка, расы, возраста, пола, социального происхождения и статуса, им</w:t>
      </w:r>
      <w:r w:rsidR="00F0273C" w:rsidRPr="00F0273C">
        <w:t>у</w:t>
      </w:r>
      <w:r w:rsidR="00F0273C" w:rsidRPr="00F0273C">
        <w:t>щественного положения, профессии и должности, религии, убеждений и обр</w:t>
      </w:r>
      <w:r w:rsidR="00F0273C" w:rsidRPr="00F0273C">
        <w:t>а</w:t>
      </w:r>
      <w:r w:rsidR="00F0273C" w:rsidRPr="00F0273C">
        <w:t>зования. Все равны перед законом</w:t>
      </w:r>
      <w:r w:rsidR="00C467DA">
        <w:t>"</w:t>
      </w:r>
      <w:r w:rsidR="00F0273C" w:rsidRPr="00F0273C">
        <w:t xml:space="preserve">. В статьях 19 и 18 отмечается, что </w:t>
      </w:r>
      <w:r w:rsidR="00C467DA">
        <w:t>"</w:t>
      </w:r>
      <w:r w:rsidR="00F0273C" w:rsidRPr="00F0273C">
        <w:t>госуда</w:t>
      </w:r>
      <w:r w:rsidR="00F0273C" w:rsidRPr="00F0273C">
        <w:t>р</w:t>
      </w:r>
      <w:r w:rsidR="00F0273C" w:rsidRPr="00F0273C">
        <w:t>ство несет ответственность перед гражданами за обеспечение экономических, социальных, правовых и иных гарантий, связанных с соблюдением прав чел</w:t>
      </w:r>
      <w:r w:rsidR="00F0273C" w:rsidRPr="00F0273C">
        <w:t>о</w:t>
      </w:r>
      <w:r w:rsidR="00F0273C" w:rsidRPr="00F0273C">
        <w:t>века и свобод, борьбой с нарушениями прав человека и свобод и восстановл</w:t>
      </w:r>
      <w:r w:rsidR="00F0273C" w:rsidRPr="00F0273C">
        <w:t>е</w:t>
      </w:r>
      <w:r w:rsidR="00F0273C" w:rsidRPr="00F0273C">
        <w:t>нием нарушенных прав</w:t>
      </w:r>
      <w:r w:rsidR="00C467DA">
        <w:t>"</w:t>
      </w:r>
      <w:r w:rsidR="00F0273C" w:rsidRPr="00F0273C">
        <w:t xml:space="preserve">, а </w:t>
      </w:r>
      <w:r w:rsidR="00C467DA">
        <w:t>"</w:t>
      </w:r>
      <w:r w:rsidR="00F0273C" w:rsidRPr="00F0273C">
        <w:t>права и обязанности иностранных граждан, прож</w:t>
      </w:r>
      <w:r w:rsidR="00F0273C" w:rsidRPr="00F0273C">
        <w:t>и</w:t>
      </w:r>
      <w:r w:rsidR="00F0273C" w:rsidRPr="00F0273C">
        <w:t>вающих на территории Монголии, регулируются монгольским законодательс</w:t>
      </w:r>
      <w:r w:rsidR="00F0273C" w:rsidRPr="00F0273C">
        <w:t>т</w:t>
      </w:r>
      <w:r w:rsidR="00F0273C" w:rsidRPr="00F0273C">
        <w:t>вом и договорами между Монголией и государствами, гражданами которых я</w:t>
      </w:r>
      <w:r w:rsidR="00F0273C" w:rsidRPr="00F0273C">
        <w:t>в</w:t>
      </w:r>
      <w:r w:rsidR="00F0273C" w:rsidRPr="00F0273C">
        <w:t>ляются данные лица. Монголия придержива</w:t>
      </w:r>
      <w:r w:rsidR="006B69C5">
        <w:t>ет</w:t>
      </w:r>
      <w:r w:rsidR="00F0273C" w:rsidRPr="00F0273C">
        <w:t>ся принципа взаимности при о</w:t>
      </w:r>
      <w:r w:rsidR="00F0273C" w:rsidRPr="00F0273C">
        <w:t>п</w:t>
      </w:r>
      <w:r w:rsidR="00F0273C" w:rsidRPr="00F0273C">
        <w:t>ределении прав и обязанностей иностранных граждан в международном дог</w:t>
      </w:r>
      <w:r w:rsidR="00F0273C" w:rsidRPr="00F0273C">
        <w:t>о</w:t>
      </w:r>
      <w:r w:rsidR="00F0273C" w:rsidRPr="00F0273C">
        <w:t>воре, заключаемом с соответствующей страной. Права и обязанности лиц без гражданства, находящихся на территории Монголии, определяются монгол</w:t>
      </w:r>
      <w:r w:rsidR="00F0273C" w:rsidRPr="00F0273C">
        <w:t>ь</w:t>
      </w:r>
      <w:r w:rsidR="00F0273C" w:rsidRPr="00F0273C">
        <w:t>ским законодательством</w:t>
      </w:r>
      <w:r w:rsidR="00C467DA">
        <w:t>"</w:t>
      </w:r>
      <w:r w:rsidR="00F0273C" w:rsidRPr="00F0273C">
        <w:t>.</w:t>
      </w:r>
    </w:p>
    <w:p w:rsidR="00F0273C" w:rsidRPr="00F0273C" w:rsidRDefault="000F42E7" w:rsidP="00F0273C">
      <w:pPr>
        <w:pStyle w:val="SingleTxtGR"/>
      </w:pPr>
      <w:r w:rsidRPr="000F42E7">
        <w:t>40.</w:t>
      </w:r>
      <w:r w:rsidRPr="000F42E7">
        <w:tab/>
      </w:r>
      <w:r w:rsidR="00F0273C" w:rsidRPr="00F0273C">
        <w:t>Разрешая иностранным гражданам и лицам без гражданства, находящи</w:t>
      </w:r>
      <w:r w:rsidR="00F0273C" w:rsidRPr="00F0273C">
        <w:t>м</w:t>
      </w:r>
      <w:r w:rsidR="00F0273C" w:rsidRPr="00F0273C">
        <w:t>ся под юрисдикцией Монголии, пользоваться основными правами и свободами, закрепленными в статье 16 Конституции, государство может законодательно у</w:t>
      </w:r>
      <w:r w:rsidR="00F0273C" w:rsidRPr="00F0273C">
        <w:t>с</w:t>
      </w:r>
      <w:r w:rsidR="00F0273C" w:rsidRPr="00F0273C">
        <w:t>танавливать соответствующие ограничения на права, которые не являются н</w:t>
      </w:r>
      <w:r w:rsidR="00F0273C" w:rsidRPr="00F0273C">
        <w:t>е</w:t>
      </w:r>
      <w:r w:rsidR="00F0273C" w:rsidRPr="00F0273C">
        <w:t xml:space="preserve">отъемлемыми правами, провозглашенными в международных </w:t>
      </w:r>
      <w:r w:rsidR="006B69C5">
        <w:t>договорах</w:t>
      </w:r>
      <w:r w:rsidR="00F0273C" w:rsidRPr="00F0273C">
        <w:t>, стор</w:t>
      </w:r>
      <w:r w:rsidR="00F0273C" w:rsidRPr="00F0273C">
        <w:t>о</w:t>
      </w:r>
      <w:r w:rsidR="00F0273C" w:rsidRPr="00F0273C">
        <w:t xml:space="preserve">ной которых является Монголия, </w:t>
      </w:r>
      <w:r w:rsidR="00C467DA">
        <w:t>"</w:t>
      </w:r>
      <w:r w:rsidR="00F0273C" w:rsidRPr="00F0273C">
        <w:t>в целях обеспечения национальной безопа</w:t>
      </w:r>
      <w:r w:rsidR="00F0273C" w:rsidRPr="00F0273C">
        <w:t>с</w:t>
      </w:r>
      <w:r w:rsidR="00F0273C" w:rsidRPr="00F0273C">
        <w:t>ности, безопасности населения и общественного порядка</w:t>
      </w:r>
      <w:r w:rsidR="00C467DA">
        <w:t>"</w:t>
      </w:r>
      <w:r w:rsidR="00F0273C" w:rsidRPr="00F0273C">
        <w:t>.</w:t>
      </w:r>
    </w:p>
    <w:p w:rsidR="00F0273C" w:rsidRPr="00F0273C" w:rsidRDefault="000F42E7" w:rsidP="00F0273C">
      <w:pPr>
        <w:pStyle w:val="SingleTxtGR"/>
      </w:pPr>
      <w:r w:rsidRPr="000F42E7">
        <w:t>41.</w:t>
      </w:r>
      <w:r w:rsidRPr="000F42E7">
        <w:tab/>
      </w:r>
      <w:r w:rsidR="00F0273C" w:rsidRPr="00F0273C">
        <w:t>В соответствии с вышеупомянутыми положениями Конституции законы Монголии, регулирующие экономические, социальные и культурные отнош</w:t>
      </w:r>
      <w:r w:rsidR="00F0273C" w:rsidRPr="00F0273C">
        <w:t>е</w:t>
      </w:r>
      <w:r w:rsidR="00F0273C" w:rsidRPr="00F0273C">
        <w:t>ния, содержат подробное описание порядка пользования иностранными гра</w:t>
      </w:r>
      <w:r w:rsidR="00F0273C" w:rsidRPr="00F0273C">
        <w:t>ж</w:t>
      </w:r>
      <w:r w:rsidR="00F0273C" w:rsidRPr="00F0273C">
        <w:t>данами и лицами без гражданства правами человека и свободами. Например, Закон о труде, Закон о содействии занятости, Закон о культуре, Закон о здрав</w:t>
      </w:r>
      <w:r w:rsidR="00F0273C" w:rsidRPr="00F0273C">
        <w:t>о</w:t>
      </w:r>
      <w:r w:rsidR="00F0273C" w:rsidRPr="00F0273C">
        <w:t xml:space="preserve">охранении, пакет законов о социальном страховании и социальном обеспечении содержат следующее стандартное положение: </w:t>
      </w:r>
      <w:r w:rsidR="00C467DA">
        <w:t>"</w:t>
      </w:r>
      <w:r w:rsidR="00F0273C" w:rsidRPr="00F0273C">
        <w:t>В случае расхождений между положениями законов Монголии и международных договоров превалируют п</w:t>
      </w:r>
      <w:r w:rsidR="00F0273C" w:rsidRPr="00F0273C">
        <w:t>о</w:t>
      </w:r>
      <w:r w:rsidR="00F0273C" w:rsidRPr="00F0273C">
        <w:t>ложения международных договоров</w:t>
      </w:r>
      <w:r w:rsidR="00C467DA">
        <w:t>"</w:t>
      </w:r>
      <w:r w:rsidR="00F0273C" w:rsidRPr="00F0273C">
        <w:t>.</w:t>
      </w:r>
    </w:p>
    <w:p w:rsidR="00F0273C" w:rsidRPr="00F0273C" w:rsidRDefault="000F42E7" w:rsidP="00F0273C">
      <w:pPr>
        <w:pStyle w:val="SingleTxtGR"/>
      </w:pPr>
      <w:r w:rsidRPr="000F42E7">
        <w:t>42.</w:t>
      </w:r>
      <w:r w:rsidRPr="000F42E7">
        <w:tab/>
      </w:r>
      <w:r w:rsidR="00F0273C" w:rsidRPr="00F0273C">
        <w:t xml:space="preserve">Статья 6 Конституции Монголии гласит: </w:t>
      </w:r>
      <w:r w:rsidR="00C467DA">
        <w:t>"</w:t>
      </w:r>
      <w:r w:rsidR="00F0273C" w:rsidRPr="00F0273C">
        <w:t>Государство может передавать в частную собственность земельные участки, за исключением пастбищ и земел</w:t>
      </w:r>
      <w:r w:rsidR="00F0273C" w:rsidRPr="00F0273C">
        <w:t>ь</w:t>
      </w:r>
      <w:r w:rsidR="00F0273C" w:rsidRPr="00F0273C">
        <w:t>ных наделов государственного и специального пользования, только гра</w:t>
      </w:r>
      <w:r w:rsidR="00F0273C" w:rsidRPr="00F0273C">
        <w:t>ж</w:t>
      </w:r>
      <w:r w:rsidR="00F0273C" w:rsidRPr="00F0273C">
        <w:t>данам Монголии. Государство может передавать земли в аренду иностранным гражд</w:t>
      </w:r>
      <w:r w:rsidR="00F0273C" w:rsidRPr="00F0273C">
        <w:t>а</w:t>
      </w:r>
      <w:r w:rsidR="00F0273C" w:rsidRPr="00F0273C">
        <w:t>нам, юридическим лицам и лицам без гражданства на определенный срок в с</w:t>
      </w:r>
      <w:r w:rsidR="00F0273C" w:rsidRPr="00F0273C">
        <w:t>о</w:t>
      </w:r>
      <w:r w:rsidR="00F0273C" w:rsidRPr="00F0273C">
        <w:t>ответствии с условиями и порядком, предусмотренными законом</w:t>
      </w:r>
      <w:r w:rsidR="00C467DA">
        <w:t>"</w:t>
      </w:r>
      <w:r w:rsidR="00F0273C" w:rsidRPr="00F0273C">
        <w:t>, что относи</w:t>
      </w:r>
      <w:r w:rsidR="00F0273C" w:rsidRPr="00F0273C">
        <w:t>т</w:t>
      </w:r>
      <w:r w:rsidR="00F0273C" w:rsidRPr="00F0273C">
        <w:t>ся к особым пунктам положения о недискриминации, закрепленно</w:t>
      </w:r>
      <w:r w:rsidR="006B69C5">
        <w:t>го</w:t>
      </w:r>
      <w:r w:rsidR="00F0273C" w:rsidRPr="00F0273C">
        <w:t xml:space="preserve"> в монгол</w:t>
      </w:r>
      <w:r w:rsidR="00F0273C" w:rsidRPr="00F0273C">
        <w:t>ь</w:t>
      </w:r>
      <w:r w:rsidR="00F0273C" w:rsidRPr="00F0273C">
        <w:t>ском законодательстве.</w:t>
      </w:r>
    </w:p>
    <w:p w:rsidR="00F0273C" w:rsidRPr="00F0273C" w:rsidRDefault="000F42E7" w:rsidP="00F0273C">
      <w:pPr>
        <w:pStyle w:val="SingleTxtGR"/>
      </w:pPr>
      <w:r w:rsidRPr="000F42E7">
        <w:t>43.</w:t>
      </w:r>
      <w:r w:rsidRPr="000F42E7">
        <w:tab/>
      </w:r>
      <w:r w:rsidR="00F0273C" w:rsidRPr="00F0273C">
        <w:t>Являясь членом одной из организаций по сотрудничеству в области ра</w:t>
      </w:r>
      <w:r w:rsidR="00F0273C" w:rsidRPr="00F0273C">
        <w:t>з</w:t>
      </w:r>
      <w:r w:rsidR="00F0273C" w:rsidRPr="00F0273C">
        <w:t>вития, Монголия предпринимает соответствующие усилия по соблюдению прав и свобод в ходе участия в международной деятельности в области экономики и торговли. Например, при заключении торгов</w:t>
      </w:r>
      <w:r w:rsidR="006B69C5">
        <w:t>ого соглашения со странами ЕС в </w:t>
      </w:r>
      <w:r w:rsidR="00F0273C" w:rsidRPr="00F0273C">
        <w:t>него было включено положение об отказе от применения принудительного и детского труда, чтобы положить конец использованию продукции, произведе</w:t>
      </w:r>
      <w:r w:rsidR="00F0273C" w:rsidRPr="00F0273C">
        <w:t>н</w:t>
      </w:r>
      <w:r w:rsidR="00F0273C" w:rsidRPr="00F0273C">
        <w:t>ной с помощью трудовой эксплуатации. В 2005 году Монголия ратифицировала Конвенцию МОТ № 29 о принудительном</w:t>
      </w:r>
      <w:r w:rsidR="006B69C5">
        <w:t xml:space="preserve"> труде и Конвенцию МОТ № 105 об </w:t>
      </w:r>
      <w:r w:rsidR="00F0273C" w:rsidRPr="00F0273C">
        <w:t>упразднении принудительного труда.</w:t>
      </w:r>
    </w:p>
    <w:p w:rsidR="00F0273C" w:rsidRPr="00F0273C" w:rsidRDefault="00F0273C" w:rsidP="000F42E7">
      <w:pPr>
        <w:pStyle w:val="HChGR"/>
      </w:pPr>
      <w:r w:rsidRPr="00F0273C">
        <w:tab/>
        <w:t>III.</w:t>
      </w:r>
      <w:r w:rsidRPr="00F0273C">
        <w:tab/>
        <w:t>Конкретные права</w:t>
      </w:r>
    </w:p>
    <w:p w:rsidR="00F0273C" w:rsidRPr="00F0273C" w:rsidRDefault="00F0273C" w:rsidP="000F42E7">
      <w:pPr>
        <w:pStyle w:val="H1GR"/>
      </w:pPr>
      <w:r w:rsidRPr="00F0273C">
        <w:tab/>
      </w:r>
      <w:r w:rsidRPr="00F0273C">
        <w:tab/>
        <w:t>Статья 6</w:t>
      </w:r>
    </w:p>
    <w:p w:rsidR="00F0273C" w:rsidRPr="00F0273C" w:rsidRDefault="000F42E7" w:rsidP="00F0273C">
      <w:pPr>
        <w:pStyle w:val="SingleTxtGR"/>
      </w:pPr>
      <w:r w:rsidRPr="000F42E7">
        <w:t>44.</w:t>
      </w:r>
      <w:r w:rsidRPr="000F42E7">
        <w:tab/>
      </w:r>
      <w:r w:rsidR="00F0273C" w:rsidRPr="00F0273C">
        <w:t xml:space="preserve">Статья 6 Пакта гласит: </w:t>
      </w:r>
      <w:r w:rsidR="00C467DA">
        <w:t>"</w:t>
      </w:r>
      <w:r w:rsidR="00F0273C" w:rsidRPr="00F0273C">
        <w:t>Участвующие в настоящем Пакте государства признают право на труд, которое включает право каждого человека на получ</w:t>
      </w:r>
      <w:r w:rsidR="00F0273C" w:rsidRPr="00F0273C">
        <w:t>е</w:t>
      </w:r>
      <w:r w:rsidR="00F0273C" w:rsidRPr="00F0273C">
        <w:t>ние возможности зарабатывать себе на жизнь трудом, который он свободно в</w:t>
      </w:r>
      <w:r w:rsidR="00F0273C" w:rsidRPr="00F0273C">
        <w:t>ы</w:t>
      </w:r>
      <w:r w:rsidR="00F0273C" w:rsidRPr="00F0273C">
        <w:t>бирает или на который он свободно соглашается, и предпримут надлежащие шаги к обеспечению этого права</w:t>
      </w:r>
      <w:r w:rsidR="00C467DA">
        <w:t>"</w:t>
      </w:r>
      <w:r w:rsidR="00F0273C" w:rsidRPr="00F0273C">
        <w:t>. В соответствии с вышеупомянутой статьей Монголия в 1969 году ратифицировала Международную конвенцию о ликвид</w:t>
      </w:r>
      <w:r w:rsidR="00F0273C" w:rsidRPr="00F0273C">
        <w:t>а</w:t>
      </w:r>
      <w:r w:rsidR="00F0273C" w:rsidRPr="00F0273C">
        <w:t>ции всех форм расовой дискриминации, в 1981 году – Конвенцию о ликвидации всех форм дискриминации в отношении женщин, в 2005 году – Конвенцию МОТ № 122 о политике в области занятости</w:t>
      </w:r>
      <w:r>
        <w:t>, в 1969 году – Конвенцию МОТ №</w:t>
      </w:r>
      <w:r>
        <w:rPr>
          <w:lang w:val="en-US"/>
        </w:rPr>
        <w:t> </w:t>
      </w:r>
      <w:r w:rsidR="00F0273C" w:rsidRPr="00F0273C">
        <w:t>111 о дискриминации в области труда и занятий. В связи с ратификацией вышеупомянутых конвенций Монголия укрепила свое национальное законод</w:t>
      </w:r>
      <w:r w:rsidR="00F0273C" w:rsidRPr="00F0273C">
        <w:t>а</w:t>
      </w:r>
      <w:r w:rsidR="00F0273C" w:rsidRPr="00F0273C">
        <w:t>тельство, чтобы обеспечить его соответствие с этими конвенциями, и приняла меры по их осуществлению с учетом своего собственного экономического п</w:t>
      </w:r>
      <w:r w:rsidR="00F0273C" w:rsidRPr="00F0273C">
        <w:t>о</w:t>
      </w:r>
      <w:r w:rsidR="00F0273C" w:rsidRPr="00F0273C">
        <w:t>тенциала и своего особого положения. С информацией об осуществлении Ко</w:t>
      </w:r>
      <w:r w:rsidR="00F0273C" w:rsidRPr="00F0273C">
        <w:t>н</w:t>
      </w:r>
      <w:r w:rsidR="00F0273C" w:rsidRPr="00F0273C">
        <w:t>венции МОТ № 122 можно ознакомиться в докл</w:t>
      </w:r>
      <w:r>
        <w:t>адах за 2002, 2005, 2008 и 2010</w:t>
      </w:r>
      <w:r>
        <w:rPr>
          <w:lang w:val="en-US"/>
        </w:rPr>
        <w:t> </w:t>
      </w:r>
      <w:r w:rsidR="00F0273C" w:rsidRPr="00F0273C">
        <w:t>годы, с информацией об осуществлении Конвенции МОТ № 111 – в докл</w:t>
      </w:r>
      <w:r w:rsidR="00F0273C" w:rsidRPr="00F0273C">
        <w:t>а</w:t>
      </w:r>
      <w:r w:rsidR="00F0273C" w:rsidRPr="00F0273C">
        <w:t>дах за 2006, 2008 и 2010 годы, а информация об осуществлении КЛДЖ включ</w:t>
      </w:r>
      <w:r w:rsidR="00F0273C" w:rsidRPr="00F0273C">
        <w:t>е</w:t>
      </w:r>
      <w:r w:rsidR="00F0273C" w:rsidRPr="00F0273C">
        <w:t>на в п</w:t>
      </w:r>
      <w:r w:rsidR="00F0273C" w:rsidRPr="00F0273C">
        <w:t>я</w:t>
      </w:r>
      <w:r w:rsidR="00F0273C" w:rsidRPr="00F0273C">
        <w:t>тый</w:t>
      </w:r>
      <w:r w:rsidRPr="000F42E7">
        <w:t>−</w:t>
      </w:r>
      <w:r w:rsidR="00F0273C" w:rsidRPr="00F0273C">
        <w:t>седьмой доклады Монголии.</w:t>
      </w:r>
    </w:p>
    <w:p w:rsidR="00F0273C" w:rsidRPr="00F0273C" w:rsidRDefault="000F42E7" w:rsidP="00F0273C">
      <w:pPr>
        <w:pStyle w:val="SingleTxtGR"/>
      </w:pPr>
      <w:r w:rsidRPr="000F42E7">
        <w:t>45.</w:t>
      </w:r>
      <w:r w:rsidRPr="000F42E7">
        <w:tab/>
      </w:r>
      <w:r w:rsidR="00F0273C" w:rsidRPr="00F0273C">
        <w:t>Население трудоспособного возраста составляет свыше 60% всего нас</w:t>
      </w:r>
      <w:r w:rsidR="00F0273C" w:rsidRPr="00F0273C">
        <w:t>е</w:t>
      </w:r>
      <w:r w:rsidR="00F0273C" w:rsidRPr="00F0273C">
        <w:t xml:space="preserve">ления Монголии. В последние пять лет </w:t>
      </w:r>
      <w:r w:rsidR="006171E0">
        <w:t>показатель экономической активности населения</w:t>
      </w:r>
      <w:r w:rsidR="00F0273C" w:rsidRPr="00F0273C">
        <w:t xml:space="preserve"> составил 63,5</w:t>
      </w:r>
      <w:r w:rsidRPr="000F42E7">
        <w:t>−</w:t>
      </w:r>
      <w:r w:rsidR="00F0273C" w:rsidRPr="00F0273C">
        <w:t>66,8%. Учащиеся составляют почти 15% населения трудоспособного возраста. По числу безработных, официально зарегистрир</w:t>
      </w:r>
      <w:r w:rsidR="00F0273C" w:rsidRPr="00F0273C">
        <w:t>о</w:t>
      </w:r>
      <w:r w:rsidR="00F0273C" w:rsidRPr="00F0273C">
        <w:t xml:space="preserve">ванных на </w:t>
      </w:r>
      <w:r w:rsidR="006171E0">
        <w:t>б</w:t>
      </w:r>
      <w:r w:rsidR="00F0273C" w:rsidRPr="00F0273C">
        <w:t>ирже труда, видно, что уровень безработицы в Монголии составл</w:t>
      </w:r>
      <w:r w:rsidR="00F0273C" w:rsidRPr="00F0273C">
        <w:t>я</w:t>
      </w:r>
      <w:r w:rsidR="00F0273C" w:rsidRPr="00F0273C">
        <w:t>ет 3% от экономически активного населения. С 2009 года уровень безработицы опред</w:t>
      </w:r>
      <w:r w:rsidR="00F0273C" w:rsidRPr="00F0273C">
        <w:t>е</w:t>
      </w:r>
      <w:r w:rsidR="00F0273C" w:rsidRPr="00F0273C">
        <w:t xml:space="preserve">ляется в ходе обследований рабочей силы, и, таким образом, в 2009 году он составил 11,6%, а в 2010 году он снизился до 9,9%. Если рассматривать </w:t>
      </w:r>
      <w:r w:rsidR="006171E0">
        <w:t>п</w:t>
      </w:r>
      <w:r w:rsidR="006171E0">
        <w:t>о</w:t>
      </w:r>
      <w:r w:rsidR="006171E0">
        <w:t>казатель экономической активности</w:t>
      </w:r>
      <w:r w:rsidR="00F0273C" w:rsidRPr="00F0273C">
        <w:t xml:space="preserve"> в разбивке по полу, то можно видеть, что уровень участия женщин несколько ниже уровня участия мужчин. Тот факт, что </w:t>
      </w:r>
      <w:r w:rsidR="006171E0">
        <w:t>показатель экономической активности</w:t>
      </w:r>
      <w:r w:rsidR="00F0273C" w:rsidRPr="00F0273C">
        <w:t xml:space="preserve"> женщин относительно ниже, можно об</w:t>
      </w:r>
      <w:r w:rsidR="00F0273C" w:rsidRPr="00F0273C">
        <w:t>ъ</w:t>
      </w:r>
      <w:r w:rsidR="00F0273C" w:rsidRPr="00F0273C">
        <w:t>яснить тем, что женщины склонны ставить выполнение своих семейных об</w:t>
      </w:r>
      <w:r w:rsidR="00F0273C" w:rsidRPr="00F0273C">
        <w:t>я</w:t>
      </w:r>
      <w:r w:rsidR="00F0273C" w:rsidRPr="00F0273C">
        <w:t>занностей, таких как уход за детьми и престарелыми, на первый план по отн</w:t>
      </w:r>
      <w:r w:rsidR="00F0273C" w:rsidRPr="00F0273C">
        <w:t>о</w:t>
      </w:r>
      <w:r w:rsidR="00F0273C" w:rsidRPr="00F0273C">
        <w:t xml:space="preserve">шению </w:t>
      </w:r>
      <w:r w:rsidR="007236AF">
        <w:t>к экономической активности. То,</w:t>
      </w:r>
      <w:r w:rsidR="006171E0">
        <w:t xml:space="preserve"> </w:t>
      </w:r>
      <w:r w:rsidR="00F0273C" w:rsidRPr="00F0273C">
        <w:t>что уровень участия в рабочей силе женщин в возрасте 54</w:t>
      </w:r>
      <w:r w:rsidRPr="000F42E7">
        <w:t>−</w:t>
      </w:r>
      <w:r w:rsidR="00F0273C" w:rsidRPr="00F0273C">
        <w:t xml:space="preserve">59 лет относительно низкий, связано с тем, что, имея четверо и более детей, женщины могут выходить на пенсию в возрасте 50 лет и вне зависимости от количества детей </w:t>
      </w:r>
      <w:r w:rsidR="006171E0">
        <w:t>они</w:t>
      </w:r>
      <w:r w:rsidR="00F0273C" w:rsidRPr="00F0273C">
        <w:t xml:space="preserve"> имеют право выходить на пенсию в 55 лет. По сравнению с другими возрастными группами уровень безработицы выше среди молодых людей в возрасте 15</w:t>
      </w:r>
      <w:r w:rsidRPr="000F42E7">
        <w:t>−</w:t>
      </w:r>
      <w:r w:rsidR="00F0273C" w:rsidRPr="00F0273C">
        <w:t>24 лет, которые находятся на этапе перехода от учебы к трудовой деятельности. По данным обследований рабочей силы уровень безработицы среди молодых людей в возрасте 15</w:t>
      </w:r>
      <w:r w:rsidRPr="000F42E7">
        <w:t>−</w:t>
      </w:r>
      <w:r w:rsidR="00F0273C" w:rsidRPr="00F0273C">
        <w:t>24 лет составил 22% в 2009 году и 19,5</w:t>
      </w:r>
      <w:r w:rsidR="00C467DA">
        <w:t>% в </w:t>
      </w:r>
      <w:r>
        <w:t>2010</w:t>
      </w:r>
      <w:r>
        <w:rPr>
          <w:lang w:val="en-US"/>
        </w:rPr>
        <w:t> </w:t>
      </w:r>
      <w:r w:rsidR="00F0273C" w:rsidRPr="00F0273C">
        <w:t>году, что почти в два раза выше, чем в среднем по стране. Уровень занятости скотоводов, на которых приходится свы</w:t>
      </w:r>
      <w:r w:rsidR="006171E0">
        <w:t>ше 30% </w:t>
      </w:r>
      <w:r w:rsidR="00F0273C" w:rsidRPr="00F0273C">
        <w:t>всего количества работников, стал более нестабильным в связи с измен</w:t>
      </w:r>
      <w:r w:rsidR="00F0273C" w:rsidRPr="00F0273C">
        <w:t>е</w:t>
      </w:r>
      <w:r w:rsidR="00F0273C" w:rsidRPr="00F0273C">
        <w:t>нием климата, экономическим кризисом и развитием горнодобывающей пр</w:t>
      </w:r>
      <w:r w:rsidR="00F0273C" w:rsidRPr="00F0273C">
        <w:t>о</w:t>
      </w:r>
      <w:r w:rsidR="00F0273C" w:rsidRPr="00F0273C">
        <w:t>мышленности. Особенно в последние годы многие скотоводы потеряли свои стада и перешли в разряд безработных в результате засухи и дзуда, природных и климатических катастроф, частота которых во</w:t>
      </w:r>
      <w:r w:rsidR="00F0273C" w:rsidRPr="00F0273C">
        <w:t>з</w:t>
      </w:r>
      <w:r w:rsidR="00F0273C" w:rsidRPr="00F0273C">
        <w:t>росла в последние годы.</w:t>
      </w:r>
    </w:p>
    <w:p w:rsidR="005B45AA" w:rsidRPr="005B45AA" w:rsidRDefault="00F0273C" w:rsidP="00CF2D6E">
      <w:pPr>
        <w:pStyle w:val="Heading1"/>
        <w:tabs>
          <w:tab w:val="left" w:pos="1134"/>
          <w:tab w:val="left" w:pos="1701"/>
          <w:tab w:val="left" w:pos="2268"/>
          <w:tab w:val="left" w:pos="5387"/>
          <w:tab w:val="left" w:pos="6237"/>
          <w:tab w:val="left" w:pos="6804"/>
        </w:tabs>
        <w:spacing w:after="120"/>
        <w:ind w:left="1134"/>
        <w:jc w:val="left"/>
      </w:pPr>
      <w:r w:rsidRPr="000F42E7">
        <w:rPr>
          <w:b w:val="0"/>
        </w:rPr>
        <w:t>График 1</w:t>
      </w:r>
      <w:r w:rsidR="000F42E7" w:rsidRPr="000F42E7">
        <w:rPr>
          <w:b w:val="0"/>
        </w:rPr>
        <w:br/>
      </w:r>
      <w:r w:rsidR="00CF2D6E">
        <w:t>Показатель экономической активности</w:t>
      </w:r>
      <w:r w:rsidR="00CF2D6E">
        <w:tab/>
        <w:t>Показатель экономической активности</w:t>
      </w:r>
      <w:r w:rsidR="00CF2D6E" w:rsidRPr="005B45AA">
        <w:t xml:space="preserve"> </w:t>
      </w:r>
      <w:r w:rsidR="00CF2D6E">
        <w:br/>
        <w:t>н</w:t>
      </w:r>
      <w:r w:rsidR="00CF2D6E">
        <w:t>а</w:t>
      </w:r>
      <w:r w:rsidR="00CF2D6E">
        <w:t>селения</w:t>
      </w:r>
      <w:r w:rsidR="00CF2D6E">
        <w:tab/>
      </w:r>
      <w:r w:rsidR="00CF2D6E">
        <w:tab/>
      </w:r>
      <w:r w:rsidR="005B45AA" w:rsidRPr="005B45AA">
        <w:t>женщин</w:t>
      </w:r>
    </w:p>
    <w:p w:rsidR="000F42E7" w:rsidRPr="00CF2D6E" w:rsidRDefault="005B45AA" w:rsidP="005B45AA">
      <w:pPr>
        <w:jc w:val="right"/>
        <w:rPr>
          <w:lang w:eastAsia="ru-RU"/>
        </w:rPr>
      </w:pPr>
      <w:r>
        <w:rPr>
          <w:noProof/>
          <w:w w:val="100"/>
          <w:lang w:eastAsia="ru-RU"/>
        </w:rPr>
      </w:r>
      <w:r w:rsidRPr="005B45AA">
        <w:rPr>
          <w:lang w:val="en-US" w:eastAsia="ru-RU"/>
        </w:rPr>
        <w:pict>
          <v:shape id="_x0000_s1026" type="#_x0000_t75" style="width:212.2pt;height:167.25pt;mso-position-horizontal-relative:char;mso-position-vertical-relative:line">
            <v:imagedata r:id="rId8" o:title=""/>
            <w10:anchorlock/>
          </v:shape>
        </w:pict>
      </w:r>
      <w:r w:rsidRPr="00CF2D6E">
        <w:rPr>
          <w:lang w:eastAsia="ru-RU"/>
        </w:rPr>
        <w:tab/>
      </w:r>
      <w:r>
        <w:rPr>
          <w:noProof/>
          <w:w w:val="100"/>
          <w:lang w:eastAsia="ru-RU"/>
        </w:rPr>
      </w:r>
      <w:r w:rsidR="00A12237" w:rsidRPr="005B45AA">
        <w:rPr>
          <w:lang w:val="en-US" w:eastAsia="ru-RU"/>
        </w:rPr>
        <w:pict>
          <v:shape id="_x0000_s1027" type="#_x0000_t75" style="width:209.95pt;height:168.1pt;mso-position-horizontal-relative:char;mso-position-vertical-relative:line">
            <v:imagedata r:id="rId9" o:title=""/>
            <w10:anchorlock/>
          </v:shape>
        </w:pict>
      </w:r>
    </w:p>
    <w:p w:rsidR="00B90D9C" w:rsidRPr="00B90D9C" w:rsidRDefault="00B90D9C" w:rsidP="002B706C">
      <w:pPr>
        <w:pStyle w:val="SingleTxtGR"/>
        <w:suppressAutoHyphens/>
        <w:spacing w:before="120" w:line="220" w:lineRule="exact"/>
        <w:ind w:firstLine="170"/>
        <w:jc w:val="left"/>
        <w:rPr>
          <w:sz w:val="18"/>
          <w:szCs w:val="18"/>
        </w:rPr>
      </w:pPr>
      <w:r w:rsidRPr="00B90D9C">
        <w:rPr>
          <w:i/>
          <w:sz w:val="18"/>
          <w:szCs w:val="18"/>
        </w:rPr>
        <w:t>Источник</w:t>
      </w:r>
      <w:r w:rsidRPr="00B90D9C">
        <w:rPr>
          <w:sz w:val="18"/>
          <w:szCs w:val="18"/>
        </w:rPr>
        <w:t>: Министерство социального обеспечения и труда (МСОТ), Факты и цифры, 2010 год.</w:t>
      </w:r>
    </w:p>
    <w:p w:rsidR="00B90D9C" w:rsidRPr="00B90D9C" w:rsidRDefault="00B90D9C" w:rsidP="00B90D9C">
      <w:pPr>
        <w:pStyle w:val="SingleTxtGR"/>
      </w:pPr>
      <w:r w:rsidRPr="00B90D9C">
        <w:t>46.</w:t>
      </w:r>
      <w:r w:rsidRPr="00B90D9C">
        <w:tab/>
        <w:t xml:space="preserve">Вопрос о занятости занимает важное место в политике правительства Монголии. В целях осуществления такой политики в 2001 году Великий </w:t>
      </w:r>
      <w:r w:rsidR="006417CA">
        <w:t>г</w:t>
      </w:r>
      <w:r w:rsidRPr="00B90D9C">
        <w:t>ос</w:t>
      </w:r>
      <w:r w:rsidRPr="00B90D9C">
        <w:t>у</w:t>
      </w:r>
      <w:r w:rsidRPr="00B90D9C">
        <w:t xml:space="preserve">дарственный </w:t>
      </w:r>
      <w:r w:rsidR="006417CA">
        <w:t>х</w:t>
      </w:r>
      <w:r w:rsidRPr="00B90D9C">
        <w:t>урал принял Закон о содействии занятости, в соответствии с к</w:t>
      </w:r>
      <w:r w:rsidRPr="00B90D9C">
        <w:t>о</w:t>
      </w:r>
      <w:r w:rsidRPr="00B90D9C">
        <w:t>торым государственные бюро по трудоустройству предоставляют лицам, ищ</w:t>
      </w:r>
      <w:r w:rsidRPr="00B90D9C">
        <w:t>у</w:t>
      </w:r>
      <w:r w:rsidRPr="00B90D9C">
        <w:t>щим работу, бесплатные услуги в области содействия занятости. Услуги в о</w:t>
      </w:r>
      <w:r w:rsidRPr="00B90D9C">
        <w:t>б</w:t>
      </w:r>
      <w:r w:rsidRPr="00B90D9C">
        <w:t>ласти содействия занятости могут принимать форму профессиональной орие</w:t>
      </w:r>
      <w:r w:rsidRPr="00B90D9C">
        <w:t>н</w:t>
      </w:r>
      <w:r w:rsidRPr="00B90D9C">
        <w:t>тации и информирования; посреднических услуг в получении работы; предо</w:t>
      </w:r>
      <w:r w:rsidRPr="00B90D9C">
        <w:t>с</w:t>
      </w:r>
      <w:r w:rsidRPr="00B90D9C">
        <w:t>тавления мелких кредитов; обеспечения профессиональной подготовки и пер</w:t>
      </w:r>
      <w:r w:rsidRPr="00B90D9C">
        <w:t>е</w:t>
      </w:r>
      <w:r w:rsidRPr="00B90D9C">
        <w:t>подготовки; организации общественных работ; поддержки работодателей. Ф</w:t>
      </w:r>
      <w:r w:rsidRPr="00B90D9C">
        <w:t>и</w:t>
      </w:r>
      <w:r w:rsidRPr="00B90D9C">
        <w:t>нансирование подобных мер осуществляется из Фонда содействия занятости, являющ</w:t>
      </w:r>
      <w:r w:rsidRPr="00B90D9C">
        <w:t>е</w:t>
      </w:r>
      <w:r w:rsidRPr="00B90D9C">
        <w:t>гося одним из специальных государственных фондов.</w:t>
      </w:r>
    </w:p>
    <w:p w:rsidR="00B90D9C" w:rsidRPr="00B90D9C" w:rsidRDefault="00B90D9C" w:rsidP="00B90D9C">
      <w:pPr>
        <w:pStyle w:val="SingleTxtGR"/>
      </w:pPr>
      <w:r w:rsidRPr="00B90D9C">
        <w:t>47.</w:t>
      </w:r>
      <w:r w:rsidRPr="00B90D9C">
        <w:tab/>
        <w:t>Доля скотоводов и самозанятых лиц достаточно высока в общем колич</w:t>
      </w:r>
      <w:r w:rsidRPr="00B90D9C">
        <w:t>е</w:t>
      </w:r>
      <w:r w:rsidRPr="00B90D9C">
        <w:t>стве работников в Монголии в связи с экономической структурой страны. Ск</w:t>
      </w:r>
      <w:r w:rsidRPr="00B90D9C">
        <w:t>о</w:t>
      </w:r>
      <w:r w:rsidRPr="00B90D9C">
        <w:t>товоды рассматриваются как производители сектора домохозяйств, и, таким о</w:t>
      </w:r>
      <w:r w:rsidRPr="00B90D9C">
        <w:t>б</w:t>
      </w:r>
      <w:r w:rsidRPr="00B90D9C">
        <w:t>разом, самозанятые лица и скотоводы составляют свыше 50% от общего числа работников. Правительство уделяет особое вни</w:t>
      </w:r>
      <w:r w:rsidR="002B706C">
        <w:t>мание поддержке этих групп, и в </w:t>
      </w:r>
      <w:r w:rsidRPr="00B90D9C">
        <w:t>Законе о содействии занятости было закреплено отдельное положение об ок</w:t>
      </w:r>
      <w:r w:rsidRPr="00B90D9C">
        <w:t>а</w:t>
      </w:r>
      <w:r w:rsidRPr="00B90D9C">
        <w:t>зании услуг в области содействия занятости скотоводам и самозанятым лицам. Этот Закон предусматривает оказание помощи гражданам в получении любой формы занятости.</w:t>
      </w:r>
    </w:p>
    <w:p w:rsidR="00B90D9C" w:rsidRPr="00B90D9C" w:rsidRDefault="00B90D9C" w:rsidP="00B90D9C">
      <w:pPr>
        <w:pStyle w:val="SingleTxtGR"/>
      </w:pPr>
      <w:r w:rsidRPr="00B90D9C">
        <w:t>48.</w:t>
      </w:r>
      <w:r w:rsidRPr="00B90D9C">
        <w:tab/>
        <w:t xml:space="preserve">Конституция Монголии гласит: </w:t>
      </w:r>
      <w:r w:rsidR="00C467DA">
        <w:t>"</w:t>
      </w:r>
      <w:r w:rsidRPr="00B90D9C">
        <w:t>Никто не может быть подвергнут ди</w:t>
      </w:r>
      <w:r w:rsidRPr="00B90D9C">
        <w:t>с</w:t>
      </w:r>
      <w:r w:rsidRPr="00B90D9C">
        <w:t>криминации по признаку этнического происхождения, языка, расы, возраста, пола, социального происхождения и статуса, имущественного положения, пр</w:t>
      </w:r>
      <w:r w:rsidRPr="00B90D9C">
        <w:t>о</w:t>
      </w:r>
      <w:r w:rsidRPr="00B90D9C">
        <w:t>фессии и должности, религии, убеждений и образования. Граждане имеют пр</w:t>
      </w:r>
      <w:r w:rsidRPr="00B90D9C">
        <w:t>а</w:t>
      </w:r>
      <w:r w:rsidRPr="00B90D9C">
        <w:t>во на свободный выбор профессии, на обеспечение благоприятных условий труда, на получение заработной платы, на отдых и на ведение частной сельск</w:t>
      </w:r>
      <w:r w:rsidRPr="00B90D9C">
        <w:t>о</w:t>
      </w:r>
      <w:r w:rsidRPr="00B90D9C">
        <w:t>хозяйственной деятельности. Никто не может быть подвергнут принудительн</w:t>
      </w:r>
      <w:r w:rsidRPr="00B90D9C">
        <w:t>о</w:t>
      </w:r>
      <w:r w:rsidRPr="00B90D9C">
        <w:t>му труду</w:t>
      </w:r>
      <w:r w:rsidR="00C467DA">
        <w:t>"</w:t>
      </w:r>
      <w:r w:rsidRPr="00B90D9C">
        <w:t xml:space="preserve"> (статьи 14 и 16). Вышеупомянутые статьи Конституции регулирую</w:t>
      </w:r>
      <w:r w:rsidRPr="00B90D9C">
        <w:t>т</w:t>
      </w:r>
      <w:r w:rsidRPr="00B90D9C">
        <w:t>ся Зак</w:t>
      </w:r>
      <w:r w:rsidRPr="00B90D9C">
        <w:t>о</w:t>
      </w:r>
      <w:r w:rsidRPr="00B90D9C">
        <w:t>ном о труде и Законом о содействии занятости.</w:t>
      </w:r>
    </w:p>
    <w:p w:rsidR="00B90D9C" w:rsidRPr="005E68D8" w:rsidRDefault="00B90D9C" w:rsidP="005E68D8">
      <w:pPr>
        <w:pStyle w:val="SingleTxtGR"/>
        <w:ind w:left="1701"/>
        <w:jc w:val="left"/>
        <w:rPr>
          <w:i/>
        </w:rPr>
      </w:pPr>
      <w:r w:rsidRPr="005E68D8">
        <w:rPr>
          <w:i/>
        </w:rPr>
        <w:t>Статья 7. Запрет на дискриминаци</w:t>
      </w:r>
      <w:r w:rsidR="005E68D8">
        <w:rPr>
          <w:i/>
        </w:rPr>
        <w:t>ю, установление ограничений или</w:t>
      </w:r>
      <w:r w:rsidR="005E68D8">
        <w:rPr>
          <w:i/>
          <w:lang w:val="en-US"/>
        </w:rPr>
        <w:t> </w:t>
      </w:r>
      <w:r w:rsidRPr="005E68D8">
        <w:rPr>
          <w:i/>
        </w:rPr>
        <w:t>привилегий в ходе трудовых отношений</w:t>
      </w:r>
    </w:p>
    <w:p w:rsidR="00B90D9C" w:rsidRPr="005E68D8" w:rsidRDefault="00B90D9C" w:rsidP="005E68D8">
      <w:pPr>
        <w:pStyle w:val="SingleTxtGR"/>
        <w:ind w:left="1701"/>
        <w:rPr>
          <w:i/>
        </w:rPr>
      </w:pPr>
      <w:r w:rsidRPr="005E68D8">
        <w:rPr>
          <w:i/>
        </w:rPr>
        <w:t>7.1</w:t>
      </w:r>
      <w:r w:rsidR="005E68D8" w:rsidRPr="005E68D8">
        <w:rPr>
          <w:i/>
        </w:rPr>
        <w:tab/>
      </w:r>
      <w:r w:rsidRPr="005E68D8">
        <w:rPr>
          <w:i/>
        </w:rPr>
        <w:t>Никто не может быть незаконно принужден к труду.</w:t>
      </w:r>
    </w:p>
    <w:p w:rsidR="00B90D9C" w:rsidRPr="005E68D8" w:rsidRDefault="00B90D9C" w:rsidP="005E68D8">
      <w:pPr>
        <w:pStyle w:val="SingleTxtGR"/>
        <w:ind w:left="1701"/>
        <w:rPr>
          <w:i/>
        </w:rPr>
      </w:pPr>
      <w:r w:rsidRPr="005E68D8">
        <w:rPr>
          <w:i/>
        </w:rPr>
        <w:t>7.2</w:t>
      </w:r>
      <w:r w:rsidR="005E68D8" w:rsidRPr="005E68D8">
        <w:rPr>
          <w:i/>
        </w:rPr>
        <w:tab/>
      </w:r>
      <w:r w:rsidRPr="005E68D8">
        <w:rPr>
          <w:i/>
        </w:rPr>
        <w:t>Дискриминация, установление ограничений или привилегий в ходе труд</w:t>
      </w:r>
      <w:r w:rsidRPr="005E68D8">
        <w:rPr>
          <w:i/>
        </w:rPr>
        <w:t>о</w:t>
      </w:r>
      <w:r w:rsidRPr="005E68D8">
        <w:rPr>
          <w:i/>
        </w:rPr>
        <w:t>вых отношений по признаку национальной принадлежности, расы, пола, социального происхождения и статуса, имущественного полож</w:t>
      </w:r>
      <w:r w:rsidRPr="005E68D8">
        <w:rPr>
          <w:i/>
        </w:rPr>
        <w:t>е</w:t>
      </w:r>
      <w:r w:rsidRPr="005E68D8">
        <w:rPr>
          <w:i/>
        </w:rPr>
        <w:t>ния, религии или идеологии подлежит запрету.</w:t>
      </w:r>
    </w:p>
    <w:p w:rsidR="00B90D9C" w:rsidRPr="005E68D8" w:rsidRDefault="00B90D9C" w:rsidP="005E68D8">
      <w:pPr>
        <w:pStyle w:val="SingleTxtGR"/>
        <w:ind w:left="1701"/>
        <w:rPr>
          <w:i/>
        </w:rPr>
      </w:pPr>
      <w:r w:rsidRPr="005E68D8">
        <w:rPr>
          <w:i/>
        </w:rPr>
        <w:t>7.3</w:t>
      </w:r>
      <w:r w:rsidR="005E68D8" w:rsidRPr="005E68D8">
        <w:rPr>
          <w:i/>
        </w:rPr>
        <w:tab/>
      </w:r>
      <w:r w:rsidRPr="005E68D8">
        <w:rPr>
          <w:i/>
        </w:rPr>
        <w:t>В случае ограничения работодателем прав и свобод работника при приеме на работу в связи со специфическими требованиями служебных обязанностей работодатель обязан обосновать причины таких огран</w:t>
      </w:r>
      <w:r w:rsidRPr="005E68D8">
        <w:rPr>
          <w:i/>
        </w:rPr>
        <w:t>и</w:t>
      </w:r>
      <w:r w:rsidRPr="005E68D8">
        <w:rPr>
          <w:i/>
        </w:rPr>
        <w:t>чений.</w:t>
      </w:r>
    </w:p>
    <w:p w:rsidR="00B90D9C" w:rsidRPr="005E68D8" w:rsidRDefault="00B90D9C" w:rsidP="005E68D8">
      <w:pPr>
        <w:pStyle w:val="SingleTxtGR"/>
        <w:ind w:left="1701"/>
        <w:rPr>
          <w:i/>
        </w:rPr>
      </w:pPr>
      <w:r w:rsidRPr="005E68D8">
        <w:rPr>
          <w:i/>
        </w:rPr>
        <w:t>7.4</w:t>
      </w:r>
      <w:r w:rsidR="005E68D8" w:rsidRPr="005E68D8">
        <w:rPr>
          <w:i/>
        </w:rPr>
        <w:tab/>
      </w:r>
      <w:r w:rsidRPr="005E68D8">
        <w:rPr>
          <w:i/>
        </w:rPr>
        <w:t>При найме работника не разрешается задавать ему вопросы, к</w:t>
      </w:r>
      <w:r w:rsidRPr="005E68D8">
        <w:rPr>
          <w:i/>
        </w:rPr>
        <w:t>а</w:t>
      </w:r>
      <w:r w:rsidRPr="005E68D8">
        <w:rPr>
          <w:i/>
        </w:rPr>
        <w:t>сающиеся его личной жизни, идеологических убеждений, семейного п</w:t>
      </w:r>
      <w:r w:rsidRPr="005E68D8">
        <w:rPr>
          <w:i/>
        </w:rPr>
        <w:t>о</w:t>
      </w:r>
      <w:r w:rsidRPr="005E68D8">
        <w:rPr>
          <w:i/>
        </w:rPr>
        <w:t>ложения, чле</w:t>
      </w:r>
      <w:r w:rsidRPr="005E68D8">
        <w:rPr>
          <w:i/>
        </w:rPr>
        <w:t>н</w:t>
      </w:r>
      <w:r w:rsidRPr="005E68D8">
        <w:rPr>
          <w:i/>
        </w:rPr>
        <w:t>ства в политических партиях, религиозных убеждений или беременности, если только они не связаны с работой или обязанностями, которые предстоит в</w:t>
      </w:r>
      <w:r w:rsidRPr="005E68D8">
        <w:rPr>
          <w:i/>
        </w:rPr>
        <w:t>ы</w:t>
      </w:r>
      <w:r w:rsidRPr="005E68D8">
        <w:rPr>
          <w:i/>
        </w:rPr>
        <w:t>полнять.</w:t>
      </w:r>
    </w:p>
    <w:p w:rsidR="00B90D9C" w:rsidRPr="005E68D8" w:rsidRDefault="00B90D9C" w:rsidP="005E68D8">
      <w:pPr>
        <w:pStyle w:val="SingleTxtGR"/>
        <w:ind w:left="1701"/>
        <w:rPr>
          <w:i/>
        </w:rPr>
      </w:pPr>
      <w:r w:rsidRPr="005E68D8">
        <w:rPr>
          <w:i/>
        </w:rPr>
        <w:t>7.5</w:t>
      </w:r>
      <w:r w:rsidR="005E68D8" w:rsidRPr="005E68D8">
        <w:rPr>
          <w:i/>
        </w:rPr>
        <w:tab/>
      </w:r>
      <w:r w:rsidRPr="005E68D8">
        <w:rPr>
          <w:i/>
        </w:rPr>
        <w:t>Если задается вопрос в нарушение пункта 7.4 настоящего Коде</w:t>
      </w:r>
      <w:r w:rsidRPr="005E68D8">
        <w:rPr>
          <w:i/>
        </w:rPr>
        <w:t>к</w:t>
      </w:r>
      <w:r w:rsidRPr="005E68D8">
        <w:rPr>
          <w:i/>
        </w:rPr>
        <w:t>са, работник не обязан на него отвечать.</w:t>
      </w:r>
    </w:p>
    <w:p w:rsidR="00B90D9C" w:rsidRPr="00B90D9C" w:rsidRDefault="005E68D8" w:rsidP="00B90D9C">
      <w:pPr>
        <w:pStyle w:val="SingleTxtGR"/>
      </w:pPr>
      <w:r w:rsidRPr="005E68D8">
        <w:t>49.</w:t>
      </w:r>
      <w:r w:rsidRPr="005E68D8">
        <w:tab/>
      </w:r>
      <w:r w:rsidR="00B90D9C" w:rsidRPr="00B90D9C">
        <w:t>Профессиональная и специальная подготовка является одним из комп</w:t>
      </w:r>
      <w:r w:rsidR="00B90D9C" w:rsidRPr="00B90D9C">
        <w:t>о</w:t>
      </w:r>
      <w:r w:rsidR="00B90D9C" w:rsidRPr="00B90D9C">
        <w:t>нентов системы образования Монголии. В последние годы правительство Мо</w:t>
      </w:r>
      <w:r w:rsidR="00B90D9C" w:rsidRPr="00B90D9C">
        <w:t>н</w:t>
      </w:r>
      <w:r w:rsidR="00B90D9C" w:rsidRPr="00B90D9C">
        <w:t xml:space="preserve">голии уделяло особое внимание вопросам профессиональной и специальной подготовки, и в 2009 году Великий </w:t>
      </w:r>
      <w:r w:rsidR="006417CA">
        <w:t>г</w:t>
      </w:r>
      <w:r w:rsidR="00B90D9C" w:rsidRPr="00B90D9C">
        <w:t xml:space="preserve">осударственный </w:t>
      </w:r>
      <w:r w:rsidR="006417CA">
        <w:t>х</w:t>
      </w:r>
      <w:r w:rsidR="00B90D9C" w:rsidRPr="00B90D9C">
        <w:t>урал принял пересмо</w:t>
      </w:r>
      <w:r w:rsidR="00B90D9C" w:rsidRPr="00B90D9C">
        <w:t>т</w:t>
      </w:r>
      <w:r w:rsidR="00B90D9C" w:rsidRPr="00B90D9C">
        <w:t>ренный Закон о профессиональном обучении</w:t>
      </w:r>
      <w:r w:rsidR="002B706C">
        <w:t xml:space="preserve"> и подготовке. В соответствии с эт</w:t>
      </w:r>
      <w:r w:rsidR="00B90D9C" w:rsidRPr="00B90D9C">
        <w:t xml:space="preserve">им Законом </w:t>
      </w:r>
      <w:r w:rsidR="006417CA">
        <w:t>ц</w:t>
      </w:r>
      <w:r w:rsidR="00B90D9C" w:rsidRPr="00B90D9C">
        <w:t>ентры профессиональной подготовки (ЦПП) обеспечивают профессиональную подготовку, а технические колледжи занимаются специал</w:t>
      </w:r>
      <w:r w:rsidR="00B90D9C" w:rsidRPr="00B90D9C">
        <w:t>и</w:t>
      </w:r>
      <w:r w:rsidR="00B90D9C" w:rsidRPr="00B90D9C">
        <w:t>зированным обучением. Учащиеся ЦПП обучаются в течение двух с половиной лет и получают ежемесячную стипендию в размере 45</w:t>
      </w:r>
      <w:r w:rsidR="002B706C">
        <w:t> </w:t>
      </w:r>
      <w:r w:rsidR="00B90D9C" w:rsidRPr="00B90D9C">
        <w:t>000 тугриков, то есть примерно 40 долларов США. Государственные ЦПП и технические колледжи создаются по решению правительства и финансируются Фондом поддержки профе</w:t>
      </w:r>
      <w:r w:rsidR="00B90D9C" w:rsidRPr="00B90D9C">
        <w:t>с</w:t>
      </w:r>
      <w:r w:rsidR="00B90D9C" w:rsidRPr="00B90D9C">
        <w:t>сионального обучения и подготовки (ФППОП). ФППОП является одним из специальных правительственных фондов, как и Фонд содействия занятости (ФСЗ). Частные ЦПП и технические колледжи могут создаваться юридическ</w:t>
      </w:r>
      <w:r w:rsidR="00B90D9C" w:rsidRPr="00B90D9C">
        <w:t>и</w:t>
      </w:r>
      <w:r w:rsidR="00B90D9C" w:rsidRPr="00B90D9C">
        <w:t>ми лицами, имеющими специальную лицензию. Они обеспечивают финансир</w:t>
      </w:r>
      <w:r w:rsidR="00B90D9C" w:rsidRPr="00B90D9C">
        <w:t>о</w:t>
      </w:r>
      <w:r w:rsidR="00B90D9C" w:rsidRPr="00B90D9C">
        <w:t>вание и выплачивают стипендии учащимся, исходя из переменных затрат на каждого учащегося. В 2009 году из национального бюджета было вы</w:t>
      </w:r>
      <w:r w:rsidR="00DA7105">
        <w:t>плачено в </w:t>
      </w:r>
      <w:r w:rsidR="00B90D9C" w:rsidRPr="00B90D9C">
        <w:t>общей сложности 38,7 млрд. тугриков на образовательную деятельность, с</w:t>
      </w:r>
      <w:r w:rsidR="00B90D9C" w:rsidRPr="00B90D9C">
        <w:t>о</w:t>
      </w:r>
      <w:r w:rsidR="00B90D9C" w:rsidRPr="00B90D9C">
        <w:t>держание общежитий для учащихся</w:t>
      </w:r>
      <w:r w:rsidR="002B706C">
        <w:t xml:space="preserve"> и выплату стипендий учащимся в</w:t>
      </w:r>
      <w:r w:rsidR="00DA7105">
        <w:t xml:space="preserve"> </w:t>
      </w:r>
      <w:r w:rsidR="00B90D9C" w:rsidRPr="00B90D9C">
        <w:t>секторе профе</w:t>
      </w:r>
      <w:r w:rsidR="00B90D9C" w:rsidRPr="00B90D9C">
        <w:t>с</w:t>
      </w:r>
      <w:r w:rsidR="00B90D9C" w:rsidRPr="00B90D9C">
        <w:t>сионального образования.</w:t>
      </w:r>
    </w:p>
    <w:p w:rsidR="00B90D9C" w:rsidRPr="00B90D9C" w:rsidRDefault="005E68D8" w:rsidP="00B90D9C">
      <w:pPr>
        <w:pStyle w:val="SingleTxtGR"/>
      </w:pPr>
      <w:r w:rsidRPr="005E68D8">
        <w:t>50.</w:t>
      </w:r>
      <w:r w:rsidRPr="005E68D8">
        <w:tab/>
      </w:r>
      <w:r w:rsidR="00B90D9C" w:rsidRPr="00B90D9C">
        <w:t>Существуют различные виды школ технического и профессионального обучения и подготовки (ТПОП), например: учебные центры при предприятиях, центры профессиональной подготовки, центры профессионального обучения, заведения по специальному обучению и подготовке. Вышеупомянутые учебные з</w:t>
      </w:r>
      <w:r w:rsidR="00B90D9C" w:rsidRPr="00B90D9C">
        <w:t>а</w:t>
      </w:r>
      <w:r w:rsidR="00B90D9C" w:rsidRPr="00B90D9C">
        <w:t xml:space="preserve">ведения организуют профессиональную подготовку на основе краткосрочных программ для безработных и сотрудников хозяйственных объектов, получая финансирование от ФСЗ или хозяйственных объектов </w:t>
      </w:r>
      <w:r w:rsidR="00DA7105">
        <w:t>либо</w:t>
      </w:r>
      <w:r w:rsidR="00B90D9C" w:rsidRPr="00B90D9C">
        <w:t xml:space="preserve"> от отдельных лиц, вносящих плату за свое обучение. В последние годы были приняты интенси</w:t>
      </w:r>
      <w:r w:rsidR="00B90D9C" w:rsidRPr="00B90D9C">
        <w:t>в</w:t>
      </w:r>
      <w:r w:rsidR="00B90D9C" w:rsidRPr="00B90D9C">
        <w:t>ные меры по улучшению качества профессиональной и специальной подгото</w:t>
      </w:r>
      <w:r w:rsidR="00B90D9C" w:rsidRPr="00B90D9C">
        <w:t>в</w:t>
      </w:r>
      <w:r w:rsidR="00B90D9C" w:rsidRPr="00B90D9C">
        <w:t>ки, по пересмотру стандартов подготовки в целях удовлетворения требований работодателей, по проведению аккредитации учебных учреждений, по орган</w:t>
      </w:r>
      <w:r w:rsidR="00B90D9C" w:rsidRPr="00B90D9C">
        <w:t>и</w:t>
      </w:r>
      <w:r w:rsidR="00B90D9C" w:rsidRPr="00B90D9C">
        <w:t>зации кратковременного обучения без отры</w:t>
      </w:r>
      <w:r w:rsidR="002B706C">
        <w:t>ва от производства. Например, с </w:t>
      </w:r>
      <w:r w:rsidR="00B90D9C" w:rsidRPr="00B90D9C">
        <w:t>2009 года были опробованы программы по обучению без отрыва от произво</w:t>
      </w:r>
      <w:r w:rsidR="00B90D9C" w:rsidRPr="00B90D9C">
        <w:t>д</w:t>
      </w:r>
      <w:r w:rsidR="00B90D9C" w:rsidRPr="00B90D9C">
        <w:t>ства в секторах горнодобывающей промышленности, дорожных работ и стро</w:t>
      </w:r>
      <w:r w:rsidR="00B90D9C" w:rsidRPr="00B90D9C">
        <w:t>и</w:t>
      </w:r>
      <w:r w:rsidR="00B90D9C" w:rsidRPr="00B90D9C">
        <w:t>тельства</w:t>
      </w:r>
      <w:r w:rsidR="00DA7105">
        <w:t>;</w:t>
      </w:r>
      <w:r w:rsidR="00B90D9C" w:rsidRPr="00B90D9C">
        <w:t xml:space="preserve"> при этом от ФСЗ было получено финансирование в размере 3 млрд. тугриков.</w:t>
      </w:r>
    </w:p>
    <w:p w:rsidR="00B90D9C" w:rsidRPr="00B90D9C" w:rsidRDefault="005E68D8" w:rsidP="00B90D9C">
      <w:pPr>
        <w:pStyle w:val="SingleTxtGR"/>
      </w:pPr>
      <w:r w:rsidRPr="005E68D8">
        <w:t>51.</w:t>
      </w:r>
      <w:r w:rsidRPr="005E68D8">
        <w:tab/>
      </w:r>
      <w:r w:rsidR="00B90D9C" w:rsidRPr="00B90D9C">
        <w:t>Хотя правительство Монголии приняло определенные меры по поддержке занятости и обеспечению профессионального и специального образования, оно не смогло добиться полной и эффективной занятости населения. Имеется целый ряд проблем и трудностей, которые влияют на ситуацию. Во-первых, несмотря на то, что в последние годы в стране наблюдался высокий экономический рост, он оказал слабое влияние на уровень занятости, поскольку был в основном об</w:t>
      </w:r>
      <w:r w:rsidR="00B90D9C" w:rsidRPr="00B90D9C">
        <w:t>у</w:t>
      </w:r>
      <w:r w:rsidR="00B90D9C" w:rsidRPr="00B90D9C">
        <w:t>словлен развитием горнодобывающей промышленности. Во-вторых, в Монг</w:t>
      </w:r>
      <w:r w:rsidR="00B90D9C" w:rsidRPr="00B90D9C">
        <w:t>о</w:t>
      </w:r>
      <w:r w:rsidR="00B90D9C" w:rsidRPr="00B90D9C">
        <w:t xml:space="preserve">лии имеет место </w:t>
      </w:r>
      <w:r w:rsidR="00C467DA">
        <w:t>"</w:t>
      </w:r>
      <w:r w:rsidR="00B90D9C" w:rsidRPr="00B90D9C">
        <w:t>демографическое окно</w:t>
      </w:r>
      <w:r w:rsidR="00C467DA">
        <w:t>"</w:t>
      </w:r>
      <w:r w:rsidR="00B90D9C" w:rsidRPr="00B90D9C">
        <w:t>. Тогда как количество и доля насел</w:t>
      </w:r>
      <w:r w:rsidR="00B90D9C" w:rsidRPr="00B90D9C">
        <w:t>е</w:t>
      </w:r>
      <w:r w:rsidR="00B90D9C" w:rsidRPr="00B90D9C">
        <w:t>ния трудоспособного возраста достигли своего максимума, основные сектора, создающие рабочие места, такие как перерабатывающие предприятия, отстают в развитии, что сдерживает занятость населения. В</w:t>
      </w:r>
      <w:r w:rsidR="00C733D3">
        <w:t>-</w:t>
      </w:r>
      <w:r w:rsidR="00B90D9C" w:rsidRPr="00B90D9C">
        <w:t>третьих, в нашей стране п</w:t>
      </w:r>
      <w:r w:rsidR="00B90D9C" w:rsidRPr="00B90D9C">
        <w:t>о</w:t>
      </w:r>
      <w:r w:rsidR="00B90D9C" w:rsidRPr="00B90D9C">
        <w:t>ка еще полностью не удалось преодолеть последствия глобального экономич</w:t>
      </w:r>
      <w:r w:rsidR="00B90D9C" w:rsidRPr="00B90D9C">
        <w:t>е</w:t>
      </w:r>
      <w:r w:rsidR="00B90D9C" w:rsidRPr="00B90D9C">
        <w:t>ского кризиса 2008-2009 годов, и нынешние достижения все еще непрочные, что отрицательно сказывается на занятости населения. В</w:t>
      </w:r>
      <w:r w:rsidR="00C733D3">
        <w:t>-</w:t>
      </w:r>
      <w:r w:rsidR="00B90D9C" w:rsidRPr="00B90D9C">
        <w:t>четвертых, стихийные бедствия, засух</w:t>
      </w:r>
      <w:r w:rsidR="00756542">
        <w:t>и</w:t>
      </w:r>
      <w:r w:rsidR="00B90D9C" w:rsidRPr="00B90D9C">
        <w:t xml:space="preserve"> и дзуд, вызванные глобальным потеплением, наносят большой вред и ущерб национальной экономике и занятости. В последние годы ввиду частой засухи и дзуда, охватывавших всю территорию страны, многие скот</w:t>
      </w:r>
      <w:r w:rsidR="00B90D9C" w:rsidRPr="00B90D9C">
        <w:t>о</w:t>
      </w:r>
      <w:r w:rsidR="00B90D9C" w:rsidRPr="00B90D9C">
        <w:t xml:space="preserve">водческие домашние хозяйства потеряли источник своего существования и мигрировали в города, </w:t>
      </w:r>
      <w:r w:rsidR="00756542">
        <w:t xml:space="preserve">пополнив </w:t>
      </w:r>
      <w:r w:rsidR="00B90D9C" w:rsidRPr="00B90D9C">
        <w:t xml:space="preserve">тем самым </w:t>
      </w:r>
      <w:r w:rsidR="00756542">
        <w:t>ряды</w:t>
      </w:r>
      <w:r w:rsidR="00B90D9C" w:rsidRPr="00B90D9C">
        <w:t xml:space="preserve"> безработных.</w:t>
      </w:r>
    </w:p>
    <w:p w:rsidR="00B90D9C" w:rsidRPr="00B90D9C" w:rsidRDefault="005E68D8" w:rsidP="00B90D9C">
      <w:pPr>
        <w:pStyle w:val="SingleTxtGR"/>
      </w:pPr>
      <w:r w:rsidRPr="005E68D8">
        <w:t>52.</w:t>
      </w:r>
      <w:r w:rsidRPr="005E68D8">
        <w:tab/>
      </w:r>
      <w:r w:rsidR="00B90D9C" w:rsidRPr="00B90D9C">
        <w:t>Ощущается отсутствие законодательных норм, что ведет к дискримин</w:t>
      </w:r>
      <w:r w:rsidR="00B90D9C" w:rsidRPr="00B90D9C">
        <w:t>а</w:t>
      </w:r>
      <w:r w:rsidR="00B90D9C" w:rsidRPr="00B90D9C">
        <w:t>ции, ограничениям при решении проблемы равных прав и возможностей в сф</w:t>
      </w:r>
      <w:r w:rsidR="00B90D9C" w:rsidRPr="00B90D9C">
        <w:t>е</w:t>
      </w:r>
      <w:r w:rsidR="00B90D9C" w:rsidRPr="00B90D9C">
        <w:t>ре занятости. Так или иначе, некоторые работодатели в своих объявлениях о в</w:t>
      </w:r>
      <w:r w:rsidR="00B90D9C" w:rsidRPr="00B90D9C">
        <w:t>а</w:t>
      </w:r>
      <w:r w:rsidR="00B90D9C" w:rsidRPr="00B90D9C">
        <w:t>кансиях, размещаемых в СМИ, в числе критериев для претендентов указывают ограничения, связанные с возрастом, полом, ростом и внешним видом. Шир</w:t>
      </w:r>
      <w:r w:rsidR="00B90D9C" w:rsidRPr="00B90D9C">
        <w:t>о</w:t>
      </w:r>
      <w:r w:rsidR="00B90D9C" w:rsidRPr="00B90D9C">
        <w:t>кая общественность справедливо рассматривает это как дискриминацию, и</w:t>
      </w:r>
      <w:r w:rsidR="00756542">
        <w:t>,</w:t>
      </w:r>
      <w:r w:rsidR="00B90D9C" w:rsidRPr="00B90D9C">
        <w:t xml:space="preserve"> т</w:t>
      </w:r>
      <w:r w:rsidR="00B90D9C" w:rsidRPr="00B90D9C">
        <w:t>а</w:t>
      </w:r>
      <w:r w:rsidR="00B90D9C" w:rsidRPr="00B90D9C">
        <w:t>ким образом, принимаются меры по улучшению правовой координации в да</w:t>
      </w:r>
      <w:r w:rsidR="00B90D9C" w:rsidRPr="00B90D9C">
        <w:t>н</w:t>
      </w:r>
      <w:r w:rsidR="00B90D9C" w:rsidRPr="00B90D9C">
        <w:t>ном вопросе.</w:t>
      </w:r>
    </w:p>
    <w:p w:rsidR="00B90D9C" w:rsidRPr="00B90D9C" w:rsidRDefault="005E68D8" w:rsidP="00B90D9C">
      <w:pPr>
        <w:pStyle w:val="SingleTxtGR"/>
      </w:pPr>
      <w:r w:rsidRPr="005E68D8">
        <w:t>53.</w:t>
      </w:r>
      <w:r w:rsidRPr="005E68D8">
        <w:tab/>
      </w:r>
      <w:r w:rsidR="00B90D9C" w:rsidRPr="00B90D9C">
        <w:t xml:space="preserve">Статистика труда </w:t>
      </w:r>
      <w:r w:rsidR="00756542">
        <w:t xml:space="preserve">в стране </w:t>
      </w:r>
      <w:r w:rsidR="00B90D9C" w:rsidRPr="00B90D9C">
        <w:t>дается в разбивке по таким показателям, как пол, возрастная группа, сектор экономики, профессио</w:t>
      </w:r>
      <w:r w:rsidR="002B706C">
        <w:t>нальная классификация, статус в</w:t>
      </w:r>
      <w:r w:rsidR="00756542">
        <w:t xml:space="preserve"> </w:t>
      </w:r>
      <w:r w:rsidR="00B90D9C" w:rsidRPr="00B90D9C">
        <w:t>занятости, однако показатели по национальности, расе и религии в эту стат</w:t>
      </w:r>
      <w:r w:rsidR="00B90D9C" w:rsidRPr="00B90D9C">
        <w:t>и</w:t>
      </w:r>
      <w:r w:rsidR="00B90D9C" w:rsidRPr="00B90D9C">
        <w:t>стику не включаются.</w:t>
      </w:r>
    </w:p>
    <w:p w:rsidR="00B90D9C" w:rsidRPr="00B90D9C" w:rsidRDefault="005E68D8" w:rsidP="00B90D9C">
      <w:pPr>
        <w:pStyle w:val="SingleTxtGR"/>
      </w:pPr>
      <w:r w:rsidRPr="005E68D8">
        <w:t>54.</w:t>
      </w:r>
      <w:r w:rsidRPr="005E68D8">
        <w:tab/>
      </w:r>
      <w:r w:rsidR="00B90D9C" w:rsidRPr="00B90D9C">
        <w:t>По состоянию на 2006</w:t>
      </w:r>
      <w:r w:rsidRPr="005E68D8">
        <w:t>−</w:t>
      </w:r>
      <w:r w:rsidR="00B90D9C" w:rsidRPr="00B90D9C">
        <w:t xml:space="preserve">2009 годы </w:t>
      </w:r>
      <w:r w:rsidR="00756542">
        <w:t>показатель экономической активности</w:t>
      </w:r>
      <w:r w:rsidR="00B90D9C" w:rsidRPr="00B90D9C">
        <w:t xml:space="preserve"> </w:t>
      </w:r>
      <w:r w:rsidR="00756542">
        <w:t xml:space="preserve">населения </w:t>
      </w:r>
      <w:r w:rsidR="00B90D9C" w:rsidRPr="00B90D9C">
        <w:t>в Мо</w:t>
      </w:r>
      <w:r w:rsidR="00B90D9C" w:rsidRPr="00B90D9C">
        <w:t>н</w:t>
      </w:r>
      <w:r w:rsidR="00B90D9C" w:rsidRPr="00B90D9C">
        <w:t>голии составил 63,5</w:t>
      </w:r>
      <w:r w:rsidRPr="005E68D8">
        <w:t>−</w:t>
      </w:r>
      <w:r w:rsidR="00B90D9C" w:rsidRPr="00B90D9C">
        <w:t>66,1%.</w:t>
      </w:r>
    </w:p>
    <w:p w:rsidR="00B90D9C" w:rsidRPr="00B90D9C" w:rsidRDefault="00372BCE" w:rsidP="00B90D9C">
      <w:pPr>
        <w:pStyle w:val="SingleTxtGR"/>
      </w:pPr>
      <w:r w:rsidRPr="00372BCE">
        <w:t>55.</w:t>
      </w:r>
      <w:r w:rsidRPr="00372BCE">
        <w:tab/>
      </w:r>
      <w:r w:rsidR="00B90D9C" w:rsidRPr="00B90D9C">
        <w:t>Ввиду нехватки рабочих мест практика иметь вторую работу в дополн</w:t>
      </w:r>
      <w:r w:rsidR="00B90D9C" w:rsidRPr="00B90D9C">
        <w:t>е</w:t>
      </w:r>
      <w:r w:rsidR="00B90D9C" w:rsidRPr="00B90D9C">
        <w:t>ние к основной работе не получила распространения среди населения, и н</w:t>
      </w:r>
      <w:r w:rsidR="00B90D9C" w:rsidRPr="00B90D9C">
        <w:t>а</w:t>
      </w:r>
      <w:r w:rsidR="00B90D9C" w:rsidRPr="00B90D9C">
        <w:t>дежные данные по этому вопросу отсутствуют.</w:t>
      </w:r>
    </w:p>
    <w:p w:rsidR="00B90D9C" w:rsidRPr="00B90D9C" w:rsidRDefault="005E68D8" w:rsidP="001F6EE4">
      <w:pPr>
        <w:pStyle w:val="SingleTxtGR"/>
        <w:spacing w:after="240"/>
      </w:pPr>
      <w:r w:rsidRPr="005E68D8">
        <w:t>5</w:t>
      </w:r>
      <w:r w:rsidR="00372BCE" w:rsidRPr="00C005FD">
        <w:t>6</w:t>
      </w:r>
      <w:r w:rsidRPr="005E68D8">
        <w:t>.</w:t>
      </w:r>
      <w:r w:rsidRPr="005E68D8">
        <w:tab/>
      </w:r>
      <w:r w:rsidR="00B90D9C" w:rsidRPr="00B90D9C">
        <w:t>Для полного осуществления прав, упомянутых в статье 6 Пакта, прав</w:t>
      </w:r>
      <w:r w:rsidR="00B90D9C" w:rsidRPr="00B90D9C">
        <w:t>и</w:t>
      </w:r>
      <w:r w:rsidR="00B90D9C" w:rsidRPr="00B90D9C">
        <w:t>тельство сотрудничает с такими организациями, как Международная организ</w:t>
      </w:r>
      <w:r w:rsidR="00B90D9C" w:rsidRPr="00B90D9C">
        <w:t>а</w:t>
      </w:r>
      <w:r w:rsidR="00B90D9C" w:rsidRPr="00B90D9C">
        <w:t xml:space="preserve">ция труда (МОТ), Азиатский банк развития (АБР), корпорация из США </w:t>
      </w:r>
      <w:r w:rsidR="00C467DA">
        <w:t>"</w:t>
      </w:r>
      <w:r w:rsidR="00B90D9C" w:rsidRPr="00B90D9C">
        <w:t>Выз</w:t>
      </w:r>
      <w:r w:rsidR="00B90D9C" w:rsidRPr="00B90D9C">
        <w:t>о</w:t>
      </w:r>
      <w:r w:rsidR="00B90D9C" w:rsidRPr="00B90D9C">
        <w:t>вы тысячелетия</w:t>
      </w:r>
      <w:r w:rsidR="00C467DA">
        <w:t>"</w:t>
      </w:r>
      <w:r w:rsidR="00B90D9C" w:rsidRPr="00B90D9C">
        <w:t xml:space="preserve"> (КВТ), принимая меры по улучшению правовой координации, пересмотру содержания профессионального и специального образования, укр</w:t>
      </w:r>
      <w:r w:rsidR="00B90D9C" w:rsidRPr="00B90D9C">
        <w:t>е</w:t>
      </w:r>
      <w:r w:rsidR="00B90D9C" w:rsidRPr="00B90D9C">
        <w:t>плению его материальной базы. Например, КВТ из США осуществляет пр</w:t>
      </w:r>
      <w:r w:rsidR="00B90D9C" w:rsidRPr="00B90D9C">
        <w:t>о</w:t>
      </w:r>
      <w:r w:rsidR="00B90D9C" w:rsidRPr="00B90D9C">
        <w:t>ект в области технического и профессионал</w:t>
      </w:r>
      <w:r>
        <w:t>ьного обучения и подготовки. В</w:t>
      </w:r>
      <w:r w:rsidR="002C0BB5">
        <w:t xml:space="preserve"> </w:t>
      </w:r>
      <w:r w:rsidR="00B90D9C" w:rsidRPr="00B90D9C">
        <w:t>рамках Программы-3 по развитию образования, осуществляемой за счет кред</w:t>
      </w:r>
      <w:r w:rsidR="00B90D9C" w:rsidRPr="00B90D9C">
        <w:t>и</w:t>
      </w:r>
      <w:r w:rsidR="00B90D9C" w:rsidRPr="00B90D9C">
        <w:t>та АБР, шесть местных ЦПП были отобраны для развития в качестве реги</w:t>
      </w:r>
      <w:r w:rsidR="00B90D9C" w:rsidRPr="00B90D9C">
        <w:t>о</w:t>
      </w:r>
      <w:r w:rsidR="00B90D9C" w:rsidRPr="00B90D9C">
        <w:t>нальных центров профессионального обучения, и было инвестировано 3 млн. долларов США в ремонт школьных зданий и их оснащение необходимым об</w:t>
      </w:r>
      <w:r w:rsidR="00B90D9C" w:rsidRPr="00B90D9C">
        <w:t>о</w:t>
      </w:r>
      <w:r w:rsidR="00B90D9C" w:rsidRPr="00B90D9C">
        <w:t>рудованием. В декабре 2009 года было приобретено оборудование и инструменты, пр</w:t>
      </w:r>
      <w:r w:rsidR="00B90D9C" w:rsidRPr="00B90D9C">
        <w:t>о</w:t>
      </w:r>
      <w:r w:rsidR="00B90D9C" w:rsidRPr="00B90D9C">
        <w:t>граммное обеспечение для моделирования для лабораторий и мастерских, нео</w:t>
      </w:r>
      <w:r w:rsidR="00B90D9C" w:rsidRPr="00B90D9C">
        <w:t>б</w:t>
      </w:r>
      <w:r w:rsidR="00B90D9C" w:rsidRPr="00B90D9C">
        <w:t>ходимое для обучения шести основным и наиболее популярным пр</w:t>
      </w:r>
      <w:r w:rsidR="00B90D9C" w:rsidRPr="00B90D9C">
        <w:t>о</w:t>
      </w:r>
      <w:r w:rsidR="00B90D9C" w:rsidRPr="00B90D9C">
        <w:t>фессиям.</w:t>
      </w:r>
    </w:p>
    <w:p w:rsidR="005B45AA" w:rsidRDefault="00C005FD" w:rsidP="005B45AA">
      <w:pPr>
        <w:pStyle w:val="SingleTxtGR"/>
        <w:rPr>
          <w:lang w:val="en-US" w:eastAsia="ru-RU"/>
        </w:rPr>
      </w:pPr>
      <w:r>
        <w:rPr>
          <w:noProof/>
          <w:w w:val="100"/>
          <w:lang w:eastAsia="ru-RU"/>
        </w:rPr>
      </w:r>
      <w:r>
        <w:rPr>
          <w:lang w:eastAsia="ru-RU"/>
        </w:rPr>
        <w:pict>
          <v:shape id="_x0000_s1028" type="#_x0000_t75" style="width:189pt;height:150.75pt;mso-position-horizontal-relative:char;mso-position-vertical-relative:line">
            <v:imagedata r:id="rId10" o:title=""/>
            <w10:anchorlock/>
          </v:shape>
        </w:pict>
      </w:r>
    </w:p>
    <w:p w:rsidR="00C005FD" w:rsidRPr="00C005FD" w:rsidRDefault="00C005FD" w:rsidP="00C005FD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C005FD">
        <w:t>Статья 7</w:t>
      </w:r>
    </w:p>
    <w:p w:rsidR="00C005FD" w:rsidRPr="00C005FD" w:rsidRDefault="00C005FD" w:rsidP="00C005FD">
      <w:pPr>
        <w:pStyle w:val="SingleTxtGR"/>
      </w:pPr>
      <w:r w:rsidRPr="00C005FD">
        <w:t>57.</w:t>
      </w:r>
      <w:r w:rsidRPr="00C005FD">
        <w:tab/>
        <w:t>Монголия ратифицировала Конвенцию МОТ № 101 о равном вознагра</w:t>
      </w:r>
      <w:r w:rsidRPr="00C005FD">
        <w:t>ж</w:t>
      </w:r>
      <w:r w:rsidRPr="00C005FD">
        <w:t>дении в 1969 году и Конвенцию № 155 о</w:t>
      </w:r>
      <w:r w:rsidR="002B706C">
        <w:t xml:space="preserve"> безопасности и гигиене труда в </w:t>
      </w:r>
      <w:r w:rsidRPr="00C005FD">
        <w:t>1998</w:t>
      </w:r>
      <w:r>
        <w:rPr>
          <w:lang w:val="en-US"/>
        </w:rPr>
        <w:t> </w:t>
      </w:r>
      <w:r w:rsidRPr="00C005FD">
        <w:t>году. Однако наша страна не присоединилась к следующим конвенциям: № 131 об установлении минимальной заработной платы; № 14 о еженедельном отдыхе на промышленных предприятиях; № 106 о еженедельном отдыхе в то</w:t>
      </w:r>
      <w:r w:rsidRPr="00C005FD">
        <w:t>р</w:t>
      </w:r>
      <w:r w:rsidRPr="00C005FD">
        <w:t>говле и учреждениях; № 132 об оплачиваемых отпусках. Эти конвенции испол</w:t>
      </w:r>
      <w:r w:rsidRPr="00C005FD">
        <w:t>ь</w:t>
      </w:r>
      <w:r w:rsidRPr="00C005FD">
        <w:t>зуются в качестве рекомендаций в процессе развития и улучшения национал</w:t>
      </w:r>
      <w:r w:rsidRPr="00C005FD">
        <w:t>ь</w:t>
      </w:r>
      <w:r w:rsidRPr="00C005FD">
        <w:t>ного законодательства. Изучается вопрос о присоединении к Конвенции № 81 об инспекции труда в промышленности и торговле и к Конвенции № 129 об и</w:t>
      </w:r>
      <w:r w:rsidRPr="00C005FD">
        <w:t>н</w:t>
      </w:r>
      <w:r w:rsidRPr="00C005FD">
        <w:t>спекции труда в сельском хозяйстве. Информация об осуществлении конве</w:t>
      </w:r>
      <w:r w:rsidRPr="00C005FD">
        <w:t>н</w:t>
      </w:r>
      <w:r w:rsidRPr="00C005FD">
        <w:t>ций МОТ № 100 и № 155 содержится в доклад</w:t>
      </w:r>
      <w:r>
        <w:t>е за 2010 год, представленном в</w:t>
      </w:r>
      <w:r>
        <w:rPr>
          <w:lang w:val="en-US"/>
        </w:rPr>
        <w:t> </w:t>
      </w:r>
      <w:r w:rsidRPr="00C005FD">
        <w:t>МОТ.</w:t>
      </w:r>
    </w:p>
    <w:p w:rsidR="00C005FD" w:rsidRPr="00C005FD" w:rsidRDefault="00C005FD" w:rsidP="00C005FD">
      <w:pPr>
        <w:pStyle w:val="SingleTxtGR"/>
      </w:pPr>
      <w:r w:rsidRPr="00C005FD">
        <w:t>58.</w:t>
      </w:r>
      <w:r w:rsidRPr="00C005FD">
        <w:tab/>
        <w:t>В Законе о труде в Монголии указывается, что работникам может выпл</w:t>
      </w:r>
      <w:r w:rsidRPr="00C005FD">
        <w:t>а</w:t>
      </w:r>
      <w:r w:rsidRPr="00C005FD">
        <w:t>чиваться зарплата/оклад на сдельной основе, повременно или на основе иной формы оплаты, а также по результатам выпол</w:t>
      </w:r>
      <w:r w:rsidR="002B706C">
        <w:t>ненной работы. В соответствии с </w:t>
      </w:r>
      <w:r w:rsidRPr="00C005FD">
        <w:t>вышеуказанными положениями экономические субъекты и организации в</w:t>
      </w:r>
      <w:r w:rsidRPr="00C005FD">
        <w:t>ы</w:t>
      </w:r>
      <w:r w:rsidRPr="00C005FD">
        <w:t>плачивают зарплаты и оклады на основе отработанных часов или производс</w:t>
      </w:r>
      <w:r w:rsidRPr="00C005FD">
        <w:t>т</w:t>
      </w:r>
      <w:r w:rsidRPr="00C005FD">
        <w:t>венных показателей. Система почасовой оплаты представляет собой форму о</w:t>
      </w:r>
      <w:r w:rsidRPr="00C005FD">
        <w:t>п</w:t>
      </w:r>
      <w:r w:rsidRPr="00C005FD">
        <w:t>латы с установленной тарифной ставкой за час или же помесячную оплату в з</w:t>
      </w:r>
      <w:r w:rsidRPr="00C005FD">
        <w:t>а</w:t>
      </w:r>
      <w:r w:rsidRPr="00C005FD">
        <w:t>висимости от должностного положения. Система оплаты по результатам прои</w:t>
      </w:r>
      <w:r w:rsidRPr="00C005FD">
        <w:t>з</w:t>
      </w:r>
      <w:r w:rsidRPr="00C005FD">
        <w:t>водственных показателей основывается на норме выработки за единицу врем</w:t>
      </w:r>
      <w:r w:rsidRPr="00C005FD">
        <w:t>е</w:t>
      </w:r>
      <w:r w:rsidRPr="00C005FD">
        <w:t>ни и тарифной ставке за час с оценкой выработанной нормы. Если работник не выполнил норму по независящим от него причинам, разница между базовой зарплатой и зарплатой за выполненную работу компенсируется.</w:t>
      </w:r>
    </w:p>
    <w:p w:rsidR="00C005FD" w:rsidRPr="00C005FD" w:rsidRDefault="00C005FD" w:rsidP="00C005FD">
      <w:pPr>
        <w:pStyle w:val="SingleTxtGR"/>
      </w:pPr>
      <w:r w:rsidRPr="00C005FD">
        <w:t>59.</w:t>
      </w:r>
      <w:r w:rsidRPr="00C005FD">
        <w:tab/>
        <w:t>С 1992 года Монголия устанавливает и применяет на практике мин</w:t>
      </w:r>
      <w:r w:rsidRPr="00C005FD">
        <w:t>и</w:t>
      </w:r>
      <w:r w:rsidRPr="00C005FD">
        <w:t>мальные размеры оплаты труда, а в 1998 году Великий Государственный Хурал принял Закон о минимальном размере оплаты труда. В соответствии с этим З</w:t>
      </w:r>
      <w:r w:rsidRPr="00C005FD">
        <w:t>а</w:t>
      </w:r>
      <w:r w:rsidRPr="00C005FD">
        <w:t>коном правительство, по крайней мере, один раз в год пересматривает мин</w:t>
      </w:r>
      <w:r w:rsidRPr="00C005FD">
        <w:t>и</w:t>
      </w:r>
      <w:r w:rsidRPr="00C005FD">
        <w:t>мальный размер оплаты труда с учетом предложений представителей Ассоци</w:t>
      </w:r>
      <w:r w:rsidRPr="00C005FD">
        <w:t>а</w:t>
      </w:r>
      <w:r w:rsidRPr="00C005FD">
        <w:t>ции работодателей и работников. Закон не определяет группы работников, на которых не распространяется положение о минимальном размере оплаты труда. В 2010 году вышеупомянутый Закон был пересмотрен и одобрен Великим Гос</w:t>
      </w:r>
      <w:r w:rsidRPr="00C005FD">
        <w:t>у</w:t>
      </w:r>
      <w:r w:rsidRPr="00C005FD">
        <w:t>дарственным Хуралом, и, таким образом, минимальный размер оплаты труда устанавливается Национальным трехсторонним комитетом по вопросам труд</w:t>
      </w:r>
      <w:r w:rsidRPr="00C005FD">
        <w:t>о</w:t>
      </w:r>
      <w:r w:rsidRPr="00C005FD">
        <w:t>вых отношений и социального консенсуса с участием представителей прав</w:t>
      </w:r>
      <w:r w:rsidRPr="00C005FD">
        <w:t>и</w:t>
      </w:r>
      <w:r w:rsidRPr="00C005FD">
        <w:t>тельства, работодателей и трудящихся. Считается, что с введением новых пр</w:t>
      </w:r>
      <w:r w:rsidRPr="00C005FD">
        <w:t>а</w:t>
      </w:r>
      <w:r w:rsidRPr="00C005FD">
        <w:t>вил появились более широкие возможности для участия различных заинтерес</w:t>
      </w:r>
      <w:r w:rsidRPr="00C005FD">
        <w:t>о</w:t>
      </w:r>
      <w:r w:rsidRPr="00C005FD">
        <w:t>ванных сторон в обсуждении вопроса о минимальном размере оплаты труда и формирования консенсуса. Ни для каких групп работников исключений не пр</w:t>
      </w:r>
      <w:r w:rsidRPr="00C005FD">
        <w:t>е</w:t>
      </w:r>
      <w:r w:rsidRPr="00C005FD">
        <w:t>дусмотрено. Минимальный размер оплаты труда устанавливается на наци</w:t>
      </w:r>
      <w:r w:rsidRPr="00C005FD">
        <w:t>о</w:t>
      </w:r>
      <w:r w:rsidRPr="00C005FD">
        <w:t>нальном уровне, причем допускается введение более высокого минимального размера оплаты труда на основе соглашения в конкретной отрасли. По состо</w:t>
      </w:r>
      <w:r w:rsidRPr="00C005FD">
        <w:t>я</w:t>
      </w:r>
      <w:r w:rsidRPr="00C005FD">
        <w:t>нию на 2010 год минимальный размер оплаты труда составлял одну треть от средней заработной платы. Речь идет о сумме, обеспечивающей минимальный прожиточный уровень. В 2011 году было принято решение о повышении мин</w:t>
      </w:r>
      <w:r w:rsidRPr="00C005FD">
        <w:t>и</w:t>
      </w:r>
      <w:r w:rsidRPr="00C005FD">
        <w:t>мального размера оплаты труда на 30%.</w:t>
      </w:r>
    </w:p>
    <w:p w:rsidR="00C005FD" w:rsidRPr="00C005FD" w:rsidRDefault="00C005FD" w:rsidP="00C005FD">
      <w:pPr>
        <w:pStyle w:val="Heading1"/>
        <w:spacing w:after="120"/>
        <w:ind w:left="1134"/>
        <w:jc w:val="left"/>
      </w:pPr>
      <w:r w:rsidRPr="00C005FD">
        <w:rPr>
          <w:b w:val="0"/>
        </w:rPr>
        <w:t>Таблица 3</w:t>
      </w:r>
      <w:r w:rsidRPr="00C005FD">
        <w:rPr>
          <w:b w:val="0"/>
        </w:rPr>
        <w:br/>
      </w:r>
      <w:r w:rsidRPr="00C005FD">
        <w:t xml:space="preserve">Средняя заработная плата и минимальный размер оплаты труда, </w:t>
      </w:r>
      <w:r w:rsidRPr="00C005FD">
        <w:br/>
        <w:t>2006−2010 г</w:t>
      </w:r>
      <w:r w:rsidRPr="00C005FD">
        <w:t>о</w:t>
      </w:r>
      <w:r w:rsidRPr="00C005FD">
        <w:t>ды</w:t>
      </w:r>
    </w:p>
    <w:tbl>
      <w:tblPr>
        <w:tblW w:w="7371" w:type="dxa"/>
        <w:tblInd w:w="1134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9"/>
        <w:gridCol w:w="2793"/>
        <w:gridCol w:w="910"/>
        <w:gridCol w:w="909"/>
        <w:gridCol w:w="854"/>
        <w:gridCol w:w="826"/>
        <w:gridCol w:w="820"/>
      </w:tblGrid>
      <w:tr w:rsidR="00631346" w:rsidRPr="00296A6F" w:rsidTr="00E57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tblHeader/>
        </w:trPr>
        <w:tc>
          <w:tcPr>
            <w:tcW w:w="2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31346" w:rsidRPr="00296A6F" w:rsidRDefault="00631346" w:rsidP="00631346">
            <w:pPr>
              <w:autoSpaceDE w:val="0"/>
              <w:autoSpaceDN w:val="0"/>
              <w:adjustRightInd w:val="0"/>
              <w:spacing w:before="80" w:after="80" w:line="200" w:lineRule="exact"/>
              <w:rPr>
                <w:i/>
                <w:sz w:val="16"/>
                <w:szCs w:val="24"/>
                <w:lang w:eastAsia="en-GB"/>
              </w:rPr>
            </w:pPr>
            <w:r w:rsidRPr="00296A6F">
              <w:rPr>
                <w:i/>
                <w:sz w:val="16"/>
                <w:szCs w:val="22"/>
                <w:lang w:eastAsia="en-GB"/>
              </w:rPr>
              <w:t>№</w:t>
            </w:r>
          </w:p>
        </w:tc>
        <w:tc>
          <w:tcPr>
            <w:tcW w:w="27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31346" w:rsidRPr="00296A6F" w:rsidRDefault="00631346" w:rsidP="00631346">
            <w:pPr>
              <w:autoSpaceDE w:val="0"/>
              <w:autoSpaceDN w:val="0"/>
              <w:adjustRightInd w:val="0"/>
              <w:spacing w:before="80" w:after="80" w:line="200" w:lineRule="exact"/>
              <w:rPr>
                <w:i/>
                <w:sz w:val="16"/>
                <w:szCs w:val="24"/>
                <w:lang w:eastAsia="en-GB"/>
              </w:rPr>
            </w:pPr>
            <w:r w:rsidRPr="00296A6F">
              <w:rPr>
                <w:i/>
                <w:sz w:val="16"/>
                <w:szCs w:val="22"/>
                <w:lang w:eastAsia="en-GB"/>
              </w:rPr>
              <w:t>Показатели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31346" w:rsidRPr="00296A6F" w:rsidRDefault="00631346" w:rsidP="00631346">
            <w:pPr>
              <w:autoSpaceDE w:val="0"/>
              <w:autoSpaceDN w:val="0"/>
              <w:adjustRightInd w:val="0"/>
              <w:spacing w:before="80" w:after="80" w:line="200" w:lineRule="exact"/>
              <w:jc w:val="right"/>
              <w:rPr>
                <w:i/>
                <w:sz w:val="16"/>
                <w:szCs w:val="24"/>
                <w:lang w:eastAsia="en-GB"/>
              </w:rPr>
            </w:pPr>
            <w:r w:rsidRPr="00296A6F">
              <w:rPr>
                <w:i/>
                <w:sz w:val="16"/>
                <w:szCs w:val="22"/>
                <w:lang w:eastAsia="en-GB"/>
              </w:rPr>
              <w:t>2006 год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31346" w:rsidRPr="00296A6F" w:rsidRDefault="00631346" w:rsidP="00631346">
            <w:pPr>
              <w:autoSpaceDE w:val="0"/>
              <w:autoSpaceDN w:val="0"/>
              <w:adjustRightInd w:val="0"/>
              <w:spacing w:before="80" w:after="80" w:line="200" w:lineRule="exact"/>
              <w:jc w:val="right"/>
              <w:rPr>
                <w:i/>
                <w:sz w:val="16"/>
                <w:szCs w:val="24"/>
                <w:lang w:eastAsia="en-GB"/>
              </w:rPr>
            </w:pPr>
            <w:r w:rsidRPr="00296A6F">
              <w:rPr>
                <w:i/>
                <w:sz w:val="16"/>
                <w:szCs w:val="22"/>
                <w:lang w:eastAsia="en-GB"/>
              </w:rPr>
              <w:t>2007 год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31346" w:rsidRPr="00296A6F" w:rsidRDefault="00631346" w:rsidP="00631346">
            <w:pPr>
              <w:autoSpaceDE w:val="0"/>
              <w:autoSpaceDN w:val="0"/>
              <w:adjustRightInd w:val="0"/>
              <w:spacing w:before="80" w:after="80" w:line="200" w:lineRule="exact"/>
              <w:jc w:val="right"/>
              <w:rPr>
                <w:i/>
                <w:sz w:val="16"/>
                <w:szCs w:val="24"/>
                <w:lang w:eastAsia="en-GB"/>
              </w:rPr>
            </w:pPr>
            <w:r w:rsidRPr="00296A6F">
              <w:rPr>
                <w:i/>
                <w:sz w:val="16"/>
                <w:szCs w:val="22"/>
                <w:lang w:eastAsia="en-GB"/>
              </w:rPr>
              <w:t xml:space="preserve">2008 год 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31346" w:rsidRPr="00296A6F" w:rsidRDefault="00631346" w:rsidP="00631346">
            <w:pPr>
              <w:autoSpaceDE w:val="0"/>
              <w:autoSpaceDN w:val="0"/>
              <w:adjustRightInd w:val="0"/>
              <w:spacing w:before="80" w:after="80" w:line="200" w:lineRule="exact"/>
              <w:jc w:val="right"/>
              <w:rPr>
                <w:i/>
                <w:sz w:val="16"/>
                <w:szCs w:val="24"/>
                <w:lang w:eastAsia="en-GB"/>
              </w:rPr>
            </w:pPr>
            <w:r w:rsidRPr="00296A6F">
              <w:rPr>
                <w:i/>
                <w:sz w:val="16"/>
                <w:szCs w:val="22"/>
                <w:lang w:eastAsia="en-GB"/>
              </w:rPr>
              <w:t>2009 год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31346" w:rsidRPr="00296A6F" w:rsidRDefault="00631346" w:rsidP="00631346">
            <w:pPr>
              <w:autoSpaceDE w:val="0"/>
              <w:autoSpaceDN w:val="0"/>
              <w:adjustRightInd w:val="0"/>
              <w:spacing w:before="80" w:after="80" w:line="200" w:lineRule="exact"/>
              <w:jc w:val="right"/>
              <w:rPr>
                <w:i/>
                <w:sz w:val="16"/>
                <w:szCs w:val="24"/>
                <w:lang w:eastAsia="en-GB"/>
              </w:rPr>
            </w:pPr>
            <w:r w:rsidRPr="00296A6F">
              <w:rPr>
                <w:i/>
                <w:sz w:val="16"/>
                <w:szCs w:val="22"/>
                <w:lang w:eastAsia="en-GB"/>
              </w:rPr>
              <w:t>2010 год</w:t>
            </w:r>
          </w:p>
        </w:tc>
      </w:tr>
      <w:tr w:rsidR="00631346" w:rsidRPr="00296A6F" w:rsidTr="00E57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59" w:type="dxa"/>
            <w:tcBorders>
              <w:top w:val="single" w:sz="12" w:space="0" w:color="auto"/>
            </w:tcBorders>
            <w:shd w:val="clear" w:color="auto" w:fill="auto"/>
          </w:tcPr>
          <w:p w:rsidR="00631346" w:rsidRPr="00296A6F" w:rsidRDefault="00631346" w:rsidP="00631346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24"/>
                <w:lang w:eastAsia="en-GB"/>
              </w:rPr>
            </w:pPr>
            <w:r w:rsidRPr="00296A6F">
              <w:rPr>
                <w:sz w:val="18"/>
                <w:szCs w:val="22"/>
                <w:lang w:eastAsia="en-GB"/>
              </w:rPr>
              <w:t>1</w:t>
            </w:r>
            <w:r w:rsidR="001F6EE4">
              <w:rPr>
                <w:sz w:val="18"/>
                <w:szCs w:val="22"/>
                <w:lang w:eastAsia="en-GB"/>
              </w:rPr>
              <w:t>.</w:t>
            </w:r>
          </w:p>
        </w:tc>
        <w:tc>
          <w:tcPr>
            <w:tcW w:w="279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31346" w:rsidRPr="00296A6F" w:rsidRDefault="00631346" w:rsidP="00631346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24"/>
                <w:lang w:eastAsia="en-GB"/>
              </w:rPr>
            </w:pPr>
            <w:r w:rsidRPr="00296A6F">
              <w:rPr>
                <w:sz w:val="18"/>
                <w:szCs w:val="18"/>
              </w:rPr>
              <w:t xml:space="preserve">Минимальный размер оплаты </w:t>
            </w:r>
            <w:r w:rsidR="00824820" w:rsidRPr="00824820">
              <w:rPr>
                <w:sz w:val="18"/>
                <w:szCs w:val="18"/>
              </w:rPr>
              <w:br/>
            </w:r>
            <w:r w:rsidRPr="00296A6F">
              <w:rPr>
                <w:sz w:val="18"/>
                <w:szCs w:val="18"/>
              </w:rPr>
              <w:t>труда</w:t>
            </w:r>
            <w:r w:rsidRPr="00296A6F">
              <w:rPr>
                <w:sz w:val="18"/>
                <w:szCs w:val="22"/>
                <w:lang w:eastAsia="en-GB"/>
              </w:rPr>
              <w:t xml:space="preserve"> (в тугр</w:t>
            </w:r>
            <w:r w:rsidRPr="00296A6F">
              <w:rPr>
                <w:sz w:val="18"/>
                <w:szCs w:val="22"/>
                <w:lang w:eastAsia="en-GB"/>
              </w:rPr>
              <w:t>и</w:t>
            </w:r>
            <w:r w:rsidRPr="00296A6F">
              <w:rPr>
                <w:sz w:val="18"/>
                <w:szCs w:val="22"/>
                <w:lang w:eastAsia="en-GB"/>
              </w:rPr>
              <w:t>ках)</w:t>
            </w:r>
          </w:p>
        </w:tc>
        <w:tc>
          <w:tcPr>
            <w:tcW w:w="9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31346" w:rsidRPr="00296A6F" w:rsidRDefault="00631346" w:rsidP="00631346">
            <w:pPr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24"/>
                <w:lang w:eastAsia="en-GB"/>
              </w:rPr>
            </w:pPr>
            <w:r w:rsidRPr="00296A6F">
              <w:rPr>
                <w:sz w:val="18"/>
                <w:szCs w:val="22"/>
                <w:lang w:eastAsia="en-GB"/>
              </w:rPr>
              <w:t>53 000</w:t>
            </w:r>
          </w:p>
        </w:tc>
        <w:tc>
          <w:tcPr>
            <w:tcW w:w="9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31346" w:rsidRPr="00296A6F" w:rsidRDefault="00631346" w:rsidP="00631346">
            <w:pPr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24"/>
                <w:lang w:eastAsia="en-GB"/>
              </w:rPr>
            </w:pPr>
            <w:r w:rsidRPr="00296A6F">
              <w:rPr>
                <w:sz w:val="18"/>
                <w:szCs w:val="22"/>
                <w:lang w:eastAsia="en-GB"/>
              </w:rPr>
              <w:t>90 000</w:t>
            </w: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31346" w:rsidRPr="00296A6F" w:rsidRDefault="00631346" w:rsidP="00631346">
            <w:pPr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24"/>
                <w:lang w:eastAsia="en-GB"/>
              </w:rPr>
            </w:pPr>
            <w:r w:rsidRPr="00296A6F">
              <w:rPr>
                <w:sz w:val="18"/>
                <w:szCs w:val="22"/>
                <w:lang w:eastAsia="en-GB"/>
              </w:rPr>
              <w:t>108 000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31346" w:rsidRPr="00296A6F" w:rsidRDefault="00631346" w:rsidP="00631346">
            <w:pPr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24"/>
                <w:lang w:eastAsia="en-GB"/>
              </w:rPr>
            </w:pPr>
            <w:r w:rsidRPr="00296A6F">
              <w:rPr>
                <w:sz w:val="18"/>
                <w:szCs w:val="22"/>
                <w:lang w:eastAsia="en-GB"/>
              </w:rPr>
              <w:t>108 000</w:t>
            </w:r>
          </w:p>
        </w:tc>
        <w:tc>
          <w:tcPr>
            <w:tcW w:w="8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31346" w:rsidRPr="00296A6F" w:rsidRDefault="00631346" w:rsidP="00631346">
            <w:pPr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24"/>
                <w:lang w:eastAsia="en-GB"/>
              </w:rPr>
            </w:pPr>
            <w:r w:rsidRPr="00296A6F">
              <w:rPr>
                <w:sz w:val="18"/>
                <w:szCs w:val="22"/>
                <w:lang w:eastAsia="en-GB"/>
              </w:rPr>
              <w:t>108 000</w:t>
            </w:r>
          </w:p>
        </w:tc>
      </w:tr>
      <w:tr w:rsidR="00631346" w:rsidRPr="00296A6F" w:rsidTr="00E57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59" w:type="dxa"/>
            <w:shd w:val="clear" w:color="auto" w:fill="auto"/>
          </w:tcPr>
          <w:p w:rsidR="00631346" w:rsidRPr="00296A6F" w:rsidRDefault="00631346" w:rsidP="00631346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24"/>
                <w:lang w:eastAsia="en-GB"/>
              </w:rPr>
            </w:pPr>
            <w:r w:rsidRPr="00296A6F">
              <w:rPr>
                <w:sz w:val="18"/>
                <w:szCs w:val="22"/>
                <w:lang w:eastAsia="en-GB"/>
              </w:rPr>
              <w:t>2</w:t>
            </w:r>
            <w:r w:rsidR="001F6EE4">
              <w:rPr>
                <w:sz w:val="18"/>
                <w:szCs w:val="22"/>
                <w:lang w:eastAsia="en-GB"/>
              </w:rPr>
              <w:t>.</w:t>
            </w:r>
          </w:p>
        </w:tc>
        <w:tc>
          <w:tcPr>
            <w:tcW w:w="2793" w:type="dxa"/>
            <w:shd w:val="clear" w:color="auto" w:fill="auto"/>
            <w:vAlign w:val="bottom"/>
          </w:tcPr>
          <w:p w:rsidR="00631346" w:rsidRPr="00296A6F" w:rsidRDefault="00631346" w:rsidP="00631346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24"/>
                <w:lang w:eastAsia="en-GB"/>
              </w:rPr>
            </w:pPr>
            <w:r w:rsidRPr="00296A6F">
              <w:rPr>
                <w:sz w:val="18"/>
                <w:szCs w:val="22"/>
                <w:lang w:eastAsia="en-GB"/>
              </w:rPr>
              <w:t xml:space="preserve">Средняя заработная плата </w:t>
            </w:r>
            <w:r w:rsidR="00DC16A3" w:rsidRPr="00DC16A3">
              <w:rPr>
                <w:sz w:val="18"/>
                <w:szCs w:val="22"/>
                <w:lang w:eastAsia="en-GB"/>
              </w:rPr>
              <w:br/>
            </w:r>
            <w:r w:rsidRPr="00296A6F">
              <w:rPr>
                <w:sz w:val="18"/>
                <w:szCs w:val="22"/>
                <w:lang w:eastAsia="en-GB"/>
              </w:rPr>
              <w:t>(в ту</w:t>
            </w:r>
            <w:r w:rsidRPr="00296A6F">
              <w:rPr>
                <w:sz w:val="18"/>
                <w:szCs w:val="22"/>
                <w:lang w:eastAsia="en-GB"/>
              </w:rPr>
              <w:t>г</w:t>
            </w:r>
            <w:r w:rsidRPr="00296A6F">
              <w:rPr>
                <w:sz w:val="18"/>
                <w:szCs w:val="22"/>
                <w:lang w:eastAsia="en-GB"/>
              </w:rPr>
              <w:t>риках)*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631346" w:rsidRPr="00296A6F" w:rsidRDefault="00631346" w:rsidP="00631346">
            <w:pPr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24"/>
                <w:lang w:eastAsia="en-GB"/>
              </w:rPr>
            </w:pPr>
            <w:r w:rsidRPr="00296A6F">
              <w:rPr>
                <w:sz w:val="18"/>
                <w:szCs w:val="22"/>
                <w:lang w:eastAsia="en-GB"/>
              </w:rPr>
              <w:t>127 700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31346" w:rsidRPr="00296A6F" w:rsidRDefault="00631346" w:rsidP="00631346">
            <w:pPr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24"/>
                <w:lang w:eastAsia="en-GB"/>
              </w:rPr>
            </w:pPr>
            <w:r w:rsidRPr="00296A6F">
              <w:rPr>
                <w:sz w:val="18"/>
                <w:szCs w:val="22"/>
                <w:lang w:eastAsia="en-GB"/>
              </w:rPr>
              <w:t>173 000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631346" w:rsidRPr="00296A6F" w:rsidRDefault="00631346" w:rsidP="00631346">
            <w:pPr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24"/>
                <w:lang w:eastAsia="en-GB"/>
              </w:rPr>
            </w:pPr>
            <w:r w:rsidRPr="00296A6F">
              <w:rPr>
                <w:sz w:val="18"/>
                <w:szCs w:val="22"/>
                <w:lang w:eastAsia="en-GB"/>
              </w:rPr>
              <w:t>274 200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631346" w:rsidRPr="00296A6F" w:rsidRDefault="00631346" w:rsidP="00631346">
            <w:pPr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24"/>
                <w:lang w:eastAsia="en-GB"/>
              </w:rPr>
            </w:pPr>
            <w:r w:rsidRPr="00296A6F">
              <w:rPr>
                <w:sz w:val="18"/>
                <w:szCs w:val="22"/>
                <w:lang w:eastAsia="en-GB"/>
              </w:rPr>
              <w:t>300 200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31346" w:rsidRPr="00296A6F" w:rsidRDefault="00631346" w:rsidP="00631346">
            <w:pPr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24"/>
                <w:lang w:eastAsia="en-GB"/>
              </w:rPr>
            </w:pPr>
            <w:r w:rsidRPr="00296A6F">
              <w:rPr>
                <w:sz w:val="18"/>
                <w:szCs w:val="22"/>
                <w:lang w:eastAsia="en-GB"/>
              </w:rPr>
              <w:t>341 000</w:t>
            </w:r>
          </w:p>
        </w:tc>
      </w:tr>
      <w:tr w:rsidR="00631346" w:rsidRPr="00296A6F" w:rsidTr="00E57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59" w:type="dxa"/>
            <w:tcBorders>
              <w:bottom w:val="single" w:sz="12" w:space="0" w:color="auto"/>
            </w:tcBorders>
            <w:shd w:val="clear" w:color="auto" w:fill="auto"/>
          </w:tcPr>
          <w:p w:rsidR="00631346" w:rsidRPr="00296A6F" w:rsidRDefault="00631346" w:rsidP="00631346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24"/>
                <w:lang w:eastAsia="en-GB"/>
              </w:rPr>
            </w:pPr>
          </w:p>
        </w:tc>
        <w:tc>
          <w:tcPr>
            <w:tcW w:w="279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31346" w:rsidRPr="00296A6F" w:rsidRDefault="00631346" w:rsidP="00631346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24"/>
                <w:lang w:eastAsia="en-GB"/>
              </w:rPr>
            </w:pPr>
            <w:r w:rsidRPr="00296A6F">
              <w:rPr>
                <w:sz w:val="18"/>
                <w:szCs w:val="22"/>
                <w:lang w:eastAsia="en-GB"/>
              </w:rPr>
              <w:t>Соотношение (%)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31346" w:rsidRPr="00296A6F" w:rsidRDefault="00631346" w:rsidP="00631346">
            <w:pPr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24"/>
                <w:lang w:eastAsia="en-GB"/>
              </w:rPr>
            </w:pPr>
            <w:r w:rsidRPr="00296A6F">
              <w:rPr>
                <w:sz w:val="18"/>
                <w:szCs w:val="22"/>
                <w:lang w:eastAsia="en-GB"/>
              </w:rPr>
              <w:t>41,5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31346" w:rsidRPr="00296A6F" w:rsidRDefault="00631346" w:rsidP="00631346">
            <w:pPr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24"/>
                <w:lang w:eastAsia="en-GB"/>
              </w:rPr>
            </w:pPr>
            <w:r w:rsidRPr="00296A6F">
              <w:rPr>
                <w:sz w:val="18"/>
                <w:szCs w:val="22"/>
                <w:lang w:eastAsia="en-GB"/>
              </w:rPr>
              <w:t>52,0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31346" w:rsidRPr="00296A6F" w:rsidRDefault="00631346" w:rsidP="00631346">
            <w:pPr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24"/>
                <w:lang w:eastAsia="en-GB"/>
              </w:rPr>
            </w:pPr>
            <w:r w:rsidRPr="00296A6F">
              <w:rPr>
                <w:sz w:val="18"/>
                <w:szCs w:val="22"/>
                <w:lang w:eastAsia="en-GB"/>
              </w:rPr>
              <w:t>39,4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31346" w:rsidRPr="00296A6F" w:rsidRDefault="00631346" w:rsidP="00631346">
            <w:pPr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24"/>
                <w:lang w:eastAsia="en-GB"/>
              </w:rPr>
            </w:pPr>
            <w:r w:rsidRPr="00296A6F">
              <w:rPr>
                <w:sz w:val="18"/>
                <w:szCs w:val="22"/>
                <w:lang w:eastAsia="en-GB"/>
              </w:rPr>
              <w:t>36,0</w:t>
            </w:r>
          </w:p>
        </w:tc>
        <w:tc>
          <w:tcPr>
            <w:tcW w:w="8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31346" w:rsidRPr="00296A6F" w:rsidRDefault="00631346" w:rsidP="00631346">
            <w:pPr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24"/>
                <w:lang w:eastAsia="en-GB"/>
              </w:rPr>
            </w:pPr>
            <w:r w:rsidRPr="00296A6F">
              <w:rPr>
                <w:sz w:val="18"/>
                <w:szCs w:val="22"/>
                <w:lang w:eastAsia="en-GB"/>
              </w:rPr>
              <w:t>31,7</w:t>
            </w:r>
          </w:p>
        </w:tc>
      </w:tr>
    </w:tbl>
    <w:p w:rsidR="00955763" w:rsidRPr="00420CC4" w:rsidRDefault="00420CC4" w:rsidP="002B706C">
      <w:pPr>
        <w:pStyle w:val="SingleTxtGR"/>
        <w:pageBreakBefore/>
        <w:spacing w:before="120"/>
        <w:rPr>
          <w:lang w:eastAsia="ru-RU"/>
        </w:rPr>
      </w:pPr>
      <w:r w:rsidRPr="00420CC4">
        <w:rPr>
          <w:lang w:eastAsia="ru-RU"/>
        </w:rPr>
        <w:t>60.</w:t>
      </w:r>
      <w:r w:rsidRPr="00420CC4">
        <w:rPr>
          <w:lang w:eastAsia="ru-RU"/>
        </w:rPr>
        <w:tab/>
      </w:r>
      <w:r w:rsidR="00955763" w:rsidRPr="00420CC4">
        <w:rPr>
          <w:lang w:eastAsia="ru-RU"/>
        </w:rPr>
        <w:t>Обследование структуры окладов и зарплат, проведенное Национальным статистическим управлением Министерства социального обеспечения и труда (МСОТ) в 2009 году, показало, что 8,0% работников, охваченных обследован</w:t>
      </w:r>
      <w:r w:rsidR="00955763" w:rsidRPr="00420CC4">
        <w:rPr>
          <w:lang w:eastAsia="ru-RU"/>
        </w:rPr>
        <w:t>и</w:t>
      </w:r>
      <w:r w:rsidR="00955763" w:rsidRPr="00420CC4">
        <w:rPr>
          <w:lang w:eastAsia="ru-RU"/>
        </w:rPr>
        <w:t>ем, получало минимальный размер оплаты труда или еще более низкую зар</w:t>
      </w:r>
      <w:r w:rsidR="00955763" w:rsidRPr="00420CC4">
        <w:rPr>
          <w:lang w:eastAsia="ru-RU"/>
        </w:rPr>
        <w:t>а</w:t>
      </w:r>
      <w:r w:rsidR="00955763" w:rsidRPr="00420CC4">
        <w:rPr>
          <w:lang w:eastAsia="ru-RU"/>
        </w:rPr>
        <w:t>ботную плату. Большинство работников, получавших заработную плату ниже минимального размера оплаты труда, трудились меньше установленного кол</w:t>
      </w:r>
      <w:r w:rsidR="00955763" w:rsidRPr="00420CC4">
        <w:rPr>
          <w:lang w:eastAsia="ru-RU"/>
        </w:rPr>
        <w:t>и</w:t>
      </w:r>
      <w:r w:rsidR="00955763" w:rsidRPr="00420CC4">
        <w:rPr>
          <w:lang w:eastAsia="ru-RU"/>
        </w:rPr>
        <w:t>чества часов в месяц, и, таким образом, можно сделать вывод о том, что в ц</w:t>
      </w:r>
      <w:r w:rsidR="00955763" w:rsidRPr="00420CC4">
        <w:rPr>
          <w:lang w:eastAsia="ru-RU"/>
        </w:rPr>
        <w:t>е</w:t>
      </w:r>
      <w:r w:rsidR="00955763" w:rsidRPr="00420CC4">
        <w:rPr>
          <w:lang w:eastAsia="ru-RU"/>
        </w:rPr>
        <w:t>лом экономические субъекты и организации придерживались концепции мин</w:t>
      </w:r>
      <w:r w:rsidR="00955763" w:rsidRPr="00420CC4">
        <w:rPr>
          <w:lang w:eastAsia="ru-RU"/>
        </w:rPr>
        <w:t>и</w:t>
      </w:r>
      <w:r w:rsidR="00955763" w:rsidRPr="00420CC4">
        <w:rPr>
          <w:lang w:eastAsia="ru-RU"/>
        </w:rPr>
        <w:t>мального размера оплаты труда. В настоящее время отсутствует эффективный механизм контроля за соблюдением принципа минимального размера оплаты труда в неформальном секторе и домашних хозяйствах, поэтому следует уд</w:t>
      </w:r>
      <w:r w:rsidR="00955763" w:rsidRPr="00420CC4">
        <w:rPr>
          <w:lang w:eastAsia="ru-RU"/>
        </w:rPr>
        <w:t>е</w:t>
      </w:r>
      <w:r w:rsidR="00955763" w:rsidRPr="00420CC4">
        <w:rPr>
          <w:lang w:eastAsia="ru-RU"/>
        </w:rPr>
        <w:t>лить внимание решению этого вопроса.</w:t>
      </w:r>
    </w:p>
    <w:p w:rsidR="00955763" w:rsidRPr="00420CC4" w:rsidRDefault="00420CC4" w:rsidP="00420CC4">
      <w:pPr>
        <w:pStyle w:val="SingleTxtGR"/>
        <w:rPr>
          <w:lang w:eastAsia="ru-RU"/>
        </w:rPr>
      </w:pPr>
      <w:r w:rsidRPr="00420CC4">
        <w:rPr>
          <w:lang w:eastAsia="ru-RU"/>
        </w:rPr>
        <w:t>61.</w:t>
      </w:r>
      <w:r w:rsidRPr="00420CC4">
        <w:rPr>
          <w:lang w:eastAsia="ru-RU"/>
        </w:rPr>
        <w:tab/>
      </w:r>
      <w:r w:rsidR="00955763" w:rsidRPr="00420CC4">
        <w:rPr>
          <w:lang w:eastAsia="ru-RU"/>
        </w:rPr>
        <w:t>Статья 49.2 Закона о труде Монголии, принятого в 1996 году, гласит, что мужчины и женщины, выполняющие одинаковую работу, должны получать ра</w:t>
      </w:r>
      <w:r w:rsidR="00955763" w:rsidRPr="00420CC4">
        <w:rPr>
          <w:lang w:eastAsia="ru-RU"/>
        </w:rPr>
        <w:t>в</w:t>
      </w:r>
      <w:r w:rsidR="00955763" w:rsidRPr="00420CC4">
        <w:rPr>
          <w:lang w:eastAsia="ru-RU"/>
        </w:rPr>
        <w:t>ные оклады и зарплаты. Отсутствуют какие-либо надежные документальные подтверждения того, что мужчины и женщины получают разные зарплаты за выполнение одной и той же работы. Однако средняя зарплата женщин сравн</w:t>
      </w:r>
      <w:r w:rsidR="00955763" w:rsidRPr="00420CC4">
        <w:rPr>
          <w:lang w:eastAsia="ru-RU"/>
        </w:rPr>
        <w:t>и</w:t>
      </w:r>
      <w:r w:rsidR="00955763" w:rsidRPr="00420CC4">
        <w:rPr>
          <w:lang w:eastAsia="ru-RU"/>
        </w:rPr>
        <w:t>тельно ниже средней зарплаты мужчин.</w:t>
      </w:r>
    </w:p>
    <w:p w:rsidR="00C005FD" w:rsidRDefault="00955763" w:rsidP="00093C68">
      <w:pPr>
        <w:pStyle w:val="Heading1"/>
        <w:spacing w:after="120"/>
        <w:ind w:left="1134"/>
        <w:jc w:val="left"/>
        <w:rPr>
          <w:lang w:val="en-US"/>
        </w:rPr>
      </w:pPr>
      <w:r w:rsidRPr="00093C68">
        <w:rPr>
          <w:b w:val="0"/>
        </w:rPr>
        <w:t>График 2</w:t>
      </w:r>
      <w:r w:rsidR="00420CC4" w:rsidRPr="00093C68">
        <w:rPr>
          <w:b w:val="0"/>
        </w:rPr>
        <w:br/>
      </w:r>
      <w:r w:rsidRPr="00420CC4">
        <w:t>Различия в средней заработной плате мужчин и женщин</w:t>
      </w:r>
    </w:p>
    <w:p w:rsidR="00093C68" w:rsidRDefault="00093C68" w:rsidP="00093C68">
      <w:pPr>
        <w:ind w:left="1134"/>
        <w:rPr>
          <w:lang w:val="en-US" w:eastAsia="ru-RU"/>
        </w:rPr>
      </w:pPr>
      <w:r>
        <w:rPr>
          <w:noProof/>
          <w:w w:val="100"/>
          <w:lang w:eastAsia="ru-RU"/>
        </w:rPr>
      </w:r>
      <w:r w:rsidRPr="00093C68">
        <w:rPr>
          <w:lang w:val="en-US" w:eastAsia="ru-RU"/>
        </w:rPr>
        <w:pict>
          <v:shape id="_x0000_s1029" type="#_x0000_t75" style="width:300.65pt;height:124.45pt;mso-position-horizontal-relative:char;mso-position-vertical-relative:line">
            <v:imagedata r:id="rId11" o:title=""/>
            <w10:anchorlock/>
          </v:shape>
        </w:pict>
      </w:r>
    </w:p>
    <w:p w:rsidR="00955763" w:rsidRPr="00093C68" w:rsidRDefault="00093C68" w:rsidP="00093C68">
      <w:pPr>
        <w:pStyle w:val="SingleTxtGR"/>
        <w:spacing w:before="240"/>
        <w:rPr>
          <w:lang w:eastAsia="ru-RU"/>
        </w:rPr>
      </w:pPr>
      <w:r w:rsidRPr="00093C68">
        <w:rPr>
          <w:lang w:eastAsia="ru-RU"/>
        </w:rPr>
        <w:t>62.</w:t>
      </w:r>
      <w:r w:rsidRPr="00093C68">
        <w:rPr>
          <w:lang w:eastAsia="ru-RU"/>
        </w:rPr>
        <w:tab/>
      </w:r>
      <w:r w:rsidR="00955763" w:rsidRPr="00093C68">
        <w:rPr>
          <w:lang w:eastAsia="ru-RU"/>
        </w:rPr>
        <w:t>Основной причиной этого является тот факт, что мужчины в гораздо большей степени заняты в высокопродуктивных, финансово эффективных, х</w:t>
      </w:r>
      <w:r w:rsidR="00955763" w:rsidRPr="00093C68">
        <w:rPr>
          <w:lang w:eastAsia="ru-RU"/>
        </w:rPr>
        <w:t>о</w:t>
      </w:r>
      <w:r w:rsidR="00955763" w:rsidRPr="00093C68">
        <w:rPr>
          <w:lang w:eastAsia="ru-RU"/>
        </w:rPr>
        <w:t>рошо оплачиваемых отраслях, таких как горнодобывающая промышленность, строительство, транспорт, энергетика, гос</w:t>
      </w:r>
      <w:r w:rsidR="00955763" w:rsidRPr="00093C68">
        <w:rPr>
          <w:lang w:eastAsia="ru-RU"/>
        </w:rPr>
        <w:t>у</w:t>
      </w:r>
      <w:r w:rsidR="00955763" w:rsidRPr="00093C68">
        <w:rPr>
          <w:lang w:eastAsia="ru-RU"/>
        </w:rPr>
        <w:t>дарственное управление и оборона. Женщины заняты в основном на исполнительских должностях или выполняют работу, не требующую высокой квалификации, что объясняет различие в сре</w:t>
      </w:r>
      <w:r w:rsidR="00955763" w:rsidRPr="00093C68">
        <w:rPr>
          <w:lang w:eastAsia="ru-RU"/>
        </w:rPr>
        <w:t>д</w:t>
      </w:r>
      <w:r w:rsidR="00955763" w:rsidRPr="00093C68">
        <w:rPr>
          <w:lang w:eastAsia="ru-RU"/>
        </w:rPr>
        <w:t>ней зарплате мужчин и женщин. Например, женщины составляют больши</w:t>
      </w:r>
      <w:r w:rsidR="00955763" w:rsidRPr="00093C68">
        <w:rPr>
          <w:lang w:eastAsia="ru-RU"/>
        </w:rPr>
        <w:t>н</w:t>
      </w:r>
      <w:r w:rsidR="00955763" w:rsidRPr="00093C68">
        <w:rPr>
          <w:lang w:eastAsia="ru-RU"/>
        </w:rPr>
        <w:t>ство работников сферы образования, однако процент сотрудников-женщин зависит от уровня учебных заведений. Если в начальных школах на долю женщин пр</w:t>
      </w:r>
      <w:r w:rsidR="00955763" w:rsidRPr="00093C68">
        <w:rPr>
          <w:lang w:eastAsia="ru-RU"/>
        </w:rPr>
        <w:t>и</w:t>
      </w:r>
      <w:r w:rsidR="00955763" w:rsidRPr="00093C68">
        <w:rPr>
          <w:lang w:eastAsia="ru-RU"/>
        </w:rPr>
        <w:t>ходится 94% персонала, то в средних школах женщины составляют 71% с</w:t>
      </w:r>
      <w:r w:rsidR="00955763" w:rsidRPr="00093C68">
        <w:rPr>
          <w:lang w:eastAsia="ru-RU"/>
        </w:rPr>
        <w:t>о</w:t>
      </w:r>
      <w:r w:rsidR="00955763" w:rsidRPr="00093C68">
        <w:rPr>
          <w:lang w:eastAsia="ru-RU"/>
        </w:rPr>
        <w:t>трудников, 68% – в полных средних школах, 60% – в профессионально-технических училищах и 52% – в университетах.</w:t>
      </w:r>
    </w:p>
    <w:p w:rsidR="00093C68" w:rsidRDefault="00955763" w:rsidP="002F72E2">
      <w:pPr>
        <w:pStyle w:val="Heading1"/>
        <w:spacing w:after="120"/>
        <w:ind w:left="1134"/>
        <w:jc w:val="left"/>
        <w:rPr>
          <w:lang w:val="en-US"/>
        </w:rPr>
      </w:pPr>
      <w:r w:rsidRPr="002F72E2">
        <w:rPr>
          <w:b w:val="0"/>
        </w:rPr>
        <w:t>Таблица 4</w:t>
      </w:r>
      <w:r w:rsidR="00093C68" w:rsidRPr="002F72E2">
        <w:rPr>
          <w:b w:val="0"/>
        </w:rPr>
        <w:br/>
      </w:r>
      <w:r w:rsidRPr="00093C68">
        <w:t xml:space="preserve">Процентное соотношение мужчин и женщин, работающих в различных </w:t>
      </w:r>
      <w:r w:rsidR="002F72E2" w:rsidRPr="002F72E2">
        <w:br/>
      </w:r>
      <w:r w:rsidRPr="00093C68">
        <w:t xml:space="preserve">секторах, за исключением сельского хозяйства (в разбивке по секторам </w:t>
      </w:r>
      <w:r w:rsidR="002F72E2" w:rsidRPr="002F72E2">
        <w:br/>
      </w:r>
      <w:r w:rsidRPr="00093C68">
        <w:t>экономической деятельн</w:t>
      </w:r>
      <w:r w:rsidRPr="00093C68">
        <w:t>о</w:t>
      </w:r>
      <w:r w:rsidRPr="00093C68">
        <w:t>сти), 2008 год</w:t>
      </w:r>
    </w:p>
    <w:tbl>
      <w:tblPr>
        <w:tblW w:w="7371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06"/>
        <w:gridCol w:w="4269"/>
        <w:gridCol w:w="1013"/>
        <w:gridCol w:w="953"/>
        <w:gridCol w:w="730"/>
      </w:tblGrid>
      <w:tr w:rsidR="00B26718" w:rsidRPr="0015740D" w:rsidTr="005D6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4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26718" w:rsidRPr="0015740D" w:rsidRDefault="00B26718" w:rsidP="005D6801">
            <w:pPr>
              <w:keepNext/>
              <w:suppressAutoHyphens/>
              <w:autoSpaceDE w:val="0"/>
              <w:autoSpaceDN w:val="0"/>
              <w:adjustRightInd w:val="0"/>
              <w:spacing w:before="80" w:after="80" w:line="200" w:lineRule="exact"/>
              <w:rPr>
                <w:i/>
                <w:sz w:val="16"/>
                <w:szCs w:val="24"/>
                <w:lang w:eastAsia="en-GB"/>
              </w:rPr>
            </w:pPr>
            <w:r w:rsidRPr="0015740D">
              <w:rPr>
                <w:i/>
                <w:sz w:val="16"/>
                <w:szCs w:val="22"/>
                <w:lang w:eastAsia="en-GB"/>
              </w:rPr>
              <w:t>№</w:t>
            </w:r>
          </w:p>
        </w:tc>
        <w:tc>
          <w:tcPr>
            <w:tcW w:w="42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26718" w:rsidRPr="0015740D" w:rsidRDefault="00B26718" w:rsidP="005D6801">
            <w:pPr>
              <w:keepNext/>
              <w:suppressAutoHyphens/>
              <w:autoSpaceDE w:val="0"/>
              <w:autoSpaceDN w:val="0"/>
              <w:adjustRightInd w:val="0"/>
              <w:spacing w:before="80" w:after="80" w:line="200" w:lineRule="exact"/>
              <w:rPr>
                <w:i/>
                <w:sz w:val="16"/>
                <w:szCs w:val="24"/>
                <w:lang w:eastAsia="en-GB"/>
              </w:rPr>
            </w:pPr>
            <w:r w:rsidRPr="0015740D">
              <w:rPr>
                <w:i/>
                <w:sz w:val="16"/>
                <w:szCs w:val="22"/>
                <w:lang w:eastAsia="en-GB"/>
              </w:rPr>
              <w:t>Секторы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26718" w:rsidRPr="0015740D" w:rsidRDefault="00B26718" w:rsidP="005D6801">
            <w:pPr>
              <w:keepNext/>
              <w:suppressAutoHyphens/>
              <w:autoSpaceDE w:val="0"/>
              <w:autoSpaceDN w:val="0"/>
              <w:adjustRightInd w:val="0"/>
              <w:spacing w:before="80" w:after="80" w:line="200" w:lineRule="exact"/>
              <w:jc w:val="right"/>
              <w:rPr>
                <w:i/>
                <w:sz w:val="16"/>
                <w:szCs w:val="12"/>
                <w:lang w:eastAsia="en-GB"/>
              </w:rPr>
            </w:pPr>
          </w:p>
          <w:p w:rsidR="00B26718" w:rsidRPr="0015740D" w:rsidRDefault="00B26718" w:rsidP="005D6801">
            <w:pPr>
              <w:keepNext/>
              <w:suppressAutoHyphens/>
              <w:autoSpaceDE w:val="0"/>
              <w:autoSpaceDN w:val="0"/>
              <w:adjustRightInd w:val="0"/>
              <w:spacing w:before="80" w:after="80" w:line="200" w:lineRule="exact"/>
              <w:jc w:val="right"/>
              <w:rPr>
                <w:i/>
                <w:sz w:val="16"/>
                <w:szCs w:val="24"/>
                <w:lang w:eastAsia="en-GB"/>
              </w:rPr>
            </w:pPr>
            <w:r w:rsidRPr="0015740D">
              <w:rPr>
                <w:i/>
                <w:sz w:val="16"/>
                <w:szCs w:val="22"/>
                <w:lang w:eastAsia="en-GB"/>
              </w:rPr>
              <w:t>Мужчины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26718" w:rsidRPr="0015740D" w:rsidRDefault="00B26718" w:rsidP="005D6801">
            <w:pPr>
              <w:keepNext/>
              <w:suppressAutoHyphens/>
              <w:autoSpaceDE w:val="0"/>
              <w:autoSpaceDN w:val="0"/>
              <w:adjustRightInd w:val="0"/>
              <w:spacing w:before="80" w:after="80" w:line="200" w:lineRule="exact"/>
              <w:jc w:val="right"/>
              <w:rPr>
                <w:i/>
                <w:sz w:val="16"/>
                <w:szCs w:val="12"/>
                <w:lang w:eastAsia="en-GB"/>
              </w:rPr>
            </w:pPr>
          </w:p>
          <w:p w:rsidR="00B26718" w:rsidRPr="0015740D" w:rsidRDefault="00B26718" w:rsidP="005D6801">
            <w:pPr>
              <w:keepNext/>
              <w:suppressAutoHyphens/>
              <w:autoSpaceDE w:val="0"/>
              <w:autoSpaceDN w:val="0"/>
              <w:adjustRightInd w:val="0"/>
              <w:spacing w:before="80" w:after="80" w:line="200" w:lineRule="exact"/>
              <w:jc w:val="right"/>
              <w:rPr>
                <w:i/>
                <w:sz w:val="16"/>
                <w:szCs w:val="24"/>
                <w:lang w:eastAsia="en-GB"/>
              </w:rPr>
            </w:pPr>
            <w:r w:rsidRPr="0015740D">
              <w:rPr>
                <w:i/>
                <w:sz w:val="16"/>
                <w:szCs w:val="22"/>
                <w:lang w:eastAsia="en-GB"/>
              </w:rPr>
              <w:t>Женщины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26718" w:rsidRPr="001F6EE4" w:rsidRDefault="00B26718" w:rsidP="005D6801">
            <w:pPr>
              <w:keepNext/>
              <w:suppressAutoHyphens/>
              <w:autoSpaceDE w:val="0"/>
              <w:autoSpaceDN w:val="0"/>
              <w:adjustRightInd w:val="0"/>
              <w:spacing w:before="80" w:after="80" w:line="200" w:lineRule="exact"/>
              <w:jc w:val="right"/>
              <w:rPr>
                <w:b/>
                <w:i/>
                <w:sz w:val="16"/>
                <w:szCs w:val="12"/>
                <w:lang w:eastAsia="en-GB"/>
              </w:rPr>
            </w:pPr>
          </w:p>
          <w:p w:rsidR="00B26718" w:rsidRPr="001F6EE4" w:rsidRDefault="00B26718" w:rsidP="005D6801">
            <w:pPr>
              <w:keepNext/>
              <w:suppressAutoHyphens/>
              <w:autoSpaceDE w:val="0"/>
              <w:autoSpaceDN w:val="0"/>
              <w:adjustRightInd w:val="0"/>
              <w:spacing w:before="80" w:after="80" w:line="200" w:lineRule="exact"/>
              <w:jc w:val="right"/>
              <w:rPr>
                <w:b/>
                <w:i/>
                <w:sz w:val="16"/>
                <w:szCs w:val="24"/>
                <w:lang w:eastAsia="en-GB"/>
              </w:rPr>
            </w:pPr>
            <w:r w:rsidRPr="001F6EE4">
              <w:rPr>
                <w:b/>
                <w:i/>
                <w:sz w:val="16"/>
                <w:szCs w:val="22"/>
                <w:lang w:eastAsia="en-GB"/>
              </w:rPr>
              <w:t>Всего</w:t>
            </w:r>
          </w:p>
        </w:tc>
      </w:tr>
      <w:tr w:rsidR="00B26718" w:rsidRPr="005D6801" w:rsidTr="005D6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1.</w:t>
            </w:r>
          </w:p>
        </w:tc>
        <w:tc>
          <w:tcPr>
            <w:tcW w:w="4269" w:type="dxa"/>
            <w:tcBorders>
              <w:top w:val="single" w:sz="12" w:space="0" w:color="auto"/>
            </w:tcBorders>
            <w:shd w:val="clear" w:color="auto" w:fill="auto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Международные организации</w:t>
            </w:r>
          </w:p>
        </w:tc>
        <w:tc>
          <w:tcPr>
            <w:tcW w:w="101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0,6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0,6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26718" w:rsidRPr="001F6EE4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b/>
                <w:sz w:val="18"/>
                <w:szCs w:val="18"/>
                <w:lang w:eastAsia="en-GB"/>
              </w:rPr>
            </w:pPr>
            <w:r w:rsidRPr="001F6EE4">
              <w:rPr>
                <w:b/>
                <w:sz w:val="18"/>
                <w:szCs w:val="18"/>
                <w:lang w:eastAsia="en-GB"/>
              </w:rPr>
              <w:t>0,6</w:t>
            </w:r>
          </w:p>
        </w:tc>
      </w:tr>
      <w:tr w:rsidR="00B26718" w:rsidRPr="005D6801" w:rsidTr="005D6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06" w:type="dxa"/>
            <w:shd w:val="clear" w:color="auto" w:fill="auto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2.</w:t>
            </w:r>
          </w:p>
        </w:tc>
        <w:tc>
          <w:tcPr>
            <w:tcW w:w="4269" w:type="dxa"/>
            <w:shd w:val="clear" w:color="auto" w:fill="auto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Домохозяйства, использующие наемных работников</w:t>
            </w:r>
          </w:p>
        </w:tc>
        <w:tc>
          <w:tcPr>
            <w:tcW w:w="1013" w:type="dxa"/>
            <w:shd w:val="clear" w:color="auto" w:fill="auto"/>
            <w:vAlign w:val="bottom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1,3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1,0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B26718" w:rsidRPr="001F6EE4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b/>
                <w:sz w:val="18"/>
                <w:szCs w:val="18"/>
                <w:lang w:eastAsia="en-GB"/>
              </w:rPr>
            </w:pPr>
            <w:r w:rsidRPr="001F6EE4">
              <w:rPr>
                <w:b/>
                <w:sz w:val="18"/>
                <w:szCs w:val="18"/>
                <w:lang w:eastAsia="en-GB"/>
              </w:rPr>
              <w:t>1,2</w:t>
            </w:r>
          </w:p>
        </w:tc>
      </w:tr>
      <w:tr w:rsidR="00B26718" w:rsidRPr="005D6801" w:rsidTr="005D6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06" w:type="dxa"/>
            <w:shd w:val="clear" w:color="auto" w:fill="auto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3.</w:t>
            </w:r>
          </w:p>
        </w:tc>
        <w:tc>
          <w:tcPr>
            <w:tcW w:w="4269" w:type="dxa"/>
            <w:shd w:val="clear" w:color="auto" w:fill="auto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Услуги для общества и отдельных лиц</w:t>
            </w:r>
          </w:p>
        </w:tc>
        <w:tc>
          <w:tcPr>
            <w:tcW w:w="1013" w:type="dxa"/>
            <w:shd w:val="clear" w:color="auto" w:fill="auto"/>
            <w:vAlign w:val="bottom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3,2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2,8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B26718" w:rsidRPr="001F6EE4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b/>
                <w:sz w:val="18"/>
                <w:szCs w:val="18"/>
                <w:lang w:eastAsia="en-GB"/>
              </w:rPr>
            </w:pPr>
            <w:r w:rsidRPr="001F6EE4">
              <w:rPr>
                <w:b/>
                <w:sz w:val="18"/>
                <w:szCs w:val="18"/>
                <w:lang w:eastAsia="en-GB"/>
              </w:rPr>
              <w:t>3,0</w:t>
            </w:r>
          </w:p>
        </w:tc>
      </w:tr>
      <w:tr w:rsidR="00B26718" w:rsidRPr="005D6801" w:rsidTr="005D6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06" w:type="dxa"/>
            <w:shd w:val="clear" w:color="auto" w:fill="auto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4.</w:t>
            </w:r>
          </w:p>
        </w:tc>
        <w:tc>
          <w:tcPr>
            <w:tcW w:w="4269" w:type="dxa"/>
            <w:shd w:val="clear" w:color="auto" w:fill="auto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Здравоохранение, социальное обеспечение</w:t>
            </w:r>
          </w:p>
        </w:tc>
        <w:tc>
          <w:tcPr>
            <w:tcW w:w="1013" w:type="dxa"/>
            <w:shd w:val="clear" w:color="auto" w:fill="auto"/>
            <w:vAlign w:val="bottom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4,4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8,1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B26718" w:rsidRPr="001F6EE4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b/>
                <w:sz w:val="18"/>
                <w:szCs w:val="18"/>
                <w:lang w:eastAsia="en-GB"/>
              </w:rPr>
            </w:pPr>
            <w:r w:rsidRPr="001F6EE4">
              <w:rPr>
                <w:b/>
                <w:sz w:val="18"/>
                <w:szCs w:val="18"/>
                <w:lang w:eastAsia="en-GB"/>
              </w:rPr>
              <w:t>6,4</w:t>
            </w:r>
          </w:p>
        </w:tc>
      </w:tr>
      <w:tr w:rsidR="00B26718" w:rsidRPr="005D6801" w:rsidTr="005D6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06" w:type="dxa"/>
            <w:shd w:val="clear" w:color="auto" w:fill="auto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5.</w:t>
            </w:r>
          </w:p>
        </w:tc>
        <w:tc>
          <w:tcPr>
            <w:tcW w:w="4269" w:type="dxa"/>
            <w:shd w:val="clear" w:color="auto" w:fill="auto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Образование</w:t>
            </w:r>
          </w:p>
        </w:tc>
        <w:tc>
          <w:tcPr>
            <w:tcW w:w="1013" w:type="dxa"/>
            <w:shd w:val="clear" w:color="auto" w:fill="auto"/>
            <w:vAlign w:val="bottom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6,9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12,7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B26718" w:rsidRPr="001F6EE4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b/>
                <w:sz w:val="18"/>
                <w:szCs w:val="18"/>
                <w:lang w:eastAsia="en-GB"/>
              </w:rPr>
            </w:pPr>
            <w:r w:rsidRPr="001F6EE4">
              <w:rPr>
                <w:b/>
                <w:sz w:val="18"/>
                <w:szCs w:val="18"/>
                <w:lang w:eastAsia="en-GB"/>
              </w:rPr>
              <w:t>10,0</w:t>
            </w:r>
          </w:p>
        </w:tc>
      </w:tr>
      <w:tr w:rsidR="00B26718" w:rsidRPr="005D6801" w:rsidTr="005D6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06" w:type="dxa"/>
            <w:shd w:val="clear" w:color="auto" w:fill="auto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6.</w:t>
            </w:r>
          </w:p>
        </w:tc>
        <w:tc>
          <w:tcPr>
            <w:tcW w:w="4269" w:type="dxa"/>
            <w:shd w:val="clear" w:color="auto" w:fill="auto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Государственное управление, оборона, социальное страхование</w:t>
            </w:r>
          </w:p>
        </w:tc>
        <w:tc>
          <w:tcPr>
            <w:tcW w:w="1013" w:type="dxa"/>
            <w:shd w:val="clear" w:color="auto" w:fill="auto"/>
            <w:vAlign w:val="bottom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9,3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6,2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B26718" w:rsidRPr="001F6EE4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b/>
                <w:sz w:val="18"/>
                <w:szCs w:val="18"/>
                <w:lang w:eastAsia="en-GB"/>
              </w:rPr>
            </w:pPr>
            <w:r w:rsidRPr="001F6EE4">
              <w:rPr>
                <w:b/>
                <w:sz w:val="18"/>
                <w:szCs w:val="18"/>
                <w:lang w:eastAsia="en-GB"/>
              </w:rPr>
              <w:t>7,7</w:t>
            </w:r>
          </w:p>
        </w:tc>
      </w:tr>
      <w:tr w:rsidR="00B26718" w:rsidRPr="005D6801" w:rsidTr="005D6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06" w:type="dxa"/>
            <w:shd w:val="clear" w:color="auto" w:fill="auto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7.</w:t>
            </w:r>
          </w:p>
        </w:tc>
        <w:tc>
          <w:tcPr>
            <w:tcW w:w="4269" w:type="dxa"/>
            <w:shd w:val="clear" w:color="auto" w:fill="auto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Недвижимость, аренда, бизнес</w:t>
            </w:r>
          </w:p>
        </w:tc>
        <w:tc>
          <w:tcPr>
            <w:tcW w:w="1013" w:type="dxa"/>
            <w:shd w:val="clear" w:color="auto" w:fill="auto"/>
            <w:vAlign w:val="bottom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1,9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1,8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B26718" w:rsidRPr="001F6EE4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b/>
                <w:sz w:val="18"/>
                <w:szCs w:val="18"/>
                <w:lang w:eastAsia="en-GB"/>
              </w:rPr>
            </w:pPr>
            <w:r w:rsidRPr="001F6EE4">
              <w:rPr>
                <w:b/>
                <w:sz w:val="18"/>
                <w:szCs w:val="18"/>
                <w:lang w:eastAsia="en-GB"/>
              </w:rPr>
              <w:t>1,8</w:t>
            </w:r>
          </w:p>
        </w:tc>
      </w:tr>
      <w:tr w:rsidR="00B26718" w:rsidRPr="005D6801" w:rsidTr="005D6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06" w:type="dxa"/>
            <w:shd w:val="clear" w:color="auto" w:fill="auto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8.</w:t>
            </w:r>
          </w:p>
        </w:tc>
        <w:tc>
          <w:tcPr>
            <w:tcW w:w="4269" w:type="dxa"/>
            <w:shd w:val="clear" w:color="auto" w:fill="auto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Сфера финансовых операций</w:t>
            </w:r>
          </w:p>
        </w:tc>
        <w:tc>
          <w:tcPr>
            <w:tcW w:w="1013" w:type="dxa"/>
            <w:shd w:val="clear" w:color="auto" w:fill="auto"/>
            <w:vAlign w:val="bottom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2,5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3,4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B26718" w:rsidRPr="001F6EE4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b/>
                <w:sz w:val="18"/>
                <w:szCs w:val="18"/>
                <w:lang w:eastAsia="en-GB"/>
              </w:rPr>
            </w:pPr>
            <w:r w:rsidRPr="001F6EE4">
              <w:rPr>
                <w:b/>
                <w:sz w:val="18"/>
                <w:szCs w:val="18"/>
                <w:lang w:eastAsia="en-GB"/>
              </w:rPr>
              <w:t>3,0</w:t>
            </w:r>
          </w:p>
        </w:tc>
      </w:tr>
      <w:tr w:rsidR="00B26718" w:rsidRPr="005D6801" w:rsidTr="005D6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06" w:type="dxa"/>
            <w:shd w:val="clear" w:color="auto" w:fill="auto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9.</w:t>
            </w:r>
          </w:p>
        </w:tc>
        <w:tc>
          <w:tcPr>
            <w:tcW w:w="4269" w:type="dxa"/>
            <w:shd w:val="clear" w:color="auto" w:fill="auto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Транспорт, складское хранение, коммуник</w:t>
            </w:r>
            <w:r w:rsidRPr="005D6801">
              <w:rPr>
                <w:sz w:val="18"/>
                <w:szCs w:val="18"/>
                <w:lang w:eastAsia="en-GB"/>
              </w:rPr>
              <w:t>а</w:t>
            </w:r>
            <w:r w:rsidRPr="005D6801">
              <w:rPr>
                <w:sz w:val="18"/>
                <w:szCs w:val="18"/>
                <w:lang w:eastAsia="en-GB"/>
              </w:rPr>
              <w:t>ции</w:t>
            </w:r>
          </w:p>
        </w:tc>
        <w:tc>
          <w:tcPr>
            <w:tcW w:w="1013" w:type="dxa"/>
            <w:shd w:val="clear" w:color="auto" w:fill="auto"/>
            <w:vAlign w:val="bottom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9,7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4,6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B26718" w:rsidRPr="001F6EE4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b/>
                <w:sz w:val="18"/>
                <w:szCs w:val="18"/>
                <w:lang w:eastAsia="en-GB"/>
              </w:rPr>
            </w:pPr>
            <w:r w:rsidRPr="001F6EE4">
              <w:rPr>
                <w:b/>
                <w:sz w:val="18"/>
                <w:szCs w:val="18"/>
                <w:lang w:eastAsia="en-GB"/>
              </w:rPr>
              <w:t>7,0</w:t>
            </w:r>
          </w:p>
        </w:tc>
      </w:tr>
      <w:tr w:rsidR="00B26718" w:rsidRPr="005D6801" w:rsidTr="005D6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06" w:type="dxa"/>
            <w:shd w:val="clear" w:color="auto" w:fill="auto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10.</w:t>
            </w:r>
          </w:p>
        </w:tc>
        <w:tc>
          <w:tcPr>
            <w:tcW w:w="4269" w:type="dxa"/>
            <w:shd w:val="clear" w:color="auto" w:fill="auto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Гостиницы и общественное питание</w:t>
            </w:r>
          </w:p>
        </w:tc>
        <w:tc>
          <w:tcPr>
            <w:tcW w:w="1013" w:type="dxa"/>
            <w:shd w:val="clear" w:color="auto" w:fill="auto"/>
            <w:vAlign w:val="bottom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3,8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6,4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B26718" w:rsidRPr="001F6EE4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b/>
                <w:sz w:val="18"/>
                <w:szCs w:val="18"/>
                <w:lang w:eastAsia="en-GB"/>
              </w:rPr>
            </w:pPr>
            <w:r w:rsidRPr="001F6EE4">
              <w:rPr>
                <w:b/>
                <w:sz w:val="18"/>
                <w:szCs w:val="18"/>
                <w:lang w:eastAsia="en-GB"/>
              </w:rPr>
              <w:t>5,2</w:t>
            </w:r>
          </w:p>
        </w:tc>
      </w:tr>
      <w:tr w:rsidR="00B26718" w:rsidRPr="005D6801" w:rsidTr="005D6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06" w:type="dxa"/>
            <w:shd w:val="clear" w:color="auto" w:fill="auto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11.</w:t>
            </w:r>
          </w:p>
        </w:tc>
        <w:tc>
          <w:tcPr>
            <w:tcW w:w="4269" w:type="dxa"/>
            <w:shd w:val="clear" w:color="auto" w:fill="auto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Оптовая и розничная торговля, ремонт б</w:t>
            </w:r>
            <w:r w:rsidRPr="005D6801">
              <w:rPr>
                <w:sz w:val="18"/>
                <w:szCs w:val="18"/>
                <w:lang w:eastAsia="en-GB"/>
              </w:rPr>
              <w:t>ы</w:t>
            </w:r>
            <w:r w:rsidRPr="005D6801">
              <w:rPr>
                <w:sz w:val="18"/>
                <w:szCs w:val="18"/>
                <w:lang w:eastAsia="en-GB"/>
              </w:rPr>
              <w:t>товой техники</w:t>
            </w:r>
          </w:p>
        </w:tc>
        <w:tc>
          <w:tcPr>
            <w:tcW w:w="1013" w:type="dxa"/>
            <w:shd w:val="clear" w:color="auto" w:fill="auto"/>
            <w:vAlign w:val="bottom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21,4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29,2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B26718" w:rsidRPr="001F6EE4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b/>
                <w:sz w:val="18"/>
                <w:szCs w:val="18"/>
                <w:lang w:eastAsia="en-GB"/>
              </w:rPr>
            </w:pPr>
            <w:r w:rsidRPr="001F6EE4">
              <w:rPr>
                <w:b/>
                <w:sz w:val="18"/>
                <w:szCs w:val="18"/>
                <w:lang w:eastAsia="en-GB"/>
              </w:rPr>
              <w:t>25,5</w:t>
            </w:r>
          </w:p>
        </w:tc>
      </w:tr>
      <w:tr w:rsidR="00B26718" w:rsidRPr="005D6801" w:rsidTr="005D6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06" w:type="dxa"/>
            <w:shd w:val="clear" w:color="auto" w:fill="auto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12.</w:t>
            </w:r>
          </w:p>
        </w:tc>
        <w:tc>
          <w:tcPr>
            <w:tcW w:w="4269" w:type="dxa"/>
            <w:shd w:val="clear" w:color="auto" w:fill="auto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Строительство</w:t>
            </w:r>
          </w:p>
        </w:tc>
        <w:tc>
          <w:tcPr>
            <w:tcW w:w="1013" w:type="dxa"/>
            <w:shd w:val="clear" w:color="auto" w:fill="auto"/>
            <w:vAlign w:val="bottom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12,2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8,1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B26718" w:rsidRPr="001F6EE4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b/>
                <w:sz w:val="18"/>
                <w:szCs w:val="18"/>
                <w:lang w:eastAsia="en-GB"/>
              </w:rPr>
            </w:pPr>
            <w:r w:rsidRPr="001F6EE4">
              <w:rPr>
                <w:b/>
                <w:sz w:val="18"/>
                <w:szCs w:val="18"/>
                <w:lang w:eastAsia="en-GB"/>
              </w:rPr>
              <w:t>10,1</w:t>
            </w:r>
          </w:p>
        </w:tc>
      </w:tr>
      <w:tr w:rsidR="00B26718" w:rsidRPr="005D6801" w:rsidTr="005D6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06" w:type="dxa"/>
            <w:shd w:val="clear" w:color="auto" w:fill="auto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13.</w:t>
            </w:r>
          </w:p>
        </w:tc>
        <w:tc>
          <w:tcPr>
            <w:tcW w:w="4269" w:type="dxa"/>
            <w:shd w:val="clear" w:color="auto" w:fill="auto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Энергетика и газодобыча, водоснабжение</w:t>
            </w:r>
          </w:p>
        </w:tc>
        <w:tc>
          <w:tcPr>
            <w:tcW w:w="1013" w:type="dxa"/>
            <w:shd w:val="clear" w:color="auto" w:fill="auto"/>
            <w:vAlign w:val="bottom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5,8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3,4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B26718" w:rsidRPr="001F6EE4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b/>
                <w:sz w:val="18"/>
                <w:szCs w:val="18"/>
                <w:lang w:eastAsia="en-GB"/>
              </w:rPr>
            </w:pPr>
            <w:r w:rsidRPr="001F6EE4">
              <w:rPr>
                <w:b/>
                <w:sz w:val="18"/>
                <w:szCs w:val="18"/>
                <w:lang w:eastAsia="en-GB"/>
              </w:rPr>
              <w:t>4,5</w:t>
            </w:r>
          </w:p>
        </w:tc>
      </w:tr>
      <w:tr w:rsidR="00B26718" w:rsidRPr="005D6801" w:rsidTr="005D6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06" w:type="dxa"/>
            <w:shd w:val="clear" w:color="auto" w:fill="auto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14.</w:t>
            </w:r>
          </w:p>
        </w:tc>
        <w:tc>
          <w:tcPr>
            <w:tcW w:w="4269" w:type="dxa"/>
            <w:shd w:val="clear" w:color="auto" w:fill="auto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Перерабатывающая промышленность</w:t>
            </w:r>
          </w:p>
        </w:tc>
        <w:tc>
          <w:tcPr>
            <w:tcW w:w="1013" w:type="dxa"/>
            <w:shd w:val="clear" w:color="auto" w:fill="auto"/>
            <w:vAlign w:val="bottom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7,3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5D6801">
              <w:rPr>
                <w:sz w:val="18"/>
                <w:szCs w:val="18"/>
                <w:lang w:eastAsia="en-GB"/>
              </w:rPr>
              <w:t>7,0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B26718" w:rsidRPr="001F6EE4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b/>
                <w:sz w:val="18"/>
                <w:szCs w:val="18"/>
                <w:lang w:eastAsia="en-GB"/>
              </w:rPr>
            </w:pPr>
            <w:r w:rsidRPr="001F6EE4">
              <w:rPr>
                <w:b/>
                <w:sz w:val="18"/>
                <w:szCs w:val="18"/>
                <w:lang w:eastAsia="en-GB"/>
              </w:rPr>
              <w:t>7,0</w:t>
            </w:r>
          </w:p>
        </w:tc>
      </w:tr>
      <w:tr w:rsidR="00B26718" w:rsidRPr="005D6801" w:rsidTr="005D6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06" w:type="dxa"/>
            <w:shd w:val="clear" w:color="auto" w:fill="auto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  <w:r w:rsidRPr="005D6801">
              <w:rPr>
                <w:sz w:val="18"/>
                <w:szCs w:val="18"/>
              </w:rPr>
              <w:t>15.</w:t>
            </w:r>
          </w:p>
        </w:tc>
        <w:tc>
          <w:tcPr>
            <w:tcW w:w="4269" w:type="dxa"/>
            <w:tcBorders>
              <w:bottom w:val="single" w:sz="4" w:space="0" w:color="auto"/>
            </w:tcBorders>
            <w:shd w:val="clear" w:color="auto" w:fill="auto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  <w:r w:rsidRPr="005D6801">
              <w:rPr>
                <w:sz w:val="18"/>
                <w:szCs w:val="18"/>
              </w:rPr>
              <w:t>Горнодобывающая промышленность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D6801">
              <w:rPr>
                <w:sz w:val="18"/>
                <w:szCs w:val="18"/>
              </w:rPr>
              <w:t>9,6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D6801">
              <w:rPr>
                <w:sz w:val="18"/>
                <w:szCs w:val="18"/>
              </w:rPr>
              <w:t>4,7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6718" w:rsidRPr="001F6EE4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b/>
                <w:sz w:val="18"/>
                <w:szCs w:val="18"/>
              </w:rPr>
            </w:pPr>
            <w:r w:rsidRPr="001F6EE4">
              <w:rPr>
                <w:b/>
                <w:sz w:val="18"/>
                <w:szCs w:val="18"/>
              </w:rPr>
              <w:t>7,0</w:t>
            </w:r>
          </w:p>
        </w:tc>
      </w:tr>
      <w:tr w:rsidR="00B26718" w:rsidRPr="005D6801" w:rsidTr="005D6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  <w:r w:rsidRPr="005D6801">
              <w:rPr>
                <w:sz w:val="18"/>
                <w:szCs w:val="18"/>
              </w:rPr>
              <w:t>16.</w:t>
            </w:r>
          </w:p>
        </w:tc>
        <w:tc>
          <w:tcPr>
            <w:tcW w:w="42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26718" w:rsidRPr="005D6801" w:rsidRDefault="005D6801" w:rsidP="005D6801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="00B26718" w:rsidRPr="005D6801">
              <w:rPr>
                <w:b/>
                <w:sz w:val="18"/>
                <w:szCs w:val="18"/>
              </w:rPr>
              <w:t>В</w:t>
            </w:r>
            <w:r w:rsidRPr="005D6801">
              <w:rPr>
                <w:b/>
                <w:sz w:val="18"/>
                <w:szCs w:val="18"/>
              </w:rPr>
              <w:t>сего</w:t>
            </w:r>
            <w:r w:rsidR="001F6EE4">
              <w:rPr>
                <w:b/>
                <w:sz w:val="18"/>
                <w:szCs w:val="18"/>
              </w:rPr>
              <w:t xml:space="preserve"> (%)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b/>
                <w:sz w:val="18"/>
                <w:szCs w:val="18"/>
              </w:rPr>
            </w:pPr>
            <w:r w:rsidRPr="005D6801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26718" w:rsidRPr="005D6801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b/>
                <w:sz w:val="18"/>
                <w:szCs w:val="18"/>
              </w:rPr>
            </w:pPr>
            <w:r w:rsidRPr="005D6801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26718" w:rsidRPr="001F6EE4" w:rsidRDefault="00B26718" w:rsidP="005D6801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b/>
                <w:sz w:val="18"/>
                <w:szCs w:val="18"/>
              </w:rPr>
            </w:pPr>
            <w:r w:rsidRPr="001F6EE4">
              <w:rPr>
                <w:b/>
                <w:sz w:val="18"/>
                <w:szCs w:val="18"/>
              </w:rPr>
              <w:t>100</w:t>
            </w:r>
          </w:p>
        </w:tc>
      </w:tr>
    </w:tbl>
    <w:p w:rsidR="00484329" w:rsidRPr="005D6801" w:rsidRDefault="005D6801" w:rsidP="005D6801">
      <w:pPr>
        <w:pStyle w:val="SingleTxtGR"/>
        <w:spacing w:before="240"/>
      </w:pPr>
      <w:r w:rsidRPr="005D6801">
        <w:t>63.</w:t>
      </w:r>
      <w:r>
        <w:tab/>
      </w:r>
      <w:r w:rsidR="00484329" w:rsidRPr="005D6801">
        <w:t>В соответствии с Законом о труде Монголии зарплата работников состоит из базового оклада, дополнительных выплат, надбавок, премий и бонусов. Что касается государственных гражданских служащих, то размер базового оклада, виды и суммы дополнительных выплат регулируются Законом о государстве</w:t>
      </w:r>
      <w:r w:rsidR="00484329" w:rsidRPr="005D6801">
        <w:t>н</w:t>
      </w:r>
      <w:r w:rsidR="00484329" w:rsidRPr="005D6801">
        <w:t>ной гражданской службе. Надбавки и бонусы выплачи</w:t>
      </w:r>
      <w:r>
        <w:t>ваются в соответствии с </w:t>
      </w:r>
      <w:r w:rsidR="00484329" w:rsidRPr="005D6801">
        <w:t>Законом о труде. От частных предприятий требуется самостоятельно разраб</w:t>
      </w:r>
      <w:r w:rsidR="00484329" w:rsidRPr="005D6801">
        <w:t>а</w:t>
      </w:r>
      <w:r w:rsidR="00484329" w:rsidRPr="005D6801">
        <w:t>тывать и использовать свои собственные системы окладов и зарплат. По с</w:t>
      </w:r>
      <w:r w:rsidR="00484329" w:rsidRPr="005D6801">
        <w:t>о</w:t>
      </w:r>
      <w:r w:rsidR="00484329" w:rsidRPr="005D6801">
        <w:t>стоянию на 2010 год средняя зарплата на национальном уровне достигла 341,</w:t>
      </w:r>
      <w:r>
        <w:t>0 </w:t>
      </w:r>
      <w:r w:rsidR="00484329" w:rsidRPr="005D6801">
        <w:t>тыс. тугриков, что в 3,4 раза больше по сравнению с 2005 годом. Этому увеличению способствовал экономический рост и меры по повышению зарплат государс</w:t>
      </w:r>
      <w:r w:rsidR="00484329" w:rsidRPr="005D6801">
        <w:t>т</w:t>
      </w:r>
      <w:r w:rsidR="00484329" w:rsidRPr="005D6801">
        <w:t>венных гражданских служащих.</w:t>
      </w:r>
    </w:p>
    <w:p w:rsidR="002F72E2" w:rsidRDefault="00484329" w:rsidP="005D6801">
      <w:pPr>
        <w:pStyle w:val="Heading1"/>
        <w:spacing w:after="120"/>
        <w:ind w:left="1134"/>
        <w:jc w:val="left"/>
        <w:rPr>
          <w:lang w:val="en-US"/>
        </w:rPr>
      </w:pPr>
      <w:r w:rsidRPr="005D6801">
        <w:rPr>
          <w:b w:val="0"/>
        </w:rPr>
        <w:t>График 3</w:t>
      </w:r>
      <w:r w:rsidR="005D6801" w:rsidRPr="005D6801">
        <w:rPr>
          <w:b w:val="0"/>
        </w:rPr>
        <w:br/>
      </w:r>
      <w:r w:rsidRPr="005D6801">
        <w:t>Среднемесячная заработная плата (тыс. тугриков), 2005</w:t>
      </w:r>
      <w:r w:rsidR="005D6801" w:rsidRPr="005D6801">
        <w:t>−</w:t>
      </w:r>
      <w:r w:rsidRPr="005D6801">
        <w:t>2010 годы</w:t>
      </w:r>
    </w:p>
    <w:p w:rsidR="005D6801" w:rsidRDefault="005D6801" w:rsidP="00B921C1">
      <w:pPr>
        <w:ind w:left="1134"/>
        <w:rPr>
          <w:lang w:val="en-US" w:eastAsia="ru-RU"/>
        </w:rPr>
      </w:pPr>
      <w:r>
        <w:rPr>
          <w:noProof/>
          <w:w w:val="100"/>
          <w:lang w:eastAsia="ru-RU"/>
        </w:rPr>
      </w:r>
      <w:r w:rsidRPr="005D6801">
        <w:rPr>
          <w:lang w:val="en-US" w:eastAsia="ru-RU"/>
        </w:rPr>
        <w:pict>
          <v:shape id="_x0000_s1030" type="#_x0000_t75" style="width:374.95pt;height:163.5pt;mso-position-horizontal-relative:char;mso-position-vertical-relative:line">
            <v:imagedata r:id="rId12" o:title=""/>
            <w10:anchorlock/>
          </v:shape>
        </w:pict>
      </w:r>
    </w:p>
    <w:p w:rsidR="00B921C1" w:rsidRPr="00A72025" w:rsidRDefault="00457C63" w:rsidP="00457C63">
      <w:pPr>
        <w:pStyle w:val="SingleTxtGR"/>
        <w:spacing w:before="240"/>
        <w:rPr>
          <w:lang w:eastAsia="ru-RU"/>
        </w:rPr>
      </w:pPr>
      <w:r w:rsidRPr="00457C63">
        <w:rPr>
          <w:lang w:eastAsia="ru-RU"/>
        </w:rPr>
        <w:t>64.</w:t>
      </w:r>
      <w:r w:rsidRPr="00457C63">
        <w:rPr>
          <w:lang w:eastAsia="ru-RU"/>
        </w:rPr>
        <w:tab/>
      </w:r>
      <w:r w:rsidR="00484329" w:rsidRPr="00457C63">
        <w:rPr>
          <w:lang w:eastAsia="ru-RU"/>
        </w:rPr>
        <w:t>Исходя из данных за 2010 год в разбивке по секторам, видно, что самые высокие зарплаты выплачивались в гор</w:t>
      </w:r>
      <w:r w:rsidR="00A72025">
        <w:rPr>
          <w:lang w:eastAsia="ru-RU"/>
        </w:rPr>
        <w:t>нодобывающей промышленности и в </w:t>
      </w:r>
      <w:r w:rsidR="00484329" w:rsidRPr="00457C63">
        <w:rPr>
          <w:lang w:eastAsia="ru-RU"/>
        </w:rPr>
        <w:t>секторе финансовых услуг, а самые низкие – в сельскохозяйственном секторе и в торговле.</w:t>
      </w:r>
    </w:p>
    <w:p w:rsidR="00457C63" w:rsidRDefault="00457C63" w:rsidP="007443F8">
      <w:pPr>
        <w:pStyle w:val="Heading1"/>
        <w:spacing w:before="240" w:after="120"/>
        <w:ind w:left="1134"/>
        <w:jc w:val="left"/>
        <w:rPr>
          <w:lang w:val="en-US"/>
        </w:rPr>
      </w:pPr>
      <w:r w:rsidRPr="00457C63">
        <w:rPr>
          <w:b w:val="0"/>
        </w:rPr>
        <w:t>График 4</w:t>
      </w:r>
      <w:r w:rsidRPr="00457C63">
        <w:rPr>
          <w:b w:val="0"/>
        </w:rPr>
        <w:br/>
      </w:r>
      <w:r w:rsidRPr="004C1E6B">
        <w:t>Среднемесячная заработная плата в разбивке по секторам (тыс. тугр</w:t>
      </w:r>
      <w:r w:rsidRPr="004C1E6B">
        <w:t>и</w:t>
      </w:r>
      <w:r w:rsidRPr="004C1E6B">
        <w:t>ков)</w:t>
      </w:r>
    </w:p>
    <w:p w:rsidR="00457C63" w:rsidRDefault="00937A17" w:rsidP="00937A17">
      <w:pPr>
        <w:ind w:left="1134"/>
        <w:rPr>
          <w:sz w:val="24"/>
          <w:szCs w:val="24"/>
          <w:lang w:val="en-US"/>
        </w:rPr>
      </w:pPr>
      <w:r w:rsidRPr="0068275F">
        <w:rPr>
          <w:sz w:val="24"/>
          <w:szCs w:val="24"/>
        </w:rPr>
        <w:pict>
          <v:shape id="_x0000_i1031" type="#_x0000_t75" style="width:366pt;height:141.75pt" o:bordertopcolor="this" o:borderleftcolor="this" o:borderbottomcolor="this" o:borderrightcolor="this" o:allowoverlap="f">
            <v:imagedata r:id="rId13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484329" w:rsidRPr="00843DE3" w:rsidRDefault="004B1D22" w:rsidP="004B1D22">
      <w:pPr>
        <w:pStyle w:val="SingleTxtGR"/>
        <w:spacing w:before="240"/>
        <w:rPr>
          <w:lang w:eastAsia="ru-RU"/>
        </w:rPr>
      </w:pPr>
      <w:r w:rsidRPr="004B1D22">
        <w:rPr>
          <w:lang w:eastAsia="ru-RU"/>
        </w:rPr>
        <w:t>65.</w:t>
      </w:r>
      <w:r w:rsidRPr="004B1D22">
        <w:rPr>
          <w:lang w:eastAsia="ru-RU"/>
        </w:rPr>
        <w:tab/>
      </w:r>
      <w:r w:rsidR="00484329" w:rsidRPr="00843DE3">
        <w:rPr>
          <w:lang w:eastAsia="ru-RU"/>
        </w:rPr>
        <w:t>Вопросы, связанные с обеспечением условий труда, соответствующих требованиям о безопасности и гигиене труда, до 2008 года регулировались З</w:t>
      </w:r>
      <w:r w:rsidR="00484329" w:rsidRPr="00843DE3">
        <w:rPr>
          <w:lang w:eastAsia="ru-RU"/>
        </w:rPr>
        <w:t>а</w:t>
      </w:r>
      <w:r w:rsidR="00484329" w:rsidRPr="00843DE3">
        <w:rPr>
          <w:lang w:eastAsia="ru-RU"/>
        </w:rPr>
        <w:t>коном о труде, а с 2008 года их решение координируется на основе отдельного Закона о безопасности и гигиене труда. Закон о безопасности и гигиене труда (БГТ):</w:t>
      </w:r>
    </w:p>
    <w:p w:rsidR="00484329" w:rsidRPr="00843DE3" w:rsidRDefault="00484329" w:rsidP="004B1D22">
      <w:pPr>
        <w:pStyle w:val="Bullet1GR"/>
      </w:pPr>
      <w:r w:rsidRPr="00843DE3">
        <w:t>определяет государственную политику и основные принципы обеспеч</w:t>
      </w:r>
      <w:r w:rsidRPr="00843DE3">
        <w:t>е</w:t>
      </w:r>
      <w:r w:rsidRPr="00843DE3">
        <w:t>ния безопасности и гигиены труда;</w:t>
      </w:r>
    </w:p>
    <w:p w:rsidR="00484329" w:rsidRPr="00843DE3" w:rsidRDefault="00484329" w:rsidP="004B1D22">
      <w:pPr>
        <w:pStyle w:val="Bullet1GR"/>
      </w:pPr>
      <w:r w:rsidRPr="00843DE3">
        <w:t>устанавливает систему управления и мониторинга общественных орган</w:t>
      </w:r>
      <w:r w:rsidRPr="00843DE3">
        <w:t>и</w:t>
      </w:r>
      <w:r w:rsidRPr="00843DE3">
        <w:t>заций;</w:t>
      </w:r>
    </w:p>
    <w:p w:rsidR="00484329" w:rsidRPr="00843DE3" w:rsidRDefault="00484329" w:rsidP="004B1D22">
      <w:pPr>
        <w:pStyle w:val="Bullet1GR"/>
      </w:pPr>
      <w:r w:rsidRPr="00843DE3">
        <w:t>предусматривает требования к безопасности и гигиене труда на рабочих ме</w:t>
      </w:r>
      <w:r w:rsidRPr="00843DE3">
        <w:t>с</w:t>
      </w:r>
      <w:r w:rsidRPr="00843DE3">
        <w:t>тах;</w:t>
      </w:r>
    </w:p>
    <w:p w:rsidR="00484329" w:rsidRPr="00843DE3" w:rsidRDefault="00484329" w:rsidP="004B1D22">
      <w:pPr>
        <w:pStyle w:val="Bullet1GR"/>
      </w:pPr>
      <w:r w:rsidRPr="00843DE3">
        <w:t>создает условия для работников и сотрудников, позволяющие им тр</w:t>
      </w:r>
      <w:r w:rsidRPr="00843DE3">
        <w:t>у</w:t>
      </w:r>
      <w:r w:rsidRPr="00843DE3">
        <w:t>диться в безопасной и здоровой обстановке.</w:t>
      </w:r>
    </w:p>
    <w:p w:rsidR="00484329" w:rsidRPr="00843DE3" w:rsidRDefault="004B1D22" w:rsidP="004B1D22">
      <w:pPr>
        <w:pStyle w:val="SingleTxtGR"/>
      </w:pPr>
      <w:r>
        <w:rPr>
          <w:lang w:val="en-US"/>
        </w:rPr>
        <w:tab/>
      </w:r>
      <w:r w:rsidR="00484329" w:rsidRPr="00843DE3">
        <w:t>Выполнение этого Закона регулируется следующими нормативными п</w:t>
      </w:r>
      <w:r w:rsidR="00484329" w:rsidRPr="00843DE3">
        <w:t>о</w:t>
      </w:r>
      <w:r w:rsidR="00484329" w:rsidRPr="00843DE3">
        <w:t>ложениями и правовыми актами:</w:t>
      </w:r>
    </w:p>
    <w:p w:rsidR="00484329" w:rsidRPr="00843DE3" w:rsidRDefault="00484329" w:rsidP="004B1D22">
      <w:pPr>
        <w:pStyle w:val="Bullet1GR"/>
      </w:pPr>
      <w:r w:rsidRPr="00843DE3">
        <w:t>Правилами регистрации и анализа несчастных случаев и случаев острого о</w:t>
      </w:r>
      <w:r w:rsidRPr="00843DE3">
        <w:t>т</w:t>
      </w:r>
      <w:r w:rsidRPr="00843DE3">
        <w:t>равления на производстве;</w:t>
      </w:r>
    </w:p>
    <w:p w:rsidR="00484329" w:rsidRPr="00843DE3" w:rsidRDefault="00484329" w:rsidP="004B1D22">
      <w:pPr>
        <w:pStyle w:val="Bullet1GR"/>
      </w:pPr>
      <w:r w:rsidRPr="00843DE3">
        <w:t>Нормативным актом о создании советов по вопросам БГТ и о порядке найма штатных сотрудников;</w:t>
      </w:r>
    </w:p>
    <w:p w:rsidR="00484329" w:rsidRPr="00843DE3" w:rsidRDefault="00484329" w:rsidP="004B1D22">
      <w:pPr>
        <w:pStyle w:val="Bullet1GR"/>
      </w:pPr>
      <w:r w:rsidRPr="00843DE3">
        <w:t>Положением об организации обучения по вопросам безопасности и г</w:t>
      </w:r>
      <w:r w:rsidRPr="00843DE3">
        <w:t>и</w:t>
      </w:r>
      <w:r w:rsidRPr="00843DE3">
        <w:t>гиены труда и о проведении экзаменов;</w:t>
      </w:r>
    </w:p>
    <w:p w:rsidR="00484329" w:rsidRPr="00843DE3" w:rsidRDefault="00484329" w:rsidP="004B1D22">
      <w:pPr>
        <w:pStyle w:val="Bullet1GR"/>
      </w:pPr>
      <w:r w:rsidRPr="00843DE3">
        <w:t>Инструкциями по оценке условий труда.</w:t>
      </w:r>
    </w:p>
    <w:p w:rsidR="00484329" w:rsidRPr="00843DE3" w:rsidRDefault="004B1D22" w:rsidP="00843DE3">
      <w:pPr>
        <w:pStyle w:val="SingleTxtGR"/>
        <w:rPr>
          <w:lang w:eastAsia="ru-RU"/>
        </w:rPr>
      </w:pPr>
      <w:r w:rsidRPr="004B1D22">
        <w:rPr>
          <w:lang w:eastAsia="ru-RU"/>
        </w:rPr>
        <w:t>66.</w:t>
      </w:r>
      <w:r w:rsidRPr="004B1D22">
        <w:rPr>
          <w:lang w:eastAsia="ru-RU"/>
        </w:rPr>
        <w:tab/>
      </w:r>
      <w:r w:rsidR="00484329" w:rsidRPr="00843DE3">
        <w:rPr>
          <w:lang w:eastAsia="ru-RU"/>
        </w:rPr>
        <w:t>Поскольку отсутствует какое-либо упоминание о группах работников, на которые не распространяется Закон о безопасности и гигиене труда (БГТ) и св</w:t>
      </w:r>
      <w:r w:rsidR="00484329" w:rsidRPr="00843DE3">
        <w:rPr>
          <w:lang w:eastAsia="ru-RU"/>
        </w:rPr>
        <w:t>я</w:t>
      </w:r>
      <w:r w:rsidR="00484329" w:rsidRPr="00843DE3">
        <w:rPr>
          <w:lang w:eastAsia="ru-RU"/>
        </w:rPr>
        <w:t>занные с ним правовые акты, этим Законом охватываются все категории труд</w:t>
      </w:r>
      <w:r w:rsidR="00484329" w:rsidRPr="00843DE3">
        <w:rPr>
          <w:lang w:eastAsia="ru-RU"/>
        </w:rPr>
        <w:t>я</w:t>
      </w:r>
      <w:r w:rsidR="00484329" w:rsidRPr="00843DE3">
        <w:rPr>
          <w:lang w:eastAsia="ru-RU"/>
        </w:rPr>
        <w:t>щихся. Агентство по профессиональной инспекции, являющееся правительс</w:t>
      </w:r>
      <w:r w:rsidR="00484329" w:rsidRPr="00843DE3">
        <w:rPr>
          <w:lang w:eastAsia="ru-RU"/>
        </w:rPr>
        <w:t>т</w:t>
      </w:r>
      <w:r w:rsidR="00484329" w:rsidRPr="00843DE3">
        <w:rPr>
          <w:lang w:eastAsia="ru-RU"/>
        </w:rPr>
        <w:t>венным исполнительным учреждением, несет ответственность за реализацию Закона о БГТ в рамках предприятий и органи</w:t>
      </w:r>
      <w:r>
        <w:rPr>
          <w:lang w:eastAsia="ru-RU"/>
        </w:rPr>
        <w:t>заций экономического профиля. В</w:t>
      </w:r>
      <w:r>
        <w:rPr>
          <w:lang w:val="en-US" w:eastAsia="ru-RU"/>
        </w:rPr>
        <w:t> </w:t>
      </w:r>
      <w:r w:rsidR="00484329" w:rsidRPr="00843DE3">
        <w:rPr>
          <w:lang w:eastAsia="ru-RU"/>
        </w:rPr>
        <w:t>2010 году заместитель Премьер-министра и Министр социального обеспеч</w:t>
      </w:r>
      <w:r w:rsidR="00484329" w:rsidRPr="00843DE3">
        <w:rPr>
          <w:lang w:eastAsia="ru-RU"/>
        </w:rPr>
        <w:t>е</w:t>
      </w:r>
      <w:r w:rsidR="00484329" w:rsidRPr="00843DE3">
        <w:rPr>
          <w:lang w:eastAsia="ru-RU"/>
        </w:rPr>
        <w:t>ния и труда подписали совместное распоряжение, одобряющее концепцию пр</w:t>
      </w:r>
      <w:r w:rsidR="00484329" w:rsidRPr="00843DE3">
        <w:rPr>
          <w:lang w:eastAsia="ru-RU"/>
        </w:rPr>
        <w:t>о</w:t>
      </w:r>
      <w:r w:rsidR="00484329" w:rsidRPr="00843DE3">
        <w:rPr>
          <w:lang w:eastAsia="ru-RU"/>
        </w:rPr>
        <w:t>ведения реформы инспекции труда. Основное содержание этой реформы сост</w:t>
      </w:r>
      <w:r w:rsidR="00484329" w:rsidRPr="00843DE3">
        <w:rPr>
          <w:lang w:eastAsia="ru-RU"/>
        </w:rPr>
        <w:t>о</w:t>
      </w:r>
      <w:r w:rsidR="00484329" w:rsidRPr="00843DE3">
        <w:rPr>
          <w:lang w:eastAsia="ru-RU"/>
        </w:rPr>
        <w:t>ит в том, чтобы построить процесс обеспечения безопасности и гигиены труда на принципе оценки и предупреждения рисков. Тот факт, что количество несч</w:t>
      </w:r>
      <w:r w:rsidR="00484329" w:rsidRPr="00843DE3">
        <w:rPr>
          <w:lang w:eastAsia="ru-RU"/>
        </w:rPr>
        <w:t>а</w:t>
      </w:r>
      <w:r w:rsidR="00484329" w:rsidRPr="00843DE3">
        <w:rPr>
          <w:lang w:eastAsia="ru-RU"/>
        </w:rPr>
        <w:t>стных случаев на производстве значительно не снизилось, связан с развитием отраслей, где имеются опасные предприятия, как, например, горнодобывающей промышленности, а также с преобладанием малых предприятий и производс</w:t>
      </w:r>
      <w:r w:rsidR="00484329" w:rsidRPr="00843DE3">
        <w:rPr>
          <w:lang w:eastAsia="ru-RU"/>
        </w:rPr>
        <w:t>т</w:t>
      </w:r>
      <w:r w:rsidR="00484329" w:rsidRPr="00843DE3">
        <w:rPr>
          <w:lang w:eastAsia="ru-RU"/>
        </w:rPr>
        <w:t>вом в секторе домашних хозяйств в национальной экономике.</w:t>
      </w:r>
    </w:p>
    <w:p w:rsidR="00484329" w:rsidRPr="00843DE3" w:rsidRDefault="004B1D22" w:rsidP="00843DE3">
      <w:pPr>
        <w:pStyle w:val="SingleTxtGR"/>
        <w:rPr>
          <w:lang w:eastAsia="ru-RU"/>
        </w:rPr>
      </w:pPr>
      <w:r w:rsidRPr="004B1D22">
        <w:rPr>
          <w:lang w:eastAsia="ru-RU"/>
        </w:rPr>
        <w:t>67.</w:t>
      </w:r>
      <w:r w:rsidRPr="004B1D22">
        <w:rPr>
          <w:lang w:eastAsia="ru-RU"/>
        </w:rPr>
        <w:tab/>
      </w:r>
      <w:r w:rsidR="00484329" w:rsidRPr="00843DE3">
        <w:rPr>
          <w:lang w:eastAsia="ru-RU"/>
        </w:rPr>
        <w:t>В государственном секторе вопросы, связанные с продвижением по службе, регулируются Законом о государстве</w:t>
      </w:r>
      <w:r>
        <w:rPr>
          <w:lang w:eastAsia="ru-RU"/>
        </w:rPr>
        <w:t>нной гражданской службе. Ст</w:t>
      </w:r>
      <w:r>
        <w:rPr>
          <w:lang w:eastAsia="ru-RU"/>
        </w:rPr>
        <w:t>а</w:t>
      </w:r>
      <w:r>
        <w:rPr>
          <w:lang w:eastAsia="ru-RU"/>
        </w:rPr>
        <w:t>тья</w:t>
      </w:r>
      <w:r>
        <w:rPr>
          <w:lang w:val="en-US" w:eastAsia="ru-RU"/>
        </w:rPr>
        <w:t> </w:t>
      </w:r>
      <w:r w:rsidR="00484329" w:rsidRPr="00843DE3">
        <w:rPr>
          <w:lang w:eastAsia="ru-RU"/>
        </w:rPr>
        <w:t>16 Закона о государственной гражданской службе провозглашает, что права граждан, отвечающих требованиям данной официальной должности на гос</w:t>
      </w:r>
      <w:r w:rsidR="00484329" w:rsidRPr="00843DE3">
        <w:rPr>
          <w:lang w:eastAsia="ru-RU"/>
        </w:rPr>
        <w:t>у</w:t>
      </w:r>
      <w:r w:rsidR="00484329" w:rsidRPr="00843DE3">
        <w:rPr>
          <w:lang w:eastAsia="ru-RU"/>
        </w:rPr>
        <w:t>дарственной гражданской службе, не должны подвергаться дискриминации по признаку этнического происхождения, расы, возраста, пола, социального пр</w:t>
      </w:r>
      <w:r w:rsidR="00484329" w:rsidRPr="00843DE3">
        <w:rPr>
          <w:lang w:eastAsia="ru-RU"/>
        </w:rPr>
        <w:t>о</w:t>
      </w:r>
      <w:r w:rsidR="00484329" w:rsidRPr="00843DE3">
        <w:rPr>
          <w:lang w:eastAsia="ru-RU"/>
        </w:rPr>
        <w:t>исхождения, статуса, имущественного положения, выполняемой работы, сл</w:t>
      </w:r>
      <w:r w:rsidR="00484329" w:rsidRPr="00843DE3">
        <w:rPr>
          <w:lang w:eastAsia="ru-RU"/>
        </w:rPr>
        <w:t>у</w:t>
      </w:r>
      <w:r w:rsidR="00484329" w:rsidRPr="00843DE3">
        <w:rPr>
          <w:lang w:eastAsia="ru-RU"/>
        </w:rPr>
        <w:t>жебного положения, религии, взглядов, членства в политических партиях или других организациях. Для осуществления вышеупомянутого положения при найме лиц для работы на государственной гражданской службе, а также для продвижения по службе используются такие методы, как конкурсный отбор и отбор по показателям труда и уровню специализации. В частном секторе отсу</w:t>
      </w:r>
      <w:r w:rsidR="00484329" w:rsidRPr="00843DE3">
        <w:rPr>
          <w:lang w:eastAsia="ru-RU"/>
        </w:rPr>
        <w:t>т</w:t>
      </w:r>
      <w:r w:rsidR="00484329" w:rsidRPr="00843DE3">
        <w:rPr>
          <w:lang w:eastAsia="ru-RU"/>
        </w:rPr>
        <w:t>ствуют общеправовые положения для координации таких отношений, поэтому каждое предприятие или организация руководствуются собственными правил</w:t>
      </w:r>
      <w:r w:rsidR="00484329" w:rsidRPr="00843DE3">
        <w:rPr>
          <w:lang w:eastAsia="ru-RU"/>
        </w:rPr>
        <w:t>а</w:t>
      </w:r>
      <w:r w:rsidR="00484329" w:rsidRPr="00843DE3">
        <w:rPr>
          <w:lang w:eastAsia="ru-RU"/>
        </w:rPr>
        <w:t>ми, разработа</w:t>
      </w:r>
      <w:r w:rsidR="00484329" w:rsidRPr="00843DE3">
        <w:rPr>
          <w:lang w:eastAsia="ru-RU"/>
        </w:rPr>
        <w:t>н</w:t>
      </w:r>
      <w:r w:rsidR="00484329" w:rsidRPr="00843DE3">
        <w:rPr>
          <w:lang w:eastAsia="ru-RU"/>
        </w:rPr>
        <w:t>ными в рамках их полномочий.</w:t>
      </w:r>
    </w:p>
    <w:p w:rsidR="00484329" w:rsidRPr="004B1D22" w:rsidRDefault="00484329" w:rsidP="004B1D22">
      <w:pPr>
        <w:pStyle w:val="SingleTxtGR"/>
        <w:suppressAutoHyphens/>
        <w:ind w:left="1701"/>
        <w:jc w:val="left"/>
        <w:rPr>
          <w:i/>
          <w:lang w:eastAsia="ru-RU"/>
        </w:rPr>
      </w:pPr>
      <w:r w:rsidRPr="004B1D22">
        <w:rPr>
          <w:i/>
          <w:lang w:eastAsia="ru-RU"/>
        </w:rPr>
        <w:t>Статья 17. Порядок замещения вакансий для государственных гражданских служащих, желающих занять официальную должность</w:t>
      </w:r>
    </w:p>
    <w:p w:rsidR="00484329" w:rsidRPr="004B1D22" w:rsidRDefault="00484329" w:rsidP="004B1D22">
      <w:pPr>
        <w:pStyle w:val="SingleTxtGR"/>
        <w:ind w:left="1701"/>
        <w:rPr>
          <w:i/>
          <w:lang w:eastAsia="ru-RU"/>
        </w:rPr>
      </w:pPr>
      <w:r w:rsidRPr="004B1D22">
        <w:rPr>
          <w:i/>
          <w:lang w:eastAsia="ru-RU"/>
        </w:rPr>
        <w:t>17.1</w:t>
      </w:r>
      <w:r w:rsidR="004B1D22" w:rsidRPr="004B1D22">
        <w:rPr>
          <w:i/>
          <w:lang w:eastAsia="ru-RU"/>
        </w:rPr>
        <w:tab/>
      </w:r>
      <w:r w:rsidRPr="004B1D22">
        <w:rPr>
          <w:i/>
          <w:lang w:eastAsia="ru-RU"/>
        </w:rPr>
        <w:t>При появлении вакансии официальной должности на государс</w:t>
      </w:r>
      <w:r w:rsidRPr="004B1D22">
        <w:rPr>
          <w:i/>
          <w:lang w:eastAsia="ru-RU"/>
        </w:rPr>
        <w:t>т</w:t>
      </w:r>
      <w:r w:rsidRPr="004B1D22">
        <w:rPr>
          <w:i/>
          <w:lang w:eastAsia="ru-RU"/>
        </w:rPr>
        <w:t>венной гражданской службе ее замещение производится путем отбора претендентов из числа государственных гражданских служащих, раб</w:t>
      </w:r>
      <w:r w:rsidRPr="004B1D22">
        <w:rPr>
          <w:i/>
          <w:lang w:eastAsia="ru-RU"/>
        </w:rPr>
        <w:t>о</w:t>
      </w:r>
      <w:r w:rsidRPr="004B1D22">
        <w:rPr>
          <w:i/>
          <w:lang w:eastAsia="ru-RU"/>
        </w:rPr>
        <w:t>тающих в данной организации или в других связанных с ней государс</w:t>
      </w:r>
      <w:r w:rsidRPr="004B1D22">
        <w:rPr>
          <w:i/>
          <w:lang w:eastAsia="ru-RU"/>
        </w:rPr>
        <w:t>т</w:t>
      </w:r>
      <w:r w:rsidRPr="004B1D22">
        <w:rPr>
          <w:i/>
          <w:lang w:eastAsia="ru-RU"/>
        </w:rPr>
        <w:t>венных организациях, на основании трудовых показателей и уровня сп</w:t>
      </w:r>
      <w:r w:rsidRPr="004B1D22">
        <w:rPr>
          <w:i/>
          <w:lang w:eastAsia="ru-RU"/>
        </w:rPr>
        <w:t>е</w:t>
      </w:r>
      <w:r w:rsidRPr="004B1D22">
        <w:rPr>
          <w:i/>
          <w:lang w:eastAsia="ru-RU"/>
        </w:rPr>
        <w:t>циализации.</w:t>
      </w:r>
    </w:p>
    <w:p w:rsidR="00484329" w:rsidRPr="004B1D22" w:rsidRDefault="00484329" w:rsidP="004B1D22">
      <w:pPr>
        <w:pStyle w:val="SingleTxtGR"/>
        <w:ind w:left="1701"/>
        <w:rPr>
          <w:i/>
          <w:lang w:eastAsia="ru-RU"/>
        </w:rPr>
      </w:pPr>
      <w:r w:rsidRPr="004B1D22">
        <w:rPr>
          <w:i/>
          <w:lang w:eastAsia="ru-RU"/>
        </w:rPr>
        <w:t>17.2</w:t>
      </w:r>
      <w:r w:rsidR="004B1D22" w:rsidRPr="004B1D22">
        <w:rPr>
          <w:i/>
          <w:lang w:eastAsia="ru-RU"/>
        </w:rPr>
        <w:tab/>
      </w:r>
      <w:r w:rsidRPr="004B1D22">
        <w:rPr>
          <w:i/>
          <w:lang w:eastAsia="ru-RU"/>
        </w:rPr>
        <w:t>Гражданин Монголии, отвечающий общим требованиям, указа</w:t>
      </w:r>
      <w:r w:rsidRPr="004B1D22">
        <w:rPr>
          <w:i/>
          <w:lang w:eastAsia="ru-RU"/>
        </w:rPr>
        <w:t>н</w:t>
      </w:r>
      <w:r w:rsidRPr="004B1D22">
        <w:rPr>
          <w:i/>
          <w:lang w:eastAsia="ru-RU"/>
        </w:rPr>
        <w:t>ным в статье 10.1 Закона, специальным требованиям статьи 33.5 и у</w:t>
      </w:r>
      <w:r w:rsidRPr="004B1D22">
        <w:rPr>
          <w:i/>
          <w:lang w:eastAsia="ru-RU"/>
        </w:rPr>
        <w:t>с</w:t>
      </w:r>
      <w:r w:rsidRPr="004B1D22">
        <w:rPr>
          <w:i/>
          <w:lang w:eastAsia="ru-RU"/>
        </w:rPr>
        <w:t>ловиям, перечисленным в статье 16, имеет право занимать официал</w:t>
      </w:r>
      <w:r w:rsidRPr="004B1D22">
        <w:rPr>
          <w:i/>
          <w:lang w:eastAsia="ru-RU"/>
        </w:rPr>
        <w:t>ь</w:t>
      </w:r>
      <w:r w:rsidRPr="004B1D22">
        <w:rPr>
          <w:i/>
          <w:lang w:eastAsia="ru-RU"/>
        </w:rPr>
        <w:t>ную должность государс</w:t>
      </w:r>
      <w:r w:rsidRPr="004B1D22">
        <w:rPr>
          <w:i/>
          <w:lang w:eastAsia="ru-RU"/>
        </w:rPr>
        <w:t>т</w:t>
      </w:r>
      <w:r w:rsidRPr="004B1D22">
        <w:rPr>
          <w:i/>
          <w:lang w:eastAsia="ru-RU"/>
        </w:rPr>
        <w:t>венного гражданского служащего.</w:t>
      </w:r>
    </w:p>
    <w:p w:rsidR="00484329" w:rsidRPr="004B1D22" w:rsidRDefault="00484329" w:rsidP="004B1D22">
      <w:pPr>
        <w:pStyle w:val="SingleTxtGR"/>
        <w:ind w:left="1701"/>
        <w:rPr>
          <w:i/>
          <w:lang w:eastAsia="ru-RU"/>
        </w:rPr>
      </w:pPr>
      <w:r w:rsidRPr="004B1D22">
        <w:rPr>
          <w:i/>
          <w:lang w:eastAsia="ru-RU"/>
        </w:rPr>
        <w:t>17.3</w:t>
      </w:r>
      <w:r w:rsidR="004B1D22" w:rsidRPr="004B1D22">
        <w:rPr>
          <w:i/>
          <w:lang w:eastAsia="ru-RU"/>
        </w:rPr>
        <w:tab/>
      </w:r>
      <w:r w:rsidRPr="004B1D22">
        <w:rPr>
          <w:i/>
          <w:lang w:eastAsia="ru-RU"/>
        </w:rPr>
        <w:t>Для отбора лиц, желающих занять данную официальную дол</w:t>
      </w:r>
      <w:r w:rsidRPr="004B1D22">
        <w:rPr>
          <w:i/>
          <w:lang w:eastAsia="ru-RU"/>
        </w:rPr>
        <w:t>ж</w:t>
      </w:r>
      <w:r w:rsidRPr="004B1D22">
        <w:rPr>
          <w:i/>
          <w:lang w:eastAsia="ru-RU"/>
        </w:rPr>
        <w:t>ность и отвечающих общим требованиям, указанным в статье 10.1 З</w:t>
      </w:r>
      <w:r w:rsidRPr="004B1D22">
        <w:rPr>
          <w:i/>
          <w:lang w:eastAsia="ru-RU"/>
        </w:rPr>
        <w:t>а</w:t>
      </w:r>
      <w:r w:rsidRPr="004B1D22">
        <w:rPr>
          <w:i/>
          <w:lang w:eastAsia="ru-RU"/>
        </w:rPr>
        <w:t>кона и специал</w:t>
      </w:r>
      <w:r w:rsidRPr="004B1D22">
        <w:rPr>
          <w:i/>
          <w:lang w:eastAsia="ru-RU"/>
        </w:rPr>
        <w:t>ь</w:t>
      </w:r>
      <w:r w:rsidRPr="004B1D22">
        <w:rPr>
          <w:i/>
          <w:lang w:eastAsia="ru-RU"/>
        </w:rPr>
        <w:t xml:space="preserve">ным требованиям статьи 33.5, проводится специальный экзамен по вопросам государственной гражданской службы, именуемый </w:t>
      </w:r>
      <w:r w:rsidR="00C467DA">
        <w:rPr>
          <w:i/>
          <w:lang w:eastAsia="ru-RU"/>
        </w:rPr>
        <w:t>"</w:t>
      </w:r>
      <w:r w:rsidRPr="004B1D22">
        <w:rPr>
          <w:i/>
          <w:lang w:eastAsia="ru-RU"/>
        </w:rPr>
        <w:t>экзаменом по специальности</w:t>
      </w:r>
      <w:r w:rsidR="00C467DA">
        <w:rPr>
          <w:i/>
          <w:lang w:eastAsia="ru-RU"/>
        </w:rPr>
        <w:t>"</w:t>
      </w:r>
      <w:r w:rsidRPr="004B1D22">
        <w:rPr>
          <w:i/>
          <w:lang w:eastAsia="ru-RU"/>
        </w:rPr>
        <w:t>, после чего кандидаты классифицирую</w:t>
      </w:r>
      <w:r w:rsidRPr="004B1D22">
        <w:rPr>
          <w:i/>
          <w:lang w:eastAsia="ru-RU"/>
        </w:rPr>
        <w:t>т</w:t>
      </w:r>
      <w:r w:rsidRPr="004B1D22">
        <w:rPr>
          <w:i/>
          <w:lang w:eastAsia="ru-RU"/>
        </w:rPr>
        <w:t>ся в зависимости от полученных оценок и…</w:t>
      </w:r>
    </w:p>
    <w:p w:rsidR="00484329" w:rsidRPr="00843DE3" w:rsidRDefault="006D6DAB" w:rsidP="00843DE3">
      <w:pPr>
        <w:pStyle w:val="SingleTxtGR"/>
        <w:rPr>
          <w:lang w:eastAsia="ru-RU"/>
        </w:rPr>
      </w:pPr>
      <w:r w:rsidRPr="006D6DAB">
        <w:rPr>
          <w:lang w:eastAsia="ru-RU"/>
        </w:rPr>
        <w:t>68.</w:t>
      </w:r>
      <w:r w:rsidRPr="006D6DAB">
        <w:rPr>
          <w:lang w:eastAsia="ru-RU"/>
        </w:rPr>
        <w:tab/>
      </w:r>
      <w:r w:rsidR="00484329" w:rsidRPr="00843DE3">
        <w:rPr>
          <w:lang w:eastAsia="ru-RU"/>
        </w:rPr>
        <w:t>В 1997 году в Монголии была введена пятидневная рабочая неделя. Кр</w:t>
      </w:r>
      <w:r w:rsidR="00484329" w:rsidRPr="00843DE3">
        <w:rPr>
          <w:lang w:eastAsia="ru-RU"/>
        </w:rPr>
        <w:t>о</w:t>
      </w:r>
      <w:r w:rsidR="00484329" w:rsidRPr="00843DE3">
        <w:rPr>
          <w:lang w:eastAsia="ru-RU"/>
        </w:rPr>
        <w:t>ме того, в Монголии установлены девять официальных праздничных дней. К</w:t>
      </w:r>
      <w:r w:rsidR="00484329" w:rsidRPr="00843DE3">
        <w:rPr>
          <w:lang w:eastAsia="ru-RU"/>
        </w:rPr>
        <w:t>а</w:t>
      </w:r>
      <w:r w:rsidR="00484329" w:rsidRPr="00843DE3">
        <w:rPr>
          <w:lang w:eastAsia="ru-RU"/>
        </w:rPr>
        <w:t>ждый работник имеет право на ежегодный отпуск продолжительностью 15 р</w:t>
      </w:r>
      <w:r w:rsidR="00484329" w:rsidRPr="00843DE3">
        <w:rPr>
          <w:lang w:eastAsia="ru-RU"/>
        </w:rPr>
        <w:t>а</w:t>
      </w:r>
      <w:r w:rsidR="00484329" w:rsidRPr="00843DE3">
        <w:rPr>
          <w:lang w:eastAsia="ru-RU"/>
        </w:rPr>
        <w:t>бочих дней. Трудящийся, проработавший свыше шести лет, получает дополн</w:t>
      </w:r>
      <w:r w:rsidR="00484329" w:rsidRPr="00843DE3">
        <w:rPr>
          <w:lang w:eastAsia="ru-RU"/>
        </w:rPr>
        <w:t>и</w:t>
      </w:r>
      <w:r w:rsidR="00484329" w:rsidRPr="00843DE3">
        <w:rPr>
          <w:lang w:eastAsia="ru-RU"/>
        </w:rPr>
        <w:t>тельно 3</w:t>
      </w:r>
      <w:r w:rsidRPr="006D6DAB">
        <w:rPr>
          <w:lang w:eastAsia="ru-RU"/>
        </w:rPr>
        <w:t>−</w:t>
      </w:r>
      <w:r w:rsidR="00484329" w:rsidRPr="00843DE3">
        <w:rPr>
          <w:lang w:eastAsia="ru-RU"/>
        </w:rPr>
        <w:t>18 отпускных дней в зависимости от продолжительности занятости и условий труда. Отпуск оплачивается исходя из средней зарплаты за последние 12 месяцев. Закон о труде гласит, что продолжительность рабочей недели может с</w:t>
      </w:r>
      <w:r w:rsidR="00484329" w:rsidRPr="00843DE3">
        <w:rPr>
          <w:lang w:eastAsia="ru-RU"/>
        </w:rPr>
        <w:t>о</w:t>
      </w:r>
      <w:r w:rsidR="00484329" w:rsidRPr="00843DE3">
        <w:rPr>
          <w:lang w:eastAsia="ru-RU"/>
        </w:rPr>
        <w:t>ставлять до 40 часов, длительность обычного рабочего дня может быть до восьми часов, а непрерывный отдых между двумя последующими рабочими днями должен быть равен не менее 12 часам. Кроме того, отмечается, что пр</w:t>
      </w:r>
      <w:r w:rsidR="00484329" w:rsidRPr="00843DE3">
        <w:rPr>
          <w:lang w:eastAsia="ru-RU"/>
        </w:rPr>
        <w:t>о</w:t>
      </w:r>
      <w:r w:rsidR="00484329" w:rsidRPr="00843DE3">
        <w:rPr>
          <w:lang w:eastAsia="ru-RU"/>
        </w:rPr>
        <w:t>должительность рабочего времени для работников в возрасте 14</w:t>
      </w:r>
      <w:r w:rsidRPr="006D6DAB">
        <w:rPr>
          <w:lang w:eastAsia="ru-RU"/>
        </w:rPr>
        <w:t>−</w:t>
      </w:r>
      <w:r w:rsidR="00484329" w:rsidRPr="00843DE3">
        <w:rPr>
          <w:lang w:eastAsia="ru-RU"/>
        </w:rPr>
        <w:t>15 лет не должна превышать 30 часов в неделю, а продолжительность рабочего времени для работников в возрасте 16</w:t>
      </w:r>
      <w:r w:rsidRPr="006D6DAB">
        <w:rPr>
          <w:lang w:eastAsia="ru-RU"/>
        </w:rPr>
        <w:t>−</w:t>
      </w:r>
      <w:r w:rsidR="00484329" w:rsidRPr="00843DE3">
        <w:rPr>
          <w:lang w:eastAsia="ru-RU"/>
        </w:rPr>
        <w:t>17 лет и инвалидов не должна превышать 36 ч</w:t>
      </w:r>
      <w:r w:rsidR="00484329" w:rsidRPr="00843DE3">
        <w:rPr>
          <w:lang w:eastAsia="ru-RU"/>
        </w:rPr>
        <w:t>а</w:t>
      </w:r>
      <w:r w:rsidR="00484329" w:rsidRPr="00843DE3">
        <w:rPr>
          <w:lang w:eastAsia="ru-RU"/>
        </w:rPr>
        <w:t>сов в неделю. Если вышеупомянутое количество рабочих часов в день или н</w:t>
      </w:r>
      <w:r w:rsidR="00484329" w:rsidRPr="00843DE3">
        <w:rPr>
          <w:lang w:eastAsia="ru-RU"/>
        </w:rPr>
        <w:t>е</w:t>
      </w:r>
      <w:r w:rsidR="00484329" w:rsidRPr="00843DE3">
        <w:rPr>
          <w:lang w:eastAsia="ru-RU"/>
        </w:rPr>
        <w:t>делю не может быть обеспечено в силу специфики профессии или отрасли, то могут применяться правила суммирования рабочего времени, утвержденные правительством.</w:t>
      </w:r>
    </w:p>
    <w:p w:rsidR="00484329" w:rsidRPr="00843DE3" w:rsidRDefault="006D6DAB" w:rsidP="00843DE3">
      <w:pPr>
        <w:pStyle w:val="SingleTxtGR"/>
        <w:rPr>
          <w:lang w:eastAsia="ru-RU"/>
        </w:rPr>
      </w:pPr>
      <w:r w:rsidRPr="006D6DAB">
        <w:rPr>
          <w:lang w:eastAsia="ru-RU"/>
        </w:rPr>
        <w:t>69.</w:t>
      </w:r>
      <w:r w:rsidRPr="006D6DAB">
        <w:rPr>
          <w:lang w:eastAsia="ru-RU"/>
        </w:rPr>
        <w:tab/>
      </w:r>
      <w:r w:rsidR="00484329" w:rsidRPr="00843DE3">
        <w:rPr>
          <w:lang w:eastAsia="ru-RU"/>
        </w:rPr>
        <w:t>В случае привлечения сотрудников к сверхурочной работе работодатель должен выплатить им сумму, составляющую, по крайней мере, полторы сре</w:t>
      </w:r>
      <w:r w:rsidR="00484329" w:rsidRPr="00843DE3">
        <w:rPr>
          <w:lang w:eastAsia="ru-RU"/>
        </w:rPr>
        <w:t>д</w:t>
      </w:r>
      <w:r w:rsidR="00484329" w:rsidRPr="00843DE3">
        <w:rPr>
          <w:lang w:eastAsia="ru-RU"/>
        </w:rPr>
        <w:t>ней зарплаты. В соответствии с Законом о труде Монголии работникам оплач</w:t>
      </w:r>
      <w:r w:rsidR="00484329" w:rsidRPr="00843DE3">
        <w:rPr>
          <w:lang w:eastAsia="ru-RU"/>
        </w:rPr>
        <w:t>и</w:t>
      </w:r>
      <w:r w:rsidR="00484329" w:rsidRPr="00843DE3">
        <w:rPr>
          <w:lang w:eastAsia="ru-RU"/>
        </w:rPr>
        <w:t>ваются официальные праздничные дни, а если сотрудники работали в офиц</w:t>
      </w:r>
      <w:r w:rsidR="00484329" w:rsidRPr="00843DE3">
        <w:rPr>
          <w:lang w:eastAsia="ru-RU"/>
        </w:rPr>
        <w:t>и</w:t>
      </w:r>
      <w:r w:rsidR="00484329" w:rsidRPr="00843DE3">
        <w:rPr>
          <w:lang w:eastAsia="ru-RU"/>
        </w:rPr>
        <w:t>альные праздничные дни или в еженедельные выходные без последующего предоста</w:t>
      </w:r>
      <w:r w:rsidR="00484329" w:rsidRPr="00843DE3">
        <w:rPr>
          <w:lang w:eastAsia="ru-RU"/>
        </w:rPr>
        <w:t>в</w:t>
      </w:r>
      <w:r w:rsidR="00484329" w:rsidRPr="00843DE3">
        <w:rPr>
          <w:lang w:eastAsia="ru-RU"/>
        </w:rPr>
        <w:t>ления им выходных, работодатель должен выплатить им среднюю зарплату в двойном размере.</w:t>
      </w:r>
    </w:p>
    <w:p w:rsidR="00484329" w:rsidRPr="00843DE3" w:rsidRDefault="006D6DAB" w:rsidP="00843DE3">
      <w:pPr>
        <w:pStyle w:val="SingleTxtGR"/>
        <w:rPr>
          <w:lang w:eastAsia="ru-RU"/>
        </w:rPr>
      </w:pPr>
      <w:r w:rsidRPr="006D6DAB">
        <w:rPr>
          <w:lang w:eastAsia="ru-RU"/>
        </w:rPr>
        <w:t>70.</w:t>
      </w:r>
      <w:r w:rsidRPr="006D6DAB">
        <w:rPr>
          <w:lang w:eastAsia="ru-RU"/>
        </w:rPr>
        <w:tab/>
      </w:r>
      <w:r w:rsidR="00484329" w:rsidRPr="00843DE3">
        <w:rPr>
          <w:lang w:eastAsia="ru-RU"/>
        </w:rPr>
        <w:t>Работники или организации, представляющие их интересы, могут н</w:t>
      </w:r>
      <w:r w:rsidR="00484329" w:rsidRPr="00843DE3">
        <w:rPr>
          <w:lang w:eastAsia="ru-RU"/>
        </w:rPr>
        <w:t>а</w:t>
      </w:r>
      <w:r w:rsidR="00484329" w:rsidRPr="00843DE3">
        <w:rPr>
          <w:lang w:eastAsia="ru-RU"/>
        </w:rPr>
        <w:t>правлять жалобы о нарушении Закона о труде или соответствующего законод</w:t>
      </w:r>
      <w:r w:rsidR="00484329" w:rsidRPr="00843DE3">
        <w:rPr>
          <w:lang w:eastAsia="ru-RU"/>
        </w:rPr>
        <w:t>а</w:t>
      </w:r>
      <w:r w:rsidR="00484329" w:rsidRPr="00843DE3">
        <w:rPr>
          <w:lang w:eastAsia="ru-RU"/>
        </w:rPr>
        <w:t>тельства государственным инспекторам Агентства по профессиональной и</w:t>
      </w:r>
      <w:r w:rsidR="00484329" w:rsidRPr="00843DE3">
        <w:rPr>
          <w:lang w:eastAsia="ru-RU"/>
        </w:rPr>
        <w:t>н</w:t>
      </w:r>
      <w:r w:rsidR="00484329" w:rsidRPr="00843DE3">
        <w:rPr>
          <w:lang w:eastAsia="ru-RU"/>
        </w:rPr>
        <w:t>спекции или в суд. Если за допущенное нарушение уголовная ответственность не предусматривается, то виновная сторона несет наказание в администрати</w:t>
      </w:r>
      <w:r w:rsidR="00484329" w:rsidRPr="00843DE3">
        <w:rPr>
          <w:lang w:eastAsia="ru-RU"/>
        </w:rPr>
        <w:t>в</w:t>
      </w:r>
      <w:r w:rsidR="00484329" w:rsidRPr="00843DE3">
        <w:rPr>
          <w:lang w:eastAsia="ru-RU"/>
        </w:rPr>
        <w:t>ном поря</w:t>
      </w:r>
      <w:r w:rsidR="00484329" w:rsidRPr="00843DE3">
        <w:rPr>
          <w:lang w:eastAsia="ru-RU"/>
        </w:rPr>
        <w:t>д</w:t>
      </w:r>
      <w:r w:rsidR="00484329" w:rsidRPr="00843DE3">
        <w:rPr>
          <w:lang w:eastAsia="ru-RU"/>
        </w:rPr>
        <w:t>ке.</w:t>
      </w:r>
    </w:p>
    <w:p w:rsidR="00484329" w:rsidRPr="00843DE3" w:rsidRDefault="006D6DAB" w:rsidP="00843DE3">
      <w:pPr>
        <w:pStyle w:val="SingleTxtGR"/>
        <w:rPr>
          <w:lang w:eastAsia="ru-RU"/>
        </w:rPr>
      </w:pPr>
      <w:r w:rsidRPr="006D6DAB">
        <w:rPr>
          <w:lang w:eastAsia="ru-RU"/>
        </w:rPr>
        <w:t>71.</w:t>
      </w:r>
      <w:r w:rsidRPr="006D6DAB">
        <w:rPr>
          <w:lang w:eastAsia="ru-RU"/>
        </w:rPr>
        <w:tab/>
      </w:r>
      <w:r w:rsidR="00484329" w:rsidRPr="00843DE3">
        <w:rPr>
          <w:lang w:eastAsia="ru-RU"/>
        </w:rPr>
        <w:t>Государственные инспекторы Государственного агентства по професси</w:t>
      </w:r>
      <w:r w:rsidR="00484329" w:rsidRPr="00843DE3">
        <w:rPr>
          <w:lang w:eastAsia="ru-RU"/>
        </w:rPr>
        <w:t>о</w:t>
      </w:r>
      <w:r w:rsidR="00484329" w:rsidRPr="00843DE3">
        <w:rPr>
          <w:lang w:eastAsia="ru-RU"/>
        </w:rPr>
        <w:t>нальной инспекции несут ответственность за осуществление вышеупомянутого Закона, проверку нарушений соответствующих положений и устранение выя</w:t>
      </w:r>
      <w:r w:rsidR="00484329" w:rsidRPr="00843DE3">
        <w:rPr>
          <w:lang w:eastAsia="ru-RU"/>
        </w:rPr>
        <w:t>в</w:t>
      </w:r>
      <w:r w:rsidR="00484329" w:rsidRPr="00843DE3">
        <w:rPr>
          <w:lang w:eastAsia="ru-RU"/>
        </w:rPr>
        <w:t>ленных нарушений. В 2009 году в общей сложности было выявлено 1</w:t>
      </w:r>
      <w:r>
        <w:rPr>
          <w:lang w:val="en-US" w:eastAsia="ru-RU"/>
        </w:rPr>
        <w:t> </w:t>
      </w:r>
      <w:r w:rsidR="00484329" w:rsidRPr="00843DE3">
        <w:rPr>
          <w:lang w:eastAsia="ru-RU"/>
        </w:rPr>
        <w:t>421 н</w:t>
      </w:r>
      <w:r w:rsidR="00484329" w:rsidRPr="00843DE3">
        <w:rPr>
          <w:lang w:eastAsia="ru-RU"/>
        </w:rPr>
        <w:t>а</w:t>
      </w:r>
      <w:r w:rsidR="00484329" w:rsidRPr="00843DE3">
        <w:rPr>
          <w:lang w:eastAsia="ru-RU"/>
        </w:rPr>
        <w:t>рушение, связанное с рабочим временем и заработной платой; из этого числа в 83% случаев или в отношении 1</w:t>
      </w:r>
      <w:r>
        <w:rPr>
          <w:lang w:val="en-US" w:eastAsia="ru-RU"/>
        </w:rPr>
        <w:t> </w:t>
      </w:r>
      <w:r w:rsidR="00484329" w:rsidRPr="00843DE3">
        <w:rPr>
          <w:lang w:eastAsia="ru-RU"/>
        </w:rPr>
        <w:t>187 нарушений проблемы были решены, и на</w:t>
      </w:r>
      <w:r w:rsidR="00484329" w:rsidRPr="00843DE3">
        <w:rPr>
          <w:lang w:eastAsia="ru-RU"/>
        </w:rPr>
        <w:t>д</w:t>
      </w:r>
      <w:r w:rsidR="00484329" w:rsidRPr="00843DE3">
        <w:rPr>
          <w:lang w:eastAsia="ru-RU"/>
        </w:rPr>
        <w:t>лежащие меры приняты.</w:t>
      </w:r>
    </w:p>
    <w:p w:rsidR="00484329" w:rsidRPr="00843DE3" w:rsidRDefault="00530243" w:rsidP="00843DE3">
      <w:pPr>
        <w:pStyle w:val="SingleTxtGR"/>
        <w:rPr>
          <w:lang w:eastAsia="ru-RU"/>
        </w:rPr>
      </w:pPr>
      <w:r w:rsidRPr="00530243">
        <w:rPr>
          <w:lang w:eastAsia="ru-RU"/>
        </w:rPr>
        <w:t>72.</w:t>
      </w:r>
      <w:r w:rsidRPr="00530243">
        <w:rPr>
          <w:lang w:eastAsia="ru-RU"/>
        </w:rPr>
        <w:tab/>
      </w:r>
      <w:r w:rsidR="00484329" w:rsidRPr="00843DE3">
        <w:rPr>
          <w:lang w:eastAsia="ru-RU"/>
        </w:rPr>
        <w:t>В целях укрепления потенциала по контролю за ходом выполнения закона и нормативных положений о труде совместно с МОТ была организована уче</w:t>
      </w:r>
      <w:r w:rsidR="00484329" w:rsidRPr="00843DE3">
        <w:rPr>
          <w:lang w:eastAsia="ru-RU"/>
        </w:rPr>
        <w:t>б</w:t>
      </w:r>
      <w:r w:rsidR="00484329" w:rsidRPr="00843DE3">
        <w:rPr>
          <w:lang w:eastAsia="ru-RU"/>
        </w:rPr>
        <w:t>ная подготовка по вопросам заработной платы, трудовых договоров, разреш</w:t>
      </w:r>
      <w:r w:rsidR="00484329" w:rsidRPr="00843DE3">
        <w:rPr>
          <w:lang w:eastAsia="ru-RU"/>
        </w:rPr>
        <w:t>е</w:t>
      </w:r>
      <w:r w:rsidR="00484329" w:rsidRPr="00843DE3">
        <w:rPr>
          <w:lang w:eastAsia="ru-RU"/>
        </w:rPr>
        <w:t>ния трудовых конфликтов для инспекторов Агентства по профессиональной и</w:t>
      </w:r>
      <w:r w:rsidR="00484329" w:rsidRPr="00843DE3">
        <w:rPr>
          <w:lang w:eastAsia="ru-RU"/>
        </w:rPr>
        <w:t>н</w:t>
      </w:r>
      <w:r w:rsidR="00484329" w:rsidRPr="00843DE3">
        <w:rPr>
          <w:lang w:eastAsia="ru-RU"/>
        </w:rPr>
        <w:t>спекции и сотрудников профсоюзов, выполняющих контрольные функции.</w:t>
      </w:r>
    </w:p>
    <w:p w:rsidR="00484329" w:rsidRPr="00843DE3" w:rsidRDefault="00484329" w:rsidP="00530243">
      <w:pPr>
        <w:pStyle w:val="H1GR"/>
      </w:pPr>
      <w:r w:rsidRPr="00843DE3">
        <w:tab/>
      </w:r>
      <w:r w:rsidRPr="00843DE3">
        <w:tab/>
        <w:t>Статья 8</w:t>
      </w:r>
    </w:p>
    <w:p w:rsidR="00484329" w:rsidRPr="00843DE3" w:rsidRDefault="00530243" w:rsidP="00843DE3">
      <w:pPr>
        <w:pStyle w:val="SingleTxtGR"/>
        <w:rPr>
          <w:lang w:eastAsia="ru-RU"/>
        </w:rPr>
      </w:pPr>
      <w:r w:rsidRPr="00530243">
        <w:rPr>
          <w:lang w:eastAsia="ru-RU"/>
        </w:rPr>
        <w:t>73.</w:t>
      </w:r>
      <w:r w:rsidRPr="00530243">
        <w:rPr>
          <w:lang w:eastAsia="ru-RU"/>
        </w:rPr>
        <w:tab/>
      </w:r>
      <w:r w:rsidR="00484329" w:rsidRPr="00843DE3">
        <w:rPr>
          <w:lang w:eastAsia="ru-RU"/>
        </w:rPr>
        <w:t>Монголия ратифицировала Международный пакт о гражданских и пол</w:t>
      </w:r>
      <w:r w:rsidR="00484329" w:rsidRPr="00843DE3">
        <w:rPr>
          <w:lang w:eastAsia="ru-RU"/>
        </w:rPr>
        <w:t>и</w:t>
      </w:r>
      <w:r w:rsidR="00484329" w:rsidRPr="00843DE3">
        <w:rPr>
          <w:lang w:eastAsia="ru-RU"/>
        </w:rPr>
        <w:t>тических правах в 1991 году, Конвенцию МОТ № 87 о свободе объединений и защите права объединяться в профсоюзы и Конвенцию № 98 о применении принципов права на объединение в профсоюзы и на ведение коллективных п</w:t>
      </w:r>
      <w:r w:rsidR="00484329" w:rsidRPr="00843DE3">
        <w:rPr>
          <w:lang w:eastAsia="ru-RU"/>
        </w:rPr>
        <w:t>е</w:t>
      </w:r>
      <w:r w:rsidR="00484329" w:rsidRPr="00843DE3">
        <w:rPr>
          <w:lang w:eastAsia="ru-RU"/>
        </w:rPr>
        <w:t>реговоров в 1969 году. Монголия пока еще не ратифицировала Конвенцию МОТ № 151 о трудовых отношениях на государственной службе, однако данная Ко</w:t>
      </w:r>
      <w:r w:rsidR="00484329" w:rsidRPr="00843DE3">
        <w:rPr>
          <w:lang w:eastAsia="ru-RU"/>
        </w:rPr>
        <w:t>н</w:t>
      </w:r>
      <w:r w:rsidR="00484329" w:rsidRPr="00843DE3">
        <w:rPr>
          <w:lang w:eastAsia="ru-RU"/>
        </w:rPr>
        <w:t>венция используется на рекомендательной основе для дальнейшей разработки и совершенствования Закона о государственной гражданской службе. Как страна, ратифицировавшая Конвенцию № 87 о свободе объединений и защите права объединяться в профсоюзы и Конвенцию № 98 о применении принципов права на объединение в профсоюзы и на ведение коллективных переговоров, Монг</w:t>
      </w:r>
      <w:r w:rsidR="00484329" w:rsidRPr="00843DE3">
        <w:rPr>
          <w:lang w:eastAsia="ru-RU"/>
        </w:rPr>
        <w:t>о</w:t>
      </w:r>
      <w:r w:rsidR="00484329" w:rsidRPr="00843DE3">
        <w:rPr>
          <w:lang w:eastAsia="ru-RU"/>
        </w:rPr>
        <w:t>лия приняла ряд мер для отражения концепций этих конвенций в национальном з</w:t>
      </w:r>
      <w:r w:rsidR="00484329" w:rsidRPr="00843DE3">
        <w:rPr>
          <w:lang w:eastAsia="ru-RU"/>
        </w:rPr>
        <w:t>а</w:t>
      </w:r>
      <w:r w:rsidR="00484329" w:rsidRPr="00843DE3">
        <w:rPr>
          <w:lang w:eastAsia="ru-RU"/>
        </w:rPr>
        <w:t>конодательстве и по их выполнению. С информацией об осуществлении этих конвенций можно ознакомиться в правительственных докладах Монголии, представленных в МОТ.</w:t>
      </w:r>
    </w:p>
    <w:p w:rsidR="00484329" w:rsidRPr="00843DE3" w:rsidRDefault="00530243" w:rsidP="00843DE3">
      <w:pPr>
        <w:pStyle w:val="SingleTxtGR"/>
        <w:rPr>
          <w:lang w:eastAsia="ru-RU"/>
        </w:rPr>
      </w:pPr>
      <w:r w:rsidRPr="00530243">
        <w:rPr>
          <w:lang w:eastAsia="ru-RU"/>
        </w:rPr>
        <w:t>74.</w:t>
      </w:r>
      <w:r w:rsidRPr="00530243">
        <w:rPr>
          <w:lang w:eastAsia="ru-RU"/>
        </w:rPr>
        <w:tab/>
      </w:r>
      <w:r w:rsidR="00484329" w:rsidRPr="00843DE3">
        <w:rPr>
          <w:lang w:eastAsia="ru-RU"/>
        </w:rPr>
        <w:t>Право на создание профсоюзов, защиту законных прав и интересов путем заключения соглашений об объединении в профсоюзы гарантируется Законом о правах профсоюзов и Законом о труде. Законы не содержат каких-либо полож</w:t>
      </w:r>
      <w:r w:rsidR="00484329" w:rsidRPr="00843DE3">
        <w:rPr>
          <w:lang w:eastAsia="ru-RU"/>
        </w:rPr>
        <w:t>е</w:t>
      </w:r>
      <w:r w:rsidR="00484329" w:rsidRPr="00843DE3">
        <w:rPr>
          <w:lang w:eastAsia="ru-RU"/>
        </w:rPr>
        <w:t>ний, ограничивающих право отдельных групп работников на объединение в профсоюзы и на заключение коллективных договоров. Однако в Законе о гос</w:t>
      </w:r>
      <w:r w:rsidR="00484329" w:rsidRPr="00843DE3">
        <w:rPr>
          <w:lang w:eastAsia="ru-RU"/>
        </w:rPr>
        <w:t>у</w:t>
      </w:r>
      <w:r w:rsidR="00484329" w:rsidRPr="00843DE3">
        <w:rPr>
          <w:lang w:eastAsia="ru-RU"/>
        </w:rPr>
        <w:t>дарственной гражданской службе отмечается, что государственным гражда</w:t>
      </w:r>
      <w:r w:rsidR="00484329" w:rsidRPr="00843DE3">
        <w:rPr>
          <w:lang w:eastAsia="ru-RU"/>
        </w:rPr>
        <w:t>н</w:t>
      </w:r>
      <w:r w:rsidR="00484329" w:rsidRPr="00843DE3">
        <w:rPr>
          <w:lang w:eastAsia="ru-RU"/>
        </w:rPr>
        <w:t>ским служащим, административным должностным лицам и лицам с особыми полномочиями запрещено участвовать в политических, неправительственных и религиозных организациях для решения вопросов, не связанных с исполнением ими своих служебных обязанностей, а также участвовать в планировании, орг</w:t>
      </w:r>
      <w:r w:rsidR="00484329" w:rsidRPr="00843DE3">
        <w:rPr>
          <w:lang w:eastAsia="ru-RU"/>
        </w:rPr>
        <w:t>а</w:t>
      </w:r>
      <w:r w:rsidR="00484329" w:rsidRPr="00843DE3">
        <w:rPr>
          <w:lang w:eastAsia="ru-RU"/>
        </w:rPr>
        <w:t>низации и проведении другой деятельности, такой как забастовки или мер</w:t>
      </w:r>
      <w:r w:rsidR="00484329" w:rsidRPr="00843DE3">
        <w:rPr>
          <w:lang w:eastAsia="ru-RU"/>
        </w:rPr>
        <w:t>о</w:t>
      </w:r>
      <w:r w:rsidR="00484329" w:rsidRPr="00843DE3">
        <w:rPr>
          <w:lang w:eastAsia="ru-RU"/>
        </w:rPr>
        <w:t>приятия, направленные на нарушение нормальной деятельности государстве</w:t>
      </w:r>
      <w:r w:rsidR="00484329" w:rsidRPr="00843DE3">
        <w:rPr>
          <w:lang w:eastAsia="ru-RU"/>
        </w:rPr>
        <w:t>н</w:t>
      </w:r>
      <w:r w:rsidR="00484329" w:rsidRPr="00843DE3">
        <w:rPr>
          <w:lang w:eastAsia="ru-RU"/>
        </w:rPr>
        <w:t>ных организаций. Это связано с тем, что общие функции и обязанности гос</w:t>
      </w:r>
      <w:r w:rsidR="00484329" w:rsidRPr="00843DE3">
        <w:rPr>
          <w:lang w:eastAsia="ru-RU"/>
        </w:rPr>
        <w:t>у</w:t>
      </w:r>
      <w:r w:rsidR="00484329" w:rsidRPr="00843DE3">
        <w:rPr>
          <w:lang w:eastAsia="ru-RU"/>
        </w:rPr>
        <w:t>дарственных гражданских служащих, их социальные гарантии регулируются исключительно Законом о государственной гражданской службе.</w:t>
      </w:r>
    </w:p>
    <w:p w:rsidR="00484329" w:rsidRPr="00A75FA4" w:rsidRDefault="00484329" w:rsidP="00A75FA4">
      <w:pPr>
        <w:pStyle w:val="SingleTxtGR"/>
        <w:ind w:left="1701"/>
        <w:rPr>
          <w:i/>
          <w:lang w:eastAsia="ru-RU"/>
        </w:rPr>
      </w:pPr>
      <w:r w:rsidRPr="00A75FA4">
        <w:rPr>
          <w:i/>
          <w:lang w:eastAsia="ru-RU"/>
        </w:rPr>
        <w:t>Статья 3. Право на объединение в профсоюзы</w:t>
      </w:r>
    </w:p>
    <w:p w:rsidR="007443F8" w:rsidRDefault="00484329" w:rsidP="00A75FA4">
      <w:pPr>
        <w:pStyle w:val="SingleTxtGR"/>
        <w:ind w:left="1701"/>
        <w:rPr>
          <w:i/>
        </w:rPr>
      </w:pPr>
      <w:r w:rsidRPr="00A75FA4">
        <w:rPr>
          <w:i/>
        </w:rPr>
        <w:t>1.</w:t>
      </w:r>
      <w:r w:rsidR="00A75FA4" w:rsidRPr="00A75FA4">
        <w:rPr>
          <w:i/>
        </w:rPr>
        <w:tab/>
      </w:r>
      <w:r w:rsidRPr="00A75FA4">
        <w:rPr>
          <w:i/>
        </w:rPr>
        <w:t>Граждане имеют право на свободное объединение в профсоюзы для реализации своего права на труд и на защиту своих законных инт</w:t>
      </w:r>
      <w:r w:rsidRPr="00A75FA4">
        <w:rPr>
          <w:i/>
        </w:rPr>
        <w:t>е</w:t>
      </w:r>
      <w:r w:rsidRPr="00A75FA4">
        <w:rPr>
          <w:i/>
        </w:rPr>
        <w:t>ресов, связанных с этим правом, без какого-либо специального разреш</w:t>
      </w:r>
      <w:r w:rsidRPr="00A75FA4">
        <w:rPr>
          <w:i/>
        </w:rPr>
        <w:t>е</w:t>
      </w:r>
      <w:r w:rsidRPr="00A75FA4">
        <w:rPr>
          <w:i/>
        </w:rPr>
        <w:t>ния, на добровольной основе и без какой-либо дискриминации.</w:t>
      </w:r>
    </w:p>
    <w:p w:rsidR="00484329" w:rsidRPr="00A75FA4" w:rsidRDefault="00484329" w:rsidP="00A75FA4">
      <w:pPr>
        <w:pStyle w:val="SingleTxtGR"/>
        <w:ind w:left="1701"/>
        <w:rPr>
          <w:i/>
        </w:rPr>
      </w:pPr>
      <w:r w:rsidRPr="00A75FA4">
        <w:rPr>
          <w:i/>
        </w:rPr>
        <w:t>2.</w:t>
      </w:r>
      <w:r w:rsidR="00A75FA4" w:rsidRPr="00A75FA4">
        <w:rPr>
          <w:i/>
        </w:rPr>
        <w:tab/>
      </w:r>
      <w:r w:rsidRPr="00A75FA4">
        <w:rPr>
          <w:i/>
        </w:rPr>
        <w:t>Никто не может быть принужден к членству в профсоюзе или выходу из него.</w:t>
      </w:r>
    </w:p>
    <w:p w:rsidR="00484329" w:rsidRPr="00A75FA4" w:rsidRDefault="00484329" w:rsidP="00A75FA4">
      <w:pPr>
        <w:pStyle w:val="SingleTxtGR"/>
        <w:ind w:left="1701"/>
        <w:rPr>
          <w:i/>
        </w:rPr>
      </w:pPr>
      <w:r w:rsidRPr="00A75FA4">
        <w:rPr>
          <w:i/>
        </w:rPr>
        <w:t>3.</w:t>
      </w:r>
      <w:r w:rsidR="00A75FA4" w:rsidRPr="00A75FA4">
        <w:rPr>
          <w:i/>
        </w:rPr>
        <w:tab/>
      </w:r>
      <w:r w:rsidRPr="00A75FA4">
        <w:rPr>
          <w:i/>
        </w:rPr>
        <w:t>Запрещается ограничивать права и свободы граждан или подве</w:t>
      </w:r>
      <w:r w:rsidRPr="00A75FA4">
        <w:rPr>
          <w:i/>
        </w:rPr>
        <w:t>р</w:t>
      </w:r>
      <w:r w:rsidRPr="00A75FA4">
        <w:rPr>
          <w:i/>
        </w:rPr>
        <w:t xml:space="preserve">гать их дискриминации в связи с их </w:t>
      </w:r>
      <w:r w:rsidR="00A42081">
        <w:rPr>
          <w:i/>
        </w:rPr>
        <w:t>членством в профсоюзах. Закон о</w:t>
      </w:r>
      <w:r w:rsidR="00A42081">
        <w:rPr>
          <w:i/>
          <w:lang w:val="en-US"/>
        </w:rPr>
        <w:t> </w:t>
      </w:r>
      <w:r w:rsidRPr="00A75FA4">
        <w:rPr>
          <w:i/>
        </w:rPr>
        <w:t>пр</w:t>
      </w:r>
      <w:r w:rsidRPr="00A75FA4">
        <w:rPr>
          <w:i/>
        </w:rPr>
        <w:t>а</w:t>
      </w:r>
      <w:r w:rsidRPr="00A75FA4">
        <w:rPr>
          <w:i/>
        </w:rPr>
        <w:t>вах профсоюзов</w:t>
      </w:r>
      <w:r w:rsidR="00A75FA4" w:rsidRPr="00A75FA4">
        <w:rPr>
          <w:i/>
        </w:rPr>
        <w:t>.</w:t>
      </w:r>
    </w:p>
    <w:p w:rsidR="00484329" w:rsidRPr="00843DE3" w:rsidRDefault="00A42081" w:rsidP="00843DE3">
      <w:pPr>
        <w:pStyle w:val="SingleTxtGR"/>
        <w:rPr>
          <w:lang w:eastAsia="ru-RU"/>
        </w:rPr>
      </w:pPr>
      <w:r w:rsidRPr="00A42081">
        <w:rPr>
          <w:lang w:eastAsia="ru-RU"/>
        </w:rPr>
        <w:t>75.</w:t>
      </w:r>
      <w:r w:rsidRPr="00A42081">
        <w:rPr>
          <w:lang w:eastAsia="ru-RU"/>
        </w:rPr>
        <w:tab/>
      </w:r>
      <w:r w:rsidR="00484329" w:rsidRPr="00843DE3">
        <w:rPr>
          <w:lang w:eastAsia="ru-RU"/>
        </w:rPr>
        <w:t>В соответствии с Законом о профсоюзах и их собственными уставами профсоюзы имеют право создавать свои отделения и объединения на местном и н</w:t>
      </w:r>
      <w:r w:rsidR="00484329" w:rsidRPr="00843DE3">
        <w:rPr>
          <w:lang w:eastAsia="ru-RU"/>
        </w:rPr>
        <w:t>а</w:t>
      </w:r>
      <w:r w:rsidR="00484329" w:rsidRPr="00843DE3">
        <w:rPr>
          <w:lang w:eastAsia="ru-RU"/>
        </w:rPr>
        <w:t>циональном уровне или присоединяться к другим ассоциациям, становиться членами международных и региональных профсоюзных объединений. Каких-либо правовых положений или установленных правительством рамок, которые ограничивают это право, не существует.</w:t>
      </w:r>
    </w:p>
    <w:p w:rsidR="00484329" w:rsidRPr="00843DE3" w:rsidRDefault="00A42081" w:rsidP="00843DE3">
      <w:pPr>
        <w:pStyle w:val="SingleTxtGR"/>
        <w:rPr>
          <w:lang w:eastAsia="ru-RU"/>
        </w:rPr>
      </w:pPr>
      <w:r w:rsidRPr="00A42081">
        <w:rPr>
          <w:lang w:eastAsia="ru-RU"/>
        </w:rPr>
        <w:t>76.</w:t>
      </w:r>
      <w:r w:rsidRPr="00A42081">
        <w:rPr>
          <w:lang w:eastAsia="ru-RU"/>
        </w:rPr>
        <w:tab/>
      </w:r>
      <w:r w:rsidR="00484329" w:rsidRPr="00843DE3">
        <w:rPr>
          <w:lang w:eastAsia="ru-RU"/>
        </w:rPr>
        <w:t>В настоящее время на национальном уровне действует одно профсоюзное объединение – Конфедерация монгольских профсоюзов (КМП). Конфедерация имеет в своем составе 22 территориальные ассоциации и 13 отделений, объед</w:t>
      </w:r>
      <w:r w:rsidR="00484329" w:rsidRPr="00843DE3">
        <w:rPr>
          <w:lang w:eastAsia="ru-RU"/>
        </w:rPr>
        <w:t>и</w:t>
      </w:r>
      <w:r w:rsidR="00484329" w:rsidRPr="00843DE3">
        <w:rPr>
          <w:lang w:eastAsia="ru-RU"/>
        </w:rPr>
        <w:t xml:space="preserve">няющих свыше 250 тыс. членов. В ее основу положен принцип </w:t>
      </w:r>
      <w:r w:rsidR="00C467DA">
        <w:rPr>
          <w:lang w:eastAsia="ru-RU"/>
        </w:rPr>
        <w:t>"</w:t>
      </w:r>
      <w:r w:rsidR="00484329" w:rsidRPr="00843DE3">
        <w:rPr>
          <w:lang w:eastAsia="ru-RU"/>
        </w:rPr>
        <w:t>один завод – один профсоюз</w:t>
      </w:r>
      <w:r w:rsidR="00C467DA">
        <w:rPr>
          <w:lang w:eastAsia="ru-RU"/>
        </w:rPr>
        <w:t>"</w:t>
      </w:r>
      <w:r w:rsidR="00484329" w:rsidRPr="00843DE3">
        <w:rPr>
          <w:lang w:eastAsia="ru-RU"/>
        </w:rPr>
        <w:t>. КМП является членом международного профсоюза, а именно его Азиатско-Тихоокеанской региональной организации.</w:t>
      </w:r>
    </w:p>
    <w:p w:rsidR="00484329" w:rsidRPr="00843DE3" w:rsidRDefault="00484329" w:rsidP="00A42081">
      <w:pPr>
        <w:pStyle w:val="H4GR"/>
      </w:pPr>
      <w:r w:rsidRPr="00843DE3">
        <w:tab/>
      </w:r>
      <w:r w:rsidRPr="00843DE3">
        <w:tab/>
        <w:t>Закон о труде Монголии гарантирует право трудящихся на заба</w:t>
      </w:r>
      <w:r w:rsidRPr="00843DE3">
        <w:t>с</w:t>
      </w:r>
      <w:r w:rsidRPr="00843DE3">
        <w:t>товку</w:t>
      </w:r>
    </w:p>
    <w:p w:rsidR="00484329" w:rsidRPr="00843DE3" w:rsidRDefault="00C25C8A" w:rsidP="00843DE3">
      <w:pPr>
        <w:pStyle w:val="SingleTxtGR"/>
        <w:rPr>
          <w:lang w:eastAsia="ru-RU"/>
        </w:rPr>
      </w:pPr>
      <w:r w:rsidRPr="00C25C8A">
        <w:rPr>
          <w:lang w:eastAsia="ru-RU"/>
        </w:rPr>
        <w:t>77.</w:t>
      </w:r>
      <w:r w:rsidRPr="00C25C8A">
        <w:rPr>
          <w:lang w:eastAsia="ru-RU"/>
        </w:rPr>
        <w:tab/>
      </w:r>
      <w:r w:rsidR="00484329" w:rsidRPr="00843DE3">
        <w:rPr>
          <w:lang w:eastAsia="ru-RU"/>
        </w:rPr>
        <w:t>Представители работников имеют право инициировать коллективное ра</w:t>
      </w:r>
      <w:r w:rsidR="00484329" w:rsidRPr="00843DE3">
        <w:rPr>
          <w:lang w:eastAsia="ru-RU"/>
        </w:rPr>
        <w:t>з</w:t>
      </w:r>
      <w:r w:rsidR="00484329" w:rsidRPr="00843DE3">
        <w:rPr>
          <w:lang w:eastAsia="ru-RU"/>
        </w:rPr>
        <w:t>решение трудовых споров, возникающих из-за различий в ходе обсуждения ко</w:t>
      </w:r>
      <w:r w:rsidR="00484329" w:rsidRPr="00843DE3">
        <w:rPr>
          <w:lang w:eastAsia="ru-RU"/>
        </w:rPr>
        <w:t>л</w:t>
      </w:r>
      <w:r w:rsidR="00484329" w:rsidRPr="00843DE3">
        <w:rPr>
          <w:lang w:eastAsia="ru-RU"/>
        </w:rPr>
        <w:t>лективных договоров и переговоров о</w:t>
      </w:r>
      <w:r w:rsidR="00C733D3">
        <w:rPr>
          <w:lang w:eastAsia="ru-RU"/>
        </w:rPr>
        <w:t>б</w:t>
      </w:r>
      <w:r w:rsidR="00484329" w:rsidRPr="00843DE3">
        <w:rPr>
          <w:lang w:eastAsia="ru-RU"/>
        </w:rPr>
        <w:t xml:space="preserve"> их заключении, в соответствии с Зак</w:t>
      </w:r>
      <w:r w:rsidR="00484329" w:rsidRPr="00843DE3">
        <w:rPr>
          <w:lang w:eastAsia="ru-RU"/>
        </w:rPr>
        <w:t>о</w:t>
      </w:r>
      <w:r w:rsidR="00484329" w:rsidRPr="00843DE3">
        <w:rPr>
          <w:lang w:eastAsia="ru-RU"/>
        </w:rPr>
        <w:t>ном о труде, и подавать иски и предъявлять требования для обеспечения собл</w:t>
      </w:r>
      <w:r w:rsidR="00484329" w:rsidRPr="00843DE3">
        <w:rPr>
          <w:lang w:eastAsia="ru-RU"/>
        </w:rPr>
        <w:t>ю</w:t>
      </w:r>
      <w:r w:rsidR="00484329" w:rsidRPr="00843DE3">
        <w:rPr>
          <w:lang w:eastAsia="ru-RU"/>
        </w:rPr>
        <w:t>дения положений коллективных договоров и процесса ведения переговоров по их заключению. Коллективные трудовые споры подлежат урегулированию и разрешению с привлечением посредников или путем рассмотрения спора тр</w:t>
      </w:r>
      <w:r w:rsidR="00484329" w:rsidRPr="00843DE3">
        <w:rPr>
          <w:lang w:eastAsia="ru-RU"/>
        </w:rPr>
        <w:t>у</w:t>
      </w:r>
      <w:r w:rsidR="00484329" w:rsidRPr="00843DE3">
        <w:rPr>
          <w:lang w:eastAsia="ru-RU"/>
        </w:rPr>
        <w:t>довым арбитражным судом. Если спор не удается урегулировать одним из в</w:t>
      </w:r>
      <w:r w:rsidR="00484329" w:rsidRPr="00843DE3">
        <w:rPr>
          <w:lang w:eastAsia="ru-RU"/>
        </w:rPr>
        <w:t>ы</w:t>
      </w:r>
      <w:r w:rsidR="00484329" w:rsidRPr="00843DE3">
        <w:rPr>
          <w:lang w:eastAsia="ru-RU"/>
        </w:rPr>
        <w:t>шеупомянутых методов, представители трудящихся имеют право выступить с</w:t>
      </w:r>
      <w:r w:rsidR="009730EF">
        <w:rPr>
          <w:lang w:eastAsia="ru-RU"/>
        </w:rPr>
        <w:t> </w:t>
      </w:r>
      <w:r w:rsidR="00484329" w:rsidRPr="00843DE3">
        <w:rPr>
          <w:lang w:eastAsia="ru-RU"/>
        </w:rPr>
        <w:t>призывом о проведении забастовки.</w:t>
      </w:r>
    </w:p>
    <w:p w:rsidR="00484329" w:rsidRPr="00484329" w:rsidRDefault="00484329" w:rsidP="00484329">
      <w:pPr>
        <w:pStyle w:val="SingleTxtGR"/>
        <w:ind w:left="1701"/>
        <w:rPr>
          <w:i/>
          <w:lang w:eastAsia="ru-RU"/>
        </w:rPr>
      </w:pPr>
      <w:r w:rsidRPr="00484329">
        <w:rPr>
          <w:i/>
          <w:lang w:eastAsia="ru-RU"/>
        </w:rPr>
        <w:t>Статья 119. Осуществление права на забастовку</w:t>
      </w:r>
    </w:p>
    <w:p w:rsidR="00484329" w:rsidRPr="00484329" w:rsidRDefault="00484329" w:rsidP="00484329">
      <w:pPr>
        <w:pStyle w:val="SingleTxtGR"/>
        <w:ind w:left="1701"/>
        <w:rPr>
          <w:i/>
          <w:lang w:eastAsia="ru-RU"/>
        </w:rPr>
      </w:pPr>
      <w:r w:rsidRPr="00484329">
        <w:rPr>
          <w:i/>
          <w:lang w:eastAsia="ru-RU"/>
        </w:rPr>
        <w:t>119.1</w:t>
      </w:r>
      <w:r w:rsidR="00C25C8A" w:rsidRPr="009730EF">
        <w:rPr>
          <w:i/>
          <w:lang w:eastAsia="ru-RU"/>
        </w:rPr>
        <w:tab/>
      </w:r>
      <w:r w:rsidRPr="00484329">
        <w:rPr>
          <w:i/>
          <w:lang w:eastAsia="ru-RU"/>
        </w:rPr>
        <w:t>Представители трудящихся име</w:t>
      </w:r>
      <w:r w:rsidR="009730EF">
        <w:rPr>
          <w:i/>
          <w:lang w:eastAsia="ru-RU"/>
        </w:rPr>
        <w:t>ют право объявлять забастовку в </w:t>
      </w:r>
      <w:r w:rsidRPr="00484329">
        <w:rPr>
          <w:i/>
          <w:lang w:eastAsia="ru-RU"/>
        </w:rPr>
        <w:t>следующих случаях:</w:t>
      </w:r>
    </w:p>
    <w:p w:rsidR="00484329" w:rsidRPr="00484329" w:rsidRDefault="00484329" w:rsidP="00484329">
      <w:pPr>
        <w:pStyle w:val="SingleTxtGR"/>
        <w:ind w:left="2268"/>
        <w:rPr>
          <w:i/>
          <w:lang w:eastAsia="ru-RU"/>
        </w:rPr>
      </w:pPr>
      <w:r w:rsidRPr="00484329">
        <w:rPr>
          <w:i/>
          <w:lang w:eastAsia="ru-RU"/>
        </w:rPr>
        <w:t>119.1.1</w:t>
      </w:r>
      <w:r w:rsidR="00C25C8A" w:rsidRPr="00484329">
        <w:rPr>
          <w:i/>
          <w:lang w:val="en-US" w:eastAsia="ru-RU"/>
        </w:rPr>
        <w:tab/>
      </w:r>
      <w:r w:rsidRPr="00484329">
        <w:rPr>
          <w:i/>
          <w:lang w:eastAsia="ru-RU"/>
        </w:rPr>
        <w:t>Работодатель не принимает участия в процессе ур</w:t>
      </w:r>
      <w:r w:rsidRPr="00484329">
        <w:rPr>
          <w:i/>
          <w:lang w:eastAsia="ru-RU"/>
        </w:rPr>
        <w:t>е</w:t>
      </w:r>
      <w:r w:rsidRPr="00484329">
        <w:rPr>
          <w:i/>
          <w:lang w:eastAsia="ru-RU"/>
        </w:rPr>
        <w:t>гулирования, как это предусмотрено статьей 116.1 настоящего Закона;</w:t>
      </w:r>
    </w:p>
    <w:p w:rsidR="00484329" w:rsidRPr="00484329" w:rsidRDefault="00484329" w:rsidP="00484329">
      <w:pPr>
        <w:pStyle w:val="SingleTxtGR"/>
        <w:ind w:left="2268"/>
        <w:rPr>
          <w:i/>
          <w:lang w:eastAsia="ru-RU"/>
        </w:rPr>
      </w:pPr>
      <w:r w:rsidRPr="00484329">
        <w:rPr>
          <w:i/>
          <w:lang w:eastAsia="ru-RU"/>
        </w:rPr>
        <w:t>119.1.2</w:t>
      </w:r>
      <w:r w:rsidR="00C25C8A" w:rsidRPr="00484329">
        <w:rPr>
          <w:i/>
          <w:lang w:val="en-US" w:eastAsia="ru-RU"/>
        </w:rPr>
        <w:tab/>
      </w:r>
      <w:r w:rsidRPr="00484329">
        <w:rPr>
          <w:i/>
          <w:lang w:eastAsia="ru-RU"/>
        </w:rPr>
        <w:t>Работодатель не выполняет условия урегулирования, выработанные с участием посредника;</w:t>
      </w:r>
    </w:p>
    <w:p w:rsidR="00484329" w:rsidRPr="00484329" w:rsidRDefault="00484329" w:rsidP="00484329">
      <w:pPr>
        <w:pStyle w:val="SingleTxtGR"/>
        <w:ind w:left="2268"/>
        <w:rPr>
          <w:i/>
          <w:lang w:eastAsia="ru-RU"/>
        </w:rPr>
      </w:pPr>
      <w:r w:rsidRPr="00484329">
        <w:rPr>
          <w:i/>
          <w:lang w:eastAsia="ru-RU"/>
        </w:rPr>
        <w:t>119.1.3</w:t>
      </w:r>
      <w:r w:rsidR="00C25C8A" w:rsidRPr="00484329">
        <w:rPr>
          <w:i/>
          <w:lang w:val="en-US" w:eastAsia="ru-RU"/>
        </w:rPr>
        <w:tab/>
      </w:r>
      <w:r w:rsidRPr="00484329">
        <w:rPr>
          <w:i/>
          <w:lang w:eastAsia="ru-RU"/>
        </w:rPr>
        <w:t>Работодатель не выполняет свое собственное реш</w:t>
      </w:r>
      <w:r w:rsidRPr="00484329">
        <w:rPr>
          <w:i/>
          <w:lang w:eastAsia="ru-RU"/>
        </w:rPr>
        <w:t>е</w:t>
      </w:r>
      <w:r w:rsidRPr="00484329">
        <w:rPr>
          <w:i/>
          <w:lang w:eastAsia="ru-RU"/>
        </w:rPr>
        <w:t>ние, основанное на принятии рекомендации трудового арбитра</w:t>
      </w:r>
      <w:r w:rsidRPr="00484329">
        <w:rPr>
          <w:i/>
          <w:lang w:eastAsia="ru-RU"/>
        </w:rPr>
        <w:t>ж</w:t>
      </w:r>
      <w:r w:rsidRPr="00484329">
        <w:rPr>
          <w:i/>
          <w:lang w:eastAsia="ru-RU"/>
        </w:rPr>
        <w:t>ного суда;</w:t>
      </w:r>
    </w:p>
    <w:p w:rsidR="00F06A27" w:rsidRDefault="00484329" w:rsidP="00484329">
      <w:pPr>
        <w:pStyle w:val="SingleTxtGR"/>
        <w:ind w:left="2268"/>
        <w:rPr>
          <w:i/>
          <w:lang w:eastAsia="ru-RU"/>
        </w:rPr>
      </w:pPr>
      <w:r w:rsidRPr="00484329">
        <w:rPr>
          <w:i/>
          <w:lang w:eastAsia="ru-RU"/>
        </w:rPr>
        <w:t>119.1.4</w:t>
      </w:r>
      <w:r w:rsidR="00C25C8A" w:rsidRPr="009730EF">
        <w:rPr>
          <w:i/>
          <w:lang w:eastAsia="ru-RU"/>
        </w:rPr>
        <w:tab/>
      </w:r>
      <w:r w:rsidRPr="00484329">
        <w:rPr>
          <w:i/>
          <w:lang w:eastAsia="ru-RU"/>
        </w:rPr>
        <w:t>Даже при том, что коллективный трудовой спор был рассмотрен трудовым арбитр</w:t>
      </w:r>
      <w:r w:rsidR="009730EF">
        <w:rPr>
          <w:i/>
          <w:lang w:eastAsia="ru-RU"/>
        </w:rPr>
        <w:t>ажным судом, никакого решения в </w:t>
      </w:r>
      <w:r w:rsidRPr="00484329">
        <w:rPr>
          <w:i/>
          <w:lang w:eastAsia="ru-RU"/>
        </w:rPr>
        <w:t>отнош</w:t>
      </w:r>
      <w:r w:rsidRPr="00484329">
        <w:rPr>
          <w:i/>
          <w:lang w:eastAsia="ru-RU"/>
        </w:rPr>
        <w:t>е</w:t>
      </w:r>
      <w:r w:rsidRPr="00484329">
        <w:rPr>
          <w:i/>
          <w:lang w:eastAsia="ru-RU"/>
        </w:rPr>
        <w:t xml:space="preserve">нии его рекомендации не принимается. </w:t>
      </w:r>
    </w:p>
    <w:p w:rsidR="00484329" w:rsidRPr="00484329" w:rsidRDefault="00484329" w:rsidP="00F06A27">
      <w:pPr>
        <w:pStyle w:val="SingleTxtGR"/>
        <w:ind w:left="1701"/>
        <w:rPr>
          <w:i/>
          <w:lang w:eastAsia="ru-RU"/>
        </w:rPr>
      </w:pPr>
      <w:r w:rsidRPr="00484329">
        <w:rPr>
          <w:i/>
          <w:lang w:eastAsia="ru-RU"/>
        </w:rPr>
        <w:t>119.2</w:t>
      </w:r>
      <w:r w:rsidR="00F06A27">
        <w:rPr>
          <w:i/>
          <w:lang w:eastAsia="ru-RU"/>
        </w:rPr>
        <w:tab/>
      </w:r>
      <w:r w:rsidRPr="00484329">
        <w:rPr>
          <w:i/>
          <w:lang w:eastAsia="ru-RU"/>
        </w:rPr>
        <w:t>Работник принимает участие в забастовках на добровольной о</w:t>
      </w:r>
      <w:r w:rsidRPr="00484329">
        <w:rPr>
          <w:i/>
          <w:lang w:eastAsia="ru-RU"/>
        </w:rPr>
        <w:t>с</w:t>
      </w:r>
      <w:r w:rsidRPr="00484329">
        <w:rPr>
          <w:i/>
          <w:lang w:eastAsia="ru-RU"/>
        </w:rPr>
        <w:t>нове.</w:t>
      </w:r>
    </w:p>
    <w:p w:rsidR="00484329" w:rsidRPr="00484329" w:rsidRDefault="00484329" w:rsidP="00484329">
      <w:pPr>
        <w:pStyle w:val="SingleTxtGR"/>
        <w:ind w:left="1701"/>
        <w:rPr>
          <w:i/>
          <w:lang w:eastAsia="ru-RU"/>
        </w:rPr>
      </w:pPr>
      <w:r w:rsidRPr="00484329">
        <w:rPr>
          <w:i/>
          <w:lang w:eastAsia="ru-RU"/>
        </w:rPr>
        <w:t>119.3</w:t>
      </w:r>
      <w:r w:rsidR="00C25C8A" w:rsidRPr="00484329">
        <w:rPr>
          <w:i/>
          <w:lang w:val="en-US" w:eastAsia="ru-RU"/>
        </w:rPr>
        <w:tab/>
      </w:r>
      <w:r w:rsidRPr="00484329">
        <w:rPr>
          <w:i/>
          <w:lang w:eastAsia="ru-RU"/>
        </w:rPr>
        <w:t>Работник не может быть принужден к участию в забастовке или к неучастию в забастовке, к продолжению забастовки или к прекращ</w:t>
      </w:r>
      <w:r w:rsidRPr="00484329">
        <w:rPr>
          <w:i/>
          <w:lang w:eastAsia="ru-RU"/>
        </w:rPr>
        <w:t>е</w:t>
      </w:r>
      <w:r w:rsidRPr="00484329">
        <w:rPr>
          <w:i/>
          <w:lang w:eastAsia="ru-RU"/>
        </w:rPr>
        <w:t>нию заба</w:t>
      </w:r>
      <w:r w:rsidRPr="00484329">
        <w:rPr>
          <w:i/>
          <w:lang w:eastAsia="ru-RU"/>
        </w:rPr>
        <w:t>с</w:t>
      </w:r>
      <w:r w:rsidRPr="00484329">
        <w:rPr>
          <w:i/>
          <w:lang w:eastAsia="ru-RU"/>
        </w:rPr>
        <w:t>товки, за исключением случаев, предусмотренных законом.</w:t>
      </w:r>
    </w:p>
    <w:p w:rsidR="00484329" w:rsidRPr="00484329" w:rsidRDefault="00484329" w:rsidP="00484329">
      <w:pPr>
        <w:pStyle w:val="SingleTxtGR"/>
        <w:ind w:left="1701"/>
        <w:rPr>
          <w:i/>
          <w:lang w:val="en-US" w:eastAsia="ru-RU"/>
        </w:rPr>
      </w:pPr>
      <w:r w:rsidRPr="00484329">
        <w:rPr>
          <w:i/>
          <w:lang w:eastAsia="ru-RU"/>
        </w:rPr>
        <w:t>119.4</w:t>
      </w:r>
      <w:r w:rsidR="00C25C8A" w:rsidRPr="00484329">
        <w:rPr>
          <w:i/>
          <w:lang w:val="en-US" w:eastAsia="ru-RU"/>
        </w:rPr>
        <w:tab/>
      </w:r>
      <w:r w:rsidRPr="00484329">
        <w:rPr>
          <w:i/>
          <w:lang w:eastAsia="ru-RU"/>
        </w:rPr>
        <w:t>Представители работодателя не могут организовывать заба</w:t>
      </w:r>
      <w:r w:rsidRPr="00484329">
        <w:rPr>
          <w:i/>
          <w:lang w:eastAsia="ru-RU"/>
        </w:rPr>
        <w:t>с</w:t>
      </w:r>
      <w:r w:rsidRPr="00484329">
        <w:rPr>
          <w:i/>
          <w:lang w:eastAsia="ru-RU"/>
        </w:rPr>
        <w:t>товки или участвовать в них. Закон о труде Монголии</w:t>
      </w:r>
      <w:r w:rsidRPr="00484329">
        <w:rPr>
          <w:i/>
          <w:lang w:val="en-US" w:eastAsia="ru-RU"/>
        </w:rPr>
        <w:t>.</w:t>
      </w:r>
    </w:p>
    <w:p w:rsidR="00484329" w:rsidRPr="00843DE3" w:rsidRDefault="00484329" w:rsidP="00843DE3">
      <w:pPr>
        <w:pStyle w:val="SingleTxtGR"/>
        <w:rPr>
          <w:lang w:eastAsia="ru-RU"/>
        </w:rPr>
      </w:pPr>
      <w:r w:rsidRPr="00484329">
        <w:rPr>
          <w:lang w:eastAsia="ru-RU"/>
        </w:rPr>
        <w:t>78.</w:t>
      </w:r>
      <w:r w:rsidRPr="00484329">
        <w:rPr>
          <w:lang w:eastAsia="ru-RU"/>
        </w:rPr>
        <w:tab/>
      </w:r>
      <w:r w:rsidRPr="00843DE3">
        <w:rPr>
          <w:lang w:eastAsia="ru-RU"/>
        </w:rPr>
        <w:t>Закон о труде Монголии содержит положения, предусматривающие з</w:t>
      </w:r>
      <w:r w:rsidRPr="00843DE3">
        <w:rPr>
          <w:lang w:eastAsia="ru-RU"/>
        </w:rPr>
        <w:t>а</w:t>
      </w:r>
      <w:r w:rsidRPr="00843DE3">
        <w:rPr>
          <w:lang w:eastAsia="ru-RU"/>
        </w:rPr>
        <w:t>прет на забастовки, перенос сроков их проведения или их временную приост</w:t>
      </w:r>
      <w:r w:rsidRPr="00843DE3">
        <w:rPr>
          <w:lang w:eastAsia="ru-RU"/>
        </w:rPr>
        <w:t>а</w:t>
      </w:r>
      <w:r w:rsidRPr="00843DE3">
        <w:rPr>
          <w:lang w:eastAsia="ru-RU"/>
        </w:rPr>
        <w:t>новку по соображениям национальной безопасности, общественного порядка и защиты прав и свобод других лиц. Например:</w:t>
      </w:r>
    </w:p>
    <w:p w:rsidR="00484329" w:rsidRPr="00843DE3" w:rsidRDefault="00484329" w:rsidP="00265969">
      <w:pPr>
        <w:pStyle w:val="Bullet1GR"/>
      </w:pPr>
      <w:r w:rsidRPr="00843DE3">
        <w:t>Запрещается проводить забастовки в организациях, занимающихся в</w:t>
      </w:r>
      <w:r w:rsidRPr="00843DE3">
        <w:t>о</w:t>
      </w:r>
      <w:r w:rsidRPr="00843DE3">
        <w:t>просами национальной обороны, национальной безопасности и подде</w:t>
      </w:r>
      <w:r w:rsidRPr="00843DE3">
        <w:t>р</w:t>
      </w:r>
      <w:r w:rsidRPr="00843DE3">
        <w:t>жания общественного порядка.</w:t>
      </w:r>
    </w:p>
    <w:p w:rsidR="00484329" w:rsidRPr="00843DE3" w:rsidRDefault="00484329" w:rsidP="00265969">
      <w:pPr>
        <w:pStyle w:val="Bullet1GR"/>
      </w:pPr>
      <w:r w:rsidRPr="00843DE3">
        <w:t>Запрещается организовывать забастовки на этапе ведения перег</w:t>
      </w:r>
      <w:r w:rsidRPr="00843DE3">
        <w:t>о</w:t>
      </w:r>
      <w:r w:rsidRPr="00843DE3">
        <w:t>воров по урегулированию коллективного трудового спора или когда спор рассма</w:t>
      </w:r>
      <w:r w:rsidRPr="00843DE3">
        <w:t>т</w:t>
      </w:r>
      <w:r w:rsidRPr="00843DE3">
        <w:t>ривае</w:t>
      </w:r>
      <w:r w:rsidRPr="00843DE3">
        <w:t>т</w:t>
      </w:r>
      <w:r w:rsidRPr="00843DE3">
        <w:t>ся посредником, трудовым арбитражем или судом.</w:t>
      </w:r>
    </w:p>
    <w:p w:rsidR="00484329" w:rsidRPr="00843DE3" w:rsidRDefault="00484329" w:rsidP="00265969">
      <w:pPr>
        <w:pStyle w:val="Bullet1GR"/>
      </w:pPr>
      <w:r w:rsidRPr="00843DE3">
        <w:t>В случае угрозы жизни или здоровью людей суд имеет право отложить проведение забастовки на срок до 30 дней или в случае, когда заба</w:t>
      </w:r>
      <w:r w:rsidRPr="00843DE3">
        <w:t>с</w:t>
      </w:r>
      <w:r w:rsidRPr="00843DE3">
        <w:t>товка уже началась, временно приостановить ее на такой же срок.</w:t>
      </w:r>
    </w:p>
    <w:p w:rsidR="00484329" w:rsidRPr="00843DE3" w:rsidRDefault="00484329" w:rsidP="00265969">
      <w:pPr>
        <w:pStyle w:val="Bullet1GR"/>
      </w:pPr>
      <w:r w:rsidRPr="00843DE3">
        <w:t>Если забастовка на хозяйственных объектах или в организациях, зан</w:t>
      </w:r>
      <w:r w:rsidRPr="00843DE3">
        <w:t>и</w:t>
      </w:r>
      <w:r w:rsidRPr="00843DE3">
        <w:t>мающихся энергоснабжением, отоплением, водоснабжением, обществе</w:t>
      </w:r>
      <w:r w:rsidRPr="00843DE3">
        <w:t>н</w:t>
      </w:r>
      <w:r w:rsidRPr="00843DE3">
        <w:t>ным транспортом, международными или междугородними телекоммун</w:t>
      </w:r>
      <w:r w:rsidRPr="00843DE3">
        <w:t>и</w:t>
      </w:r>
      <w:r w:rsidRPr="00843DE3">
        <w:t>кациями или железнодорожными перевозками, угрожает безопасности государства, правам человека и свободам, правительство может отл</w:t>
      </w:r>
      <w:r w:rsidRPr="00843DE3">
        <w:t>о</w:t>
      </w:r>
      <w:r w:rsidRPr="00843DE3">
        <w:t>жить ее проведение до принятия судом решения по этому вопросу, но в любом случае на срок не более 14 дней.</w:t>
      </w:r>
    </w:p>
    <w:p w:rsidR="00484329" w:rsidRPr="00843DE3" w:rsidRDefault="00484329" w:rsidP="00265969">
      <w:pPr>
        <w:pStyle w:val="H1GR"/>
      </w:pPr>
      <w:r w:rsidRPr="00843DE3">
        <w:tab/>
      </w:r>
      <w:r w:rsidRPr="00843DE3">
        <w:tab/>
        <w:t>Статья 9</w:t>
      </w:r>
    </w:p>
    <w:p w:rsidR="00484329" w:rsidRPr="00843DE3" w:rsidRDefault="00265969" w:rsidP="00843DE3">
      <w:pPr>
        <w:pStyle w:val="SingleTxtGR"/>
        <w:rPr>
          <w:lang w:eastAsia="ru-RU"/>
        </w:rPr>
      </w:pPr>
      <w:r w:rsidRPr="00265969">
        <w:rPr>
          <w:lang w:eastAsia="ru-RU"/>
        </w:rPr>
        <w:t>79.</w:t>
      </w:r>
      <w:r w:rsidRPr="00265969">
        <w:rPr>
          <w:lang w:eastAsia="ru-RU"/>
        </w:rPr>
        <w:tab/>
      </w:r>
      <w:r w:rsidR="00484329" w:rsidRPr="00843DE3">
        <w:rPr>
          <w:lang w:eastAsia="ru-RU"/>
        </w:rPr>
        <w:t>Монголия пока еще не</w:t>
      </w:r>
      <w:r>
        <w:rPr>
          <w:lang w:eastAsia="ru-RU"/>
        </w:rPr>
        <w:t xml:space="preserve"> ратифицировала Конвенцию МОТ №</w:t>
      </w:r>
      <w:r>
        <w:rPr>
          <w:lang w:val="en-US" w:eastAsia="ru-RU"/>
        </w:rPr>
        <w:t> </w:t>
      </w:r>
      <w:r w:rsidR="00484329" w:rsidRPr="00843DE3">
        <w:rPr>
          <w:lang w:eastAsia="ru-RU"/>
        </w:rPr>
        <w:t>102 о мин</w:t>
      </w:r>
      <w:r w:rsidR="00484329" w:rsidRPr="00843DE3">
        <w:rPr>
          <w:lang w:eastAsia="ru-RU"/>
        </w:rPr>
        <w:t>и</w:t>
      </w:r>
      <w:r w:rsidR="00484329" w:rsidRPr="00843DE3">
        <w:rPr>
          <w:lang w:eastAsia="ru-RU"/>
        </w:rPr>
        <w:t>мальных нормах социального обеспечени</w:t>
      </w:r>
      <w:r>
        <w:rPr>
          <w:lang w:eastAsia="ru-RU"/>
        </w:rPr>
        <w:t>я, Конвенцию №</w:t>
      </w:r>
      <w:r>
        <w:rPr>
          <w:lang w:val="en-US" w:eastAsia="ru-RU"/>
        </w:rPr>
        <w:t> </w:t>
      </w:r>
      <w:r>
        <w:rPr>
          <w:lang w:eastAsia="ru-RU"/>
        </w:rPr>
        <w:t>121 о пособиях в</w:t>
      </w:r>
      <w:r>
        <w:rPr>
          <w:lang w:val="en-US" w:eastAsia="ru-RU"/>
        </w:rPr>
        <w:t> </w:t>
      </w:r>
      <w:r w:rsidR="00484329" w:rsidRPr="00843DE3">
        <w:rPr>
          <w:lang w:eastAsia="ru-RU"/>
        </w:rPr>
        <w:t>случаях производственного травматизма, Конвенцию №</w:t>
      </w:r>
      <w:r>
        <w:rPr>
          <w:lang w:val="en-US" w:eastAsia="ru-RU"/>
        </w:rPr>
        <w:t> </w:t>
      </w:r>
      <w:r w:rsidR="00484329" w:rsidRPr="00843DE3">
        <w:rPr>
          <w:lang w:eastAsia="ru-RU"/>
        </w:rPr>
        <w:t>128 о пособиях по инвалидности, по старости и по случаю поте</w:t>
      </w:r>
      <w:r>
        <w:rPr>
          <w:lang w:eastAsia="ru-RU"/>
        </w:rPr>
        <w:t>ри кормильца, Конвенцию №</w:t>
      </w:r>
      <w:r>
        <w:rPr>
          <w:lang w:val="en-US" w:eastAsia="ru-RU"/>
        </w:rPr>
        <w:t> </w:t>
      </w:r>
      <w:r>
        <w:rPr>
          <w:lang w:eastAsia="ru-RU"/>
        </w:rPr>
        <w:t>130 о</w:t>
      </w:r>
      <w:r>
        <w:rPr>
          <w:lang w:val="en-US" w:eastAsia="ru-RU"/>
        </w:rPr>
        <w:t> </w:t>
      </w:r>
      <w:r w:rsidR="00484329" w:rsidRPr="00843DE3">
        <w:rPr>
          <w:lang w:eastAsia="ru-RU"/>
        </w:rPr>
        <w:t>медицинской помощи и пособиях по болезни. Однако содержание вышеуп</w:t>
      </w:r>
      <w:r w:rsidR="00484329" w:rsidRPr="00843DE3">
        <w:rPr>
          <w:lang w:eastAsia="ru-RU"/>
        </w:rPr>
        <w:t>о</w:t>
      </w:r>
      <w:r w:rsidR="00484329" w:rsidRPr="00843DE3">
        <w:rPr>
          <w:lang w:eastAsia="ru-RU"/>
        </w:rPr>
        <w:t>мянутых конвенций нашло отражение в законодательстве о социальном обесп</w:t>
      </w:r>
      <w:r w:rsidR="00484329" w:rsidRPr="00843DE3">
        <w:rPr>
          <w:lang w:eastAsia="ru-RU"/>
        </w:rPr>
        <w:t>е</w:t>
      </w:r>
      <w:r w:rsidR="00484329" w:rsidRPr="00843DE3">
        <w:rPr>
          <w:lang w:eastAsia="ru-RU"/>
        </w:rPr>
        <w:t>чении. Например, в 2009</w:t>
      </w:r>
      <w:r w:rsidRPr="00265969">
        <w:rPr>
          <w:lang w:eastAsia="ru-RU"/>
        </w:rPr>
        <w:t>−</w:t>
      </w:r>
      <w:r w:rsidR="00484329" w:rsidRPr="00843DE3">
        <w:rPr>
          <w:lang w:eastAsia="ru-RU"/>
        </w:rPr>
        <w:t>2010 годах МСОТ совместно с МОТ провело оценку того, насколько законодательство Монголи</w:t>
      </w:r>
      <w:r>
        <w:rPr>
          <w:lang w:eastAsia="ru-RU"/>
        </w:rPr>
        <w:t>и соответствует Конвенции МОТ №</w:t>
      </w:r>
      <w:r>
        <w:rPr>
          <w:lang w:val="en-US" w:eastAsia="ru-RU"/>
        </w:rPr>
        <w:t> </w:t>
      </w:r>
      <w:r w:rsidR="00484329" w:rsidRPr="00843DE3">
        <w:rPr>
          <w:lang w:eastAsia="ru-RU"/>
        </w:rPr>
        <w:t>102 о минимальных нормах социального обеспечения, а также рассмотрело вопрос о пр</w:t>
      </w:r>
      <w:r w:rsidR="00484329" w:rsidRPr="00843DE3">
        <w:rPr>
          <w:lang w:eastAsia="ru-RU"/>
        </w:rPr>
        <w:t>и</w:t>
      </w:r>
      <w:r w:rsidR="00484329" w:rsidRPr="00843DE3">
        <w:rPr>
          <w:lang w:eastAsia="ru-RU"/>
        </w:rPr>
        <w:t>соединении к этой Конвенции.</w:t>
      </w:r>
    </w:p>
    <w:p w:rsidR="00484329" w:rsidRPr="00843DE3" w:rsidRDefault="00265969" w:rsidP="00843DE3">
      <w:pPr>
        <w:pStyle w:val="SingleTxtGR"/>
        <w:rPr>
          <w:lang w:eastAsia="ru-RU"/>
        </w:rPr>
      </w:pPr>
      <w:r w:rsidRPr="00265969">
        <w:rPr>
          <w:lang w:eastAsia="ru-RU"/>
        </w:rPr>
        <w:t>80.</w:t>
      </w:r>
      <w:r w:rsidRPr="00265969">
        <w:rPr>
          <w:lang w:eastAsia="ru-RU"/>
        </w:rPr>
        <w:tab/>
      </w:r>
      <w:r w:rsidR="00484329" w:rsidRPr="00843DE3">
        <w:rPr>
          <w:lang w:eastAsia="ru-RU"/>
        </w:rPr>
        <w:t>Система социального обеспечения Монголии состоит из двух основных частей, а именно: социального страхования и социального обеспечения. Пор</w:t>
      </w:r>
      <w:r w:rsidR="00484329" w:rsidRPr="00843DE3">
        <w:rPr>
          <w:lang w:eastAsia="ru-RU"/>
        </w:rPr>
        <w:t>я</w:t>
      </w:r>
      <w:r w:rsidR="00484329" w:rsidRPr="00843DE3">
        <w:rPr>
          <w:lang w:eastAsia="ru-RU"/>
        </w:rPr>
        <w:t>док отношений в системе социального страхования регулируется пакетом зак</w:t>
      </w:r>
      <w:r w:rsidR="00484329" w:rsidRPr="00843DE3">
        <w:rPr>
          <w:lang w:eastAsia="ru-RU"/>
        </w:rPr>
        <w:t>о</w:t>
      </w:r>
      <w:r w:rsidR="00484329" w:rsidRPr="00843DE3">
        <w:rPr>
          <w:lang w:eastAsia="ru-RU"/>
        </w:rPr>
        <w:t>нов о социальном страховании. В соответствии с законодательством социальное страхование подразделяется на пять видов: пенсионное страхование; страхов</w:t>
      </w:r>
      <w:r w:rsidR="00484329" w:rsidRPr="00843DE3">
        <w:rPr>
          <w:lang w:eastAsia="ru-RU"/>
        </w:rPr>
        <w:t>а</w:t>
      </w:r>
      <w:r w:rsidR="00484329" w:rsidRPr="00843DE3">
        <w:rPr>
          <w:lang w:eastAsia="ru-RU"/>
        </w:rPr>
        <w:t>ние на случай потери дохода; страхование от несчастных случаев на произво</w:t>
      </w:r>
      <w:r w:rsidR="00484329" w:rsidRPr="00843DE3">
        <w:rPr>
          <w:lang w:eastAsia="ru-RU"/>
        </w:rPr>
        <w:t>д</w:t>
      </w:r>
      <w:r w:rsidR="00484329" w:rsidRPr="00843DE3">
        <w:rPr>
          <w:lang w:eastAsia="ru-RU"/>
        </w:rPr>
        <w:t>стве и профессиональных заболеваний; страхование на случай безработицы и медицинское страхование. Застрахованное лицо, охватываемое обязательным социальным страхованием, получает следующие виды помощи и пособий:</w:t>
      </w:r>
    </w:p>
    <w:p w:rsidR="00484329" w:rsidRPr="00843DE3" w:rsidRDefault="00484329" w:rsidP="00265969">
      <w:pPr>
        <w:pStyle w:val="Bullet1GR"/>
      </w:pPr>
      <w:r w:rsidRPr="00843DE3">
        <w:t>Расходы на медицинскую помощь и услуги на вторичном и третичном уровне оплачиваются из Фонда медицинского страхования в соотве</w:t>
      </w:r>
      <w:r w:rsidRPr="00843DE3">
        <w:t>т</w:t>
      </w:r>
      <w:r w:rsidRPr="00843DE3">
        <w:t>ствии с установленными тарифами, а медикаменты, включенные в Перечень основных лекарственных средств, могут приобретаться по льготным ц</w:t>
      </w:r>
      <w:r w:rsidRPr="00843DE3">
        <w:t>е</w:t>
      </w:r>
      <w:r w:rsidRPr="00843DE3">
        <w:t>нам. В 2009 году медицинским страхованием было охвачено в общей сложности 2</w:t>
      </w:r>
      <w:r w:rsidR="00265969">
        <w:rPr>
          <w:lang w:val="en-US"/>
        </w:rPr>
        <w:t> </w:t>
      </w:r>
      <w:r w:rsidRPr="00843DE3">
        <w:t>122 тыс. человек; за счет страховых взносов был накоплен капитал в размере 72,4 млрд. тугриков, и 56,9 млрд. тугриков было потр</w:t>
      </w:r>
      <w:r w:rsidRPr="00843DE3">
        <w:t>а</w:t>
      </w:r>
      <w:r w:rsidRPr="00843DE3">
        <w:t>чено из Фонда на оплату расходов, помощи и услуг 1</w:t>
      </w:r>
      <w:r w:rsidR="00265969">
        <w:rPr>
          <w:lang w:val="en-US"/>
        </w:rPr>
        <w:t> </w:t>
      </w:r>
      <w:r w:rsidRPr="00843DE3">
        <w:t>736,6 тыс. застрах</w:t>
      </w:r>
      <w:r w:rsidRPr="00843DE3">
        <w:t>о</w:t>
      </w:r>
      <w:r w:rsidRPr="00843DE3">
        <w:t>ванных лиц.</w:t>
      </w:r>
    </w:p>
    <w:p w:rsidR="00484329" w:rsidRPr="00843DE3" w:rsidRDefault="00484329" w:rsidP="00265969">
      <w:pPr>
        <w:pStyle w:val="Bullet1GR"/>
      </w:pPr>
      <w:r w:rsidRPr="00843DE3">
        <w:t>Работники, платившие взносы по пенсионному страхованию в течение трех и более лет до потери трудоспособности, получают пособие по вр</w:t>
      </w:r>
      <w:r w:rsidRPr="00843DE3">
        <w:t>е</w:t>
      </w:r>
      <w:r w:rsidRPr="00843DE3">
        <w:t>менной нетрудоспособности в размере 50</w:t>
      </w:r>
      <w:r w:rsidR="00265969" w:rsidRPr="00265969">
        <w:t>−</w:t>
      </w:r>
      <w:r w:rsidRPr="00843DE3">
        <w:t>75% от зарплаты в зависим</w:t>
      </w:r>
      <w:r w:rsidRPr="00843DE3">
        <w:t>о</w:t>
      </w:r>
      <w:r w:rsidRPr="00843DE3">
        <w:t>сти от количества лет, в течение которых вносились страховые взно</w:t>
      </w:r>
      <w:r w:rsidR="00265969">
        <w:t>сы. В</w:t>
      </w:r>
      <w:r w:rsidR="00265969">
        <w:rPr>
          <w:lang w:val="en-US"/>
        </w:rPr>
        <w:t> </w:t>
      </w:r>
      <w:r w:rsidRPr="00843DE3">
        <w:t>общей сложности застрахованное лицо имеет право на оплату 132 дней нетрудоспособности. При временной потере трудоспособности застрах</w:t>
      </w:r>
      <w:r w:rsidRPr="00843DE3">
        <w:t>о</w:t>
      </w:r>
      <w:r w:rsidRPr="00843DE3">
        <w:t>ванным лицом в результате несчастного случая на производстве или пр</w:t>
      </w:r>
      <w:r w:rsidRPr="00843DE3">
        <w:t>о</w:t>
      </w:r>
      <w:r w:rsidRPr="00843DE3">
        <w:t>фессионального заболевания, ему выплачивается пособие в ра</w:t>
      </w:r>
      <w:r w:rsidRPr="00843DE3">
        <w:t>з</w:t>
      </w:r>
      <w:r w:rsidR="00265969">
        <w:t>мере 100%</w:t>
      </w:r>
      <w:r w:rsidR="00265969">
        <w:rPr>
          <w:lang w:val="en-US"/>
        </w:rPr>
        <w:t> </w:t>
      </w:r>
      <w:r w:rsidRPr="00843DE3">
        <w:t>средней зарплаты независимо от времени, в течение которого оно вносило страховые взносы. Предельный срок получения такого пособия составляет 180 дней.</w:t>
      </w:r>
    </w:p>
    <w:p w:rsidR="00484329" w:rsidRPr="00843DE3" w:rsidRDefault="00484329" w:rsidP="00497CD4">
      <w:pPr>
        <w:pStyle w:val="Bullet1GR"/>
      </w:pPr>
      <w:r w:rsidRPr="00843DE3">
        <w:t>Застрахованное лицо, вносившее страховые взносы в рамках стр</w:t>
      </w:r>
      <w:r w:rsidRPr="00843DE3">
        <w:t>а</w:t>
      </w:r>
      <w:r w:rsidRPr="00843DE3">
        <w:t>хования на случай потери дохода в течение 12 месяцев перед уходом в декретный отпуск, из которых последние шесть месяцев взносы вносились непр</w:t>
      </w:r>
      <w:r w:rsidRPr="00843DE3">
        <w:t>е</w:t>
      </w:r>
      <w:r w:rsidRPr="00843DE3">
        <w:t>рывно, им</w:t>
      </w:r>
      <w:r w:rsidRPr="00843DE3">
        <w:t>е</w:t>
      </w:r>
      <w:r w:rsidRPr="00843DE3">
        <w:t>ет право на пособие по бере</w:t>
      </w:r>
      <w:r w:rsidR="00497CD4">
        <w:t>менности и родам в размере 100%</w:t>
      </w:r>
      <w:r w:rsidR="00497CD4">
        <w:rPr>
          <w:lang w:val="en-US"/>
        </w:rPr>
        <w:t> </w:t>
      </w:r>
      <w:r w:rsidRPr="00843DE3">
        <w:t>среднего оклада или зарплаты за последние 12 месяцев в течение четырех календарных месяцев.</w:t>
      </w:r>
    </w:p>
    <w:p w:rsidR="00484329" w:rsidRPr="00843DE3" w:rsidRDefault="00484329" w:rsidP="00497CD4">
      <w:pPr>
        <w:pStyle w:val="Bullet1GR"/>
      </w:pPr>
      <w:r w:rsidRPr="00843DE3">
        <w:t>Застрахованное лицо, вносившее взносы по пенсионному страх</w:t>
      </w:r>
      <w:r w:rsidRPr="00843DE3">
        <w:t>о</w:t>
      </w:r>
      <w:r w:rsidRPr="00843DE3">
        <w:t>ванию в течение не менее 20 лет, имеет право выйти на пенсию в возрасте 60 лет. Женщины по желанию могут выходить на пенсию в возрасте 55 лет. Т</w:t>
      </w:r>
      <w:r w:rsidRPr="00843DE3">
        <w:t>а</w:t>
      </w:r>
      <w:r w:rsidRPr="00843DE3">
        <w:t>кие застрахованные лица, как многодетные матери, лица, прораб</w:t>
      </w:r>
      <w:r w:rsidRPr="00843DE3">
        <w:t>о</w:t>
      </w:r>
      <w:r w:rsidRPr="00843DE3">
        <w:t>тавшие в неблагоприятных условиях труда (на подземных, опасных, тяжелых р</w:t>
      </w:r>
      <w:r w:rsidRPr="00843DE3">
        <w:t>а</w:t>
      </w:r>
      <w:r w:rsidRPr="00843DE3">
        <w:t>ботах и на горячих участках), профессиональные деятели кла</w:t>
      </w:r>
      <w:r w:rsidRPr="00843DE3">
        <w:t>с</w:t>
      </w:r>
      <w:r w:rsidRPr="00843DE3">
        <w:t>сического искусства или лица особых артистических профессий имеют право на досрочных выход на пенсию до наступления обычного пенсионного во</w:t>
      </w:r>
      <w:r w:rsidRPr="00843DE3">
        <w:t>з</w:t>
      </w:r>
      <w:r w:rsidRPr="00843DE3">
        <w:t>раста в соответствии с условиями, предусмотренными законом. Размер пенсии рассчитывается следующим образом: к сумме, состав</w:t>
      </w:r>
      <w:r w:rsidR="00497CD4">
        <w:t>ляющей 45%</w:t>
      </w:r>
      <w:r w:rsidR="00497CD4">
        <w:rPr>
          <w:lang w:val="en-US"/>
        </w:rPr>
        <w:t> </w:t>
      </w:r>
      <w:r w:rsidRPr="00843DE3">
        <w:t>среднего оклада или средней зарплаты за последние пять лет перед выходом на пенсию, добавляется 18,5% за каждый год работы в случае, если данное лицо имеет рабочий стаж свыше 20 лет. Застрахованное л</w:t>
      </w:r>
      <w:r w:rsidRPr="00843DE3">
        <w:t>и</w:t>
      </w:r>
      <w:r w:rsidRPr="00843DE3">
        <w:t>цо, вносившее страховые в течение 10</w:t>
      </w:r>
      <w:r w:rsidR="00497CD4" w:rsidRPr="00497CD4">
        <w:t>−</w:t>
      </w:r>
      <w:r w:rsidRPr="00843DE3">
        <w:t>20 лет, будет получать пенсию на процентной основе. Минимальный размер полной пенсии не должен быть меньше 75% минимальной зарплаты, а минимальной пенсии, исчисля</w:t>
      </w:r>
      <w:r w:rsidRPr="00843DE3">
        <w:t>е</w:t>
      </w:r>
      <w:r w:rsidRPr="00843DE3">
        <w:t>мой на процентной основе, не должен быть менее 50% минимальной за</w:t>
      </w:r>
      <w:r w:rsidRPr="00843DE3">
        <w:t>р</w:t>
      </w:r>
      <w:r w:rsidRPr="00843DE3">
        <w:t>платы. По состоянию на 2009 год в общей сложности пенсию получали 196 789 человек, а средний размер пенсии</w:t>
      </w:r>
      <w:r w:rsidR="00497CD4">
        <w:t xml:space="preserve"> составил 96,6 тыс. тугриков. В</w:t>
      </w:r>
      <w:r w:rsidR="00497CD4">
        <w:rPr>
          <w:lang w:val="en-US"/>
        </w:rPr>
        <w:t> </w:t>
      </w:r>
      <w:r w:rsidRPr="00843DE3">
        <w:t>2004</w:t>
      </w:r>
      <w:r w:rsidR="00497CD4" w:rsidRPr="00497CD4">
        <w:t>−</w:t>
      </w:r>
      <w:r w:rsidRPr="00843DE3">
        <w:t>2009 годах правительство Монголии приняло меры по увелич</w:t>
      </w:r>
      <w:r w:rsidRPr="00843DE3">
        <w:t>е</w:t>
      </w:r>
      <w:r w:rsidRPr="00843DE3">
        <w:t>нию размера пенсий в 11 раз, и, таким о</w:t>
      </w:r>
      <w:r w:rsidR="00F06A27">
        <w:t>бразом, размер средней пенсии в </w:t>
      </w:r>
      <w:r w:rsidRPr="00843DE3">
        <w:t>2009 году был в 3,6 раза выше, чем в 2002 году.</w:t>
      </w:r>
    </w:p>
    <w:p w:rsidR="00484329" w:rsidRPr="00843DE3" w:rsidRDefault="00484329" w:rsidP="00497CD4">
      <w:pPr>
        <w:pStyle w:val="Bullet1GR"/>
      </w:pPr>
      <w:r w:rsidRPr="00843DE3">
        <w:t>Застрахованное лицо, платившее взносы по пенсионному страхова</w:t>
      </w:r>
      <w:r w:rsidR="00F06A27">
        <w:t>нию в </w:t>
      </w:r>
      <w:r w:rsidRPr="00843DE3">
        <w:t>общей сложности не менее 20 лет или платившее три года из пяти перед инвалидностью, имеет право получать пенсию по инвалидности в теч</w:t>
      </w:r>
      <w:r w:rsidRPr="00843DE3">
        <w:t>е</w:t>
      </w:r>
      <w:r w:rsidRPr="00843DE3">
        <w:t>ние длительного срока или пожизненно, если оно утратило трудоспосо</w:t>
      </w:r>
      <w:r w:rsidRPr="00843DE3">
        <w:t>б</w:t>
      </w:r>
      <w:r w:rsidRPr="00843DE3">
        <w:t>ность не менее чем на 50% в результате заболевания или несчастного случая. Если застрахованное лицо не удовлетворяет этим условиям, но платило страховые взносы по меньшей мере в течение трех лет, то оно может получать пенсию по инвалидности за весь период внесения стр</w:t>
      </w:r>
      <w:r w:rsidRPr="00843DE3">
        <w:t>а</w:t>
      </w:r>
      <w:r w:rsidRPr="00843DE3">
        <w:t>ховых платежей. Такая пенсия рассчитывается по той же формуле, что и пенсия по старости. Минимальный размер полной пенсии не может быть меньше 75% минимальной зарплаты, а минимальный размер пенсии, н</w:t>
      </w:r>
      <w:r w:rsidRPr="00843DE3">
        <w:t>а</w:t>
      </w:r>
      <w:r w:rsidRPr="00843DE3">
        <w:t>числяемой на процентной основе, не должен быть меньше 50% мин</w:t>
      </w:r>
      <w:r w:rsidRPr="00843DE3">
        <w:t>и</w:t>
      </w:r>
      <w:r w:rsidRPr="00843DE3">
        <w:t>мальной зарплаты. По состоянию на 2009 год 53</w:t>
      </w:r>
      <w:r w:rsidR="00497CD4">
        <w:rPr>
          <w:lang w:val="en-US"/>
        </w:rPr>
        <w:t> </w:t>
      </w:r>
      <w:r w:rsidRPr="00843DE3">
        <w:t>341 человек получали пенсию по инвалидности, и средний размер пенсии составил 96,6 тыс. тугриков. Если застрахованное лицо становится инвалидом в результате несчастного случая на производстве или профессионального заболевания, то пенсия по инвалидности выплачивается из Фонда страхования от н</w:t>
      </w:r>
      <w:r w:rsidRPr="00843DE3">
        <w:t>е</w:t>
      </w:r>
      <w:r w:rsidRPr="00843DE3">
        <w:t>счастных случаев на производстве и профессиональных заболеваний в размере 10% от среднемесячного оклада или зарплаты, когда потеря тр</w:t>
      </w:r>
      <w:r w:rsidRPr="00843DE3">
        <w:t>у</w:t>
      </w:r>
      <w:r w:rsidRPr="00843DE3">
        <w:t>доспособности составила до 10%, и свыше 10% в зависимости от пр</w:t>
      </w:r>
      <w:r w:rsidRPr="00843DE3">
        <w:t>о</w:t>
      </w:r>
      <w:r w:rsidRPr="00843DE3">
        <w:t>цента утраты трудоспособности. Застрахованное лицо, потерявшее тр</w:t>
      </w:r>
      <w:r w:rsidRPr="00843DE3">
        <w:t>у</w:t>
      </w:r>
      <w:r w:rsidRPr="00843DE3">
        <w:t>доспособность на 30% и более и ставшее инвалидом, получает мин</w:t>
      </w:r>
      <w:r w:rsidRPr="00843DE3">
        <w:t>и</w:t>
      </w:r>
      <w:r w:rsidRPr="00843DE3">
        <w:t>мальную пенсию по инвалидности в размере не менее 75% от минимал</w:t>
      </w:r>
      <w:r w:rsidRPr="00843DE3">
        <w:t>ь</w:t>
      </w:r>
      <w:r w:rsidRPr="00843DE3">
        <w:t>ной зарплаты. Застрахованное лицо,</w:t>
      </w:r>
      <w:r w:rsidR="00497CD4">
        <w:t xml:space="preserve"> утратившее трудоспособность на</w:t>
      </w:r>
      <w:r w:rsidR="00497CD4">
        <w:rPr>
          <w:lang w:val="en-US"/>
        </w:rPr>
        <w:t> </w:t>
      </w:r>
      <w:r w:rsidRPr="00843DE3">
        <w:t>30% и более в результате несчастного случая на производстве или пр</w:t>
      </w:r>
      <w:r w:rsidRPr="00843DE3">
        <w:t>о</w:t>
      </w:r>
      <w:r w:rsidRPr="00843DE3">
        <w:t>фессионального заболевания, имеет право на компенсацию затрат на ре</w:t>
      </w:r>
      <w:r w:rsidRPr="00843DE3">
        <w:t>а</w:t>
      </w:r>
      <w:r w:rsidRPr="00843DE3">
        <w:t>билитацию, изготовление пр</w:t>
      </w:r>
      <w:r w:rsidRPr="00843DE3">
        <w:t>о</w:t>
      </w:r>
      <w:r w:rsidRPr="00843DE3">
        <w:t>тезов и ортопедических приспособлений из Фонда страхования от несчастных случаев на производстве и професси</w:t>
      </w:r>
      <w:r w:rsidRPr="00843DE3">
        <w:t>о</w:t>
      </w:r>
      <w:r w:rsidRPr="00843DE3">
        <w:t>нальных заболеваний, а также на оплату расходов, связанных с лечением в санаториях, или оплату взносов в пенсионное страхование.</w:t>
      </w:r>
    </w:p>
    <w:p w:rsidR="00843DE3" w:rsidRPr="00497CD4" w:rsidRDefault="00484329" w:rsidP="00497CD4">
      <w:pPr>
        <w:pStyle w:val="Bullet1GR"/>
      </w:pPr>
      <w:r w:rsidRPr="00843DE3">
        <w:t>Если застрахованное лицо платило взносы в рамках пенсионного страх</w:t>
      </w:r>
      <w:r w:rsidRPr="00843DE3">
        <w:t>о</w:t>
      </w:r>
      <w:r w:rsidRPr="00843DE3">
        <w:t>вания в течение не менее 20 лет за пять лет до своей смерти в р</w:t>
      </w:r>
      <w:r w:rsidRPr="00843DE3">
        <w:t>е</w:t>
      </w:r>
      <w:r w:rsidRPr="00843DE3">
        <w:t>зультате общего заболевания или несчастного случая, то члены его семьи, ухаж</w:t>
      </w:r>
      <w:r w:rsidRPr="00843DE3">
        <w:t>и</w:t>
      </w:r>
      <w:r w:rsidRPr="00843DE3">
        <w:t>вавшие за ним, имеют право на получение пенсии в связи с потерей ко</w:t>
      </w:r>
      <w:r w:rsidRPr="00843DE3">
        <w:t>р</w:t>
      </w:r>
      <w:r w:rsidRPr="00843DE3">
        <w:t>мильца. Если застрахованное лицо не соответствует указанным выше у</w:t>
      </w:r>
      <w:r w:rsidRPr="00843DE3">
        <w:t>с</w:t>
      </w:r>
      <w:r w:rsidRPr="00843DE3">
        <w:t>ловиям, но уплачивало взносы на пенсионное страхование в течение свыше трех лет, то оно может получать пенсию исходя из общей продо</w:t>
      </w:r>
      <w:r w:rsidRPr="00843DE3">
        <w:t>л</w:t>
      </w:r>
      <w:r w:rsidRPr="00843DE3">
        <w:t>жительности своих выплат. Родные или приемные дети моложе 16 лет (моложе 19 лет, если речь идет об учащихся), внуки, родные братья и с</w:t>
      </w:r>
      <w:r w:rsidRPr="00843DE3">
        <w:t>е</w:t>
      </w:r>
      <w:r w:rsidRPr="00843DE3">
        <w:t>стры, не имеющие других попечителей, инвалиды, находившиеся на п</w:t>
      </w:r>
      <w:r w:rsidRPr="00843DE3">
        <w:t>о</w:t>
      </w:r>
      <w:r w:rsidRPr="00843DE3">
        <w:t>печении умершего, или дети, внуки, родные братья и сестры, ставшие инвалидами в возрасте моложе 16 лет, родители, супруги, являющиеся инвалидами или имеющие возраст старше 60 лет для мужчин и 55 лет для женщин, бабушки и дедушки, родные братья и сестры, не имеющие др</w:t>
      </w:r>
      <w:r w:rsidRPr="00843DE3">
        <w:t>у</w:t>
      </w:r>
      <w:r w:rsidRPr="00843DE3">
        <w:t>гих законных опекунов, рассматриваются как нетрудоспособные члены семьи. Размер пенсии по потере кормильца рассчитывается на основе д</w:t>
      </w:r>
      <w:r w:rsidRPr="00843DE3">
        <w:t>о</w:t>
      </w:r>
      <w:r w:rsidRPr="00843DE3">
        <w:t>ли, выделяемой на пенсию по старости, исходя из процентного соотн</w:t>
      </w:r>
      <w:r w:rsidRPr="00843DE3">
        <w:t>о</w:t>
      </w:r>
      <w:r w:rsidRPr="00843DE3">
        <w:t>шения:</w:t>
      </w:r>
    </w:p>
    <w:tbl>
      <w:tblPr>
        <w:tblW w:w="6782" w:type="dxa"/>
        <w:tblInd w:w="1701" w:type="dxa"/>
        <w:tblBorders>
          <w:top w:val="single" w:sz="4" w:space="0" w:color="auto"/>
          <w:bottom w:val="single" w:sz="12" w:space="0" w:color="auto"/>
          <w:insideH w:val="single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19"/>
        <w:gridCol w:w="2363"/>
      </w:tblGrid>
      <w:tr w:rsidR="00B84942" w:rsidRPr="001D5CDE" w:rsidTr="00852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tblHeader/>
        </w:trPr>
        <w:tc>
          <w:tcPr>
            <w:tcW w:w="4419" w:type="dxa"/>
            <w:shd w:val="clear" w:color="auto" w:fill="auto"/>
            <w:vAlign w:val="bottom"/>
          </w:tcPr>
          <w:p w:rsidR="00B84942" w:rsidRPr="001D5CDE" w:rsidRDefault="00B84942" w:rsidP="00B84942">
            <w:pPr>
              <w:keepNext/>
              <w:tabs>
                <w:tab w:val="left" w:pos="3047"/>
              </w:tabs>
              <w:autoSpaceDE w:val="0"/>
              <w:autoSpaceDN w:val="0"/>
              <w:adjustRightInd w:val="0"/>
              <w:spacing w:before="80" w:after="80" w:line="200" w:lineRule="exact"/>
              <w:rPr>
                <w:i/>
                <w:sz w:val="16"/>
                <w:szCs w:val="24"/>
                <w:lang w:eastAsia="en-GB"/>
              </w:rPr>
            </w:pPr>
            <w:r w:rsidRPr="001D5CDE">
              <w:rPr>
                <w:bCs/>
                <w:i/>
                <w:sz w:val="16"/>
                <w:szCs w:val="22"/>
                <w:lang w:eastAsia="en-GB"/>
              </w:rPr>
              <w:t>Количество нетрудоспособных членов семьи</w:t>
            </w:r>
          </w:p>
        </w:tc>
        <w:tc>
          <w:tcPr>
            <w:tcW w:w="2363" w:type="dxa"/>
            <w:shd w:val="clear" w:color="auto" w:fill="auto"/>
            <w:vAlign w:val="bottom"/>
          </w:tcPr>
          <w:p w:rsidR="00B84942" w:rsidRPr="001D5CDE" w:rsidRDefault="00B84942" w:rsidP="00B84942">
            <w:pPr>
              <w:keepNext/>
              <w:autoSpaceDE w:val="0"/>
              <w:autoSpaceDN w:val="0"/>
              <w:adjustRightInd w:val="0"/>
              <w:spacing w:before="80" w:after="80" w:line="200" w:lineRule="exact"/>
              <w:jc w:val="right"/>
              <w:rPr>
                <w:i/>
                <w:sz w:val="16"/>
                <w:szCs w:val="24"/>
                <w:lang w:eastAsia="en-GB"/>
              </w:rPr>
            </w:pPr>
            <w:r w:rsidRPr="001D5CDE">
              <w:rPr>
                <w:bCs/>
                <w:i/>
                <w:sz w:val="16"/>
                <w:szCs w:val="22"/>
                <w:lang w:eastAsia="en-GB"/>
              </w:rPr>
              <w:t>Размер пенсии (в процентах)</w:t>
            </w:r>
          </w:p>
        </w:tc>
      </w:tr>
      <w:tr w:rsidR="00B84942" w:rsidRPr="001D5CDE" w:rsidTr="00852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419" w:type="dxa"/>
            <w:shd w:val="clear" w:color="auto" w:fill="auto"/>
          </w:tcPr>
          <w:p w:rsidR="00B84942" w:rsidRPr="001D5CDE" w:rsidRDefault="00B84942" w:rsidP="00443F12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22"/>
                <w:lang w:eastAsia="en-GB"/>
              </w:rPr>
            </w:pPr>
            <w:r w:rsidRPr="001D5CDE">
              <w:rPr>
                <w:sz w:val="18"/>
                <w:szCs w:val="22"/>
                <w:lang w:eastAsia="en-GB"/>
              </w:rPr>
              <w:t>З и более</w:t>
            </w:r>
          </w:p>
          <w:p w:rsidR="00B84942" w:rsidRPr="001D5CDE" w:rsidRDefault="00B84942" w:rsidP="00B84942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22"/>
                <w:lang w:eastAsia="en-GB"/>
              </w:rPr>
            </w:pPr>
            <w:r w:rsidRPr="001D5CDE">
              <w:rPr>
                <w:sz w:val="18"/>
                <w:szCs w:val="22"/>
                <w:lang w:eastAsia="en-GB"/>
              </w:rPr>
              <w:t>2</w:t>
            </w:r>
          </w:p>
          <w:p w:rsidR="00B84942" w:rsidRPr="001D5CDE" w:rsidRDefault="00B84942" w:rsidP="00B84942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24"/>
                <w:lang w:eastAsia="en-GB"/>
              </w:rPr>
            </w:pPr>
            <w:r w:rsidRPr="001D5CDE">
              <w:rPr>
                <w:sz w:val="18"/>
                <w:szCs w:val="22"/>
                <w:lang w:eastAsia="en-GB"/>
              </w:rPr>
              <w:t>1</w:t>
            </w:r>
          </w:p>
        </w:tc>
        <w:tc>
          <w:tcPr>
            <w:tcW w:w="2363" w:type="dxa"/>
            <w:shd w:val="clear" w:color="auto" w:fill="auto"/>
            <w:vAlign w:val="bottom"/>
          </w:tcPr>
          <w:p w:rsidR="00B84942" w:rsidRPr="001D5CDE" w:rsidRDefault="00B84942" w:rsidP="00B84942">
            <w:pPr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22"/>
                <w:lang w:eastAsia="en-GB"/>
              </w:rPr>
            </w:pPr>
            <w:r w:rsidRPr="001D5CDE">
              <w:rPr>
                <w:sz w:val="18"/>
                <w:szCs w:val="22"/>
                <w:lang w:eastAsia="en-GB"/>
              </w:rPr>
              <w:t>100</w:t>
            </w:r>
          </w:p>
          <w:p w:rsidR="00B84942" w:rsidRPr="001D5CDE" w:rsidRDefault="00B84942" w:rsidP="00B84942">
            <w:pPr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22"/>
                <w:lang w:eastAsia="en-GB"/>
              </w:rPr>
            </w:pPr>
            <w:r w:rsidRPr="001D5CDE">
              <w:rPr>
                <w:sz w:val="18"/>
                <w:szCs w:val="22"/>
                <w:lang w:eastAsia="en-GB"/>
              </w:rPr>
              <w:t>75</w:t>
            </w:r>
          </w:p>
          <w:p w:rsidR="00B84942" w:rsidRPr="001D5CDE" w:rsidRDefault="00B84942" w:rsidP="00B84942">
            <w:pPr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24"/>
                <w:lang w:eastAsia="en-GB"/>
              </w:rPr>
            </w:pPr>
            <w:r w:rsidRPr="001D5CDE">
              <w:rPr>
                <w:sz w:val="18"/>
                <w:szCs w:val="22"/>
                <w:lang w:eastAsia="en-GB"/>
              </w:rPr>
              <w:t>50</w:t>
            </w:r>
          </w:p>
        </w:tc>
      </w:tr>
    </w:tbl>
    <w:p w:rsidR="008521A7" w:rsidRPr="008521A7" w:rsidRDefault="008521A7" w:rsidP="008521A7">
      <w:pPr>
        <w:pStyle w:val="SingleTxtGR"/>
        <w:spacing w:before="240"/>
      </w:pPr>
      <w:r w:rsidRPr="008521A7">
        <w:t>81.</w:t>
      </w:r>
      <w:r w:rsidRPr="008521A7">
        <w:tab/>
        <w:t>Наименьший размер пенсии по потере кормильца равен минимальному размеру пенсии или пособия по инвалидности. По состоянию на 2010 год в о</w:t>
      </w:r>
      <w:r w:rsidRPr="008521A7">
        <w:t>б</w:t>
      </w:r>
      <w:r w:rsidRPr="008521A7">
        <w:t>щей сложности 29 176 человек получали пенсию по потере кормильца, размер которой в месяц составил 126 500 тугриков. В случае смерти застрахованного лица в результате несчастного случая на производстве или профессионального заболевания пенсия по потере кормильца рассчитывается на основе средней зарплаты умершего, и ее процентный размер исчисляется в указанном выше п</w:t>
      </w:r>
      <w:r w:rsidRPr="008521A7">
        <w:t>о</w:t>
      </w:r>
      <w:r w:rsidRPr="008521A7">
        <w:t>рядке.</w:t>
      </w:r>
    </w:p>
    <w:p w:rsidR="00497CD4" w:rsidRPr="008521A7" w:rsidRDefault="008521A7" w:rsidP="008521A7">
      <w:pPr>
        <w:pStyle w:val="Bullet1GR"/>
      </w:pPr>
      <w:r w:rsidRPr="008521A7">
        <w:t>Застрахованное лицо, платившее взносы по страхованию на случай бе</w:t>
      </w:r>
      <w:r w:rsidRPr="008521A7">
        <w:t>з</w:t>
      </w:r>
      <w:r w:rsidRPr="008521A7">
        <w:t>работицы в общей сложности 24 месяца при непрерывных выплатах в последние девять месяцев, имеет право на получение пособия в течение 76</w:t>
      </w:r>
      <w:r>
        <w:rPr>
          <w:lang w:val="en-US"/>
        </w:rPr>
        <w:t> </w:t>
      </w:r>
      <w:r w:rsidRPr="008521A7">
        <w:t>дней. Размер месячного пособия зависит от зарплаты, которую пол</w:t>
      </w:r>
      <w:r w:rsidRPr="008521A7">
        <w:t>у</w:t>
      </w:r>
      <w:r w:rsidRPr="008521A7">
        <w:t>чало застрахованное лицо, и от продолжительности взносов, как это п</w:t>
      </w:r>
      <w:r w:rsidRPr="008521A7">
        <w:t>о</w:t>
      </w:r>
      <w:r w:rsidRPr="008521A7">
        <w:t>казано ниже. Минимальные выплаты не должны быть менее 75% от м</w:t>
      </w:r>
      <w:r w:rsidRPr="008521A7">
        <w:t>и</w:t>
      </w:r>
      <w:r w:rsidRPr="008521A7">
        <w:t>нимальной зарплаты.</w:t>
      </w:r>
    </w:p>
    <w:tbl>
      <w:tblPr>
        <w:tblW w:w="6803" w:type="dxa"/>
        <w:tblInd w:w="1701" w:type="dxa"/>
        <w:tblBorders>
          <w:top w:val="single" w:sz="4" w:space="0" w:color="auto"/>
          <w:bottom w:val="single" w:sz="12" w:space="0" w:color="auto"/>
          <w:insideH w:val="single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43"/>
        <w:gridCol w:w="3360"/>
      </w:tblGrid>
      <w:tr w:rsidR="008521A7" w:rsidRPr="00352EB7" w:rsidTr="00443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tblHeader/>
        </w:trPr>
        <w:tc>
          <w:tcPr>
            <w:tcW w:w="3443" w:type="dxa"/>
            <w:shd w:val="clear" w:color="auto" w:fill="auto"/>
            <w:vAlign w:val="bottom"/>
          </w:tcPr>
          <w:p w:rsidR="008521A7" w:rsidRPr="00352EB7" w:rsidRDefault="008521A7" w:rsidP="008521A7">
            <w:pPr>
              <w:keepNext/>
              <w:suppressAutoHyphens/>
              <w:autoSpaceDE w:val="0"/>
              <w:autoSpaceDN w:val="0"/>
              <w:adjustRightInd w:val="0"/>
              <w:spacing w:before="80" w:after="80" w:line="200" w:lineRule="exact"/>
              <w:rPr>
                <w:i/>
                <w:sz w:val="16"/>
                <w:szCs w:val="24"/>
                <w:lang w:eastAsia="en-GB"/>
              </w:rPr>
            </w:pPr>
            <w:r w:rsidRPr="00352EB7">
              <w:rPr>
                <w:bCs/>
                <w:i/>
                <w:sz w:val="16"/>
                <w:szCs w:val="22"/>
                <w:lang w:eastAsia="en-GB"/>
              </w:rPr>
              <w:t>Продолжительность уплаты взносов и</w:t>
            </w:r>
            <w:r>
              <w:rPr>
                <w:bCs/>
                <w:i/>
                <w:sz w:val="16"/>
                <w:szCs w:val="22"/>
                <w:lang w:val="en-US" w:eastAsia="en-GB"/>
              </w:rPr>
              <w:t> </w:t>
            </w:r>
            <w:r w:rsidRPr="00352EB7">
              <w:rPr>
                <w:bCs/>
                <w:i/>
                <w:sz w:val="16"/>
                <w:szCs w:val="22"/>
                <w:lang w:eastAsia="en-GB"/>
              </w:rPr>
              <w:t>трудовой стаж (количество лет)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8521A7" w:rsidRPr="00352EB7" w:rsidRDefault="008521A7" w:rsidP="00443F12">
            <w:pPr>
              <w:suppressAutoHyphens/>
              <w:autoSpaceDE w:val="0"/>
              <w:autoSpaceDN w:val="0"/>
              <w:adjustRightInd w:val="0"/>
              <w:spacing w:before="80" w:after="80" w:line="200" w:lineRule="exact"/>
              <w:jc w:val="right"/>
              <w:rPr>
                <w:i/>
                <w:sz w:val="16"/>
                <w:szCs w:val="24"/>
                <w:lang w:eastAsia="en-GB"/>
              </w:rPr>
            </w:pPr>
            <w:r w:rsidRPr="00352EB7">
              <w:rPr>
                <w:bCs/>
                <w:i/>
                <w:sz w:val="16"/>
                <w:szCs w:val="22"/>
                <w:lang w:eastAsia="en-GB"/>
              </w:rPr>
              <w:t>Ставка для расчета пенсий (в процентах)</w:t>
            </w:r>
          </w:p>
        </w:tc>
      </w:tr>
      <w:tr w:rsidR="008521A7" w:rsidRPr="00352EB7" w:rsidTr="00852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443" w:type="dxa"/>
            <w:shd w:val="clear" w:color="auto" w:fill="auto"/>
          </w:tcPr>
          <w:p w:rsidR="008521A7" w:rsidRPr="00352EB7" w:rsidRDefault="008521A7" w:rsidP="008521A7">
            <w:pPr>
              <w:keepNext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22"/>
                <w:lang w:eastAsia="en-GB"/>
              </w:rPr>
            </w:pPr>
            <w:r w:rsidRPr="00352EB7">
              <w:rPr>
                <w:sz w:val="18"/>
                <w:szCs w:val="22"/>
                <w:lang w:eastAsia="en-GB"/>
              </w:rPr>
              <w:t>1. До 5 лет</w:t>
            </w:r>
          </w:p>
          <w:p w:rsidR="008521A7" w:rsidRPr="00352EB7" w:rsidRDefault="008521A7" w:rsidP="008521A7">
            <w:pPr>
              <w:keepNext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22"/>
                <w:lang w:eastAsia="en-GB"/>
              </w:rPr>
            </w:pPr>
            <w:r w:rsidRPr="00352EB7">
              <w:rPr>
                <w:sz w:val="18"/>
                <w:szCs w:val="22"/>
                <w:lang w:eastAsia="en-GB"/>
              </w:rPr>
              <w:t>2. 5</w:t>
            </w:r>
            <w:r>
              <w:rPr>
                <w:sz w:val="18"/>
                <w:szCs w:val="22"/>
                <w:lang w:val="en-US" w:eastAsia="en-GB"/>
              </w:rPr>
              <w:t>−</w:t>
            </w:r>
            <w:r w:rsidRPr="00352EB7">
              <w:rPr>
                <w:sz w:val="18"/>
                <w:szCs w:val="22"/>
                <w:lang w:eastAsia="en-GB"/>
              </w:rPr>
              <w:t>10 лет</w:t>
            </w:r>
          </w:p>
          <w:p w:rsidR="008521A7" w:rsidRPr="00352EB7" w:rsidRDefault="008521A7" w:rsidP="008521A7">
            <w:pPr>
              <w:keepNext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22"/>
                <w:lang w:eastAsia="en-GB"/>
              </w:rPr>
            </w:pPr>
            <w:r w:rsidRPr="00352EB7">
              <w:rPr>
                <w:sz w:val="18"/>
                <w:szCs w:val="22"/>
                <w:lang w:eastAsia="en-GB"/>
              </w:rPr>
              <w:t>3. 10</w:t>
            </w:r>
            <w:r>
              <w:rPr>
                <w:sz w:val="18"/>
                <w:szCs w:val="22"/>
                <w:lang w:val="en-US" w:eastAsia="en-GB"/>
              </w:rPr>
              <w:t>−</w:t>
            </w:r>
            <w:r w:rsidRPr="00352EB7">
              <w:rPr>
                <w:sz w:val="18"/>
                <w:szCs w:val="22"/>
                <w:lang w:eastAsia="en-GB"/>
              </w:rPr>
              <w:t>15 лет</w:t>
            </w:r>
          </w:p>
          <w:p w:rsidR="008521A7" w:rsidRPr="00352EB7" w:rsidRDefault="008521A7" w:rsidP="008521A7">
            <w:pPr>
              <w:keepNext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24"/>
                <w:lang w:eastAsia="en-GB"/>
              </w:rPr>
            </w:pPr>
            <w:r w:rsidRPr="00352EB7">
              <w:rPr>
                <w:sz w:val="18"/>
                <w:szCs w:val="22"/>
                <w:lang w:eastAsia="en-GB"/>
              </w:rPr>
              <w:t>4. 15 лет и более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8521A7" w:rsidRPr="00352EB7" w:rsidRDefault="008521A7" w:rsidP="008521A7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szCs w:val="22"/>
                <w:lang w:eastAsia="en-GB"/>
              </w:rPr>
            </w:pPr>
            <w:r w:rsidRPr="00352EB7">
              <w:rPr>
                <w:sz w:val="18"/>
                <w:szCs w:val="22"/>
                <w:lang w:eastAsia="en-GB"/>
              </w:rPr>
              <w:t>15</w:t>
            </w:r>
          </w:p>
          <w:p w:rsidR="008521A7" w:rsidRPr="00352EB7" w:rsidRDefault="008521A7" w:rsidP="008521A7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szCs w:val="22"/>
                <w:lang w:eastAsia="en-GB"/>
              </w:rPr>
            </w:pPr>
            <w:r w:rsidRPr="00352EB7">
              <w:rPr>
                <w:sz w:val="18"/>
                <w:szCs w:val="22"/>
                <w:lang w:eastAsia="en-GB"/>
              </w:rPr>
              <w:t>50</w:t>
            </w:r>
          </w:p>
          <w:p w:rsidR="008521A7" w:rsidRPr="00352EB7" w:rsidRDefault="008521A7" w:rsidP="008521A7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szCs w:val="22"/>
                <w:lang w:eastAsia="en-GB"/>
              </w:rPr>
            </w:pPr>
            <w:r w:rsidRPr="00352EB7">
              <w:rPr>
                <w:sz w:val="18"/>
                <w:szCs w:val="22"/>
                <w:lang w:eastAsia="en-GB"/>
              </w:rPr>
              <w:t>60</w:t>
            </w:r>
          </w:p>
          <w:p w:rsidR="008521A7" w:rsidRPr="00352EB7" w:rsidRDefault="008521A7" w:rsidP="008521A7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en-GB"/>
              </w:rPr>
            </w:pPr>
            <w:r w:rsidRPr="00352EB7">
              <w:rPr>
                <w:sz w:val="18"/>
                <w:szCs w:val="22"/>
                <w:lang w:eastAsia="en-GB"/>
              </w:rPr>
              <w:t>70</w:t>
            </w:r>
          </w:p>
        </w:tc>
      </w:tr>
    </w:tbl>
    <w:p w:rsidR="008521A7" w:rsidRPr="008F07B4" w:rsidRDefault="008F07B4" w:rsidP="008F07B4">
      <w:pPr>
        <w:pStyle w:val="SingleTxtGR"/>
        <w:spacing w:before="240"/>
      </w:pPr>
      <w:r w:rsidRPr="008F07B4">
        <w:t>82.</w:t>
      </w:r>
      <w:r w:rsidRPr="008F07B4">
        <w:tab/>
      </w:r>
      <w:r w:rsidR="008521A7" w:rsidRPr="008F07B4">
        <w:t>Наряду с пособием по безработице, выплачиваемым застрахованным л</w:t>
      </w:r>
      <w:r w:rsidR="008521A7" w:rsidRPr="008F07B4">
        <w:t>и</w:t>
      </w:r>
      <w:r w:rsidR="008521A7" w:rsidRPr="008F07B4">
        <w:t>цам из Фонда страхования по безработице, компенсируются расходы на пр</w:t>
      </w:r>
      <w:r w:rsidR="008521A7" w:rsidRPr="008F07B4">
        <w:t>о</w:t>
      </w:r>
      <w:r w:rsidR="008521A7" w:rsidRPr="008F07B4">
        <w:t>фессиональную подготовку в соответстви</w:t>
      </w:r>
      <w:r w:rsidRPr="008F07B4">
        <w:t>и с действующими положениями. В </w:t>
      </w:r>
      <w:r w:rsidR="008521A7" w:rsidRPr="008F07B4">
        <w:t>2009 году в общей сложности 11</w:t>
      </w:r>
      <w:r w:rsidRPr="008F07B4">
        <w:t> </w:t>
      </w:r>
      <w:r w:rsidR="008521A7" w:rsidRPr="008F07B4">
        <w:t>900 человек получили пособия по безраб</w:t>
      </w:r>
      <w:r w:rsidR="008521A7" w:rsidRPr="008F07B4">
        <w:t>о</w:t>
      </w:r>
      <w:r w:rsidR="008521A7" w:rsidRPr="008F07B4">
        <w:t>тице на сумму 6,1 млрд. тугриков. По сравнению с 2007 годом количество лиц, получавших пособия, возросло в 1,4 раза, а расходы увеличились в 3 раза.</w:t>
      </w:r>
    </w:p>
    <w:p w:rsidR="008521A7" w:rsidRPr="008521A7" w:rsidRDefault="008521A7" w:rsidP="008F07B4">
      <w:pPr>
        <w:pStyle w:val="Bullet1GR"/>
      </w:pPr>
      <w:r w:rsidRPr="008521A7">
        <w:t>Члены семьи застрахованного лица, платившего взносы в рамках страх</w:t>
      </w:r>
      <w:r w:rsidRPr="008521A7">
        <w:t>о</w:t>
      </w:r>
      <w:r w:rsidRPr="008521A7">
        <w:t>вания на случай потери дохода в общей сложности не менее 36 месяцев, имеют право на пособие в связи с потерей кормильца (на похор</w:t>
      </w:r>
      <w:r w:rsidRPr="008521A7">
        <w:t>о</w:t>
      </w:r>
      <w:r w:rsidR="008F07B4">
        <w:t>ны) в</w:t>
      </w:r>
      <w:r w:rsidR="008F07B4">
        <w:rPr>
          <w:lang w:val="en-US"/>
        </w:rPr>
        <w:t> </w:t>
      </w:r>
      <w:r w:rsidRPr="008521A7">
        <w:t>случае его смерти в результате общего заболевания или несчастного случая. В случае смерти застрахованного лица в результате несчастного случая на производстве или профессионального заболевания пособие в связи с потерей кормильца выплачивается независимо от количества лет внесения взносов. Гражданин, получающий пенсии или пособия в соо</w:t>
      </w:r>
      <w:r w:rsidRPr="008521A7">
        <w:t>т</w:t>
      </w:r>
      <w:r w:rsidRPr="008521A7">
        <w:t>ветствии с Законом о социальном страховании, имеет право на пособие в связи с потерей кормильца, размер которого определяется Национальным сов</w:t>
      </w:r>
      <w:r w:rsidRPr="008521A7">
        <w:t>е</w:t>
      </w:r>
      <w:r w:rsidRPr="008521A7">
        <w:t>том по вопросам социального страхования.</w:t>
      </w:r>
    </w:p>
    <w:p w:rsidR="008521A7" w:rsidRPr="008521A7" w:rsidRDefault="008F07B4" w:rsidP="008521A7">
      <w:pPr>
        <w:pStyle w:val="SingleTxtGR"/>
      </w:pPr>
      <w:r w:rsidRPr="008F07B4">
        <w:t>83.</w:t>
      </w:r>
      <w:r w:rsidRPr="008F07B4">
        <w:tab/>
      </w:r>
      <w:r w:rsidR="008521A7" w:rsidRPr="008521A7">
        <w:t>Гражданам из некоторых групп общества, которые не соответствуют у</w:t>
      </w:r>
      <w:r w:rsidR="008521A7" w:rsidRPr="008521A7">
        <w:t>с</w:t>
      </w:r>
      <w:r w:rsidR="008521A7" w:rsidRPr="008521A7">
        <w:t>ловиям для получения пенсий в рамках системы социального страхования, ок</w:t>
      </w:r>
      <w:r w:rsidR="008521A7" w:rsidRPr="008521A7">
        <w:t>а</w:t>
      </w:r>
      <w:r w:rsidR="008521A7" w:rsidRPr="008521A7">
        <w:t>зывается помощь в соответствии с Законом о социальном страховании. Напр</w:t>
      </w:r>
      <w:r w:rsidR="008521A7" w:rsidRPr="008521A7">
        <w:t>и</w:t>
      </w:r>
      <w:r w:rsidR="008521A7" w:rsidRPr="008521A7">
        <w:t>мер:</w:t>
      </w:r>
    </w:p>
    <w:p w:rsidR="008521A7" w:rsidRPr="008521A7" w:rsidRDefault="008521A7" w:rsidP="008F07B4">
      <w:pPr>
        <w:pStyle w:val="Bullet1GR"/>
      </w:pPr>
      <w:r w:rsidRPr="008521A7">
        <w:t>Одинокие пожилые люди, не удовлетворяющие условиям получения пе</w:t>
      </w:r>
      <w:r w:rsidRPr="008521A7">
        <w:t>н</w:t>
      </w:r>
      <w:r w:rsidRPr="008521A7">
        <w:t>сий из Фонда социального страхования, или пожилые лица, чьи опекуны не могут обеспечить их; инвалиды, достигшие 16 лет; родители, име</w:t>
      </w:r>
      <w:r w:rsidRPr="008521A7">
        <w:t>ю</w:t>
      </w:r>
      <w:r w:rsidRPr="008521A7">
        <w:t>щие домохозяйства с большим количеством детей; сироты, чьи опекуны умерли, получают ежемесячную социальную пенсию. В настоящее время размер такой пенсии равен 53 800 тугрикам, что эквивалентно 80% пе</w:t>
      </w:r>
      <w:r w:rsidRPr="008521A7">
        <w:t>н</w:t>
      </w:r>
      <w:r w:rsidRPr="008521A7">
        <w:t>сии, выплачиваемой из Фонда социального страхования.</w:t>
      </w:r>
    </w:p>
    <w:p w:rsidR="008521A7" w:rsidRPr="008521A7" w:rsidRDefault="008521A7" w:rsidP="008F07B4">
      <w:pPr>
        <w:pStyle w:val="Bullet1GR"/>
      </w:pPr>
      <w:r w:rsidRPr="008521A7">
        <w:t>Всем беременным женщинам выплачивается ежемесячное пособие в т</w:t>
      </w:r>
      <w:r w:rsidRPr="008521A7">
        <w:t>е</w:t>
      </w:r>
      <w:r w:rsidRPr="008521A7">
        <w:t>чение 12 месяцев, начиная с пятого месяца беременности, независимо от уплаты ими взносов в рамках социального страхования. Размер пос</w:t>
      </w:r>
      <w:r w:rsidRPr="008521A7">
        <w:t>о</w:t>
      </w:r>
      <w:r w:rsidRPr="008521A7">
        <w:t>бия в настоящее время составляет 24 000 тугриков.</w:t>
      </w:r>
    </w:p>
    <w:p w:rsidR="008521A7" w:rsidRPr="008521A7" w:rsidRDefault="008521A7" w:rsidP="008F07B4">
      <w:pPr>
        <w:pStyle w:val="Bullet1GR"/>
      </w:pPr>
      <w:r w:rsidRPr="008521A7">
        <w:t>Лица, ухаживающие за лежачими больными, одинокими пожилыми людьми, инвалидами или детьми, которые по различным причинам не могут жить в своих семьях, получают ежемесячное пособие. Его размер составляет 30 000 тугриков.</w:t>
      </w:r>
    </w:p>
    <w:p w:rsidR="008521A7" w:rsidRPr="008521A7" w:rsidRDefault="008521A7" w:rsidP="008F07B4">
      <w:pPr>
        <w:pStyle w:val="Bullet1GR"/>
      </w:pPr>
      <w:r w:rsidRPr="008521A7">
        <w:t>Что касается уровня доходов пожилых лиц и инвалидов, то они п</w:t>
      </w:r>
      <w:r w:rsidRPr="008521A7">
        <w:t>о</w:t>
      </w:r>
      <w:r w:rsidRPr="008521A7">
        <w:t>лучают различные виды помощи, включая продажу топлива и угля по сниженным ценам, льготы на путевки в санатории и при приобретении протезов и о</w:t>
      </w:r>
      <w:r w:rsidRPr="008521A7">
        <w:t>р</w:t>
      </w:r>
      <w:r w:rsidRPr="008521A7">
        <w:t>топедических приспособлений, а также принимаются меры по размещ</w:t>
      </w:r>
      <w:r w:rsidRPr="008521A7">
        <w:t>е</w:t>
      </w:r>
      <w:r w:rsidRPr="008521A7">
        <w:t>нию их в домах для престарелых и инвалидов или по их охвату програ</w:t>
      </w:r>
      <w:r w:rsidRPr="008521A7">
        <w:t>м</w:t>
      </w:r>
      <w:r w:rsidRPr="008521A7">
        <w:t>мами в области соц</w:t>
      </w:r>
      <w:r w:rsidRPr="008521A7">
        <w:t>и</w:t>
      </w:r>
      <w:r w:rsidRPr="008521A7">
        <w:t>ального обеспечения. С 2009 года каждый гражданин получает ежемесячные отчисления из доходов горнодобывающей пр</w:t>
      </w:r>
      <w:r w:rsidRPr="008521A7">
        <w:t>о</w:t>
      </w:r>
      <w:r w:rsidRPr="008521A7">
        <w:t>мышленности в соответствии с Законом о Фонде развития человеческого потенциала, принятого парламентом</w:t>
      </w:r>
      <w:r w:rsidR="00950B37">
        <w:t>. Вышеупомянутая деятельность в</w:t>
      </w:r>
      <w:r w:rsidR="00950B37">
        <w:rPr>
          <w:lang w:val="en-US"/>
        </w:rPr>
        <w:t> </w:t>
      </w:r>
      <w:r w:rsidR="00950B37" w:rsidRPr="00950B37">
        <w:t>о</w:t>
      </w:r>
      <w:r w:rsidRPr="008521A7">
        <w:t>бласти социального обеспечения финансируется из государственного бюджета.</w:t>
      </w:r>
    </w:p>
    <w:p w:rsidR="008521A7" w:rsidRPr="008521A7" w:rsidRDefault="004C112E" w:rsidP="008521A7">
      <w:pPr>
        <w:pStyle w:val="SingleTxtGR"/>
      </w:pPr>
      <w:r w:rsidRPr="004C112E">
        <w:t>84.</w:t>
      </w:r>
      <w:r w:rsidRPr="004C112E">
        <w:tab/>
      </w:r>
      <w:r w:rsidR="008521A7" w:rsidRPr="008521A7">
        <w:t>В последние годы экономика Монголии быстро росла, поэтому ресурсы, выд</w:t>
      </w:r>
      <w:r w:rsidR="008521A7" w:rsidRPr="008521A7">
        <w:t>е</w:t>
      </w:r>
      <w:r w:rsidR="008521A7" w:rsidRPr="008521A7">
        <w:t>ляемые сектору социального обеспечения, увеличились.</w:t>
      </w:r>
    </w:p>
    <w:p w:rsidR="008521A7" w:rsidRDefault="008521A7" w:rsidP="004C112E">
      <w:pPr>
        <w:pStyle w:val="Heading1"/>
        <w:spacing w:after="120"/>
        <w:ind w:left="1134"/>
        <w:jc w:val="left"/>
        <w:rPr>
          <w:lang w:val="en-US"/>
        </w:rPr>
      </w:pPr>
      <w:r w:rsidRPr="004C112E">
        <w:rPr>
          <w:b w:val="0"/>
        </w:rPr>
        <w:t>Таблица 5</w:t>
      </w:r>
      <w:r w:rsidR="004C112E" w:rsidRPr="004C112E">
        <w:rPr>
          <w:b w:val="0"/>
        </w:rPr>
        <w:br/>
      </w:r>
      <w:r w:rsidRPr="008521A7">
        <w:t>ВВП, национальный бюджет и расходы на социальное обеспечение</w:t>
      </w:r>
    </w:p>
    <w:tbl>
      <w:tblPr>
        <w:tblW w:w="7371" w:type="dxa"/>
        <w:tblInd w:w="1134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1"/>
        <w:gridCol w:w="2484"/>
        <w:gridCol w:w="1281"/>
        <w:gridCol w:w="1084"/>
        <w:gridCol w:w="1065"/>
        <w:gridCol w:w="1046"/>
      </w:tblGrid>
      <w:tr w:rsidR="0074394E" w:rsidRPr="00802445" w:rsidTr="00A7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tblHeader/>
        </w:trPr>
        <w:tc>
          <w:tcPr>
            <w:tcW w:w="4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6372F" w:rsidRPr="00802445" w:rsidRDefault="00B6372F" w:rsidP="00B6372F">
            <w:pPr>
              <w:suppressAutoHyphens/>
              <w:autoSpaceDE w:val="0"/>
              <w:autoSpaceDN w:val="0"/>
              <w:adjustRightInd w:val="0"/>
              <w:spacing w:before="80" w:after="80" w:line="200" w:lineRule="exact"/>
              <w:rPr>
                <w:i/>
                <w:sz w:val="16"/>
                <w:szCs w:val="24"/>
                <w:lang w:eastAsia="en-GB"/>
              </w:rPr>
            </w:pPr>
            <w:r w:rsidRPr="00802445">
              <w:rPr>
                <w:i/>
                <w:sz w:val="16"/>
                <w:szCs w:val="22"/>
                <w:lang w:eastAsia="en-GB"/>
              </w:rPr>
              <w:t>№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6372F" w:rsidRPr="00802445" w:rsidRDefault="00B6372F" w:rsidP="00B6372F">
            <w:pPr>
              <w:suppressAutoHyphens/>
              <w:autoSpaceDE w:val="0"/>
              <w:autoSpaceDN w:val="0"/>
              <w:adjustRightInd w:val="0"/>
              <w:spacing w:before="80" w:after="80" w:line="200" w:lineRule="exact"/>
              <w:rPr>
                <w:i/>
                <w:sz w:val="16"/>
                <w:szCs w:val="24"/>
                <w:lang w:eastAsia="en-GB"/>
              </w:rPr>
            </w:pPr>
            <w:r w:rsidRPr="00802445">
              <w:rPr>
                <w:i/>
                <w:sz w:val="16"/>
                <w:szCs w:val="22"/>
                <w:lang w:eastAsia="en-GB"/>
              </w:rPr>
              <w:t>Показатели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6372F" w:rsidRPr="00802445" w:rsidRDefault="00B6372F" w:rsidP="00B6372F">
            <w:pPr>
              <w:suppressAutoHyphens/>
              <w:autoSpaceDE w:val="0"/>
              <w:autoSpaceDN w:val="0"/>
              <w:adjustRightInd w:val="0"/>
              <w:spacing w:before="80" w:after="80" w:line="200" w:lineRule="exact"/>
              <w:rPr>
                <w:i/>
                <w:sz w:val="16"/>
                <w:szCs w:val="24"/>
                <w:lang w:eastAsia="en-GB"/>
              </w:rPr>
            </w:pPr>
            <w:r w:rsidRPr="00802445">
              <w:rPr>
                <w:i/>
                <w:sz w:val="16"/>
                <w:szCs w:val="22"/>
                <w:lang w:eastAsia="en-GB"/>
              </w:rPr>
              <w:t>Единицы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6372F" w:rsidRPr="00802445" w:rsidRDefault="00B6372F" w:rsidP="00B6372F">
            <w:pPr>
              <w:suppressAutoHyphens/>
              <w:autoSpaceDE w:val="0"/>
              <w:autoSpaceDN w:val="0"/>
              <w:adjustRightInd w:val="0"/>
              <w:spacing w:before="80" w:after="80" w:line="200" w:lineRule="exact"/>
              <w:jc w:val="right"/>
              <w:rPr>
                <w:i/>
                <w:sz w:val="16"/>
                <w:szCs w:val="24"/>
                <w:lang w:eastAsia="en-GB"/>
              </w:rPr>
            </w:pPr>
            <w:r w:rsidRPr="00802445">
              <w:rPr>
                <w:i/>
                <w:sz w:val="16"/>
                <w:szCs w:val="22"/>
                <w:lang w:eastAsia="en-GB"/>
              </w:rPr>
              <w:t>2007 год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6372F" w:rsidRPr="00802445" w:rsidRDefault="00B6372F" w:rsidP="00B6372F">
            <w:pPr>
              <w:suppressAutoHyphens/>
              <w:autoSpaceDE w:val="0"/>
              <w:autoSpaceDN w:val="0"/>
              <w:adjustRightInd w:val="0"/>
              <w:spacing w:before="80" w:after="80" w:line="200" w:lineRule="exact"/>
              <w:jc w:val="right"/>
              <w:rPr>
                <w:i/>
                <w:sz w:val="16"/>
                <w:szCs w:val="24"/>
                <w:lang w:eastAsia="en-GB"/>
              </w:rPr>
            </w:pPr>
            <w:r w:rsidRPr="00802445">
              <w:rPr>
                <w:i/>
                <w:sz w:val="16"/>
                <w:szCs w:val="22"/>
                <w:lang w:eastAsia="en-GB"/>
              </w:rPr>
              <w:t>2008 год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6372F" w:rsidRPr="00802445" w:rsidRDefault="00B6372F" w:rsidP="00B6372F">
            <w:pPr>
              <w:suppressAutoHyphens/>
              <w:autoSpaceDE w:val="0"/>
              <w:autoSpaceDN w:val="0"/>
              <w:adjustRightInd w:val="0"/>
              <w:spacing w:before="80" w:after="80" w:line="200" w:lineRule="exact"/>
              <w:jc w:val="right"/>
              <w:rPr>
                <w:i/>
                <w:sz w:val="16"/>
                <w:szCs w:val="24"/>
                <w:lang w:eastAsia="en-GB"/>
              </w:rPr>
            </w:pPr>
            <w:r w:rsidRPr="00802445">
              <w:rPr>
                <w:i/>
                <w:sz w:val="16"/>
                <w:szCs w:val="22"/>
                <w:lang w:eastAsia="en-GB"/>
              </w:rPr>
              <w:t>2009 год</w:t>
            </w:r>
          </w:p>
        </w:tc>
      </w:tr>
      <w:tr w:rsidR="0074394E" w:rsidRPr="00802445" w:rsidTr="00A7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11" w:type="dxa"/>
            <w:tcBorders>
              <w:top w:val="single" w:sz="12" w:space="0" w:color="auto"/>
            </w:tcBorders>
            <w:shd w:val="clear" w:color="auto" w:fill="auto"/>
          </w:tcPr>
          <w:p w:rsidR="00B6372F" w:rsidRPr="00B6372F" w:rsidRDefault="00B6372F" w:rsidP="00B6372F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B6372F">
              <w:rPr>
                <w:sz w:val="18"/>
                <w:szCs w:val="18"/>
                <w:lang w:eastAsia="en-GB"/>
              </w:rPr>
              <w:t>1</w:t>
            </w:r>
            <w:r w:rsidR="009730EF">
              <w:rPr>
                <w:sz w:val="18"/>
                <w:szCs w:val="18"/>
                <w:lang w:eastAsia="en-GB"/>
              </w:rPr>
              <w:t>.</w:t>
            </w:r>
          </w:p>
        </w:tc>
        <w:tc>
          <w:tcPr>
            <w:tcW w:w="2484" w:type="dxa"/>
            <w:tcBorders>
              <w:top w:val="single" w:sz="12" w:space="0" w:color="auto"/>
            </w:tcBorders>
            <w:shd w:val="clear" w:color="auto" w:fill="auto"/>
          </w:tcPr>
          <w:p w:rsidR="00B6372F" w:rsidRPr="00B6372F" w:rsidRDefault="00B6372F" w:rsidP="00B6372F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B6372F">
              <w:rPr>
                <w:sz w:val="18"/>
                <w:szCs w:val="18"/>
              </w:rPr>
              <w:t>ВВП</w:t>
            </w:r>
          </w:p>
        </w:tc>
        <w:tc>
          <w:tcPr>
            <w:tcW w:w="1281" w:type="dxa"/>
            <w:tcBorders>
              <w:top w:val="single" w:sz="12" w:space="0" w:color="auto"/>
            </w:tcBorders>
            <w:shd w:val="clear" w:color="auto" w:fill="auto"/>
          </w:tcPr>
          <w:p w:rsidR="00B6372F" w:rsidRPr="00B6372F" w:rsidRDefault="00B6372F" w:rsidP="00B6372F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B6372F">
              <w:rPr>
                <w:sz w:val="18"/>
                <w:szCs w:val="18"/>
                <w:lang w:eastAsia="en-GB"/>
              </w:rPr>
              <w:t>млн. тугриков</w:t>
            </w:r>
          </w:p>
        </w:tc>
        <w:tc>
          <w:tcPr>
            <w:tcW w:w="108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6372F" w:rsidRPr="00B6372F" w:rsidRDefault="00B6372F" w:rsidP="00B6372F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B6372F">
              <w:rPr>
                <w:sz w:val="18"/>
                <w:szCs w:val="18"/>
                <w:lang w:eastAsia="en-GB"/>
              </w:rPr>
              <w:t>3 639 987,7</w:t>
            </w:r>
          </w:p>
        </w:tc>
        <w:tc>
          <w:tcPr>
            <w:tcW w:w="106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6372F" w:rsidRPr="00B6372F" w:rsidRDefault="00B6372F" w:rsidP="00B6372F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B6372F">
              <w:rPr>
                <w:sz w:val="18"/>
                <w:szCs w:val="18"/>
                <w:lang w:eastAsia="en-GB"/>
              </w:rPr>
              <w:t>3 963 960,0</w:t>
            </w:r>
          </w:p>
        </w:tc>
        <w:tc>
          <w:tcPr>
            <w:tcW w:w="104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6372F" w:rsidRPr="00B6372F" w:rsidRDefault="00B6372F" w:rsidP="00B6372F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B6372F">
              <w:rPr>
                <w:sz w:val="18"/>
                <w:szCs w:val="18"/>
                <w:lang w:eastAsia="en-GB"/>
              </w:rPr>
              <w:t>3 913 673,2</w:t>
            </w:r>
          </w:p>
        </w:tc>
      </w:tr>
      <w:tr w:rsidR="0074394E" w:rsidRPr="00802445" w:rsidTr="00A7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11" w:type="dxa"/>
            <w:shd w:val="clear" w:color="auto" w:fill="auto"/>
          </w:tcPr>
          <w:p w:rsidR="00B6372F" w:rsidRPr="00B6372F" w:rsidRDefault="00B6372F" w:rsidP="00B6372F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B6372F">
              <w:rPr>
                <w:sz w:val="18"/>
                <w:szCs w:val="18"/>
                <w:lang w:eastAsia="en-GB"/>
              </w:rPr>
              <w:t>2</w:t>
            </w:r>
            <w:r w:rsidR="009730EF">
              <w:rPr>
                <w:sz w:val="18"/>
                <w:szCs w:val="18"/>
                <w:lang w:eastAsia="en-GB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B6372F" w:rsidRPr="00B6372F" w:rsidRDefault="00B6372F" w:rsidP="00B6372F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B6372F">
              <w:rPr>
                <w:sz w:val="18"/>
                <w:szCs w:val="18"/>
                <w:lang w:eastAsia="en-GB"/>
              </w:rPr>
              <w:t xml:space="preserve">Расходы государственного бюджета (РГБ) </w:t>
            </w:r>
          </w:p>
        </w:tc>
        <w:tc>
          <w:tcPr>
            <w:tcW w:w="1281" w:type="dxa"/>
            <w:shd w:val="clear" w:color="auto" w:fill="auto"/>
          </w:tcPr>
          <w:p w:rsidR="00B6372F" w:rsidRPr="00B6372F" w:rsidRDefault="00B6372F" w:rsidP="00B6372F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B6372F">
              <w:rPr>
                <w:sz w:val="18"/>
                <w:szCs w:val="18"/>
                <w:lang w:eastAsia="en-GB"/>
              </w:rPr>
              <w:t>млн. тугриков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B6372F" w:rsidRPr="00B6372F" w:rsidRDefault="00B6372F" w:rsidP="00B6372F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B6372F">
              <w:rPr>
                <w:sz w:val="18"/>
                <w:szCs w:val="18"/>
                <w:lang w:eastAsia="en-GB"/>
              </w:rPr>
              <w:t>1 367 668,0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B6372F" w:rsidRPr="00B6372F" w:rsidRDefault="00B6372F" w:rsidP="00B6372F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B6372F">
              <w:rPr>
                <w:sz w:val="18"/>
                <w:szCs w:val="18"/>
                <w:lang w:eastAsia="en-GB"/>
              </w:rPr>
              <w:t>1 761 190,6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B6372F" w:rsidRPr="00B6372F" w:rsidRDefault="00B6372F" w:rsidP="00B6372F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B6372F">
              <w:rPr>
                <w:sz w:val="18"/>
                <w:szCs w:val="18"/>
                <w:lang w:eastAsia="en-GB"/>
              </w:rPr>
              <w:t>1 788 157,6</w:t>
            </w:r>
          </w:p>
        </w:tc>
      </w:tr>
      <w:tr w:rsidR="0074394E" w:rsidRPr="00802445" w:rsidTr="00A7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11" w:type="dxa"/>
            <w:shd w:val="clear" w:color="auto" w:fill="auto"/>
          </w:tcPr>
          <w:p w:rsidR="00B6372F" w:rsidRPr="00B6372F" w:rsidRDefault="00B6372F" w:rsidP="00B6372F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B6372F">
              <w:rPr>
                <w:sz w:val="18"/>
                <w:szCs w:val="18"/>
                <w:lang w:eastAsia="en-GB"/>
              </w:rPr>
              <w:t>3</w:t>
            </w:r>
            <w:r w:rsidR="009730EF">
              <w:rPr>
                <w:sz w:val="18"/>
                <w:szCs w:val="18"/>
                <w:lang w:eastAsia="en-GB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B6372F" w:rsidRPr="00B6372F" w:rsidRDefault="00B6372F" w:rsidP="00B6372F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B6372F">
              <w:rPr>
                <w:sz w:val="18"/>
                <w:szCs w:val="18"/>
                <w:lang w:eastAsia="en-GB"/>
              </w:rPr>
              <w:t>Расходы на социальное обеспечение (РСО)</w:t>
            </w:r>
          </w:p>
        </w:tc>
        <w:tc>
          <w:tcPr>
            <w:tcW w:w="1281" w:type="dxa"/>
            <w:shd w:val="clear" w:color="auto" w:fill="auto"/>
          </w:tcPr>
          <w:p w:rsidR="00B6372F" w:rsidRPr="00B6372F" w:rsidRDefault="00B6372F" w:rsidP="00B6372F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B6372F">
              <w:rPr>
                <w:sz w:val="18"/>
                <w:szCs w:val="18"/>
                <w:lang w:eastAsia="en-GB"/>
              </w:rPr>
              <w:t>млн. тугриков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B6372F" w:rsidRPr="00B6372F" w:rsidRDefault="00B6372F" w:rsidP="00B6372F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B6372F">
              <w:rPr>
                <w:sz w:val="18"/>
                <w:szCs w:val="18"/>
                <w:lang w:eastAsia="en-GB"/>
              </w:rPr>
              <w:t>367 101,5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B6372F" w:rsidRPr="00B6372F" w:rsidRDefault="00B6372F" w:rsidP="00B6372F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B6372F">
              <w:rPr>
                <w:sz w:val="18"/>
                <w:szCs w:val="18"/>
                <w:lang w:eastAsia="en-GB"/>
              </w:rPr>
              <w:t>570 389,3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B6372F" w:rsidRPr="00B6372F" w:rsidRDefault="00B6372F" w:rsidP="00B6372F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B6372F">
              <w:rPr>
                <w:sz w:val="18"/>
                <w:szCs w:val="18"/>
                <w:lang w:eastAsia="en-GB"/>
              </w:rPr>
              <w:t>602 367,3</w:t>
            </w:r>
          </w:p>
        </w:tc>
      </w:tr>
      <w:tr w:rsidR="0074394E" w:rsidRPr="00802445" w:rsidTr="00A7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11" w:type="dxa"/>
            <w:shd w:val="clear" w:color="auto" w:fill="auto"/>
          </w:tcPr>
          <w:p w:rsidR="00B6372F" w:rsidRPr="00B6372F" w:rsidRDefault="00B6372F" w:rsidP="00B6372F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B6372F">
              <w:rPr>
                <w:sz w:val="18"/>
                <w:szCs w:val="18"/>
                <w:lang w:eastAsia="en-GB"/>
              </w:rPr>
              <w:t>4</w:t>
            </w:r>
            <w:r w:rsidR="009730EF">
              <w:rPr>
                <w:sz w:val="18"/>
                <w:szCs w:val="18"/>
                <w:lang w:eastAsia="en-GB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B6372F" w:rsidRPr="00B6372F" w:rsidRDefault="00B6372F" w:rsidP="00B6372F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B6372F">
              <w:rPr>
                <w:sz w:val="18"/>
                <w:szCs w:val="18"/>
                <w:lang w:eastAsia="en-GB"/>
              </w:rPr>
              <w:t>РСО/</w:t>
            </w:r>
            <w:r w:rsidRPr="00B6372F">
              <w:rPr>
                <w:sz w:val="18"/>
                <w:szCs w:val="18"/>
              </w:rPr>
              <w:t>ВВП</w:t>
            </w:r>
          </w:p>
        </w:tc>
        <w:tc>
          <w:tcPr>
            <w:tcW w:w="1281" w:type="dxa"/>
            <w:shd w:val="clear" w:color="auto" w:fill="auto"/>
          </w:tcPr>
          <w:p w:rsidR="00B6372F" w:rsidRPr="00B6372F" w:rsidRDefault="00B6372F" w:rsidP="00B6372F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B6372F">
              <w:rPr>
                <w:sz w:val="18"/>
                <w:szCs w:val="18"/>
                <w:lang w:eastAsia="en-GB"/>
              </w:rPr>
              <w:t>проценты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B6372F" w:rsidRPr="00B6372F" w:rsidRDefault="00B6372F" w:rsidP="00B6372F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B6372F">
              <w:rPr>
                <w:sz w:val="18"/>
                <w:szCs w:val="18"/>
                <w:lang w:eastAsia="en-GB"/>
              </w:rPr>
              <w:t>10,1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B6372F" w:rsidRPr="00B6372F" w:rsidRDefault="00B6372F" w:rsidP="00B6372F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B6372F">
              <w:rPr>
                <w:sz w:val="18"/>
                <w:szCs w:val="18"/>
                <w:lang w:eastAsia="en-GB"/>
              </w:rPr>
              <w:t>14,4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B6372F" w:rsidRPr="00B6372F" w:rsidRDefault="00B6372F" w:rsidP="00B6372F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B6372F">
              <w:rPr>
                <w:sz w:val="18"/>
                <w:szCs w:val="18"/>
                <w:lang w:eastAsia="en-GB"/>
              </w:rPr>
              <w:t>15,4</w:t>
            </w:r>
          </w:p>
        </w:tc>
      </w:tr>
      <w:tr w:rsidR="0074394E" w:rsidRPr="00802445" w:rsidTr="00A7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11" w:type="dxa"/>
            <w:tcBorders>
              <w:bottom w:val="single" w:sz="12" w:space="0" w:color="auto"/>
            </w:tcBorders>
            <w:shd w:val="clear" w:color="auto" w:fill="auto"/>
          </w:tcPr>
          <w:p w:rsidR="00B6372F" w:rsidRPr="00B6372F" w:rsidRDefault="00B6372F" w:rsidP="00B6372F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B6372F">
              <w:rPr>
                <w:sz w:val="18"/>
                <w:szCs w:val="18"/>
                <w:lang w:eastAsia="en-GB"/>
              </w:rPr>
              <w:t>5</w:t>
            </w:r>
            <w:r w:rsidR="009730EF">
              <w:rPr>
                <w:sz w:val="18"/>
                <w:szCs w:val="18"/>
                <w:lang w:eastAsia="en-GB"/>
              </w:rPr>
              <w:t>.</w:t>
            </w:r>
          </w:p>
        </w:tc>
        <w:tc>
          <w:tcPr>
            <w:tcW w:w="2484" w:type="dxa"/>
            <w:tcBorders>
              <w:bottom w:val="single" w:sz="12" w:space="0" w:color="auto"/>
            </w:tcBorders>
            <w:shd w:val="clear" w:color="auto" w:fill="auto"/>
          </w:tcPr>
          <w:p w:rsidR="00B6372F" w:rsidRPr="00B6372F" w:rsidRDefault="00B6372F" w:rsidP="00B6372F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B6372F">
              <w:rPr>
                <w:sz w:val="18"/>
                <w:szCs w:val="18"/>
                <w:lang w:eastAsia="en-GB"/>
              </w:rPr>
              <w:t>РСО/РГБ</w:t>
            </w:r>
          </w:p>
        </w:tc>
        <w:tc>
          <w:tcPr>
            <w:tcW w:w="1281" w:type="dxa"/>
            <w:tcBorders>
              <w:bottom w:val="single" w:sz="12" w:space="0" w:color="auto"/>
            </w:tcBorders>
            <w:shd w:val="clear" w:color="auto" w:fill="auto"/>
          </w:tcPr>
          <w:p w:rsidR="00B6372F" w:rsidRPr="00B6372F" w:rsidRDefault="00B6372F" w:rsidP="00B6372F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B6372F">
              <w:rPr>
                <w:sz w:val="18"/>
                <w:szCs w:val="18"/>
                <w:lang w:eastAsia="en-GB"/>
              </w:rPr>
              <w:t>проценты</w:t>
            </w:r>
          </w:p>
        </w:tc>
        <w:tc>
          <w:tcPr>
            <w:tcW w:w="108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6372F" w:rsidRPr="00B6372F" w:rsidRDefault="00B6372F" w:rsidP="00B6372F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B6372F">
              <w:rPr>
                <w:sz w:val="18"/>
                <w:szCs w:val="18"/>
                <w:lang w:eastAsia="en-GB"/>
              </w:rPr>
              <w:t>26,8</w:t>
            </w:r>
          </w:p>
        </w:tc>
        <w:tc>
          <w:tcPr>
            <w:tcW w:w="106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6372F" w:rsidRPr="00B6372F" w:rsidRDefault="00B6372F" w:rsidP="00B6372F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B6372F">
              <w:rPr>
                <w:sz w:val="18"/>
                <w:szCs w:val="18"/>
                <w:lang w:eastAsia="en-GB"/>
              </w:rPr>
              <w:t>32,4</w:t>
            </w:r>
          </w:p>
        </w:tc>
        <w:tc>
          <w:tcPr>
            <w:tcW w:w="104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6372F" w:rsidRPr="00B6372F" w:rsidRDefault="00B6372F" w:rsidP="00B6372F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18"/>
                <w:lang w:eastAsia="en-GB"/>
              </w:rPr>
            </w:pPr>
            <w:r w:rsidRPr="00B6372F">
              <w:rPr>
                <w:sz w:val="18"/>
                <w:szCs w:val="18"/>
                <w:lang w:eastAsia="en-GB"/>
              </w:rPr>
              <w:t>33,7</w:t>
            </w:r>
          </w:p>
        </w:tc>
      </w:tr>
    </w:tbl>
    <w:p w:rsidR="00A74B36" w:rsidRPr="00A74B36" w:rsidRDefault="00F90BFF" w:rsidP="00A74B36">
      <w:pPr>
        <w:pStyle w:val="SingleTxtGR"/>
        <w:spacing w:before="240"/>
        <w:rPr>
          <w:lang w:eastAsia="ru-RU"/>
        </w:rPr>
      </w:pPr>
      <w:r w:rsidRPr="00F90BFF">
        <w:rPr>
          <w:lang w:eastAsia="ru-RU"/>
        </w:rPr>
        <w:t>85.</w:t>
      </w:r>
      <w:r w:rsidRPr="00F90BFF">
        <w:rPr>
          <w:lang w:eastAsia="ru-RU"/>
        </w:rPr>
        <w:tab/>
      </w:r>
      <w:r w:rsidR="00A74B36" w:rsidRPr="00A74B36">
        <w:rPr>
          <w:lang w:eastAsia="ru-RU"/>
        </w:rPr>
        <w:t>Участие неправительственных организаций и частного сектора в системе социального обеспечения является низким. В последние годы были введены персональные пенсии и страхование жизни, однако данные о</w:t>
      </w:r>
      <w:r w:rsidR="00C733D3">
        <w:rPr>
          <w:lang w:eastAsia="ru-RU"/>
        </w:rPr>
        <w:t>б</w:t>
      </w:r>
      <w:r w:rsidR="00A74B36" w:rsidRPr="00A74B36">
        <w:rPr>
          <w:lang w:eastAsia="ru-RU"/>
        </w:rPr>
        <w:t xml:space="preserve"> их влиянии на население отсутствуют.</w:t>
      </w:r>
    </w:p>
    <w:p w:rsidR="00A74B36" w:rsidRPr="00A74B36" w:rsidRDefault="00F90BFF" w:rsidP="00A74B36">
      <w:pPr>
        <w:pStyle w:val="SingleTxtGR"/>
        <w:rPr>
          <w:lang w:eastAsia="ru-RU"/>
        </w:rPr>
      </w:pPr>
      <w:r w:rsidRPr="00F90BFF">
        <w:rPr>
          <w:lang w:eastAsia="ru-RU"/>
        </w:rPr>
        <w:t>86.</w:t>
      </w:r>
      <w:r w:rsidRPr="00F90BFF">
        <w:rPr>
          <w:lang w:eastAsia="ru-RU"/>
        </w:rPr>
        <w:tab/>
      </w:r>
      <w:r w:rsidR="00A74B36" w:rsidRPr="00A74B36">
        <w:rPr>
          <w:lang w:eastAsia="ru-RU"/>
        </w:rPr>
        <w:t>Некоторые группы лиц не имеют доступа к социальному страхованию и к системе социального обеспечения Монголии. Например, согласно некоторым подсчетам свыше 10 000 пожилых людей не отвечают условиям для получения пенсий из Фонда социального страхования и не соответствуют требованиям для получения пенсий по социальному обеспечению. Число таких людей, возмо</w:t>
      </w:r>
      <w:r w:rsidR="00A74B36" w:rsidRPr="00A74B36">
        <w:rPr>
          <w:lang w:eastAsia="ru-RU"/>
        </w:rPr>
        <w:t>ж</w:t>
      </w:r>
      <w:r w:rsidR="00A74B36" w:rsidRPr="00A74B36">
        <w:rPr>
          <w:lang w:eastAsia="ru-RU"/>
        </w:rPr>
        <w:t>но, вырастет в будущем в связи с нынешними условиями трудоустройства. П</w:t>
      </w:r>
      <w:r w:rsidR="00A74B36" w:rsidRPr="00A74B36">
        <w:rPr>
          <w:lang w:eastAsia="ru-RU"/>
        </w:rPr>
        <w:t>о</w:t>
      </w:r>
      <w:r w:rsidR="00A74B36" w:rsidRPr="00A74B36">
        <w:rPr>
          <w:lang w:eastAsia="ru-RU"/>
        </w:rPr>
        <w:t>этому изучается вопрос о введении всеобщих пенсий с финансированием из г</w:t>
      </w:r>
      <w:r w:rsidR="00A74B36" w:rsidRPr="00A74B36">
        <w:rPr>
          <w:lang w:eastAsia="ru-RU"/>
        </w:rPr>
        <w:t>о</w:t>
      </w:r>
      <w:r w:rsidR="00A74B36" w:rsidRPr="00A74B36">
        <w:rPr>
          <w:lang w:eastAsia="ru-RU"/>
        </w:rPr>
        <w:t>сударственного бюджета для реализации пр</w:t>
      </w:r>
      <w:r w:rsidR="00A45B4B">
        <w:rPr>
          <w:lang w:eastAsia="ru-RU"/>
        </w:rPr>
        <w:t>ава пожилых граждан на доступ к </w:t>
      </w:r>
      <w:r w:rsidR="00A74B36" w:rsidRPr="00A74B36">
        <w:rPr>
          <w:lang w:eastAsia="ru-RU"/>
        </w:rPr>
        <w:t>социальному обеспечению. Существует необходимость в разработке и осущ</w:t>
      </w:r>
      <w:r w:rsidR="00A74B36" w:rsidRPr="00A74B36">
        <w:rPr>
          <w:lang w:eastAsia="ru-RU"/>
        </w:rPr>
        <w:t>е</w:t>
      </w:r>
      <w:r w:rsidR="00A74B36" w:rsidRPr="00A74B36">
        <w:rPr>
          <w:lang w:eastAsia="ru-RU"/>
        </w:rPr>
        <w:t>ствлении программ в области социального обеспечения, предназначенных для определенных групп населения, таких как малоимущие, сироты, одинокие п</w:t>
      </w:r>
      <w:r w:rsidR="00A74B36" w:rsidRPr="00A74B36">
        <w:rPr>
          <w:lang w:eastAsia="ru-RU"/>
        </w:rPr>
        <w:t>о</w:t>
      </w:r>
      <w:r w:rsidR="00A74B36" w:rsidRPr="00A74B36">
        <w:rPr>
          <w:lang w:eastAsia="ru-RU"/>
        </w:rPr>
        <w:t>жилые люди без опекунов и инвалиды. В этой области идет подготовка закон</w:t>
      </w:r>
      <w:r w:rsidR="00A74B36" w:rsidRPr="00A74B36">
        <w:rPr>
          <w:lang w:eastAsia="ru-RU"/>
        </w:rPr>
        <w:t>о</w:t>
      </w:r>
      <w:r w:rsidR="00A74B36" w:rsidRPr="00A74B36">
        <w:rPr>
          <w:lang w:eastAsia="ru-RU"/>
        </w:rPr>
        <w:t>проекта.</w:t>
      </w:r>
    </w:p>
    <w:p w:rsidR="00A74B36" w:rsidRPr="00A74B36" w:rsidRDefault="00F90BFF" w:rsidP="00A74B36">
      <w:pPr>
        <w:pStyle w:val="SingleTxtGR"/>
        <w:rPr>
          <w:lang w:eastAsia="ru-RU"/>
        </w:rPr>
      </w:pPr>
      <w:r w:rsidRPr="00F90BFF">
        <w:rPr>
          <w:lang w:eastAsia="ru-RU"/>
        </w:rPr>
        <w:t>87.</w:t>
      </w:r>
      <w:r w:rsidRPr="00F90BFF">
        <w:rPr>
          <w:lang w:eastAsia="ru-RU"/>
        </w:rPr>
        <w:tab/>
      </w:r>
      <w:r w:rsidR="00A74B36" w:rsidRPr="00A74B36">
        <w:rPr>
          <w:lang w:eastAsia="ru-RU"/>
        </w:rPr>
        <w:t>Для реализации прав, отраженных в статье 9 Пакта, правительство Мо</w:t>
      </w:r>
      <w:r w:rsidR="00A74B36" w:rsidRPr="00A74B36">
        <w:rPr>
          <w:lang w:eastAsia="ru-RU"/>
        </w:rPr>
        <w:t>н</w:t>
      </w:r>
      <w:r w:rsidR="00A74B36" w:rsidRPr="00A74B36">
        <w:rPr>
          <w:lang w:eastAsia="ru-RU"/>
        </w:rPr>
        <w:t>голии сотрудничает с МОТ, Всемирным банком и АБР по вопросу о развитии пенсионной системы, улучшению социального обеспечения, ориентировании его на целевые группы. В рамках этого сотрудничества была разработана ко</w:t>
      </w:r>
      <w:r w:rsidR="00A74B36" w:rsidRPr="00A74B36">
        <w:rPr>
          <w:lang w:eastAsia="ru-RU"/>
        </w:rPr>
        <w:t>н</w:t>
      </w:r>
      <w:r w:rsidR="00A74B36" w:rsidRPr="00A74B36">
        <w:rPr>
          <w:lang w:eastAsia="ru-RU"/>
        </w:rPr>
        <w:t>цепция реформы пенсионной системы и системы социального обеспечения, осуществляются проекты технической помощи по поддержке социального се</w:t>
      </w:r>
      <w:r w:rsidR="00A74B36" w:rsidRPr="00A74B36">
        <w:rPr>
          <w:lang w:eastAsia="ru-RU"/>
        </w:rPr>
        <w:t>к</w:t>
      </w:r>
      <w:r w:rsidR="00A74B36" w:rsidRPr="00A74B36">
        <w:rPr>
          <w:lang w:eastAsia="ru-RU"/>
        </w:rPr>
        <w:t>тора, и оказывается помощь по укреплению потенциала правительства и его с</w:t>
      </w:r>
      <w:r w:rsidR="00A74B36" w:rsidRPr="00A74B36">
        <w:rPr>
          <w:lang w:eastAsia="ru-RU"/>
        </w:rPr>
        <w:t>о</w:t>
      </w:r>
      <w:r w:rsidR="00A74B36" w:rsidRPr="00A74B36">
        <w:rPr>
          <w:lang w:eastAsia="ru-RU"/>
        </w:rPr>
        <w:t>циал</w:t>
      </w:r>
      <w:r w:rsidR="00A74B36" w:rsidRPr="00A74B36">
        <w:rPr>
          <w:lang w:eastAsia="ru-RU"/>
        </w:rPr>
        <w:t>ь</w:t>
      </w:r>
      <w:r w:rsidR="00A74B36" w:rsidRPr="00A74B36">
        <w:rPr>
          <w:lang w:eastAsia="ru-RU"/>
        </w:rPr>
        <w:t>ных партнеров.</w:t>
      </w:r>
    </w:p>
    <w:p w:rsidR="00A74B36" w:rsidRPr="00A74B36" w:rsidRDefault="00F90BFF" w:rsidP="00F90BFF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A74B36" w:rsidRPr="00A74B36">
        <w:t>Статья 10</w:t>
      </w:r>
    </w:p>
    <w:p w:rsidR="00A74B36" w:rsidRPr="00A74B36" w:rsidRDefault="00F90BFF" w:rsidP="00A74B36">
      <w:pPr>
        <w:pStyle w:val="SingleTxtGR"/>
        <w:rPr>
          <w:lang w:eastAsia="ru-RU"/>
        </w:rPr>
      </w:pPr>
      <w:r w:rsidRPr="00F90BFF">
        <w:rPr>
          <w:lang w:eastAsia="ru-RU"/>
        </w:rPr>
        <w:t>88.</w:t>
      </w:r>
      <w:r w:rsidRPr="00F90BFF">
        <w:rPr>
          <w:lang w:eastAsia="ru-RU"/>
        </w:rPr>
        <w:tab/>
      </w:r>
      <w:r w:rsidR="00A74B36" w:rsidRPr="00A74B36">
        <w:rPr>
          <w:lang w:eastAsia="ru-RU"/>
        </w:rPr>
        <w:t>Монголия ратифицировала Международный пакт об экономических, с</w:t>
      </w:r>
      <w:r w:rsidR="00A74B36" w:rsidRPr="00A74B36">
        <w:rPr>
          <w:lang w:eastAsia="ru-RU"/>
        </w:rPr>
        <w:t>о</w:t>
      </w:r>
      <w:r w:rsidR="00A74B36" w:rsidRPr="00A74B36">
        <w:rPr>
          <w:lang w:eastAsia="ru-RU"/>
        </w:rPr>
        <w:t>циальных и культурных правах и Факультативный протокол к нему в 1991 году, Конвенцию о правах ребенка и Факультативный протокол к ней в 1990 году, Конвенцию о ликвидации всех форм дискриминации в отношен</w:t>
      </w:r>
      <w:r>
        <w:rPr>
          <w:lang w:eastAsia="ru-RU"/>
        </w:rPr>
        <w:t>ии женщин в</w:t>
      </w:r>
      <w:r>
        <w:rPr>
          <w:lang w:val="en-US" w:eastAsia="ru-RU"/>
        </w:rPr>
        <w:t> </w:t>
      </w:r>
      <w:r w:rsidR="00A74B36" w:rsidRPr="00A74B36">
        <w:rPr>
          <w:lang w:eastAsia="ru-RU"/>
        </w:rPr>
        <w:t>1981 году, Конвенцию МОТ № 103 об охране материнства в 1969 году, Ко</w:t>
      </w:r>
      <w:r w:rsidR="00A74B36" w:rsidRPr="00A74B36">
        <w:rPr>
          <w:lang w:eastAsia="ru-RU"/>
        </w:rPr>
        <w:t>н</w:t>
      </w:r>
      <w:r w:rsidR="00A74B36" w:rsidRPr="00A74B36">
        <w:rPr>
          <w:lang w:eastAsia="ru-RU"/>
        </w:rPr>
        <w:t>венцию МОТ № 182 о запрещении и немедленных мерах по искоренению на</w:t>
      </w:r>
      <w:r w:rsidR="00A74B36" w:rsidRPr="00A74B36">
        <w:rPr>
          <w:lang w:eastAsia="ru-RU"/>
        </w:rPr>
        <w:t>и</w:t>
      </w:r>
      <w:r w:rsidR="00A74B36" w:rsidRPr="00A74B36">
        <w:rPr>
          <w:lang w:eastAsia="ru-RU"/>
        </w:rPr>
        <w:t>худших форм детского труда в 2000 году, Конвенцию МОТ № 138 о минимал</w:t>
      </w:r>
      <w:r w:rsidR="00A74B36" w:rsidRPr="00A74B36">
        <w:rPr>
          <w:lang w:eastAsia="ru-RU"/>
        </w:rPr>
        <w:t>ь</w:t>
      </w:r>
      <w:r w:rsidR="00A74B36" w:rsidRPr="00A74B36">
        <w:rPr>
          <w:lang w:eastAsia="ru-RU"/>
        </w:rPr>
        <w:t>ном возрасте для приема на работу, Конвенцию ООН о согласии на вступление в брак, минимальном брачном возрасте и ре</w:t>
      </w:r>
      <w:r>
        <w:rPr>
          <w:lang w:eastAsia="ru-RU"/>
        </w:rPr>
        <w:t>гистрации браков в 1991 году. С</w:t>
      </w:r>
      <w:r>
        <w:rPr>
          <w:lang w:val="en-US" w:eastAsia="ru-RU"/>
        </w:rPr>
        <w:t> </w:t>
      </w:r>
      <w:r w:rsidR="00564B88">
        <w:rPr>
          <w:lang w:eastAsia="ru-RU"/>
        </w:rPr>
        <w:t>и</w:t>
      </w:r>
      <w:r w:rsidR="00A74B36" w:rsidRPr="00A74B36">
        <w:rPr>
          <w:lang w:eastAsia="ru-RU"/>
        </w:rPr>
        <w:t>нформацией об осуществлении Международного пакта о гражданских и п</w:t>
      </w:r>
      <w:r w:rsidR="00A74B36" w:rsidRPr="00A74B36">
        <w:rPr>
          <w:lang w:eastAsia="ru-RU"/>
        </w:rPr>
        <w:t>о</w:t>
      </w:r>
      <w:r w:rsidR="00A74B36" w:rsidRPr="00A74B36">
        <w:rPr>
          <w:lang w:eastAsia="ru-RU"/>
        </w:rPr>
        <w:t>литических правах и Факультативного протокола к нему можно ознакомиться в национальном докладе Монголии за 2010 год, с информацией об осуществл</w:t>
      </w:r>
      <w:r w:rsidR="00A74B36" w:rsidRPr="00A74B36">
        <w:rPr>
          <w:lang w:eastAsia="ru-RU"/>
        </w:rPr>
        <w:t>е</w:t>
      </w:r>
      <w:r w:rsidR="00A74B36" w:rsidRPr="00A74B36">
        <w:rPr>
          <w:lang w:eastAsia="ru-RU"/>
        </w:rPr>
        <w:t>нии КЛДЖ в докладе за 2008 год, с информаци</w:t>
      </w:r>
      <w:r>
        <w:rPr>
          <w:lang w:eastAsia="ru-RU"/>
        </w:rPr>
        <w:t>ей об осуществлении Конвенции о</w:t>
      </w:r>
      <w:r>
        <w:rPr>
          <w:lang w:val="en-US" w:eastAsia="ru-RU"/>
        </w:rPr>
        <w:t> </w:t>
      </w:r>
      <w:r w:rsidR="00A74B36" w:rsidRPr="00A74B36">
        <w:rPr>
          <w:lang w:eastAsia="ru-RU"/>
        </w:rPr>
        <w:t>правах ребенка в докладе за 2009 год, с информацией об осуществлении Ко</w:t>
      </w:r>
      <w:r w:rsidR="00A74B36" w:rsidRPr="00A74B36">
        <w:rPr>
          <w:lang w:eastAsia="ru-RU"/>
        </w:rPr>
        <w:t>н</w:t>
      </w:r>
      <w:r w:rsidR="00A74B36" w:rsidRPr="00A74B36">
        <w:rPr>
          <w:lang w:eastAsia="ru-RU"/>
        </w:rPr>
        <w:t>венций МОТ № 103 и № 138 в правительственных докладах Монголии.</w:t>
      </w:r>
    </w:p>
    <w:p w:rsidR="00A74B36" w:rsidRPr="00A74B36" w:rsidRDefault="00564B88" w:rsidP="00A74B36">
      <w:pPr>
        <w:pStyle w:val="SingleTxtGR"/>
        <w:rPr>
          <w:lang w:eastAsia="ru-RU"/>
        </w:rPr>
      </w:pPr>
      <w:r w:rsidRPr="00564B88">
        <w:rPr>
          <w:lang w:eastAsia="ru-RU"/>
        </w:rPr>
        <w:t>89.</w:t>
      </w:r>
      <w:r w:rsidRPr="00564B88">
        <w:rPr>
          <w:lang w:eastAsia="ru-RU"/>
        </w:rPr>
        <w:tab/>
      </w:r>
      <w:r w:rsidR="00A74B36" w:rsidRPr="00A74B36">
        <w:rPr>
          <w:lang w:eastAsia="ru-RU"/>
        </w:rPr>
        <w:t xml:space="preserve">Статья 16 Конституции Монголии гласит, что </w:t>
      </w:r>
      <w:r w:rsidR="00C467DA">
        <w:rPr>
          <w:lang w:eastAsia="ru-RU"/>
        </w:rPr>
        <w:t>"</w:t>
      </w:r>
      <w:r w:rsidR="00A74B36" w:rsidRPr="00A74B36">
        <w:rPr>
          <w:lang w:eastAsia="ru-RU"/>
        </w:rPr>
        <w:t>мужчины и женщины пользуются равными правами в политической, экономической, социальной и культу</w:t>
      </w:r>
      <w:r w:rsidR="00A74B36" w:rsidRPr="00A74B36">
        <w:rPr>
          <w:lang w:eastAsia="ru-RU"/>
        </w:rPr>
        <w:t>р</w:t>
      </w:r>
      <w:r w:rsidR="00A74B36" w:rsidRPr="00A74B36">
        <w:rPr>
          <w:lang w:eastAsia="ru-RU"/>
        </w:rPr>
        <w:t>ной областях, а также в семье. Брак должен быть основан на равенстве и взаимном согласии супругов, достигших установленного законом брачного во</w:t>
      </w:r>
      <w:r w:rsidR="00A74B36" w:rsidRPr="00A74B36">
        <w:rPr>
          <w:lang w:eastAsia="ru-RU"/>
        </w:rPr>
        <w:t>з</w:t>
      </w:r>
      <w:r w:rsidR="00A74B36" w:rsidRPr="00A74B36">
        <w:rPr>
          <w:lang w:eastAsia="ru-RU"/>
        </w:rPr>
        <w:t>раста. Государство защищает интересы семьи, материнства и детства</w:t>
      </w:r>
      <w:r w:rsidR="00C467DA">
        <w:rPr>
          <w:lang w:eastAsia="ru-RU"/>
        </w:rPr>
        <w:t>"</w:t>
      </w:r>
      <w:r w:rsidR="00A74B36" w:rsidRPr="00A74B36">
        <w:rPr>
          <w:lang w:eastAsia="ru-RU"/>
        </w:rPr>
        <w:t>. Статья 4 Закона о семье провозглашает, что брак заключается на основе равных и добр</w:t>
      </w:r>
      <w:r w:rsidR="00A74B36" w:rsidRPr="00A74B36">
        <w:rPr>
          <w:lang w:eastAsia="ru-RU"/>
        </w:rPr>
        <w:t>о</w:t>
      </w:r>
      <w:r w:rsidR="00A74B36" w:rsidRPr="00A74B36">
        <w:rPr>
          <w:lang w:eastAsia="ru-RU"/>
        </w:rPr>
        <w:t>вольных отношений, а дискриминация граждан по признаку этнического пр</w:t>
      </w:r>
      <w:r w:rsidR="00A74B36" w:rsidRPr="00A74B36">
        <w:rPr>
          <w:lang w:eastAsia="ru-RU"/>
        </w:rPr>
        <w:t>о</w:t>
      </w:r>
      <w:r w:rsidR="00A74B36" w:rsidRPr="00A74B36">
        <w:rPr>
          <w:lang w:eastAsia="ru-RU"/>
        </w:rPr>
        <w:t>исхождения, языка, расы и религии запрещается. В статье 6 Закона указывается, что граждане Монголии, достигшие 18-летнего возраста, могут вступать в брак с иностранными гражданами или лицами без гражданства в Монголии на осн</w:t>
      </w:r>
      <w:r w:rsidR="00A74B36" w:rsidRPr="00A74B36">
        <w:rPr>
          <w:lang w:eastAsia="ru-RU"/>
        </w:rPr>
        <w:t>о</w:t>
      </w:r>
      <w:r w:rsidR="00A74B36" w:rsidRPr="00A74B36">
        <w:rPr>
          <w:lang w:eastAsia="ru-RU"/>
        </w:rPr>
        <w:t>ве взаимного согласия; брак двух монгол</w:t>
      </w:r>
      <w:r w:rsidR="00A74B36" w:rsidRPr="00A74B36">
        <w:rPr>
          <w:lang w:eastAsia="ru-RU"/>
        </w:rPr>
        <w:t>ь</w:t>
      </w:r>
      <w:r w:rsidR="00A74B36" w:rsidRPr="00A74B36">
        <w:rPr>
          <w:lang w:eastAsia="ru-RU"/>
        </w:rPr>
        <w:t>ских граждан или брак монгольского гражданина и иностранного гражданина или лица без гражданства, заключе</w:t>
      </w:r>
      <w:r w:rsidR="00A74B36" w:rsidRPr="00A74B36">
        <w:rPr>
          <w:lang w:eastAsia="ru-RU"/>
        </w:rPr>
        <w:t>н</w:t>
      </w:r>
      <w:r w:rsidR="00A74B36" w:rsidRPr="00A74B36">
        <w:rPr>
          <w:lang w:eastAsia="ru-RU"/>
        </w:rPr>
        <w:t>ный в иностранном государстве на основе законов данной страны, признается действительным в Монголии, если он не нарушает положений Закона о семье Монголии в том, что касается обстоятельств, препятствующих вступлению в брак. Мужчина и женщина, достигшие брачного возраста, установленного мо</w:t>
      </w:r>
      <w:r w:rsidR="00A74B36" w:rsidRPr="00A74B36">
        <w:rPr>
          <w:lang w:eastAsia="ru-RU"/>
        </w:rPr>
        <w:t>н</w:t>
      </w:r>
      <w:r w:rsidR="00A74B36" w:rsidRPr="00A74B36">
        <w:rPr>
          <w:lang w:eastAsia="ru-RU"/>
        </w:rPr>
        <w:t>гольскими законами, имеют право зарегистрировать свой брак на добровол</w:t>
      </w:r>
      <w:r w:rsidR="00A74B36" w:rsidRPr="00A74B36">
        <w:rPr>
          <w:lang w:eastAsia="ru-RU"/>
        </w:rPr>
        <w:t>ь</w:t>
      </w:r>
      <w:r w:rsidR="00A74B36" w:rsidRPr="00A74B36">
        <w:rPr>
          <w:lang w:eastAsia="ru-RU"/>
        </w:rPr>
        <w:t>ной, свободной и равной основе в компетентном государственном регистрац</w:t>
      </w:r>
      <w:r w:rsidR="00A74B36" w:rsidRPr="00A74B36">
        <w:rPr>
          <w:lang w:eastAsia="ru-RU"/>
        </w:rPr>
        <w:t>и</w:t>
      </w:r>
      <w:r w:rsidR="00A74B36" w:rsidRPr="00A74B36">
        <w:rPr>
          <w:lang w:eastAsia="ru-RU"/>
        </w:rPr>
        <w:t>онном органе.</w:t>
      </w:r>
    </w:p>
    <w:p w:rsidR="00A74B36" w:rsidRPr="00564B88" w:rsidRDefault="00A74B36" w:rsidP="00564B88">
      <w:pPr>
        <w:pStyle w:val="SingleTxtGR"/>
        <w:ind w:left="1701"/>
        <w:rPr>
          <w:i/>
          <w:lang w:eastAsia="ru-RU"/>
        </w:rPr>
      </w:pPr>
      <w:r w:rsidRPr="00564B88">
        <w:rPr>
          <w:i/>
          <w:lang w:eastAsia="ru-RU"/>
        </w:rPr>
        <w:t>Статья 3. Правовые положения</w:t>
      </w:r>
    </w:p>
    <w:p w:rsidR="00A74B36" w:rsidRPr="00564B88" w:rsidRDefault="00A74B36" w:rsidP="00564B88">
      <w:pPr>
        <w:pStyle w:val="SingleTxtGR"/>
        <w:ind w:left="1701"/>
        <w:rPr>
          <w:i/>
          <w:lang w:eastAsia="ru-RU"/>
        </w:rPr>
      </w:pPr>
      <w:r w:rsidRPr="00564B88">
        <w:rPr>
          <w:i/>
          <w:lang w:eastAsia="ru-RU"/>
        </w:rPr>
        <w:t>3.1</w:t>
      </w:r>
      <w:r w:rsidR="00564B88" w:rsidRPr="00564B88">
        <w:rPr>
          <w:i/>
          <w:lang w:eastAsia="ru-RU"/>
        </w:rPr>
        <w:tab/>
      </w:r>
      <w:r w:rsidRPr="00564B88">
        <w:rPr>
          <w:i/>
          <w:lang w:eastAsia="ru-RU"/>
        </w:rPr>
        <w:t>Нижеупомянутые определения, используемые в настоящем Законе, дол</w:t>
      </w:r>
      <w:r w:rsidRPr="00564B88">
        <w:rPr>
          <w:i/>
          <w:lang w:eastAsia="ru-RU"/>
        </w:rPr>
        <w:t>ж</w:t>
      </w:r>
      <w:r w:rsidRPr="00564B88">
        <w:rPr>
          <w:i/>
          <w:lang w:eastAsia="ru-RU"/>
        </w:rPr>
        <w:t>ны толковаться следующим образом:</w:t>
      </w:r>
    </w:p>
    <w:p w:rsidR="00A74B36" w:rsidRPr="00564B88" w:rsidRDefault="00A74B36" w:rsidP="00564B88">
      <w:pPr>
        <w:pStyle w:val="SingleTxtGR"/>
        <w:ind w:left="2268"/>
        <w:rPr>
          <w:i/>
          <w:lang w:eastAsia="ru-RU"/>
        </w:rPr>
      </w:pPr>
      <w:r w:rsidRPr="00564B88">
        <w:rPr>
          <w:i/>
          <w:lang w:eastAsia="ru-RU"/>
        </w:rPr>
        <w:t>3.1.1</w:t>
      </w:r>
      <w:r w:rsidR="00564B88" w:rsidRPr="00C467DA">
        <w:rPr>
          <w:i/>
          <w:lang w:eastAsia="ru-RU"/>
        </w:rPr>
        <w:tab/>
      </w:r>
      <w:r w:rsidR="00C467DA">
        <w:rPr>
          <w:i/>
          <w:lang w:eastAsia="ru-RU"/>
        </w:rPr>
        <w:t>"</w:t>
      </w:r>
      <w:r w:rsidRPr="00564B88">
        <w:rPr>
          <w:i/>
          <w:lang w:eastAsia="ru-RU"/>
        </w:rPr>
        <w:t>Брак</w:t>
      </w:r>
      <w:r w:rsidR="00C467DA">
        <w:rPr>
          <w:i/>
          <w:lang w:eastAsia="ru-RU"/>
        </w:rPr>
        <w:t>"</w:t>
      </w:r>
      <w:r w:rsidRPr="00564B88">
        <w:rPr>
          <w:i/>
          <w:lang w:eastAsia="ru-RU"/>
        </w:rPr>
        <w:t xml:space="preserve"> является союзом мужчины и женщины, минимал</w:t>
      </w:r>
      <w:r w:rsidRPr="00564B88">
        <w:rPr>
          <w:i/>
          <w:lang w:eastAsia="ru-RU"/>
        </w:rPr>
        <w:t>ь</w:t>
      </w:r>
      <w:r w:rsidRPr="00564B88">
        <w:rPr>
          <w:i/>
          <w:lang w:eastAsia="ru-RU"/>
        </w:rPr>
        <w:t>ный возраст вступления в который устанавливается законом и кот</w:t>
      </w:r>
      <w:r w:rsidRPr="00564B88">
        <w:rPr>
          <w:i/>
          <w:lang w:eastAsia="ru-RU"/>
        </w:rPr>
        <w:t>о</w:t>
      </w:r>
      <w:r w:rsidRPr="00564B88">
        <w:rPr>
          <w:i/>
          <w:lang w:eastAsia="ru-RU"/>
        </w:rPr>
        <w:t>рый регистрируется компетентной организацией в соотве</w:t>
      </w:r>
      <w:r w:rsidRPr="00564B88">
        <w:rPr>
          <w:i/>
          <w:lang w:eastAsia="ru-RU"/>
        </w:rPr>
        <w:t>т</w:t>
      </w:r>
      <w:r w:rsidRPr="00564B88">
        <w:rPr>
          <w:i/>
          <w:lang w:eastAsia="ru-RU"/>
        </w:rPr>
        <w:t>ствии с законом с целью создания семьи на основе принципов р</w:t>
      </w:r>
      <w:r w:rsidRPr="00564B88">
        <w:rPr>
          <w:i/>
          <w:lang w:eastAsia="ru-RU"/>
        </w:rPr>
        <w:t>а</w:t>
      </w:r>
      <w:r w:rsidRPr="00564B88">
        <w:rPr>
          <w:i/>
          <w:lang w:eastAsia="ru-RU"/>
        </w:rPr>
        <w:t>венства и добровольности;</w:t>
      </w:r>
    </w:p>
    <w:p w:rsidR="00A74B36" w:rsidRPr="00564B88" w:rsidRDefault="00A74B36" w:rsidP="00564B88">
      <w:pPr>
        <w:pStyle w:val="SingleTxtGR"/>
        <w:ind w:left="2268"/>
        <w:rPr>
          <w:i/>
          <w:lang w:eastAsia="ru-RU"/>
        </w:rPr>
      </w:pPr>
      <w:r w:rsidRPr="00564B88">
        <w:rPr>
          <w:i/>
          <w:lang w:eastAsia="ru-RU"/>
        </w:rPr>
        <w:t>3.1.2</w:t>
      </w:r>
      <w:r w:rsidR="00564B88" w:rsidRPr="008D7AC0">
        <w:rPr>
          <w:i/>
          <w:lang w:eastAsia="ru-RU"/>
        </w:rPr>
        <w:tab/>
      </w:r>
      <w:r w:rsidR="00C467DA">
        <w:rPr>
          <w:i/>
          <w:lang w:eastAsia="ru-RU"/>
        </w:rPr>
        <w:t>"</w:t>
      </w:r>
      <w:r w:rsidRPr="00564B88">
        <w:rPr>
          <w:i/>
          <w:lang w:eastAsia="ru-RU"/>
        </w:rPr>
        <w:t>Семьей</w:t>
      </w:r>
      <w:r w:rsidR="00C467DA">
        <w:rPr>
          <w:i/>
          <w:lang w:eastAsia="ru-RU"/>
        </w:rPr>
        <w:t>"</w:t>
      </w:r>
      <w:r w:rsidRPr="00564B88">
        <w:rPr>
          <w:i/>
          <w:lang w:eastAsia="ru-RU"/>
        </w:rPr>
        <w:t xml:space="preserve"> является объединение ее членов, которые связаны друг с другом собственностью, личными правами и обязанностями, вытека</w:t>
      </w:r>
      <w:r w:rsidRPr="00564B88">
        <w:rPr>
          <w:i/>
          <w:lang w:eastAsia="ru-RU"/>
        </w:rPr>
        <w:t>ю</w:t>
      </w:r>
      <w:r w:rsidR="008D7AC0">
        <w:rPr>
          <w:i/>
          <w:lang w:eastAsia="ru-RU"/>
        </w:rPr>
        <w:t>щими</w:t>
      </w:r>
      <w:r w:rsidRPr="00564B88">
        <w:rPr>
          <w:i/>
          <w:lang w:eastAsia="ru-RU"/>
        </w:rPr>
        <w:t xml:space="preserve"> из факта заключения брака;</w:t>
      </w:r>
    </w:p>
    <w:p w:rsidR="00A74B36" w:rsidRPr="00564B88" w:rsidRDefault="00A74B36" w:rsidP="00564B88">
      <w:pPr>
        <w:pStyle w:val="SingleTxtGR"/>
        <w:ind w:left="2268"/>
        <w:rPr>
          <w:i/>
          <w:lang w:eastAsia="ru-RU"/>
        </w:rPr>
      </w:pPr>
      <w:r w:rsidRPr="00564B88">
        <w:rPr>
          <w:i/>
          <w:lang w:eastAsia="ru-RU"/>
        </w:rPr>
        <w:t>3.1.3</w:t>
      </w:r>
      <w:r w:rsidR="00564B88" w:rsidRPr="00C467DA">
        <w:rPr>
          <w:i/>
          <w:lang w:eastAsia="ru-RU"/>
        </w:rPr>
        <w:tab/>
      </w:r>
      <w:r w:rsidR="00C467DA">
        <w:rPr>
          <w:i/>
          <w:lang w:eastAsia="ru-RU"/>
        </w:rPr>
        <w:t>"</w:t>
      </w:r>
      <w:r w:rsidRPr="00564B88">
        <w:rPr>
          <w:i/>
          <w:lang w:eastAsia="ru-RU"/>
        </w:rPr>
        <w:t>Супругами</w:t>
      </w:r>
      <w:r w:rsidR="00C467DA">
        <w:rPr>
          <w:i/>
          <w:lang w:eastAsia="ru-RU"/>
        </w:rPr>
        <w:t>"</w:t>
      </w:r>
      <w:r w:rsidRPr="00564B88">
        <w:rPr>
          <w:i/>
          <w:lang w:eastAsia="ru-RU"/>
        </w:rPr>
        <w:t xml:space="preserve"> являются муж и жена, которые связаны узами брака и имеют равные права и обяза</w:t>
      </w:r>
      <w:r w:rsidRPr="00564B88">
        <w:rPr>
          <w:i/>
          <w:lang w:eastAsia="ru-RU"/>
        </w:rPr>
        <w:t>н</w:t>
      </w:r>
      <w:r w:rsidRPr="00564B88">
        <w:rPr>
          <w:i/>
          <w:lang w:eastAsia="ru-RU"/>
        </w:rPr>
        <w:t>ности;</w:t>
      </w:r>
    </w:p>
    <w:p w:rsidR="00A74B36" w:rsidRPr="00564B88" w:rsidRDefault="00A74B36" w:rsidP="00564B88">
      <w:pPr>
        <w:pStyle w:val="SingleTxtGR"/>
        <w:ind w:left="2268"/>
        <w:rPr>
          <w:i/>
          <w:lang w:eastAsia="ru-RU"/>
        </w:rPr>
      </w:pPr>
      <w:r w:rsidRPr="00564B88">
        <w:rPr>
          <w:i/>
          <w:lang w:eastAsia="ru-RU"/>
        </w:rPr>
        <w:t>3.1.4</w:t>
      </w:r>
      <w:r w:rsidR="00564B88" w:rsidRPr="00564B88">
        <w:rPr>
          <w:i/>
          <w:lang w:eastAsia="ru-RU"/>
        </w:rPr>
        <w:tab/>
      </w:r>
      <w:r w:rsidR="00C467DA">
        <w:rPr>
          <w:i/>
          <w:lang w:eastAsia="ru-RU"/>
        </w:rPr>
        <w:t>"</w:t>
      </w:r>
      <w:r w:rsidRPr="00564B88">
        <w:rPr>
          <w:i/>
          <w:lang w:eastAsia="ru-RU"/>
        </w:rPr>
        <w:t>Членами семьи</w:t>
      </w:r>
      <w:r w:rsidR="00C467DA">
        <w:rPr>
          <w:i/>
          <w:lang w:eastAsia="ru-RU"/>
        </w:rPr>
        <w:t>"</w:t>
      </w:r>
      <w:r w:rsidRPr="00564B88">
        <w:rPr>
          <w:i/>
          <w:lang w:eastAsia="ru-RU"/>
        </w:rPr>
        <w:t xml:space="preserve"> являются супруги, дети, рожденные в бр</w:t>
      </w:r>
      <w:r w:rsidRPr="00564B88">
        <w:rPr>
          <w:i/>
          <w:lang w:eastAsia="ru-RU"/>
        </w:rPr>
        <w:t>а</w:t>
      </w:r>
      <w:r w:rsidRPr="00564B88">
        <w:rPr>
          <w:i/>
          <w:lang w:eastAsia="ru-RU"/>
        </w:rPr>
        <w:t>ке, пасынки и падчерицы, приемные дети и живущие с ними ро</w:t>
      </w:r>
      <w:r w:rsidRPr="00564B88">
        <w:rPr>
          <w:i/>
          <w:lang w:eastAsia="ru-RU"/>
        </w:rPr>
        <w:t>д</w:t>
      </w:r>
      <w:r w:rsidRPr="00564B88">
        <w:rPr>
          <w:i/>
          <w:lang w:eastAsia="ru-RU"/>
        </w:rPr>
        <w:t>ственники.</w:t>
      </w:r>
    </w:p>
    <w:p w:rsidR="00A74B36" w:rsidRPr="00A74B36" w:rsidRDefault="00E03721" w:rsidP="00A74B36">
      <w:pPr>
        <w:pStyle w:val="SingleTxtGR"/>
        <w:rPr>
          <w:lang w:eastAsia="ru-RU"/>
        </w:rPr>
      </w:pPr>
      <w:r w:rsidRPr="00E03721">
        <w:rPr>
          <w:lang w:eastAsia="ru-RU"/>
        </w:rPr>
        <w:t>90.</w:t>
      </w:r>
      <w:r w:rsidRPr="00E03721">
        <w:rPr>
          <w:lang w:eastAsia="ru-RU"/>
        </w:rPr>
        <w:tab/>
      </w:r>
      <w:r w:rsidR="00A74B36" w:rsidRPr="00A74B36">
        <w:rPr>
          <w:lang w:eastAsia="ru-RU"/>
        </w:rPr>
        <w:t>Гражданская правоспособность приобретать права и обязанности в р</w:t>
      </w:r>
      <w:r w:rsidR="00A74B36" w:rsidRPr="00A74B36">
        <w:rPr>
          <w:lang w:eastAsia="ru-RU"/>
        </w:rPr>
        <w:t>е</w:t>
      </w:r>
      <w:r w:rsidR="00A74B36" w:rsidRPr="00A74B36">
        <w:rPr>
          <w:lang w:eastAsia="ru-RU"/>
        </w:rPr>
        <w:t>зультате собственных действий или полная правоспособность наступает с до</w:t>
      </w:r>
      <w:r w:rsidR="00A74B36" w:rsidRPr="00A74B36">
        <w:rPr>
          <w:lang w:eastAsia="ru-RU"/>
        </w:rPr>
        <w:t>с</w:t>
      </w:r>
      <w:r w:rsidR="00A74B36" w:rsidRPr="00A74B36">
        <w:rPr>
          <w:lang w:eastAsia="ru-RU"/>
        </w:rPr>
        <w:t>тижением 18-летнего возраста. Несовершеннолетние могут пользоваться сл</w:t>
      </w:r>
      <w:r w:rsidR="00A74B36" w:rsidRPr="00A74B36">
        <w:rPr>
          <w:lang w:eastAsia="ru-RU"/>
        </w:rPr>
        <w:t>е</w:t>
      </w:r>
      <w:r w:rsidR="00A74B36" w:rsidRPr="00A74B36">
        <w:rPr>
          <w:lang w:eastAsia="ru-RU"/>
        </w:rPr>
        <w:t>дующими правами самостоятельно без согласия своих официальных представ</w:t>
      </w:r>
      <w:r w:rsidR="00A74B36" w:rsidRPr="00A74B36">
        <w:rPr>
          <w:lang w:eastAsia="ru-RU"/>
        </w:rPr>
        <w:t>и</w:t>
      </w:r>
      <w:r w:rsidR="00A74B36" w:rsidRPr="00A74B36">
        <w:rPr>
          <w:lang w:eastAsia="ru-RU"/>
        </w:rPr>
        <w:t>телей:</w:t>
      </w:r>
    </w:p>
    <w:p w:rsidR="00A74B36" w:rsidRPr="00A74B36" w:rsidRDefault="00A74B36" w:rsidP="00E03721">
      <w:pPr>
        <w:pStyle w:val="Bullet1GR"/>
      </w:pPr>
      <w:r w:rsidRPr="00A74B36">
        <w:t>распоряжаться собственной зарплатой, студенческой стипендией, друг</w:t>
      </w:r>
      <w:r w:rsidRPr="00A74B36">
        <w:t>и</w:t>
      </w:r>
      <w:r w:rsidRPr="00A74B36">
        <w:t>ми подобными доходами или любыми другими активами, перев</w:t>
      </w:r>
      <w:r w:rsidRPr="00A74B36">
        <w:t>е</w:t>
      </w:r>
      <w:r w:rsidRPr="00A74B36">
        <w:t>денными им для распоряжения по своему усмотрению;</w:t>
      </w:r>
    </w:p>
    <w:p w:rsidR="00A74B36" w:rsidRPr="00A74B36" w:rsidRDefault="00A74B36" w:rsidP="00E03721">
      <w:pPr>
        <w:pStyle w:val="Bullet1GR"/>
      </w:pPr>
      <w:r w:rsidRPr="00A74B36">
        <w:t>заключать безопасные сделки или сделки практического характера с н</w:t>
      </w:r>
      <w:r w:rsidRPr="00A74B36">
        <w:t>е</w:t>
      </w:r>
      <w:r w:rsidRPr="00A74B36">
        <w:t>медленным исполнением;</w:t>
      </w:r>
    </w:p>
    <w:p w:rsidR="00A74B36" w:rsidRPr="00A74B36" w:rsidRDefault="00A74B36" w:rsidP="00E03721">
      <w:pPr>
        <w:pStyle w:val="Bullet1GR"/>
      </w:pPr>
      <w:r w:rsidRPr="00A74B36">
        <w:t>размещать в банках или кредитных учреждениях доходы, указан</w:t>
      </w:r>
      <w:r w:rsidR="009730EF">
        <w:t>ные в </w:t>
      </w:r>
      <w:r w:rsidRPr="00A74B36">
        <w:t>ст</w:t>
      </w:r>
      <w:r w:rsidRPr="00A74B36">
        <w:t>а</w:t>
      </w:r>
      <w:r w:rsidRPr="00A74B36">
        <w:t>тье 16.3.1 настоящего Закона;</w:t>
      </w:r>
    </w:p>
    <w:p w:rsidR="00A74B36" w:rsidRPr="00A74B36" w:rsidRDefault="00A74B36" w:rsidP="00E03721">
      <w:pPr>
        <w:pStyle w:val="Bullet1GR"/>
      </w:pPr>
      <w:r w:rsidRPr="00A74B36">
        <w:t>граждане в возрасте 16</w:t>
      </w:r>
      <w:r w:rsidR="00E03721" w:rsidRPr="00E03721">
        <w:t>−</w:t>
      </w:r>
      <w:r w:rsidRPr="00A74B36">
        <w:t>18 лет могут быть членами кооперативов.</w:t>
      </w:r>
    </w:p>
    <w:p w:rsidR="00A74B36" w:rsidRPr="00A74B36" w:rsidRDefault="00E03721" w:rsidP="00A74B36">
      <w:pPr>
        <w:pStyle w:val="SingleTxtGR"/>
        <w:rPr>
          <w:lang w:eastAsia="ru-RU"/>
        </w:rPr>
      </w:pPr>
      <w:r w:rsidRPr="00E03721">
        <w:rPr>
          <w:lang w:eastAsia="ru-RU"/>
        </w:rPr>
        <w:t>91.</w:t>
      </w:r>
      <w:r w:rsidRPr="00E03721">
        <w:rPr>
          <w:lang w:eastAsia="ru-RU"/>
        </w:rPr>
        <w:tab/>
      </w:r>
      <w:r w:rsidR="00A74B36" w:rsidRPr="00A74B36">
        <w:rPr>
          <w:lang w:eastAsia="ru-RU"/>
        </w:rPr>
        <w:t>В соответствии с Законом о труде Монголии лица, достигшие 16 лет, м</w:t>
      </w:r>
      <w:r w:rsidR="00A74B36" w:rsidRPr="00A74B36">
        <w:rPr>
          <w:lang w:eastAsia="ru-RU"/>
        </w:rPr>
        <w:t>о</w:t>
      </w:r>
      <w:r w:rsidR="00A74B36" w:rsidRPr="00A74B36">
        <w:rPr>
          <w:lang w:eastAsia="ru-RU"/>
        </w:rPr>
        <w:t>гут подписывать трудовые договоры. Лица, достигшие 15 лет, могут подпис</w:t>
      </w:r>
      <w:r w:rsidR="00A74B36" w:rsidRPr="00A74B36">
        <w:rPr>
          <w:lang w:eastAsia="ru-RU"/>
        </w:rPr>
        <w:t>ы</w:t>
      </w:r>
      <w:r w:rsidR="00A74B36" w:rsidRPr="00A74B36">
        <w:rPr>
          <w:lang w:eastAsia="ru-RU"/>
        </w:rPr>
        <w:t>вать трудовые договоры для выполнения работ, которые не запрещены законом, с согласия родителей или опекунов. Трудовой договор, имеющий целью обе</w:t>
      </w:r>
      <w:r w:rsidR="00A74B36" w:rsidRPr="00A74B36">
        <w:rPr>
          <w:lang w:eastAsia="ru-RU"/>
        </w:rPr>
        <w:t>с</w:t>
      </w:r>
      <w:r w:rsidR="00A74B36" w:rsidRPr="00A74B36">
        <w:rPr>
          <w:lang w:eastAsia="ru-RU"/>
        </w:rPr>
        <w:t>печить профессиональную ориентацию или трудовую практику, может быть з</w:t>
      </w:r>
      <w:r w:rsidR="00A74B36" w:rsidRPr="00A74B36">
        <w:rPr>
          <w:lang w:eastAsia="ru-RU"/>
        </w:rPr>
        <w:t>а</w:t>
      </w:r>
      <w:r w:rsidR="00A74B36" w:rsidRPr="00A74B36">
        <w:rPr>
          <w:lang w:eastAsia="ru-RU"/>
        </w:rPr>
        <w:t>ключен с лицом, достигшим 14 лет, с согласия родителей, опекунов или гос</w:t>
      </w:r>
      <w:r w:rsidR="00A74B36" w:rsidRPr="00A74B36">
        <w:rPr>
          <w:lang w:eastAsia="ru-RU"/>
        </w:rPr>
        <w:t>у</w:t>
      </w:r>
      <w:r w:rsidR="00A74B36" w:rsidRPr="00A74B36">
        <w:rPr>
          <w:lang w:eastAsia="ru-RU"/>
        </w:rPr>
        <w:t>дарственных административных организаций, занима</w:t>
      </w:r>
      <w:r w:rsidR="00A74B36" w:rsidRPr="00A74B36">
        <w:rPr>
          <w:lang w:eastAsia="ru-RU"/>
        </w:rPr>
        <w:t>ю</w:t>
      </w:r>
      <w:r w:rsidR="00A74B36" w:rsidRPr="00A74B36">
        <w:rPr>
          <w:lang w:eastAsia="ru-RU"/>
        </w:rPr>
        <w:t>щихся вопросами труда.</w:t>
      </w:r>
    </w:p>
    <w:p w:rsidR="00A74B36" w:rsidRPr="00A74B36" w:rsidRDefault="00E03721" w:rsidP="00A74B36">
      <w:pPr>
        <w:pStyle w:val="SingleTxtGR"/>
        <w:rPr>
          <w:lang w:eastAsia="ru-RU"/>
        </w:rPr>
      </w:pPr>
      <w:r w:rsidRPr="00E03721">
        <w:rPr>
          <w:lang w:eastAsia="ru-RU"/>
        </w:rPr>
        <w:t>92.</w:t>
      </w:r>
      <w:r w:rsidRPr="00E03721">
        <w:rPr>
          <w:lang w:eastAsia="ru-RU"/>
        </w:rPr>
        <w:tab/>
      </w:r>
      <w:r w:rsidR="00A74B36" w:rsidRPr="00A74B36">
        <w:rPr>
          <w:lang w:eastAsia="ru-RU"/>
        </w:rPr>
        <w:t>В соответствии с Гражданским кодексом Монголии и Законом о правах ребенка лица, достигшие 18-летнего возраста, включая женщин, могут вступать в брак только на добровольной основе. С нарушениями права на вступление в брак на добровольной основе или другой незаконной практикой по принужд</w:t>
      </w:r>
      <w:r w:rsidR="00A74B36" w:rsidRPr="00A74B36">
        <w:rPr>
          <w:lang w:eastAsia="ru-RU"/>
        </w:rPr>
        <w:t>е</w:t>
      </w:r>
      <w:r w:rsidR="00A74B36" w:rsidRPr="00A74B36">
        <w:rPr>
          <w:lang w:eastAsia="ru-RU"/>
        </w:rPr>
        <w:t>нию же</w:t>
      </w:r>
      <w:r w:rsidR="00A74B36" w:rsidRPr="00A74B36">
        <w:rPr>
          <w:lang w:eastAsia="ru-RU"/>
        </w:rPr>
        <w:t>н</w:t>
      </w:r>
      <w:r w:rsidR="00A74B36" w:rsidRPr="00A74B36">
        <w:rPr>
          <w:lang w:eastAsia="ru-RU"/>
        </w:rPr>
        <w:t>щин к вступлению в брак полностью покончено в нашей стране.</w:t>
      </w:r>
    </w:p>
    <w:p w:rsidR="00A74B36" w:rsidRPr="00A74B36" w:rsidRDefault="00E03721" w:rsidP="00A74B36">
      <w:pPr>
        <w:pStyle w:val="SingleTxtGR"/>
        <w:rPr>
          <w:lang w:eastAsia="ru-RU"/>
        </w:rPr>
      </w:pPr>
      <w:r w:rsidRPr="00E03721">
        <w:rPr>
          <w:lang w:eastAsia="ru-RU"/>
        </w:rPr>
        <w:t>93.</w:t>
      </w:r>
      <w:r w:rsidRPr="00E03721">
        <w:rPr>
          <w:lang w:eastAsia="ru-RU"/>
        </w:rPr>
        <w:tab/>
      </w:r>
      <w:r w:rsidR="00A74B36" w:rsidRPr="00A74B36">
        <w:rPr>
          <w:lang w:eastAsia="ru-RU"/>
        </w:rPr>
        <w:t>В соответствии с положениями Конституции Монголии, которая прово</w:t>
      </w:r>
      <w:r w:rsidR="00A74B36" w:rsidRPr="00A74B36">
        <w:rPr>
          <w:lang w:eastAsia="ru-RU"/>
        </w:rPr>
        <w:t>з</w:t>
      </w:r>
      <w:r w:rsidR="00A74B36" w:rsidRPr="00A74B36">
        <w:rPr>
          <w:lang w:eastAsia="ru-RU"/>
        </w:rPr>
        <w:t>глашает защиту интересов семьи, матери и ребенка, в 2005</w:t>
      </w:r>
      <w:r w:rsidR="0066488E" w:rsidRPr="0066488E">
        <w:rPr>
          <w:lang w:eastAsia="ru-RU"/>
        </w:rPr>
        <w:t>−</w:t>
      </w:r>
      <w:r w:rsidR="00A74B36" w:rsidRPr="00A74B36">
        <w:rPr>
          <w:lang w:eastAsia="ru-RU"/>
        </w:rPr>
        <w:t>2010 годах прав</w:t>
      </w:r>
      <w:r w:rsidR="00A74B36" w:rsidRPr="00A74B36">
        <w:rPr>
          <w:lang w:eastAsia="ru-RU"/>
        </w:rPr>
        <w:t>и</w:t>
      </w:r>
      <w:r w:rsidR="00A74B36" w:rsidRPr="00A74B36">
        <w:rPr>
          <w:lang w:eastAsia="ru-RU"/>
        </w:rPr>
        <w:t>тельство Монголии осуществляло следующую деятел</w:t>
      </w:r>
      <w:r w:rsidR="00A74B36" w:rsidRPr="00A74B36">
        <w:rPr>
          <w:lang w:eastAsia="ru-RU"/>
        </w:rPr>
        <w:t>ь</w:t>
      </w:r>
      <w:r w:rsidR="00A74B36" w:rsidRPr="00A74B36">
        <w:rPr>
          <w:lang w:eastAsia="ru-RU"/>
        </w:rPr>
        <w:t>ность:</w:t>
      </w:r>
    </w:p>
    <w:p w:rsidR="00A74B36" w:rsidRPr="00A74B36" w:rsidRDefault="00A74B36" w:rsidP="00E03721">
      <w:pPr>
        <w:pStyle w:val="Bullet1GR"/>
      </w:pPr>
      <w:r w:rsidRPr="00A74B36">
        <w:t xml:space="preserve">Реализация программы </w:t>
      </w:r>
      <w:r w:rsidR="00C467DA">
        <w:t>"</w:t>
      </w:r>
      <w:r w:rsidRPr="00A74B36">
        <w:t>Пособия на детей</w:t>
      </w:r>
      <w:r w:rsidR="00C467DA">
        <w:t>"</w:t>
      </w:r>
      <w:r w:rsidRPr="00A74B36">
        <w:t>. С января 2005 по 1 июля т</w:t>
      </w:r>
      <w:r w:rsidRPr="00A74B36">
        <w:t>о</w:t>
      </w:r>
      <w:r w:rsidRPr="00A74B36">
        <w:t>го же года на каждого ребенка в возрасте 0</w:t>
      </w:r>
      <w:r w:rsidR="0066488E" w:rsidRPr="0066488E">
        <w:t>−</w:t>
      </w:r>
      <w:r w:rsidRPr="00A74B36">
        <w:t>18 лет в семьях, где более трех детей, а доходы ниже прожиточного уровня, выплачивалось пособие в размере 3</w:t>
      </w:r>
      <w:r w:rsidR="0066488E">
        <w:rPr>
          <w:lang w:val="en-US"/>
        </w:rPr>
        <w:t> </w:t>
      </w:r>
      <w:r w:rsidRPr="00A74B36">
        <w:t>000 тугриков. С 1 июля 2006 года вышеназванное пособие в</w:t>
      </w:r>
      <w:r w:rsidRPr="00A74B36">
        <w:t>ы</w:t>
      </w:r>
      <w:r w:rsidRPr="00A74B36">
        <w:t>плачивалось на всех детей в возрасте 0</w:t>
      </w:r>
      <w:r w:rsidR="0066488E" w:rsidRPr="0066488E">
        <w:t>−</w:t>
      </w:r>
      <w:r w:rsidRPr="00A74B36">
        <w:t>18 лет в домохозяйствах с дох</w:t>
      </w:r>
      <w:r w:rsidRPr="00A74B36">
        <w:t>о</w:t>
      </w:r>
      <w:r w:rsidRPr="00A74B36">
        <w:t xml:space="preserve">дами ниже прожиточного минимума. </w:t>
      </w:r>
      <w:r w:rsidR="0066488E">
        <w:t>С июля 2006 года по январь 2010</w:t>
      </w:r>
      <w:r w:rsidR="0066488E">
        <w:rPr>
          <w:lang w:val="en-US"/>
        </w:rPr>
        <w:t> </w:t>
      </w:r>
      <w:r w:rsidRPr="00A74B36">
        <w:t>года пособие выплачивалось на всех детей в возрасте 0</w:t>
      </w:r>
      <w:r w:rsidR="0066488E" w:rsidRPr="0066488E">
        <w:t>−</w:t>
      </w:r>
      <w:r w:rsidRPr="00A74B36">
        <w:t>18 лет нез</w:t>
      </w:r>
      <w:r w:rsidRPr="00A74B36">
        <w:t>а</w:t>
      </w:r>
      <w:r w:rsidRPr="00A74B36">
        <w:t>висимо от уровня доходов их семей.</w:t>
      </w:r>
    </w:p>
    <w:p w:rsidR="00A74B36" w:rsidRPr="00A74B36" w:rsidRDefault="00A74B36" w:rsidP="00E03721">
      <w:pPr>
        <w:pStyle w:val="Bullet1GR"/>
      </w:pPr>
      <w:r w:rsidRPr="00A74B36">
        <w:t xml:space="preserve">Реализация программы </w:t>
      </w:r>
      <w:r w:rsidR="00C467DA">
        <w:t>"</w:t>
      </w:r>
      <w:r w:rsidRPr="00A74B36">
        <w:t>Развитие ребенка</w:t>
      </w:r>
      <w:r w:rsidR="00C467DA">
        <w:t>"</w:t>
      </w:r>
      <w:r w:rsidRPr="00A74B36">
        <w:t>. В 2007 году был принят н</w:t>
      </w:r>
      <w:r w:rsidRPr="00A74B36">
        <w:t>о</w:t>
      </w:r>
      <w:r w:rsidRPr="00A74B36">
        <w:t>вый Закон о Фонде развития Монголии, предполагавший финанс</w:t>
      </w:r>
      <w:r w:rsidRPr="00A74B36">
        <w:t>и</w:t>
      </w:r>
      <w:r w:rsidRPr="00A74B36">
        <w:t>рование этой программы из таких источников, как доходы от налогов на цены на некоторые ископаемые (например, золото, медь и другие доходы горн</w:t>
      </w:r>
      <w:r w:rsidRPr="00A74B36">
        <w:t>о</w:t>
      </w:r>
      <w:r w:rsidRPr="00A74B36">
        <w:t>добывающей промышленности), доходы государственного бюджета, н</w:t>
      </w:r>
      <w:r w:rsidRPr="00A74B36">
        <w:t>е</w:t>
      </w:r>
      <w:r w:rsidRPr="00A74B36">
        <w:t xml:space="preserve">использованные ресурсы Фонда риска. </w:t>
      </w:r>
      <w:r w:rsidR="0066488E">
        <w:t>На каждого ребенка в возрасте 0</w:t>
      </w:r>
      <w:r w:rsidR="0066488E" w:rsidRPr="0066488E">
        <w:t>−</w:t>
      </w:r>
      <w:r w:rsidRPr="00A74B36">
        <w:t>18 лет ежегодно до января 2010 года выделялось 100 тыс. тугриков.</w:t>
      </w:r>
    </w:p>
    <w:p w:rsidR="00A74B36" w:rsidRPr="00A74B36" w:rsidRDefault="00A74B36" w:rsidP="00E03721">
      <w:pPr>
        <w:pStyle w:val="Bullet1GR"/>
      </w:pPr>
      <w:r w:rsidRPr="00A74B36">
        <w:t xml:space="preserve">Реализация программы </w:t>
      </w:r>
      <w:r w:rsidR="00C467DA">
        <w:t>"</w:t>
      </w:r>
      <w:r w:rsidRPr="00A74B36">
        <w:t>Новорожденный ребенок</w:t>
      </w:r>
      <w:r w:rsidR="00C467DA">
        <w:t>"</w:t>
      </w:r>
      <w:r w:rsidRPr="00A74B36">
        <w:t>. В период с 1 января 2006 года по 1 января 2010 года на каждого новорожденного ребенка ед</w:t>
      </w:r>
      <w:r w:rsidRPr="00A74B36">
        <w:t>и</w:t>
      </w:r>
      <w:r w:rsidRPr="00A74B36">
        <w:t>новременно выплачивалось пособие в размере 100 тыс. тугриков. В р</w:t>
      </w:r>
      <w:r w:rsidRPr="00A74B36">
        <w:t>е</w:t>
      </w:r>
      <w:r w:rsidRPr="00A74B36">
        <w:t>зультате осуществления вышеназванных мер улучшилась пос</w:t>
      </w:r>
      <w:r w:rsidRPr="00A74B36">
        <w:t>е</w:t>
      </w:r>
      <w:r w:rsidRPr="00A74B36">
        <w:t>щаемость школ детьми. В исследовании Всемирного банка было упом</w:t>
      </w:r>
      <w:r w:rsidRPr="00A74B36">
        <w:t>я</w:t>
      </w:r>
      <w:r w:rsidRPr="00A74B36">
        <w:t>нуто, что особо улучшилась посещаемость средней школы детьми из бедных дом</w:t>
      </w:r>
      <w:r w:rsidRPr="00A74B36">
        <w:t>о</w:t>
      </w:r>
      <w:r w:rsidRPr="00A74B36">
        <w:t>хозяйств. Наблюдалось положительное воздействие на развитие детей, включая расширенный охват прививками, улучшение жизни детей в с</w:t>
      </w:r>
      <w:r w:rsidRPr="00A74B36">
        <w:t>е</w:t>
      </w:r>
      <w:r w:rsidRPr="00A74B36">
        <w:t>мейной среде, профилактику недоедания среди детей. Также был внесен определенный вклад в улучшение ухода и внимания со стороны родит</w:t>
      </w:r>
      <w:r w:rsidRPr="00A74B36">
        <w:t>е</w:t>
      </w:r>
      <w:r w:rsidRPr="00A74B36">
        <w:t>лей, повышения их ответственности за воспитание д</w:t>
      </w:r>
      <w:r w:rsidRPr="00A74B36">
        <w:t>е</w:t>
      </w:r>
      <w:r w:rsidRPr="00A74B36">
        <w:t>тей.</w:t>
      </w:r>
    </w:p>
    <w:p w:rsidR="00A74B36" w:rsidRPr="00A74B36" w:rsidRDefault="00A74B36" w:rsidP="00E03721">
      <w:pPr>
        <w:pStyle w:val="Bullet1GR"/>
      </w:pPr>
      <w:r w:rsidRPr="00A74B36">
        <w:t xml:space="preserve">Реализация программы </w:t>
      </w:r>
      <w:r w:rsidR="00C467DA">
        <w:t>"</w:t>
      </w:r>
      <w:r w:rsidRPr="00A74B36">
        <w:t>Новая семья</w:t>
      </w:r>
      <w:r w:rsidR="00C467DA">
        <w:t>"</w:t>
      </w:r>
      <w:r w:rsidRPr="00A74B36">
        <w:t>. Для поощрения ответственного отношения молодых людей к вступлению в брак, содействия его офиц</w:t>
      </w:r>
      <w:r w:rsidRPr="00A74B36">
        <w:t>и</w:t>
      </w:r>
      <w:r w:rsidRPr="00A74B36">
        <w:t>альной регистрации и создания стабильных семей как основной ячейки общества молодым семьям, в которых супруги моложе 35 лет и впервые вступают в брак, единовременно выплачивалось пособие в раз</w:t>
      </w:r>
      <w:r w:rsidR="0066488E">
        <w:t>мере 500</w:t>
      </w:r>
      <w:r w:rsidR="0066488E">
        <w:rPr>
          <w:lang w:val="en-US"/>
        </w:rPr>
        <w:t> </w:t>
      </w:r>
      <w:r w:rsidRPr="00A74B36">
        <w:t>000 тугриков. Эта программа осуществлялась в период с 1 января 2006 года по 31 декабря 2009 года. Во время осуществления вышеназва</w:t>
      </w:r>
      <w:r w:rsidRPr="00A74B36">
        <w:t>н</w:t>
      </w:r>
      <w:r w:rsidRPr="00A74B36">
        <w:t>ных программ наблюдались такие положительные тенденции, как улу</w:t>
      </w:r>
      <w:r w:rsidRPr="00A74B36">
        <w:t>ч</w:t>
      </w:r>
      <w:r w:rsidRPr="00A74B36">
        <w:t>шение посещаемости школы и расширение о</w:t>
      </w:r>
      <w:r w:rsidRPr="00A74B36">
        <w:t>х</w:t>
      </w:r>
      <w:r w:rsidRPr="00A74B36">
        <w:t>вата детей прививками, особенно в отношении детей из бедных домохозяйств, а количество бе</w:t>
      </w:r>
      <w:r w:rsidRPr="00A74B36">
        <w:t>з</w:t>
      </w:r>
      <w:r w:rsidRPr="00A74B36">
        <w:t>надзорных детей сократилось, и родители стали лучше заботиться о св</w:t>
      </w:r>
      <w:r w:rsidRPr="00A74B36">
        <w:t>о</w:t>
      </w:r>
      <w:r w:rsidRPr="00A74B36">
        <w:t>их детях. Однако по причине мирового экономического и финансового кризиса 2008</w:t>
      </w:r>
      <w:r w:rsidR="0066488E" w:rsidRPr="0066488E">
        <w:t>−</w:t>
      </w:r>
      <w:r w:rsidRPr="00A74B36">
        <w:t>2009 годов государственный бюджет и другие доходы уменьш</w:t>
      </w:r>
      <w:r w:rsidRPr="00A74B36">
        <w:t>и</w:t>
      </w:r>
      <w:r w:rsidRPr="00A74B36">
        <w:t>лись, и реализация этих программ была прекращена.</w:t>
      </w:r>
    </w:p>
    <w:p w:rsidR="00A74B36" w:rsidRPr="00A74B36" w:rsidRDefault="00A74B36" w:rsidP="00E03721">
      <w:pPr>
        <w:pStyle w:val="Bullet1GR"/>
      </w:pPr>
      <w:r w:rsidRPr="00A74B36">
        <w:t>С 2010 года осуществляется новая программа, охватывающая нас</w:t>
      </w:r>
      <w:r w:rsidRPr="00A74B36">
        <w:t>е</w:t>
      </w:r>
      <w:r w:rsidRPr="00A74B36">
        <w:t>ление в целом. Она предоставляет льготы всем гражданам благодаря доходам, п</w:t>
      </w:r>
      <w:r w:rsidRPr="00A74B36">
        <w:t>о</w:t>
      </w:r>
      <w:r w:rsidRPr="00A74B36">
        <w:t>ступающим от освоения месторождений стратегических полезных иск</w:t>
      </w:r>
      <w:r w:rsidRPr="00A74B36">
        <w:t>о</w:t>
      </w:r>
      <w:r w:rsidRPr="00A74B36">
        <w:t>паемых через Фонд развития человеческого потенциала (ФРЧП). Гражд</w:t>
      </w:r>
      <w:r w:rsidRPr="00A74B36">
        <w:t>а</w:t>
      </w:r>
      <w:r w:rsidRPr="00A74B36">
        <w:t>не могут иметь доступ к льготам ФРЧП в форме уплаты взносов в счет пенсионного и медицинского страхования, получения компенсаций на вновь приобретаемое жилье наличными, а также уплаты расходов на м</w:t>
      </w:r>
      <w:r w:rsidRPr="00A74B36">
        <w:t>е</w:t>
      </w:r>
      <w:r w:rsidRPr="00A74B36">
        <w:t>дицинские и образовательные услуги. В соответствии с программой в</w:t>
      </w:r>
      <w:r w:rsidRPr="00A74B36">
        <w:t>ы</w:t>
      </w:r>
      <w:r w:rsidRPr="00A74B36">
        <w:t>платы денежных пособий каждый житель Монголии ежемесячно пол</w:t>
      </w:r>
      <w:r w:rsidRPr="00A74B36">
        <w:t>у</w:t>
      </w:r>
      <w:r w:rsidRPr="00A74B36">
        <w:t>чал 10</w:t>
      </w:r>
      <w:r w:rsidR="0066488E">
        <w:rPr>
          <w:lang w:val="en-US"/>
        </w:rPr>
        <w:t> </w:t>
      </w:r>
      <w:r w:rsidRPr="00A74B36">
        <w:t>000 тугриков, а в 2011 году ежемесячное денежное пособие увелич</w:t>
      </w:r>
      <w:r w:rsidRPr="00A74B36">
        <w:t>и</w:t>
      </w:r>
      <w:r w:rsidRPr="00A74B36">
        <w:t>лось до 21 000 тугриков. Кроме того, в 2011 году из ФРЧП было выдел</w:t>
      </w:r>
      <w:r w:rsidRPr="00A74B36">
        <w:t>е</w:t>
      </w:r>
      <w:r w:rsidRPr="00A74B36">
        <w:t>но 500 000 тугриков для оплаты обучения студентов-очников и 8</w:t>
      </w:r>
      <w:r w:rsidR="0066488E">
        <w:rPr>
          <w:lang w:val="en-US"/>
        </w:rPr>
        <w:t> </w:t>
      </w:r>
      <w:r w:rsidRPr="00A74B36">
        <w:t>040 ту</w:t>
      </w:r>
      <w:r w:rsidRPr="00A74B36">
        <w:t>г</w:t>
      </w:r>
      <w:r w:rsidRPr="00A74B36">
        <w:t>риков в качестве взноса на медицинскую страховку для каждого па</w:t>
      </w:r>
      <w:r w:rsidRPr="00A74B36">
        <w:t>с</w:t>
      </w:r>
      <w:r w:rsidRPr="00A74B36">
        <w:t>туха, студента и безработного. Тот факт, что данная программа обеспечивает равные возможности для каждого, является благоприятным фактором. Однако, поскольку малоимущие, уязвимые группы населения ну</w:t>
      </w:r>
      <w:r w:rsidRPr="00A74B36">
        <w:t>ж</w:t>
      </w:r>
      <w:r w:rsidRPr="00A74B36">
        <w:t>даются еще в большей помощи и поддержке, началась работа по пересмотру з</w:t>
      </w:r>
      <w:r w:rsidRPr="00A74B36">
        <w:t>а</w:t>
      </w:r>
      <w:r w:rsidRPr="00A74B36">
        <w:t>конодательства с тем, чтобы охватить социальным обеспечен</w:t>
      </w:r>
      <w:r w:rsidRPr="00A74B36">
        <w:t>и</w:t>
      </w:r>
      <w:r w:rsidRPr="00A74B36">
        <w:t>ем целевые группы.</w:t>
      </w:r>
    </w:p>
    <w:p w:rsidR="00A74B36" w:rsidRPr="00A74B36" w:rsidRDefault="0066488E" w:rsidP="00A74B36">
      <w:pPr>
        <w:pStyle w:val="SingleTxtGR"/>
        <w:rPr>
          <w:lang w:eastAsia="ru-RU"/>
        </w:rPr>
      </w:pPr>
      <w:r w:rsidRPr="0066488E">
        <w:rPr>
          <w:lang w:eastAsia="ru-RU"/>
        </w:rPr>
        <w:t>94.</w:t>
      </w:r>
      <w:r w:rsidRPr="0066488E">
        <w:rPr>
          <w:lang w:eastAsia="ru-RU"/>
        </w:rPr>
        <w:tab/>
      </w:r>
      <w:r w:rsidR="00A74B36" w:rsidRPr="00A74B36">
        <w:rPr>
          <w:lang w:eastAsia="ru-RU"/>
        </w:rPr>
        <w:t>Ранее упоминалось, что Монголия</w:t>
      </w:r>
      <w:r>
        <w:rPr>
          <w:lang w:eastAsia="ru-RU"/>
        </w:rPr>
        <w:t xml:space="preserve"> ратифицировала Конвенцию МОТ №</w:t>
      </w:r>
      <w:r>
        <w:rPr>
          <w:lang w:val="en-US" w:eastAsia="ru-RU"/>
        </w:rPr>
        <w:t> </w:t>
      </w:r>
      <w:r w:rsidR="00A74B36" w:rsidRPr="00A74B36">
        <w:rPr>
          <w:lang w:eastAsia="ru-RU"/>
        </w:rPr>
        <w:t>103 об охране материнства. Матери имеют следующие права в соответствии с Законом о труде Монголии и другими соответствующими законодательными актами:</w:t>
      </w:r>
    </w:p>
    <w:p w:rsidR="00A74B36" w:rsidRPr="00A74B36" w:rsidRDefault="00A74B36" w:rsidP="0066488E">
      <w:pPr>
        <w:pStyle w:val="Bullet1GR"/>
      </w:pPr>
      <w:r w:rsidRPr="00A74B36">
        <w:t>Матерям предоставляется отпуск по беременности и родам продолж</w:t>
      </w:r>
      <w:r w:rsidRPr="00A74B36">
        <w:t>и</w:t>
      </w:r>
      <w:r w:rsidRPr="00A74B36">
        <w:t>тельностью в 60 дней или два месяца до родов и на такой же срок после родов. Размер пособия в этот период равен 100% средней зарплаты. М</w:t>
      </w:r>
      <w:r w:rsidRPr="00A74B36">
        <w:t>а</w:t>
      </w:r>
      <w:r w:rsidRPr="00A74B36">
        <w:t>терям, родившим следующего ребенка во время отпуска по уходу за р</w:t>
      </w:r>
      <w:r w:rsidRPr="00A74B36">
        <w:t>е</w:t>
      </w:r>
      <w:r w:rsidRPr="00A74B36">
        <w:t>бенком, выплачив</w:t>
      </w:r>
      <w:r w:rsidRPr="00A74B36">
        <w:t>а</w:t>
      </w:r>
      <w:r w:rsidRPr="00A74B36">
        <w:t>ются пособия по беременности и родам.</w:t>
      </w:r>
    </w:p>
    <w:p w:rsidR="00A74B36" w:rsidRPr="00A74B36" w:rsidRDefault="00A74B36" w:rsidP="0066488E">
      <w:pPr>
        <w:pStyle w:val="Bullet1GR"/>
      </w:pPr>
      <w:r w:rsidRPr="00A74B36">
        <w:t>Матерям, усыновившим/удочерившим новорожденного ребенка, предо</w:t>
      </w:r>
      <w:r w:rsidRPr="00A74B36">
        <w:t>с</w:t>
      </w:r>
      <w:r w:rsidRPr="00A74B36">
        <w:t>тавляется такой же отпуск, что и матерям, самим родившим ребенка, до достижения им возраста 60 дней. Это же положение равным образом ра</w:t>
      </w:r>
      <w:r w:rsidRPr="00A74B36">
        <w:t>с</w:t>
      </w:r>
      <w:r w:rsidRPr="00A74B36">
        <w:t>пространяется на отцов, усыновивших/удочеривших новорожденного р</w:t>
      </w:r>
      <w:r w:rsidRPr="00A74B36">
        <w:t>е</w:t>
      </w:r>
      <w:r w:rsidRPr="00A74B36">
        <w:t>бенка.</w:t>
      </w:r>
    </w:p>
    <w:p w:rsidR="00A74B36" w:rsidRPr="00A74B36" w:rsidRDefault="00A74B36" w:rsidP="0066488E">
      <w:pPr>
        <w:pStyle w:val="Bullet1GR"/>
      </w:pPr>
      <w:r w:rsidRPr="00A74B36">
        <w:t>По завершени</w:t>
      </w:r>
      <w:r w:rsidR="009730EF">
        <w:t>и</w:t>
      </w:r>
      <w:r w:rsidRPr="00A74B36">
        <w:t xml:space="preserve"> отпуска по уходу за ребенком или до завершения такого отпуска, если работник попросил об этом, работодатель обязан взять мать или отца на прежнюю работу или должность, а если такой работы или должности не стало или количество сотрудников было сокращено, то р</w:t>
      </w:r>
      <w:r w:rsidRPr="00A74B36">
        <w:t>а</w:t>
      </w:r>
      <w:r w:rsidRPr="00A74B36">
        <w:t>ботодатель должен предоставить ей или ему другую работу или дол</w:t>
      </w:r>
      <w:r w:rsidRPr="00A74B36">
        <w:t>ж</w:t>
      </w:r>
      <w:r w:rsidRPr="00A74B36">
        <w:t>ность.</w:t>
      </w:r>
    </w:p>
    <w:p w:rsidR="00A74B36" w:rsidRPr="00A74B36" w:rsidRDefault="00A74B36" w:rsidP="0066488E">
      <w:pPr>
        <w:pStyle w:val="Bullet1GR"/>
      </w:pPr>
      <w:r w:rsidRPr="00A74B36">
        <w:t>Помимо регулярных перерывов для отдыха предусматривается дополн</w:t>
      </w:r>
      <w:r w:rsidRPr="00A74B36">
        <w:t>и</w:t>
      </w:r>
      <w:r w:rsidRPr="00A74B36">
        <w:t>тельный двухчасовой перерыв для ухода за ребенком и его кормл</w:t>
      </w:r>
      <w:r w:rsidRPr="00A74B36">
        <w:t>е</w:t>
      </w:r>
      <w:r w:rsidRPr="00A74B36">
        <w:t>ния для женщин, имеющих детей в возрасте до шести месяцев или близнецов в возрасте до одного года; дополнительный одночасовой перерыв предо</w:t>
      </w:r>
      <w:r w:rsidRPr="00A74B36">
        <w:t>с</w:t>
      </w:r>
      <w:r w:rsidRPr="00A74B36">
        <w:t>тавляется женщинам с детьми в возраст</w:t>
      </w:r>
      <w:r w:rsidR="00C733D3">
        <w:t>е</w:t>
      </w:r>
      <w:r w:rsidRPr="00A74B36">
        <w:t xml:space="preserve"> от шести месяцев до одного г</w:t>
      </w:r>
      <w:r w:rsidRPr="00A74B36">
        <w:t>о</w:t>
      </w:r>
      <w:r w:rsidRPr="00A74B36">
        <w:t>да, а также женщинам, имеющим детей в возрасте более одного года, к</w:t>
      </w:r>
      <w:r w:rsidRPr="00A74B36">
        <w:t>о</w:t>
      </w:r>
      <w:r w:rsidRPr="00A74B36">
        <w:t>торые требуют специального ухода, что определяется медицинским з</w:t>
      </w:r>
      <w:r w:rsidRPr="00A74B36">
        <w:t>а</w:t>
      </w:r>
      <w:r w:rsidRPr="00A74B36">
        <w:t>ключением. Данное положение распр</w:t>
      </w:r>
      <w:r w:rsidRPr="00A74B36">
        <w:t>о</w:t>
      </w:r>
      <w:r w:rsidRPr="00A74B36">
        <w:t>страняется также на отцов-одиночек. Дополнительные перерывы для кормления и ухода за ребенком включаются в рабочее время сотрудника.</w:t>
      </w:r>
    </w:p>
    <w:p w:rsidR="00A74B36" w:rsidRPr="00A74B36" w:rsidRDefault="00A74B36" w:rsidP="0066488E">
      <w:pPr>
        <w:pStyle w:val="Bullet1GR"/>
      </w:pPr>
      <w:r w:rsidRPr="00A74B36">
        <w:t>Работодатель не может требовать от беременной женщины или матери, имеющей ребенка моложе восьми лет, или матери-одиночки с ребенком моложе 16 лет выполнять работу в ночные часы, сверхурочно или о</w:t>
      </w:r>
      <w:r w:rsidRPr="00A74B36">
        <w:t>т</w:t>
      </w:r>
      <w:r w:rsidRPr="00A74B36">
        <w:t>правляться в служебные командировки в пункты, находящиеся за пред</w:t>
      </w:r>
      <w:r w:rsidRPr="00A74B36">
        <w:t>е</w:t>
      </w:r>
      <w:r w:rsidRPr="00A74B36">
        <w:t>лами ее рабочего места, без предварительного согласия работника. Это положение в равной степени относится к отцам-одиночкам, имеющим д</w:t>
      </w:r>
      <w:r w:rsidRPr="00A74B36">
        <w:t>е</w:t>
      </w:r>
      <w:r w:rsidRPr="00A74B36">
        <w:t>тей моложе 16 лет.</w:t>
      </w:r>
    </w:p>
    <w:p w:rsidR="00A74B36" w:rsidRPr="00A74B36" w:rsidRDefault="00A74B36" w:rsidP="0066488E">
      <w:pPr>
        <w:pStyle w:val="Bullet1GR"/>
      </w:pPr>
      <w:r w:rsidRPr="00A74B36">
        <w:t>Матери имеют доступ ко всем этапам дородовой и родовой мед</w:t>
      </w:r>
      <w:r w:rsidRPr="00A74B36">
        <w:t>и</w:t>
      </w:r>
      <w:r w:rsidRPr="00A74B36">
        <w:t>цинской помощи в учреждениях здравоохранения всех уровней независимо от у</w:t>
      </w:r>
      <w:r w:rsidRPr="00A74B36">
        <w:t>п</w:t>
      </w:r>
      <w:r w:rsidRPr="00A74B36">
        <w:t>латы взносов по медицинскому страхованию. Иными словами, государс</w:t>
      </w:r>
      <w:r w:rsidRPr="00A74B36">
        <w:t>т</w:t>
      </w:r>
      <w:r w:rsidRPr="00A74B36">
        <w:t>во финанс</w:t>
      </w:r>
      <w:r w:rsidRPr="00A74B36">
        <w:t>и</w:t>
      </w:r>
      <w:r w:rsidRPr="00A74B36">
        <w:t>рует медицинскую помощь и услуги для беременных женщин и услуги по уходу за ребенком. Уплата взносов по медицинскому страх</w:t>
      </w:r>
      <w:r w:rsidRPr="00A74B36">
        <w:t>о</w:t>
      </w:r>
      <w:r w:rsidRPr="00A74B36">
        <w:t>ванию всех детей в во</w:t>
      </w:r>
      <w:r w:rsidRPr="00A74B36">
        <w:t>з</w:t>
      </w:r>
      <w:r w:rsidRPr="00A74B36">
        <w:t>расте 0</w:t>
      </w:r>
      <w:r w:rsidR="0066488E" w:rsidRPr="0066488E">
        <w:t>−</w:t>
      </w:r>
      <w:r w:rsidRPr="00A74B36">
        <w:t>18 лет производится государством. Прочая помощь матерям в рамках социального обеспечения подробно рассматр</w:t>
      </w:r>
      <w:r w:rsidRPr="00A74B36">
        <w:t>и</w:t>
      </w:r>
      <w:r w:rsidRPr="00A74B36">
        <w:t>вается в части доклада, посв</w:t>
      </w:r>
      <w:r w:rsidRPr="00A74B36">
        <w:t>я</w:t>
      </w:r>
      <w:r w:rsidRPr="00A74B36">
        <w:t>щенной осуществлению статьи 9 Пакта.</w:t>
      </w:r>
    </w:p>
    <w:p w:rsidR="00A74B36" w:rsidRPr="00A74B36" w:rsidRDefault="0066488E" w:rsidP="00A74B36">
      <w:pPr>
        <w:pStyle w:val="SingleTxtGR"/>
        <w:rPr>
          <w:lang w:eastAsia="ru-RU"/>
        </w:rPr>
      </w:pPr>
      <w:r w:rsidRPr="0066488E">
        <w:rPr>
          <w:lang w:eastAsia="ru-RU"/>
        </w:rPr>
        <w:t>95.</w:t>
      </w:r>
      <w:r w:rsidRPr="0066488E">
        <w:rPr>
          <w:lang w:eastAsia="ru-RU"/>
        </w:rPr>
        <w:tab/>
      </w:r>
      <w:r w:rsidR="00A74B36" w:rsidRPr="00A74B36">
        <w:rPr>
          <w:lang w:eastAsia="ru-RU"/>
        </w:rPr>
        <w:t>Законом о труде Монголии установлен минимальный возраст приема на оплачиваемую работу – 16 лет. Однако в Законе указывается, что трудовой д</w:t>
      </w:r>
      <w:r w:rsidR="00A74B36" w:rsidRPr="00A74B36">
        <w:rPr>
          <w:lang w:eastAsia="ru-RU"/>
        </w:rPr>
        <w:t>о</w:t>
      </w:r>
      <w:r w:rsidR="00A74B36" w:rsidRPr="00A74B36">
        <w:rPr>
          <w:lang w:eastAsia="ru-RU"/>
        </w:rPr>
        <w:t>говор может быть подписан с гражданином в возрасте от 15 до 16 лет при с</w:t>
      </w:r>
      <w:r w:rsidR="00A74B36" w:rsidRPr="00A74B36">
        <w:rPr>
          <w:lang w:eastAsia="ru-RU"/>
        </w:rPr>
        <w:t>о</w:t>
      </w:r>
      <w:r w:rsidR="00A74B36" w:rsidRPr="00A74B36">
        <w:rPr>
          <w:lang w:eastAsia="ru-RU"/>
        </w:rPr>
        <w:t>гласии родителей и опекунов.</w:t>
      </w:r>
    </w:p>
    <w:p w:rsidR="00A74B36" w:rsidRPr="00A74B36" w:rsidRDefault="0066488E" w:rsidP="00A74B36">
      <w:pPr>
        <w:pStyle w:val="SingleTxtGR"/>
        <w:rPr>
          <w:lang w:eastAsia="ru-RU"/>
        </w:rPr>
      </w:pPr>
      <w:r w:rsidRPr="0066488E">
        <w:rPr>
          <w:lang w:eastAsia="ru-RU"/>
        </w:rPr>
        <w:t>96.</w:t>
      </w:r>
      <w:r w:rsidRPr="0066488E">
        <w:rPr>
          <w:lang w:eastAsia="ru-RU"/>
        </w:rPr>
        <w:tab/>
      </w:r>
      <w:r w:rsidR="00A74B36" w:rsidRPr="00A74B36">
        <w:rPr>
          <w:lang w:eastAsia="ru-RU"/>
        </w:rPr>
        <w:t>Результаты выборочного обследования по вопросам детского труда, пр</w:t>
      </w:r>
      <w:r w:rsidR="00A74B36" w:rsidRPr="00A74B36">
        <w:rPr>
          <w:lang w:eastAsia="ru-RU"/>
        </w:rPr>
        <w:t>о</w:t>
      </w:r>
      <w:r w:rsidR="00A74B36" w:rsidRPr="00A74B36">
        <w:rPr>
          <w:lang w:eastAsia="ru-RU"/>
        </w:rPr>
        <w:t>веденного в 2006</w:t>
      </w:r>
      <w:r w:rsidRPr="0066488E">
        <w:rPr>
          <w:lang w:eastAsia="ru-RU"/>
        </w:rPr>
        <w:t>−</w:t>
      </w:r>
      <w:r w:rsidR="00A74B36" w:rsidRPr="00A74B36">
        <w:rPr>
          <w:lang w:eastAsia="ru-RU"/>
        </w:rPr>
        <w:t>2007 годах, показали, что в общей сложности 71,3 тыс. детей в возрасте 5</w:t>
      </w:r>
      <w:r w:rsidRPr="0066488E">
        <w:rPr>
          <w:lang w:eastAsia="ru-RU"/>
        </w:rPr>
        <w:t>−</w:t>
      </w:r>
      <w:r w:rsidR="00A74B36" w:rsidRPr="00A74B36">
        <w:rPr>
          <w:lang w:eastAsia="ru-RU"/>
        </w:rPr>
        <w:t>17 лет участвовали в экономической деятельности, то есть работ</w:t>
      </w:r>
      <w:r w:rsidR="00A74B36" w:rsidRPr="00A74B36">
        <w:rPr>
          <w:lang w:eastAsia="ru-RU"/>
        </w:rPr>
        <w:t>а</w:t>
      </w:r>
      <w:r w:rsidR="00A74B36" w:rsidRPr="00A74B36">
        <w:rPr>
          <w:lang w:eastAsia="ru-RU"/>
        </w:rPr>
        <w:t>ли. Из них 89,4% были заняты в сельской местности и 10,6% – в город</w:t>
      </w:r>
      <w:r w:rsidR="005736BD">
        <w:rPr>
          <w:lang w:eastAsia="ru-RU"/>
        </w:rPr>
        <w:t>ах. Из</w:t>
      </w:r>
      <w:r w:rsidR="005736BD">
        <w:rPr>
          <w:lang w:val="en-US" w:eastAsia="ru-RU"/>
        </w:rPr>
        <w:t> </w:t>
      </w:r>
      <w:r w:rsidR="00A74B36" w:rsidRPr="00A74B36">
        <w:rPr>
          <w:lang w:eastAsia="ru-RU"/>
        </w:rPr>
        <w:t>общего числа работающих детей 88,9% были заняты в сельском хозяйстве, 5,1% б</w:t>
      </w:r>
      <w:r w:rsidR="00A74B36" w:rsidRPr="00A74B36">
        <w:rPr>
          <w:lang w:eastAsia="ru-RU"/>
        </w:rPr>
        <w:t>ы</w:t>
      </w:r>
      <w:r w:rsidR="00A74B36" w:rsidRPr="00A74B36">
        <w:rPr>
          <w:lang w:eastAsia="ru-RU"/>
        </w:rPr>
        <w:t>ли заняты в секторе оптовой и розничной торговли, 63,1% работающих детей учились в школах, 29,9% посещали школу до поступления на работу и 14% н</w:t>
      </w:r>
      <w:r w:rsidR="00A74B36" w:rsidRPr="00A74B36">
        <w:rPr>
          <w:lang w:eastAsia="ru-RU"/>
        </w:rPr>
        <w:t>и</w:t>
      </w:r>
      <w:r w:rsidR="00A74B36" w:rsidRPr="00A74B36">
        <w:rPr>
          <w:lang w:eastAsia="ru-RU"/>
        </w:rPr>
        <w:t>когда не ходили в школу.</w:t>
      </w:r>
    </w:p>
    <w:p w:rsidR="00A74B36" w:rsidRPr="00A74B36" w:rsidRDefault="005736BD" w:rsidP="00A74B36">
      <w:pPr>
        <w:pStyle w:val="SingleTxtGR"/>
        <w:rPr>
          <w:lang w:eastAsia="ru-RU"/>
        </w:rPr>
      </w:pPr>
      <w:r w:rsidRPr="005736BD">
        <w:rPr>
          <w:lang w:eastAsia="ru-RU"/>
        </w:rPr>
        <w:t>97.</w:t>
      </w:r>
      <w:r w:rsidRPr="005736BD">
        <w:rPr>
          <w:lang w:eastAsia="ru-RU"/>
        </w:rPr>
        <w:tab/>
      </w:r>
      <w:r w:rsidR="00A74B36" w:rsidRPr="00A74B36">
        <w:rPr>
          <w:lang w:eastAsia="ru-RU"/>
        </w:rPr>
        <w:t>При рассмотрении статуса в занятости работающих детей было устано</w:t>
      </w:r>
      <w:r w:rsidR="00A74B36" w:rsidRPr="00A74B36">
        <w:rPr>
          <w:lang w:eastAsia="ru-RU"/>
        </w:rPr>
        <w:t>в</w:t>
      </w:r>
      <w:r w:rsidR="00A74B36" w:rsidRPr="00A74B36">
        <w:rPr>
          <w:lang w:eastAsia="ru-RU"/>
        </w:rPr>
        <w:t>лено, что 89,5% из них были неоплачиваемыми участниками предпринимател</w:t>
      </w:r>
      <w:r w:rsidR="00A74B36" w:rsidRPr="00A74B36">
        <w:rPr>
          <w:lang w:eastAsia="ru-RU"/>
        </w:rPr>
        <w:t>ь</w:t>
      </w:r>
      <w:r w:rsidR="00A74B36" w:rsidRPr="00A74B36">
        <w:rPr>
          <w:lang w:eastAsia="ru-RU"/>
        </w:rPr>
        <w:t>ской деятельности домохозяйств и 8,8% были самозанятыми. Поскольку д</w:t>
      </w:r>
      <w:r w:rsidR="00A74B36" w:rsidRPr="00A74B36">
        <w:rPr>
          <w:lang w:eastAsia="ru-RU"/>
        </w:rPr>
        <w:t>о</w:t>
      </w:r>
      <w:r w:rsidR="00A74B36" w:rsidRPr="00A74B36">
        <w:rPr>
          <w:lang w:eastAsia="ru-RU"/>
        </w:rPr>
        <w:t>машнее производство, самозанятость и неформальный сектор доминируют в сельском хозяйстве, секторе оптовой и розничной торговли, большинство раб</w:t>
      </w:r>
      <w:r w:rsidR="00A74B36" w:rsidRPr="00A74B36">
        <w:rPr>
          <w:lang w:eastAsia="ru-RU"/>
        </w:rPr>
        <w:t>о</w:t>
      </w:r>
      <w:r w:rsidR="00A74B36" w:rsidRPr="00A74B36">
        <w:rPr>
          <w:lang w:eastAsia="ru-RU"/>
        </w:rPr>
        <w:t>тающих детей участвует в предпринимательской деятельности домохозяйств, некоторые дети, достигшие трудоспособного возра</w:t>
      </w:r>
      <w:r w:rsidR="00A74B36" w:rsidRPr="00A74B36">
        <w:rPr>
          <w:lang w:eastAsia="ru-RU"/>
        </w:rPr>
        <w:t>с</w:t>
      </w:r>
      <w:r w:rsidR="00A74B36" w:rsidRPr="00A74B36">
        <w:rPr>
          <w:lang w:eastAsia="ru-RU"/>
        </w:rPr>
        <w:t>та, работали на малых предприятиях.</w:t>
      </w:r>
    </w:p>
    <w:p w:rsidR="00A74B36" w:rsidRPr="00A74B36" w:rsidRDefault="005736BD" w:rsidP="00A74B36">
      <w:pPr>
        <w:pStyle w:val="SingleTxtGR"/>
        <w:rPr>
          <w:lang w:eastAsia="ru-RU"/>
        </w:rPr>
      </w:pPr>
      <w:r w:rsidRPr="005736BD">
        <w:rPr>
          <w:lang w:eastAsia="ru-RU"/>
        </w:rPr>
        <w:t>98.</w:t>
      </w:r>
      <w:r w:rsidRPr="005736BD">
        <w:rPr>
          <w:lang w:eastAsia="ru-RU"/>
        </w:rPr>
        <w:tab/>
      </w:r>
      <w:r w:rsidR="00A74B36" w:rsidRPr="00A74B36">
        <w:rPr>
          <w:lang w:eastAsia="ru-RU"/>
        </w:rPr>
        <w:t>В 1996 году Монголия приняла Закон о правах ребенка. Закон определяет основные принципы, которым необходимо следовать при реализации прав р</w:t>
      </w:r>
      <w:r w:rsidR="00A74B36" w:rsidRPr="00A74B36">
        <w:rPr>
          <w:lang w:eastAsia="ru-RU"/>
        </w:rPr>
        <w:t>е</w:t>
      </w:r>
      <w:r w:rsidR="00A74B36" w:rsidRPr="00A74B36">
        <w:rPr>
          <w:lang w:eastAsia="ru-RU"/>
        </w:rPr>
        <w:t>бенка, и отмечает, что дети не должны подвергаться дискриминации на почве семейного происхождения или по другим причинам, интересы ребенка должны иметь первоочередность, а права ребенка на жизнь, развитие, защиту, участие в общественной жизни должны быть обеспечены. Кроме того, были определены виды помощи и услуг детям, живущим в тру</w:t>
      </w:r>
      <w:r w:rsidR="00A74B36" w:rsidRPr="00A74B36">
        <w:rPr>
          <w:lang w:eastAsia="ru-RU"/>
        </w:rPr>
        <w:t>д</w:t>
      </w:r>
      <w:r w:rsidR="00A74B36" w:rsidRPr="00A74B36">
        <w:rPr>
          <w:lang w:eastAsia="ru-RU"/>
        </w:rPr>
        <w:t>ных или чрезвычайных условиях. Например, дети, ставшие жертвами стихийных бедствий, вспышек инфекцио</w:t>
      </w:r>
      <w:r w:rsidR="00A74B36" w:rsidRPr="00A74B36">
        <w:rPr>
          <w:lang w:eastAsia="ru-RU"/>
        </w:rPr>
        <w:t>н</w:t>
      </w:r>
      <w:r w:rsidR="00A74B36" w:rsidRPr="00A74B36">
        <w:rPr>
          <w:lang w:eastAsia="ru-RU"/>
        </w:rPr>
        <w:t>ных заболеваний, внезапных аварий государственного масштаба, вооруженных конфликтов, рассматриваются как дети, живущие в чрезвычайных условиях, т</w:t>
      </w:r>
      <w:r w:rsidR="00A74B36" w:rsidRPr="00A74B36">
        <w:rPr>
          <w:lang w:eastAsia="ru-RU"/>
        </w:rPr>
        <w:t>о</w:t>
      </w:r>
      <w:r w:rsidR="00A74B36" w:rsidRPr="00A74B36">
        <w:rPr>
          <w:lang w:eastAsia="ru-RU"/>
        </w:rPr>
        <w:t>гда как полные сироты, инвалиды, крайне бедные, безнадзорные дети, те, кто получил психологическую и физическую травму в связи с порнографией, нас</w:t>
      </w:r>
      <w:r w:rsidR="00A74B36" w:rsidRPr="00A74B36">
        <w:rPr>
          <w:lang w:eastAsia="ru-RU"/>
        </w:rPr>
        <w:t>и</w:t>
      </w:r>
      <w:r w:rsidR="00A74B36" w:rsidRPr="00A74B36">
        <w:rPr>
          <w:lang w:eastAsia="ru-RU"/>
        </w:rPr>
        <w:t>лием и оскорблениями, или те, которые заняты на работах, опасных для их зд</w:t>
      </w:r>
      <w:r w:rsidR="00A74B36" w:rsidRPr="00A74B36">
        <w:rPr>
          <w:lang w:eastAsia="ru-RU"/>
        </w:rPr>
        <w:t>о</w:t>
      </w:r>
      <w:r w:rsidR="00A74B36" w:rsidRPr="00A74B36">
        <w:rPr>
          <w:lang w:eastAsia="ru-RU"/>
        </w:rPr>
        <w:t>ровья и жизни, рассматриваются как дети, живущие в трудных условиях.</w:t>
      </w:r>
    </w:p>
    <w:p w:rsidR="00A74B36" w:rsidRPr="0064793D" w:rsidRDefault="00A74B36" w:rsidP="0064793D">
      <w:pPr>
        <w:pStyle w:val="SingleTxtGR"/>
        <w:ind w:left="1701"/>
        <w:rPr>
          <w:i/>
          <w:lang w:eastAsia="ru-RU"/>
        </w:rPr>
      </w:pPr>
      <w:r w:rsidRPr="0064793D">
        <w:rPr>
          <w:i/>
          <w:lang w:eastAsia="ru-RU"/>
        </w:rPr>
        <w:t>Статья 15. Социальное обеспечение и помощь в интересах детей, ж</w:t>
      </w:r>
      <w:r w:rsidRPr="0064793D">
        <w:rPr>
          <w:i/>
          <w:lang w:eastAsia="ru-RU"/>
        </w:rPr>
        <w:t>и</w:t>
      </w:r>
      <w:r w:rsidRPr="0064793D">
        <w:rPr>
          <w:i/>
          <w:lang w:eastAsia="ru-RU"/>
        </w:rPr>
        <w:t>вущих в чрезвычайных и трудных условиях</w:t>
      </w:r>
    </w:p>
    <w:p w:rsidR="00A74B36" w:rsidRPr="0064793D" w:rsidRDefault="00A74B36" w:rsidP="0064793D">
      <w:pPr>
        <w:pStyle w:val="SingleTxtGR"/>
        <w:ind w:left="1701"/>
        <w:rPr>
          <w:i/>
          <w:lang w:eastAsia="ru-RU"/>
        </w:rPr>
      </w:pPr>
      <w:r w:rsidRPr="0064793D">
        <w:rPr>
          <w:i/>
          <w:lang w:eastAsia="ru-RU"/>
        </w:rPr>
        <w:t>15.1</w:t>
      </w:r>
      <w:r w:rsidR="0064793D" w:rsidRPr="0064793D">
        <w:rPr>
          <w:i/>
          <w:lang w:eastAsia="ru-RU"/>
        </w:rPr>
        <w:tab/>
      </w:r>
      <w:r w:rsidRPr="0064793D">
        <w:rPr>
          <w:i/>
          <w:lang w:eastAsia="ru-RU"/>
        </w:rPr>
        <w:t>Дети, ставшие жертвами стихийных бедствий, вспышек инфе</w:t>
      </w:r>
      <w:r w:rsidRPr="0064793D">
        <w:rPr>
          <w:i/>
          <w:lang w:eastAsia="ru-RU"/>
        </w:rPr>
        <w:t>к</w:t>
      </w:r>
      <w:r w:rsidRPr="0064793D">
        <w:rPr>
          <w:i/>
          <w:lang w:eastAsia="ru-RU"/>
        </w:rPr>
        <w:t>ционных заболеваний, внезапных аварий государственного масштаба, вооруженных конфликтов, рассматриваются как дети, живущие в чре</w:t>
      </w:r>
      <w:r w:rsidRPr="0064793D">
        <w:rPr>
          <w:i/>
          <w:lang w:eastAsia="ru-RU"/>
        </w:rPr>
        <w:t>з</w:t>
      </w:r>
      <w:r w:rsidRPr="0064793D">
        <w:rPr>
          <w:i/>
          <w:lang w:eastAsia="ru-RU"/>
        </w:rPr>
        <w:t>вычайных условиях. Правительство решает вопрос об оказании чрезв</w:t>
      </w:r>
      <w:r w:rsidRPr="0064793D">
        <w:rPr>
          <w:i/>
          <w:lang w:eastAsia="ru-RU"/>
        </w:rPr>
        <w:t>ы</w:t>
      </w:r>
      <w:r w:rsidRPr="0064793D">
        <w:rPr>
          <w:i/>
          <w:lang w:eastAsia="ru-RU"/>
        </w:rPr>
        <w:t>чайной помощи детям, живущим в таких условиях, исходя из каждого конкретного случая.</w:t>
      </w:r>
    </w:p>
    <w:p w:rsidR="00A74B36" w:rsidRPr="0064793D" w:rsidRDefault="00A74B36" w:rsidP="0064793D">
      <w:pPr>
        <w:pStyle w:val="SingleTxtGR"/>
        <w:ind w:left="1701"/>
        <w:rPr>
          <w:i/>
          <w:lang w:eastAsia="ru-RU"/>
        </w:rPr>
      </w:pPr>
      <w:r w:rsidRPr="0064793D">
        <w:rPr>
          <w:i/>
          <w:lang w:eastAsia="ru-RU"/>
        </w:rPr>
        <w:t>15.2</w:t>
      </w:r>
      <w:r w:rsidR="0064793D" w:rsidRPr="0064793D">
        <w:rPr>
          <w:i/>
          <w:lang w:eastAsia="ru-RU"/>
        </w:rPr>
        <w:tab/>
      </w:r>
      <w:r w:rsidRPr="0064793D">
        <w:rPr>
          <w:i/>
          <w:lang w:eastAsia="ru-RU"/>
        </w:rPr>
        <w:t>Полные сироты, инвалиды, крайне бедные, безнадзорные дети, те, кто получил психологическую и физическую травму в связи с порногр</w:t>
      </w:r>
      <w:r w:rsidRPr="0064793D">
        <w:rPr>
          <w:i/>
          <w:lang w:eastAsia="ru-RU"/>
        </w:rPr>
        <w:t>а</w:t>
      </w:r>
      <w:r w:rsidRPr="0064793D">
        <w:rPr>
          <w:i/>
          <w:lang w:eastAsia="ru-RU"/>
        </w:rPr>
        <w:t>фией, насилием и оскорблениями, или те, которые заняты на работах, опасных для их зд</w:t>
      </w:r>
      <w:r w:rsidRPr="0064793D">
        <w:rPr>
          <w:i/>
          <w:lang w:eastAsia="ru-RU"/>
        </w:rPr>
        <w:t>о</w:t>
      </w:r>
      <w:r w:rsidRPr="0064793D">
        <w:rPr>
          <w:i/>
          <w:lang w:eastAsia="ru-RU"/>
        </w:rPr>
        <w:t>ровья и жизни, рассматриваются как дети, живущие в трудных условиях. Если это не оговорено особо в законодательстве, дети, живущие в трудных условиях, п</w:t>
      </w:r>
      <w:r w:rsidRPr="0064793D">
        <w:rPr>
          <w:i/>
          <w:lang w:eastAsia="ru-RU"/>
        </w:rPr>
        <w:t>о</w:t>
      </w:r>
      <w:r w:rsidRPr="0064793D">
        <w:rPr>
          <w:i/>
          <w:lang w:eastAsia="ru-RU"/>
        </w:rPr>
        <w:t>лучают следующую помощь, уход и привилегии:</w:t>
      </w:r>
    </w:p>
    <w:p w:rsidR="00A74B36" w:rsidRPr="0064793D" w:rsidRDefault="0064793D" w:rsidP="0064793D">
      <w:pPr>
        <w:pStyle w:val="SingleTxtGR"/>
        <w:ind w:left="1701"/>
        <w:rPr>
          <w:i/>
          <w:lang w:eastAsia="ru-RU"/>
        </w:rPr>
      </w:pPr>
      <w:r>
        <w:rPr>
          <w:i/>
          <w:lang w:val="en-US" w:eastAsia="ru-RU"/>
        </w:rPr>
        <w:tab/>
      </w:r>
      <w:r w:rsidR="00A74B36" w:rsidRPr="0064793D">
        <w:rPr>
          <w:i/>
          <w:lang w:eastAsia="ru-RU"/>
        </w:rPr>
        <w:t>1)</w:t>
      </w:r>
      <w:r w:rsidRPr="0064793D">
        <w:rPr>
          <w:i/>
          <w:lang w:eastAsia="ru-RU"/>
        </w:rPr>
        <w:tab/>
      </w:r>
      <w:r w:rsidR="00A74B36" w:rsidRPr="0064793D">
        <w:rPr>
          <w:i/>
          <w:lang w:eastAsia="ru-RU"/>
        </w:rPr>
        <w:t>Помощь в получении образования и профессии;</w:t>
      </w:r>
    </w:p>
    <w:p w:rsidR="00A74B36" w:rsidRPr="0064793D" w:rsidRDefault="0064793D" w:rsidP="0064793D">
      <w:pPr>
        <w:pStyle w:val="SingleTxtGR"/>
        <w:ind w:left="1701"/>
        <w:rPr>
          <w:i/>
          <w:lang w:eastAsia="ru-RU"/>
        </w:rPr>
      </w:pPr>
      <w:r>
        <w:rPr>
          <w:i/>
          <w:lang w:val="en-US" w:eastAsia="ru-RU"/>
        </w:rPr>
        <w:tab/>
      </w:r>
      <w:r w:rsidR="00A74B36" w:rsidRPr="0064793D">
        <w:rPr>
          <w:i/>
          <w:lang w:eastAsia="ru-RU"/>
        </w:rPr>
        <w:t>2)</w:t>
      </w:r>
      <w:r w:rsidRPr="0064793D">
        <w:rPr>
          <w:i/>
          <w:lang w:eastAsia="ru-RU"/>
        </w:rPr>
        <w:tab/>
      </w:r>
      <w:r w:rsidR="00A74B36" w:rsidRPr="0064793D">
        <w:rPr>
          <w:i/>
          <w:lang w:eastAsia="ru-RU"/>
        </w:rPr>
        <w:t>Реабилитация, санаторное лечение, бесплатная выдача протезов и др</w:t>
      </w:r>
      <w:r w:rsidR="00A74B36" w:rsidRPr="0064793D">
        <w:rPr>
          <w:i/>
          <w:lang w:eastAsia="ru-RU"/>
        </w:rPr>
        <w:t>у</w:t>
      </w:r>
      <w:r w:rsidR="00A74B36" w:rsidRPr="0064793D">
        <w:rPr>
          <w:i/>
          <w:lang w:eastAsia="ru-RU"/>
        </w:rPr>
        <w:t>гих приспособлений для детей-инвалидов;</w:t>
      </w:r>
    </w:p>
    <w:p w:rsidR="00A74B36" w:rsidRPr="0064793D" w:rsidRDefault="0064793D" w:rsidP="0064793D">
      <w:pPr>
        <w:pStyle w:val="SingleTxtGR"/>
        <w:ind w:left="1701"/>
        <w:rPr>
          <w:i/>
          <w:lang w:eastAsia="ru-RU"/>
        </w:rPr>
      </w:pPr>
      <w:r>
        <w:rPr>
          <w:i/>
          <w:lang w:val="en-US" w:eastAsia="ru-RU"/>
        </w:rPr>
        <w:tab/>
      </w:r>
      <w:r w:rsidR="00A74B36" w:rsidRPr="0064793D">
        <w:rPr>
          <w:i/>
          <w:lang w:eastAsia="ru-RU"/>
        </w:rPr>
        <w:t>3)</w:t>
      </w:r>
      <w:r w:rsidRPr="0064793D">
        <w:rPr>
          <w:i/>
          <w:lang w:eastAsia="ru-RU"/>
        </w:rPr>
        <w:tab/>
      </w:r>
      <w:r w:rsidR="00A74B36" w:rsidRPr="0064793D">
        <w:rPr>
          <w:i/>
          <w:lang w:eastAsia="ru-RU"/>
        </w:rPr>
        <w:t>Выплата пособий семьям, взявшим приемных детей, жив</w:t>
      </w:r>
      <w:r w:rsidR="00A74B36" w:rsidRPr="0064793D">
        <w:rPr>
          <w:i/>
          <w:lang w:eastAsia="ru-RU"/>
        </w:rPr>
        <w:t>у</w:t>
      </w:r>
      <w:r w:rsidR="00A74B36" w:rsidRPr="0064793D">
        <w:rPr>
          <w:i/>
          <w:lang w:eastAsia="ru-RU"/>
        </w:rPr>
        <w:t>щих в трудных у</w:t>
      </w:r>
      <w:r w:rsidR="00A74B36" w:rsidRPr="0064793D">
        <w:rPr>
          <w:i/>
          <w:lang w:eastAsia="ru-RU"/>
        </w:rPr>
        <w:t>с</w:t>
      </w:r>
      <w:r w:rsidR="00A74B36" w:rsidRPr="0064793D">
        <w:rPr>
          <w:i/>
          <w:lang w:eastAsia="ru-RU"/>
        </w:rPr>
        <w:t>ловиях;</w:t>
      </w:r>
    </w:p>
    <w:p w:rsidR="00A74B36" w:rsidRPr="0064793D" w:rsidRDefault="0064793D" w:rsidP="0064793D">
      <w:pPr>
        <w:pStyle w:val="SingleTxtGR"/>
        <w:ind w:left="1701"/>
        <w:rPr>
          <w:i/>
          <w:lang w:eastAsia="ru-RU"/>
        </w:rPr>
      </w:pPr>
      <w:r>
        <w:rPr>
          <w:i/>
          <w:lang w:val="en-US" w:eastAsia="ru-RU"/>
        </w:rPr>
        <w:tab/>
      </w:r>
      <w:r w:rsidR="00A74B36" w:rsidRPr="0064793D">
        <w:rPr>
          <w:i/>
          <w:lang w:eastAsia="ru-RU"/>
        </w:rPr>
        <w:t>4)</w:t>
      </w:r>
      <w:r w:rsidRPr="0064793D">
        <w:rPr>
          <w:i/>
          <w:lang w:eastAsia="ru-RU"/>
        </w:rPr>
        <w:tab/>
      </w:r>
      <w:r w:rsidR="00A74B36" w:rsidRPr="0064793D">
        <w:rPr>
          <w:i/>
          <w:lang w:eastAsia="ru-RU"/>
        </w:rPr>
        <w:t>Перевод в центры по уходу за ребенком, охват социальными усл</w:t>
      </w:r>
      <w:r w:rsidR="00A74B36" w:rsidRPr="0064793D">
        <w:rPr>
          <w:i/>
          <w:lang w:eastAsia="ru-RU"/>
        </w:rPr>
        <w:t>у</w:t>
      </w:r>
      <w:r w:rsidR="00A74B36" w:rsidRPr="0064793D">
        <w:rPr>
          <w:i/>
          <w:lang w:eastAsia="ru-RU"/>
        </w:rPr>
        <w:t>гами;</w:t>
      </w:r>
    </w:p>
    <w:p w:rsidR="00A74B36" w:rsidRPr="0064793D" w:rsidRDefault="0064793D" w:rsidP="0064793D">
      <w:pPr>
        <w:pStyle w:val="SingleTxtGR"/>
        <w:ind w:left="1701"/>
        <w:rPr>
          <w:i/>
          <w:lang w:eastAsia="ru-RU"/>
        </w:rPr>
      </w:pPr>
      <w:r>
        <w:rPr>
          <w:i/>
          <w:lang w:val="en-US" w:eastAsia="ru-RU"/>
        </w:rPr>
        <w:tab/>
      </w:r>
      <w:r w:rsidR="00A74B36" w:rsidRPr="0064793D">
        <w:rPr>
          <w:i/>
          <w:lang w:eastAsia="ru-RU"/>
        </w:rPr>
        <w:t>5)</w:t>
      </w:r>
      <w:r w:rsidRPr="0064793D">
        <w:rPr>
          <w:i/>
          <w:lang w:eastAsia="ru-RU"/>
        </w:rPr>
        <w:tab/>
      </w:r>
      <w:r w:rsidR="00A74B36" w:rsidRPr="0064793D">
        <w:rPr>
          <w:i/>
          <w:lang w:eastAsia="ru-RU"/>
        </w:rPr>
        <w:t>Оказание поддержки семьям, добровольно заботящимся о таких детях. Закон о правах ребенка</w:t>
      </w:r>
      <w:r w:rsidRPr="0064793D">
        <w:rPr>
          <w:i/>
          <w:lang w:eastAsia="ru-RU"/>
        </w:rPr>
        <w:t>.</w:t>
      </w:r>
    </w:p>
    <w:p w:rsidR="00A74B36" w:rsidRPr="00A74B36" w:rsidRDefault="0064793D" w:rsidP="00A74B36">
      <w:pPr>
        <w:pStyle w:val="SingleTxtGR"/>
        <w:rPr>
          <w:lang w:eastAsia="ru-RU"/>
        </w:rPr>
      </w:pPr>
      <w:r w:rsidRPr="0064793D">
        <w:rPr>
          <w:lang w:eastAsia="ru-RU"/>
        </w:rPr>
        <w:t>99.</w:t>
      </w:r>
      <w:r w:rsidRPr="0064793D">
        <w:rPr>
          <w:lang w:eastAsia="ru-RU"/>
        </w:rPr>
        <w:tab/>
      </w:r>
      <w:r w:rsidR="00A74B36" w:rsidRPr="00A74B36">
        <w:rPr>
          <w:lang w:eastAsia="ru-RU"/>
        </w:rPr>
        <w:t>Национальное управление по делам детей несет ответственность за з</w:t>
      </w:r>
      <w:r w:rsidR="00A74B36" w:rsidRPr="00A74B36">
        <w:rPr>
          <w:lang w:eastAsia="ru-RU"/>
        </w:rPr>
        <w:t>а</w:t>
      </w:r>
      <w:r w:rsidR="00A74B36" w:rsidRPr="00A74B36">
        <w:rPr>
          <w:lang w:eastAsia="ru-RU"/>
        </w:rPr>
        <w:t>щиту прав ребенка, а Управление труда и социального обеспечения отвечает за их социальное обеспечение. Вышеназванные организации являются правител</w:t>
      </w:r>
      <w:r w:rsidR="00A74B36" w:rsidRPr="00A74B36">
        <w:rPr>
          <w:lang w:eastAsia="ru-RU"/>
        </w:rPr>
        <w:t>ь</w:t>
      </w:r>
      <w:r w:rsidR="00A74B36" w:rsidRPr="00A74B36">
        <w:rPr>
          <w:lang w:eastAsia="ru-RU"/>
        </w:rPr>
        <w:t xml:space="preserve">ственными исполнительными органами на национальном уровне и ведут работу по предоставлению информации через свои </w:t>
      </w:r>
      <w:r w:rsidR="00A45B4B">
        <w:rPr>
          <w:lang w:eastAsia="ru-RU"/>
        </w:rPr>
        <w:t>сети и в сотрудничестве с НПО и с</w:t>
      </w:r>
      <w:r w:rsidR="00A74B36" w:rsidRPr="00A74B36">
        <w:rPr>
          <w:lang w:eastAsia="ru-RU"/>
        </w:rPr>
        <w:t>редствами массовой инфо</w:t>
      </w:r>
      <w:r w:rsidR="00A74B36" w:rsidRPr="00A74B36">
        <w:rPr>
          <w:lang w:eastAsia="ru-RU"/>
        </w:rPr>
        <w:t>р</w:t>
      </w:r>
      <w:r w:rsidR="00A74B36" w:rsidRPr="00A74B36">
        <w:rPr>
          <w:lang w:eastAsia="ru-RU"/>
        </w:rPr>
        <w:t>мации.</w:t>
      </w:r>
    </w:p>
    <w:p w:rsidR="00A74B36" w:rsidRPr="00A74B36" w:rsidRDefault="0064793D" w:rsidP="00A74B36">
      <w:pPr>
        <w:pStyle w:val="SingleTxtGR"/>
        <w:rPr>
          <w:lang w:eastAsia="ru-RU"/>
        </w:rPr>
      </w:pPr>
      <w:r w:rsidRPr="0064793D">
        <w:rPr>
          <w:lang w:eastAsia="ru-RU"/>
        </w:rPr>
        <w:t>100.</w:t>
      </w:r>
      <w:r w:rsidRPr="0064793D">
        <w:rPr>
          <w:lang w:eastAsia="ru-RU"/>
        </w:rPr>
        <w:tab/>
      </w:r>
      <w:r w:rsidR="00A74B36" w:rsidRPr="00A74B36">
        <w:rPr>
          <w:lang w:eastAsia="ru-RU"/>
        </w:rPr>
        <w:t>Монголия имеет обширную территорию с низкой плотностью населения в сельских районах и чрезмерной его концентрацией в городах. В связи с этими особенностями приходится сталкиваться с проблемами мониторинга защиты прав ребенка, оказания надлежащей помощи и услуг детям, живущим в чрезв</w:t>
      </w:r>
      <w:r w:rsidR="00A74B36" w:rsidRPr="00A74B36">
        <w:rPr>
          <w:lang w:eastAsia="ru-RU"/>
        </w:rPr>
        <w:t>ы</w:t>
      </w:r>
      <w:r w:rsidR="00A74B36" w:rsidRPr="00A74B36">
        <w:rPr>
          <w:lang w:eastAsia="ru-RU"/>
        </w:rPr>
        <w:t>чайных и трудных условиях. Особенно трудно оказывать помощь населению, включая детей, в во время дзуда и обильного снегопада, охватывающих бол</w:t>
      </w:r>
      <w:r w:rsidR="00A74B36" w:rsidRPr="00A74B36">
        <w:rPr>
          <w:lang w:eastAsia="ru-RU"/>
        </w:rPr>
        <w:t>ь</w:t>
      </w:r>
      <w:r w:rsidR="00A74B36" w:rsidRPr="00A74B36">
        <w:rPr>
          <w:lang w:eastAsia="ru-RU"/>
        </w:rPr>
        <w:t>шие части страны. Поскольку невозможно заранее планировать распределение средств в таких ситуациях, в случае возникновения необходимости постоянно ощущается нехватка финансирования. Так как среди населения в целом набл</w:t>
      </w:r>
      <w:r w:rsidR="00A74B36" w:rsidRPr="00A74B36">
        <w:rPr>
          <w:lang w:eastAsia="ru-RU"/>
        </w:rPr>
        <w:t>ю</w:t>
      </w:r>
      <w:r w:rsidR="00A74B36" w:rsidRPr="00A74B36">
        <w:rPr>
          <w:lang w:eastAsia="ru-RU"/>
        </w:rPr>
        <w:t>дается рост безработицы и бедности, существует необходимость увеличения расходов на оказание помощи и услуг детям</w:t>
      </w:r>
      <w:r>
        <w:rPr>
          <w:lang w:eastAsia="ru-RU"/>
        </w:rPr>
        <w:t>, живущим в трудных условиях. В</w:t>
      </w:r>
      <w:r>
        <w:rPr>
          <w:lang w:val="en-US" w:eastAsia="ru-RU"/>
        </w:rPr>
        <w:t> </w:t>
      </w:r>
      <w:r w:rsidR="00A74B36" w:rsidRPr="00A74B36">
        <w:rPr>
          <w:lang w:eastAsia="ru-RU"/>
        </w:rPr>
        <w:t>связи с этим изучается вопрос о пересмотре социальных услуг с тем, чтобы ориентировать их в большей степени на малоимущие, уязвимые группы нас</w:t>
      </w:r>
      <w:r w:rsidR="00A74B36" w:rsidRPr="00A74B36">
        <w:rPr>
          <w:lang w:eastAsia="ru-RU"/>
        </w:rPr>
        <w:t>е</w:t>
      </w:r>
      <w:r w:rsidR="00A74B36" w:rsidRPr="00A74B36">
        <w:rPr>
          <w:lang w:eastAsia="ru-RU"/>
        </w:rPr>
        <w:t>ления. Был принят ряд мер в интересах детей, живущих в трудных условиях, особенно детей, занятых на работах, связанных с опасностью и риском. Напр</w:t>
      </w:r>
      <w:r w:rsidR="00A74B36" w:rsidRPr="00A74B36">
        <w:rPr>
          <w:lang w:eastAsia="ru-RU"/>
        </w:rPr>
        <w:t>и</w:t>
      </w:r>
      <w:r w:rsidR="00A74B36" w:rsidRPr="00A74B36">
        <w:rPr>
          <w:lang w:eastAsia="ru-RU"/>
        </w:rPr>
        <w:t>мер, из Фонда содействия занятости и образованию производится финансир</w:t>
      </w:r>
      <w:r w:rsidR="00A74B36" w:rsidRPr="00A74B36">
        <w:rPr>
          <w:lang w:eastAsia="ru-RU"/>
        </w:rPr>
        <w:t>о</w:t>
      </w:r>
      <w:r w:rsidR="00A74B36" w:rsidRPr="00A74B36">
        <w:rPr>
          <w:lang w:eastAsia="ru-RU"/>
        </w:rPr>
        <w:t>вание мер по отстранению детей от выполнения работ и их охвата переобуч</w:t>
      </w:r>
      <w:r w:rsidR="00A74B36" w:rsidRPr="00A74B36">
        <w:rPr>
          <w:lang w:eastAsia="ru-RU"/>
        </w:rPr>
        <w:t>е</w:t>
      </w:r>
      <w:r w:rsidR="00A74B36" w:rsidRPr="00A74B36">
        <w:rPr>
          <w:lang w:eastAsia="ru-RU"/>
        </w:rPr>
        <w:t>нием и профе</w:t>
      </w:r>
      <w:r w:rsidR="00A74B36" w:rsidRPr="00A74B36">
        <w:rPr>
          <w:lang w:eastAsia="ru-RU"/>
        </w:rPr>
        <w:t>с</w:t>
      </w:r>
      <w:r w:rsidR="00A74B36" w:rsidRPr="00A74B36">
        <w:rPr>
          <w:lang w:eastAsia="ru-RU"/>
        </w:rPr>
        <w:t>сионально-технической подготовкой.</w:t>
      </w:r>
    </w:p>
    <w:p w:rsidR="00A74B36" w:rsidRPr="00A74B36" w:rsidRDefault="0064793D" w:rsidP="00A74B36">
      <w:pPr>
        <w:pStyle w:val="SingleTxtGR"/>
        <w:rPr>
          <w:lang w:eastAsia="ru-RU"/>
        </w:rPr>
      </w:pPr>
      <w:r w:rsidRPr="0064793D">
        <w:rPr>
          <w:lang w:eastAsia="ru-RU"/>
        </w:rPr>
        <w:t>101.</w:t>
      </w:r>
      <w:r w:rsidRPr="0064793D">
        <w:rPr>
          <w:lang w:eastAsia="ru-RU"/>
        </w:rPr>
        <w:tab/>
      </w:r>
      <w:r w:rsidR="00A74B36" w:rsidRPr="00A74B36">
        <w:rPr>
          <w:lang w:eastAsia="ru-RU"/>
        </w:rPr>
        <w:t>В 2011 году Великий Государственный Хурал принял Закон об обеспеч</w:t>
      </w:r>
      <w:r w:rsidR="00A74B36" w:rsidRPr="00A74B36">
        <w:rPr>
          <w:lang w:eastAsia="ru-RU"/>
        </w:rPr>
        <w:t>е</w:t>
      </w:r>
      <w:r w:rsidR="00A74B36" w:rsidRPr="00A74B36">
        <w:rPr>
          <w:lang w:eastAsia="ru-RU"/>
        </w:rPr>
        <w:t>нии гендерного равенства. Законом определяется концепция гендерного раве</w:t>
      </w:r>
      <w:r w:rsidR="00A74B36" w:rsidRPr="00A74B36">
        <w:rPr>
          <w:lang w:eastAsia="ru-RU"/>
        </w:rPr>
        <w:t>н</w:t>
      </w:r>
      <w:r w:rsidR="00A74B36" w:rsidRPr="00A74B36">
        <w:rPr>
          <w:lang w:eastAsia="ru-RU"/>
        </w:rPr>
        <w:t>ства и основные принципы обеспечения гендерного р</w:t>
      </w:r>
      <w:r w:rsidR="00A74B36" w:rsidRPr="00A74B36">
        <w:rPr>
          <w:lang w:eastAsia="ru-RU"/>
        </w:rPr>
        <w:t>а</w:t>
      </w:r>
      <w:r w:rsidR="00A74B36" w:rsidRPr="00A74B36">
        <w:rPr>
          <w:lang w:eastAsia="ru-RU"/>
        </w:rPr>
        <w:t>венства, вводится запрет на гендерную дискриминацию, гарантируется гендерное равенство в сфере п</w:t>
      </w:r>
      <w:r w:rsidR="00A74B36" w:rsidRPr="00A74B36">
        <w:rPr>
          <w:lang w:eastAsia="ru-RU"/>
        </w:rPr>
        <w:t>о</w:t>
      </w:r>
      <w:r w:rsidR="00A74B36" w:rsidRPr="00A74B36">
        <w:rPr>
          <w:lang w:eastAsia="ru-RU"/>
        </w:rPr>
        <w:t>литики, экономики, занятости, культуры, образования, здравоохранения и с</w:t>
      </w:r>
      <w:r w:rsidR="00A74B36" w:rsidRPr="00A74B36">
        <w:rPr>
          <w:lang w:eastAsia="ru-RU"/>
        </w:rPr>
        <w:t>е</w:t>
      </w:r>
      <w:r w:rsidR="00A74B36" w:rsidRPr="00A74B36">
        <w:rPr>
          <w:lang w:eastAsia="ru-RU"/>
        </w:rPr>
        <w:t>мейных отношений. Считается, что с принятием этого Закона будет достигнут значительный прогресс в осуществлении статьи 10 Пакта.</w:t>
      </w:r>
    </w:p>
    <w:p w:rsidR="00A74B36" w:rsidRPr="00A74B36" w:rsidRDefault="0064793D" w:rsidP="00A74B36">
      <w:pPr>
        <w:pStyle w:val="SingleTxtGR"/>
        <w:rPr>
          <w:lang w:eastAsia="ru-RU"/>
        </w:rPr>
      </w:pPr>
      <w:r w:rsidRPr="0064793D">
        <w:rPr>
          <w:lang w:eastAsia="ru-RU"/>
        </w:rPr>
        <w:t>102.</w:t>
      </w:r>
      <w:r w:rsidRPr="0064793D">
        <w:rPr>
          <w:lang w:eastAsia="ru-RU"/>
        </w:rPr>
        <w:tab/>
      </w:r>
      <w:r w:rsidR="00A74B36" w:rsidRPr="00A74B36">
        <w:rPr>
          <w:lang w:eastAsia="ru-RU"/>
        </w:rPr>
        <w:t>Правительство Монголии в сотрудничестве с ЮНФПА, ЮНИСЕФ, МОТ и другими международными организациями принимало меры по улучшению законов и законодательства в области обеспечения гендерного равенства, ос</w:t>
      </w:r>
      <w:r w:rsidR="00A74B36" w:rsidRPr="00A74B36">
        <w:rPr>
          <w:lang w:eastAsia="ru-RU"/>
        </w:rPr>
        <w:t>у</w:t>
      </w:r>
      <w:r w:rsidR="00A74B36" w:rsidRPr="00A74B36">
        <w:rPr>
          <w:lang w:eastAsia="ru-RU"/>
        </w:rPr>
        <w:t>ществлению проекта по предоставлению всеобъемлющих социальных услуг жителям сельских районов и выполнению программы по искоренению детского труда. В результате был принят Закон об обеспечении гендерного равенства, улучшены формы оказания помощи и поддержки населению, особенно матерям и детям, а также разрабатываются программы и проекты следующего эт</w:t>
      </w:r>
      <w:r w:rsidR="00A74B36" w:rsidRPr="00A74B36">
        <w:rPr>
          <w:lang w:eastAsia="ru-RU"/>
        </w:rPr>
        <w:t>а</w:t>
      </w:r>
      <w:r w:rsidR="00A74B36" w:rsidRPr="00A74B36">
        <w:rPr>
          <w:lang w:eastAsia="ru-RU"/>
        </w:rPr>
        <w:t>па.</w:t>
      </w:r>
    </w:p>
    <w:p w:rsidR="00A74B36" w:rsidRPr="00A74B36" w:rsidRDefault="00A74B36" w:rsidP="00CD3BFC">
      <w:pPr>
        <w:pStyle w:val="H1GR"/>
        <w:spacing w:before="200" w:after="200"/>
      </w:pPr>
      <w:r w:rsidRPr="00A74B36">
        <w:tab/>
      </w:r>
      <w:r w:rsidRPr="00A74B36">
        <w:tab/>
        <w:t>Статья 11</w:t>
      </w:r>
    </w:p>
    <w:p w:rsidR="00A74B36" w:rsidRPr="00CD3BFC" w:rsidRDefault="0064793D" w:rsidP="00A74B36">
      <w:pPr>
        <w:pStyle w:val="SingleTxtGR"/>
        <w:rPr>
          <w:spacing w:val="2"/>
          <w:lang w:eastAsia="ru-RU"/>
        </w:rPr>
      </w:pPr>
      <w:r w:rsidRPr="0064793D">
        <w:rPr>
          <w:lang w:eastAsia="ru-RU"/>
        </w:rPr>
        <w:t>103.</w:t>
      </w:r>
      <w:r w:rsidRPr="0064793D">
        <w:rPr>
          <w:lang w:eastAsia="ru-RU"/>
        </w:rPr>
        <w:tab/>
      </w:r>
      <w:r w:rsidR="00A74B36" w:rsidRPr="00CD3BFC">
        <w:rPr>
          <w:spacing w:val="2"/>
          <w:lang w:eastAsia="ru-RU"/>
        </w:rPr>
        <w:t>Несмотря на то, что в последние годы в Монголии наблюдался значител</w:t>
      </w:r>
      <w:r w:rsidR="00A74B36" w:rsidRPr="00CD3BFC">
        <w:rPr>
          <w:spacing w:val="2"/>
          <w:lang w:eastAsia="ru-RU"/>
        </w:rPr>
        <w:t>ь</w:t>
      </w:r>
      <w:r w:rsidR="00A74B36" w:rsidRPr="00CD3BFC">
        <w:rPr>
          <w:spacing w:val="2"/>
          <w:lang w:eastAsia="ru-RU"/>
        </w:rPr>
        <w:t>ный экономический рост, население не имеет стабильного доступа к его резул</w:t>
      </w:r>
      <w:r w:rsidR="00A74B36" w:rsidRPr="00CD3BFC">
        <w:rPr>
          <w:spacing w:val="2"/>
          <w:lang w:eastAsia="ru-RU"/>
        </w:rPr>
        <w:t>ь</w:t>
      </w:r>
      <w:r w:rsidR="00A74B36" w:rsidRPr="00CD3BFC">
        <w:rPr>
          <w:spacing w:val="2"/>
          <w:lang w:eastAsia="ru-RU"/>
        </w:rPr>
        <w:t>татам, и отмечается тенденция не к снижению уровня бедности, а к его ро</w:t>
      </w:r>
      <w:r w:rsidR="00A74B36" w:rsidRPr="00CD3BFC">
        <w:rPr>
          <w:spacing w:val="2"/>
          <w:lang w:eastAsia="ru-RU"/>
        </w:rPr>
        <w:t>с</w:t>
      </w:r>
      <w:r w:rsidR="00A74B36" w:rsidRPr="00CD3BFC">
        <w:rPr>
          <w:spacing w:val="2"/>
          <w:lang w:eastAsia="ru-RU"/>
        </w:rPr>
        <w:t>ту.</w:t>
      </w:r>
    </w:p>
    <w:p w:rsidR="0064793D" w:rsidRDefault="00A74B36" w:rsidP="0064793D">
      <w:pPr>
        <w:pStyle w:val="Heading1"/>
        <w:spacing w:after="120"/>
        <w:ind w:left="1134"/>
        <w:jc w:val="left"/>
        <w:rPr>
          <w:lang w:val="en-US"/>
        </w:rPr>
      </w:pPr>
      <w:r w:rsidRPr="0064793D">
        <w:rPr>
          <w:b w:val="0"/>
        </w:rPr>
        <w:t>Таблица 6</w:t>
      </w:r>
      <w:r w:rsidR="0064793D" w:rsidRPr="0064793D">
        <w:rPr>
          <w:b w:val="0"/>
          <w:lang w:val="en-US"/>
        </w:rPr>
        <w:br/>
      </w:r>
      <w:r w:rsidRPr="00A74B36">
        <w:t>Уровень бедности</w:t>
      </w:r>
    </w:p>
    <w:tbl>
      <w:tblPr>
        <w:tblW w:w="7371" w:type="dxa"/>
        <w:tblInd w:w="1134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58"/>
        <w:gridCol w:w="713"/>
        <w:gridCol w:w="731"/>
        <w:gridCol w:w="841"/>
        <w:gridCol w:w="928"/>
      </w:tblGrid>
      <w:tr w:rsidR="00462D50" w:rsidRPr="005E0629" w:rsidTr="00462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tblHeader/>
        </w:trPr>
        <w:tc>
          <w:tcPr>
            <w:tcW w:w="41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B33F2" w:rsidRPr="005E0629" w:rsidRDefault="004B33F2" w:rsidP="004B33F2">
            <w:pPr>
              <w:autoSpaceDE w:val="0"/>
              <w:autoSpaceDN w:val="0"/>
              <w:adjustRightInd w:val="0"/>
              <w:spacing w:before="80" w:after="80" w:line="200" w:lineRule="exact"/>
              <w:rPr>
                <w:i/>
                <w:sz w:val="16"/>
                <w:szCs w:val="24"/>
                <w:lang w:eastAsia="en-GB"/>
              </w:rPr>
            </w:pPr>
            <w:r w:rsidRPr="005E0629">
              <w:rPr>
                <w:bCs/>
                <w:i/>
                <w:sz w:val="16"/>
                <w:szCs w:val="22"/>
                <w:lang w:eastAsia="en-GB"/>
              </w:rPr>
              <w:t>Показатели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B33F2" w:rsidRPr="005E0629" w:rsidRDefault="004B33F2" w:rsidP="004B33F2">
            <w:pPr>
              <w:autoSpaceDE w:val="0"/>
              <w:autoSpaceDN w:val="0"/>
              <w:adjustRightInd w:val="0"/>
              <w:spacing w:before="80" w:after="80" w:line="200" w:lineRule="exact"/>
              <w:jc w:val="right"/>
              <w:rPr>
                <w:i/>
                <w:sz w:val="16"/>
                <w:szCs w:val="24"/>
                <w:lang w:eastAsia="en-GB"/>
              </w:rPr>
            </w:pPr>
            <w:r w:rsidRPr="005E0629">
              <w:rPr>
                <w:bCs/>
                <w:i/>
                <w:sz w:val="16"/>
                <w:szCs w:val="22"/>
                <w:lang w:eastAsia="en-GB"/>
              </w:rPr>
              <w:t>2007 год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B33F2" w:rsidRPr="005E0629" w:rsidRDefault="004B33F2" w:rsidP="004B33F2">
            <w:pPr>
              <w:autoSpaceDE w:val="0"/>
              <w:autoSpaceDN w:val="0"/>
              <w:adjustRightInd w:val="0"/>
              <w:spacing w:before="80" w:after="80" w:line="200" w:lineRule="exact"/>
              <w:jc w:val="right"/>
              <w:rPr>
                <w:i/>
                <w:sz w:val="16"/>
                <w:szCs w:val="24"/>
                <w:lang w:eastAsia="en-GB"/>
              </w:rPr>
            </w:pPr>
            <w:r w:rsidRPr="005E0629">
              <w:rPr>
                <w:bCs/>
                <w:i/>
                <w:sz w:val="16"/>
                <w:szCs w:val="22"/>
                <w:lang w:eastAsia="en-GB"/>
              </w:rPr>
              <w:t>2008 год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B33F2" w:rsidRPr="005E0629" w:rsidRDefault="004B33F2" w:rsidP="004B33F2">
            <w:pPr>
              <w:autoSpaceDE w:val="0"/>
              <w:autoSpaceDN w:val="0"/>
              <w:adjustRightInd w:val="0"/>
              <w:spacing w:before="80" w:after="80" w:line="200" w:lineRule="exact"/>
              <w:jc w:val="right"/>
              <w:rPr>
                <w:i/>
                <w:sz w:val="16"/>
                <w:szCs w:val="24"/>
                <w:lang w:eastAsia="en-GB"/>
              </w:rPr>
            </w:pPr>
            <w:r w:rsidRPr="005E0629">
              <w:rPr>
                <w:bCs/>
                <w:i/>
                <w:sz w:val="16"/>
                <w:szCs w:val="22"/>
                <w:lang w:eastAsia="en-GB"/>
              </w:rPr>
              <w:t>2009 год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B33F2" w:rsidRPr="005E0629" w:rsidRDefault="004B33F2" w:rsidP="004B33F2">
            <w:pPr>
              <w:autoSpaceDE w:val="0"/>
              <w:autoSpaceDN w:val="0"/>
              <w:adjustRightInd w:val="0"/>
              <w:spacing w:before="80" w:after="80" w:line="200" w:lineRule="exact"/>
              <w:jc w:val="right"/>
              <w:rPr>
                <w:i/>
                <w:sz w:val="16"/>
                <w:szCs w:val="24"/>
                <w:lang w:eastAsia="en-GB"/>
              </w:rPr>
            </w:pPr>
            <w:r w:rsidRPr="005E0629">
              <w:rPr>
                <w:bCs/>
                <w:i/>
                <w:sz w:val="16"/>
                <w:szCs w:val="22"/>
                <w:lang w:eastAsia="en-GB"/>
              </w:rPr>
              <w:t>2010 год</w:t>
            </w:r>
          </w:p>
        </w:tc>
      </w:tr>
      <w:tr w:rsidR="00462D50" w:rsidRPr="005E0629" w:rsidTr="00462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158" w:type="dxa"/>
            <w:tcBorders>
              <w:top w:val="single" w:sz="12" w:space="0" w:color="auto"/>
            </w:tcBorders>
            <w:shd w:val="clear" w:color="auto" w:fill="auto"/>
          </w:tcPr>
          <w:p w:rsidR="004B33F2" w:rsidRPr="005E0629" w:rsidRDefault="004B33F2" w:rsidP="004B33F2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24"/>
                <w:lang w:eastAsia="en-GB"/>
              </w:rPr>
            </w:pPr>
            <w:r w:rsidRPr="005E0629">
              <w:rPr>
                <w:sz w:val="18"/>
                <w:szCs w:val="22"/>
                <w:lang w:eastAsia="en-GB"/>
              </w:rPr>
              <w:t>Уровень бедности (в процентах)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B33F2" w:rsidRPr="005E0629" w:rsidRDefault="004B33F2" w:rsidP="004B33F2">
            <w:pPr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24"/>
                <w:lang w:eastAsia="en-GB"/>
              </w:rPr>
            </w:pPr>
            <w:r w:rsidRPr="005E0629">
              <w:rPr>
                <w:sz w:val="18"/>
                <w:szCs w:val="22"/>
                <w:lang w:eastAsia="en-GB"/>
              </w:rPr>
              <w:t>29,3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B33F2" w:rsidRPr="005E0629" w:rsidRDefault="004B33F2" w:rsidP="004B33F2">
            <w:pPr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24"/>
                <w:lang w:eastAsia="en-GB"/>
              </w:rPr>
            </w:pPr>
            <w:r w:rsidRPr="005E0629">
              <w:rPr>
                <w:sz w:val="18"/>
                <w:szCs w:val="22"/>
                <w:lang w:eastAsia="en-GB"/>
              </w:rPr>
              <w:t>35,2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B33F2" w:rsidRPr="005E0629" w:rsidRDefault="004B33F2" w:rsidP="004B33F2">
            <w:pPr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24"/>
                <w:lang w:eastAsia="en-GB"/>
              </w:rPr>
            </w:pPr>
            <w:r w:rsidRPr="005E0629">
              <w:rPr>
                <w:sz w:val="18"/>
                <w:szCs w:val="22"/>
                <w:lang w:eastAsia="en-GB"/>
              </w:rPr>
              <w:t>38,7</w:t>
            </w:r>
          </w:p>
        </w:tc>
        <w:tc>
          <w:tcPr>
            <w:tcW w:w="92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B33F2" w:rsidRPr="005E0629" w:rsidRDefault="004B33F2" w:rsidP="004B33F2">
            <w:pPr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24"/>
                <w:lang w:eastAsia="en-GB"/>
              </w:rPr>
            </w:pPr>
            <w:r w:rsidRPr="005E0629">
              <w:rPr>
                <w:sz w:val="18"/>
                <w:szCs w:val="22"/>
                <w:lang w:eastAsia="en-GB"/>
              </w:rPr>
              <w:t>39,2</w:t>
            </w:r>
          </w:p>
        </w:tc>
      </w:tr>
      <w:tr w:rsidR="00462D50" w:rsidRPr="005E0629" w:rsidTr="00462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158" w:type="dxa"/>
            <w:shd w:val="clear" w:color="auto" w:fill="auto"/>
          </w:tcPr>
          <w:p w:rsidR="004B33F2" w:rsidRPr="005E0629" w:rsidRDefault="004B33F2" w:rsidP="004B33F2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24"/>
                <w:lang w:eastAsia="en-GB"/>
              </w:rPr>
            </w:pPr>
            <w:r w:rsidRPr="005E0629">
              <w:rPr>
                <w:sz w:val="18"/>
                <w:szCs w:val="22"/>
                <w:lang w:eastAsia="en-GB"/>
              </w:rPr>
              <w:t>Глубина бедности (в процентах)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4B33F2" w:rsidRPr="005E0629" w:rsidRDefault="004B33F2" w:rsidP="004B33F2">
            <w:pPr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24"/>
                <w:lang w:eastAsia="en-GB"/>
              </w:rPr>
            </w:pPr>
            <w:r w:rsidRPr="005E0629">
              <w:rPr>
                <w:sz w:val="18"/>
                <w:szCs w:val="22"/>
                <w:lang w:eastAsia="en-GB"/>
              </w:rPr>
              <w:t>8,8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4B33F2" w:rsidRPr="005E0629" w:rsidRDefault="004B33F2" w:rsidP="004B33F2">
            <w:pPr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24"/>
                <w:lang w:eastAsia="en-GB"/>
              </w:rPr>
            </w:pPr>
            <w:r w:rsidRPr="005E0629">
              <w:rPr>
                <w:sz w:val="18"/>
                <w:szCs w:val="22"/>
                <w:lang w:eastAsia="en-GB"/>
              </w:rPr>
              <w:t>10,1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4B33F2" w:rsidRPr="005E0629" w:rsidRDefault="004B33F2" w:rsidP="004B33F2">
            <w:pPr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24"/>
                <w:lang w:eastAsia="en-GB"/>
              </w:rPr>
            </w:pPr>
            <w:r w:rsidRPr="005E0629">
              <w:rPr>
                <w:sz w:val="18"/>
                <w:szCs w:val="22"/>
                <w:lang w:eastAsia="en-GB"/>
              </w:rPr>
              <w:t>10,6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4B33F2" w:rsidRPr="005E0629" w:rsidRDefault="004B33F2" w:rsidP="004B33F2">
            <w:pPr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24"/>
                <w:lang w:eastAsia="en-GB"/>
              </w:rPr>
            </w:pPr>
            <w:r w:rsidRPr="005E0629">
              <w:rPr>
                <w:sz w:val="18"/>
                <w:szCs w:val="22"/>
                <w:lang w:eastAsia="en-GB"/>
              </w:rPr>
              <w:t>11,3</w:t>
            </w:r>
          </w:p>
        </w:tc>
      </w:tr>
      <w:tr w:rsidR="00462D50" w:rsidRPr="005E0629" w:rsidTr="00462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158" w:type="dxa"/>
            <w:shd w:val="clear" w:color="auto" w:fill="auto"/>
          </w:tcPr>
          <w:p w:rsidR="004B33F2" w:rsidRPr="005E0629" w:rsidRDefault="004B33F2" w:rsidP="004B33F2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24"/>
                <w:lang w:eastAsia="en-GB"/>
              </w:rPr>
            </w:pPr>
            <w:r w:rsidRPr="005E0629">
              <w:rPr>
                <w:sz w:val="18"/>
                <w:szCs w:val="22"/>
                <w:lang w:eastAsia="en-GB"/>
              </w:rPr>
              <w:t>Процент потребления населения с наимен</w:t>
            </w:r>
            <w:r w:rsidRPr="005E0629">
              <w:rPr>
                <w:sz w:val="18"/>
                <w:szCs w:val="22"/>
                <w:lang w:eastAsia="en-GB"/>
              </w:rPr>
              <w:t>ь</w:t>
            </w:r>
            <w:r w:rsidRPr="005E0629">
              <w:rPr>
                <w:sz w:val="18"/>
                <w:szCs w:val="22"/>
                <w:lang w:eastAsia="en-GB"/>
              </w:rPr>
              <w:t>шим потреблением от общего объема национального п</w:t>
            </w:r>
            <w:r w:rsidRPr="005E0629">
              <w:rPr>
                <w:sz w:val="18"/>
                <w:szCs w:val="22"/>
                <w:lang w:eastAsia="en-GB"/>
              </w:rPr>
              <w:t>о</w:t>
            </w:r>
            <w:r w:rsidRPr="005E0629">
              <w:rPr>
                <w:sz w:val="18"/>
                <w:szCs w:val="22"/>
                <w:lang w:eastAsia="en-GB"/>
              </w:rPr>
              <w:t>требления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4B33F2" w:rsidRPr="005E0629" w:rsidRDefault="004B33F2" w:rsidP="004B33F2">
            <w:pPr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24"/>
                <w:lang w:eastAsia="en-GB"/>
              </w:rPr>
            </w:pPr>
            <w:r w:rsidRPr="005E0629">
              <w:rPr>
                <w:sz w:val="18"/>
                <w:szCs w:val="22"/>
                <w:lang w:eastAsia="en-GB"/>
              </w:rPr>
              <w:t>6,4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4B33F2" w:rsidRPr="005E0629" w:rsidRDefault="004B33F2" w:rsidP="004B33F2">
            <w:pPr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24"/>
                <w:lang w:eastAsia="en-GB"/>
              </w:rPr>
            </w:pPr>
            <w:r w:rsidRPr="005E0629">
              <w:rPr>
                <w:sz w:val="18"/>
                <w:szCs w:val="22"/>
                <w:lang w:eastAsia="en-GB"/>
              </w:rPr>
              <w:t>7,2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4B33F2" w:rsidRPr="005E0629" w:rsidRDefault="004B33F2" w:rsidP="004B33F2">
            <w:pPr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24"/>
                <w:lang w:eastAsia="en-GB"/>
              </w:rPr>
            </w:pPr>
            <w:r w:rsidRPr="005E0629">
              <w:rPr>
                <w:sz w:val="18"/>
                <w:szCs w:val="22"/>
                <w:lang w:eastAsia="en-GB"/>
              </w:rPr>
              <w:t>8,5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4B33F2" w:rsidRPr="005E0629" w:rsidRDefault="004B33F2" w:rsidP="004B33F2">
            <w:pPr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24"/>
                <w:lang w:eastAsia="en-GB"/>
              </w:rPr>
            </w:pPr>
            <w:r w:rsidRPr="005E0629">
              <w:rPr>
                <w:sz w:val="18"/>
                <w:szCs w:val="22"/>
                <w:lang w:eastAsia="en-GB"/>
              </w:rPr>
              <w:t>7,8</w:t>
            </w:r>
          </w:p>
        </w:tc>
      </w:tr>
      <w:tr w:rsidR="00462D50" w:rsidRPr="005E0629" w:rsidTr="00462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158" w:type="dxa"/>
            <w:tcBorders>
              <w:bottom w:val="single" w:sz="12" w:space="0" w:color="auto"/>
            </w:tcBorders>
            <w:shd w:val="clear" w:color="auto" w:fill="auto"/>
          </w:tcPr>
          <w:p w:rsidR="004B33F2" w:rsidRPr="005E0629" w:rsidRDefault="004B33F2" w:rsidP="004B33F2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24"/>
                <w:lang w:eastAsia="en-GB"/>
              </w:rPr>
            </w:pPr>
            <w:r w:rsidRPr="005E0629">
              <w:rPr>
                <w:sz w:val="18"/>
                <w:szCs w:val="22"/>
                <w:lang w:eastAsia="en-GB"/>
              </w:rPr>
              <w:t>ВВП на душу населения (в ценах на данный год в</w:t>
            </w:r>
            <w:r w:rsidR="00462D50">
              <w:rPr>
                <w:sz w:val="18"/>
                <w:szCs w:val="22"/>
                <w:lang w:val="en-US" w:eastAsia="en-GB"/>
              </w:rPr>
              <w:t> </w:t>
            </w:r>
            <w:r w:rsidRPr="005E0629">
              <w:rPr>
                <w:sz w:val="18"/>
                <w:szCs w:val="22"/>
                <w:lang w:eastAsia="en-GB"/>
              </w:rPr>
              <w:t>тыс. тугриков)*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B33F2" w:rsidRPr="005E0629" w:rsidRDefault="004B33F2" w:rsidP="004B33F2">
            <w:pPr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24"/>
                <w:lang w:eastAsia="en-GB"/>
              </w:rPr>
            </w:pPr>
            <w:r w:rsidRPr="005E0629">
              <w:rPr>
                <w:sz w:val="18"/>
                <w:szCs w:val="22"/>
                <w:lang w:eastAsia="en-GB"/>
              </w:rPr>
              <w:t>1</w:t>
            </w:r>
            <w:r w:rsidR="009730EF">
              <w:rPr>
                <w:sz w:val="18"/>
                <w:szCs w:val="22"/>
                <w:lang w:eastAsia="en-GB"/>
              </w:rPr>
              <w:t xml:space="preserve"> </w:t>
            </w:r>
            <w:r w:rsidRPr="005E0629">
              <w:rPr>
                <w:sz w:val="18"/>
                <w:szCs w:val="22"/>
                <w:lang w:eastAsia="en-GB"/>
              </w:rPr>
              <w:t>895,5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B33F2" w:rsidRPr="005E0629" w:rsidRDefault="004B33F2" w:rsidP="004B33F2">
            <w:pPr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24"/>
                <w:lang w:eastAsia="en-GB"/>
              </w:rPr>
            </w:pPr>
            <w:r w:rsidRPr="005E0629">
              <w:rPr>
                <w:sz w:val="18"/>
                <w:szCs w:val="22"/>
                <w:lang w:eastAsia="en-GB"/>
              </w:rPr>
              <w:t>2</w:t>
            </w:r>
            <w:r w:rsidR="009730EF">
              <w:rPr>
                <w:sz w:val="18"/>
                <w:szCs w:val="22"/>
                <w:lang w:eastAsia="en-GB"/>
              </w:rPr>
              <w:t xml:space="preserve"> </w:t>
            </w:r>
            <w:r w:rsidRPr="005E0629">
              <w:rPr>
                <w:sz w:val="18"/>
                <w:szCs w:val="22"/>
                <w:lang w:eastAsia="en-GB"/>
              </w:rPr>
              <w:t>465,1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B33F2" w:rsidRPr="005E0629" w:rsidRDefault="004B33F2" w:rsidP="004B33F2">
            <w:pPr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24"/>
                <w:lang w:eastAsia="en-GB"/>
              </w:rPr>
            </w:pPr>
            <w:r w:rsidRPr="005E0629">
              <w:rPr>
                <w:sz w:val="18"/>
                <w:szCs w:val="22"/>
                <w:lang w:eastAsia="en-GB"/>
              </w:rPr>
              <w:t>2</w:t>
            </w:r>
            <w:r w:rsidR="009730EF">
              <w:rPr>
                <w:sz w:val="18"/>
                <w:szCs w:val="22"/>
                <w:lang w:eastAsia="en-GB"/>
              </w:rPr>
              <w:t xml:space="preserve"> </w:t>
            </w:r>
            <w:r w:rsidRPr="005E0629">
              <w:rPr>
                <w:sz w:val="18"/>
                <w:szCs w:val="22"/>
                <w:lang w:eastAsia="en-GB"/>
              </w:rPr>
              <w:t>432,3</w:t>
            </w:r>
          </w:p>
        </w:tc>
        <w:tc>
          <w:tcPr>
            <w:tcW w:w="92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B33F2" w:rsidRPr="005E0629" w:rsidRDefault="004B33F2" w:rsidP="004B33F2">
            <w:pPr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24"/>
                <w:lang w:eastAsia="en-GB"/>
              </w:rPr>
            </w:pPr>
            <w:r w:rsidRPr="005E0629">
              <w:rPr>
                <w:sz w:val="18"/>
                <w:szCs w:val="22"/>
                <w:lang w:eastAsia="en-GB"/>
              </w:rPr>
              <w:t>2</w:t>
            </w:r>
            <w:r w:rsidR="009730EF">
              <w:rPr>
                <w:sz w:val="18"/>
                <w:szCs w:val="22"/>
                <w:lang w:eastAsia="en-GB"/>
              </w:rPr>
              <w:t xml:space="preserve"> </w:t>
            </w:r>
            <w:r w:rsidRPr="005E0629">
              <w:rPr>
                <w:sz w:val="18"/>
                <w:szCs w:val="22"/>
                <w:lang w:eastAsia="en-GB"/>
              </w:rPr>
              <w:t>992,8**</w:t>
            </w:r>
          </w:p>
        </w:tc>
      </w:tr>
    </w:tbl>
    <w:p w:rsidR="00462D50" w:rsidRPr="00462D50" w:rsidRDefault="00462D50" w:rsidP="00CD3BFC">
      <w:pPr>
        <w:pStyle w:val="SingleTxtGR"/>
        <w:spacing w:before="80" w:after="0" w:line="220" w:lineRule="exact"/>
        <w:ind w:firstLine="170"/>
        <w:rPr>
          <w:sz w:val="18"/>
          <w:szCs w:val="18"/>
        </w:rPr>
      </w:pPr>
      <w:r w:rsidRPr="00462D50">
        <w:rPr>
          <w:i/>
          <w:sz w:val="18"/>
          <w:szCs w:val="18"/>
        </w:rPr>
        <w:t>Источник</w:t>
      </w:r>
      <w:r w:rsidRPr="00462D50">
        <w:rPr>
          <w:sz w:val="18"/>
          <w:szCs w:val="18"/>
        </w:rPr>
        <w:t xml:space="preserve">: НСУ, </w:t>
      </w:r>
      <w:r w:rsidRPr="00462D50">
        <w:rPr>
          <w:i/>
          <w:sz w:val="18"/>
          <w:szCs w:val="18"/>
        </w:rPr>
        <w:t>Статистический ежегодник за 2010 год</w:t>
      </w:r>
      <w:r w:rsidRPr="00462D50">
        <w:rPr>
          <w:sz w:val="18"/>
          <w:szCs w:val="18"/>
        </w:rPr>
        <w:t xml:space="preserve">, </w:t>
      </w:r>
      <w:hyperlink r:id="rId14" w:history="1">
        <w:r w:rsidRPr="00462D50">
          <w:rPr>
            <w:rStyle w:val="Hyperlink"/>
            <w:sz w:val="18"/>
            <w:szCs w:val="18"/>
            <w:u w:val="none"/>
          </w:rPr>
          <w:t>www.nso.mn</w:t>
        </w:r>
      </w:hyperlink>
      <w:r w:rsidRPr="00462D50">
        <w:rPr>
          <w:sz w:val="18"/>
          <w:szCs w:val="18"/>
        </w:rPr>
        <w:t>.</w:t>
      </w:r>
    </w:p>
    <w:p w:rsidR="000E546C" w:rsidRPr="00DF40BF" w:rsidRDefault="000E546C" w:rsidP="000E546C">
      <w:pPr>
        <w:pStyle w:val="SingleTxtGR"/>
      </w:pPr>
      <w:r w:rsidRPr="000E546C">
        <w:t>104.</w:t>
      </w:r>
      <w:r w:rsidRPr="000E546C">
        <w:tab/>
      </w:r>
      <w:r w:rsidRPr="00DF40BF">
        <w:t>Особое внимание уделяется созданию рабочих мест и поддержке занят</w:t>
      </w:r>
      <w:r w:rsidRPr="00DF40BF">
        <w:t>о</w:t>
      </w:r>
      <w:r w:rsidRPr="00DF40BF">
        <w:t>сти в целях улучшения возможностей социально уязвимых, малоимущих групп о</w:t>
      </w:r>
      <w:r w:rsidRPr="00DF40BF">
        <w:t>б</w:t>
      </w:r>
      <w:r w:rsidRPr="00DF40BF">
        <w:t>щества по доступу к преимуществам экономического роста. Например, 2007</w:t>
      </w:r>
      <w:r>
        <w:rPr>
          <w:lang w:val="en-US"/>
        </w:rPr>
        <w:t> </w:t>
      </w:r>
      <w:r w:rsidRPr="00DF40BF">
        <w:t>год был объявлен Годом интенсивного производства и создания рабочих мест, когда было создано свыше 70</w:t>
      </w:r>
      <w:r>
        <w:rPr>
          <w:lang w:val="en-US"/>
        </w:rPr>
        <w:t> </w:t>
      </w:r>
      <w:r w:rsidRPr="00DF40BF">
        <w:t>000 рабочих мест. Однако в связи с мир</w:t>
      </w:r>
      <w:r w:rsidRPr="00DF40BF">
        <w:t>о</w:t>
      </w:r>
      <w:r w:rsidRPr="00DF40BF">
        <w:t>вым финансовым кризисом, частыми стихийными бедствиями, засухой и дз</w:t>
      </w:r>
      <w:r w:rsidRPr="00DF40BF">
        <w:t>у</w:t>
      </w:r>
      <w:r w:rsidRPr="00DF40BF">
        <w:t>дом, имевшими место в Монголии, средства существования населения не ув</w:t>
      </w:r>
      <w:r w:rsidRPr="00DF40BF">
        <w:t>е</w:t>
      </w:r>
      <w:r w:rsidRPr="00DF40BF">
        <w:t>личились и размах бедности не сократился. Кроме того, количество рабочих мест значительно не возросло, поскольку экономический рост зависит только от одного сектора, а именно – горнодобывающей промышленности. Поэтому для содействия развитию трудоемкой экономики правительство усилило меры по поддержке малых и средних предприятий (МСП), самозанятости, домашнего производства, пар</w:t>
      </w:r>
      <w:r w:rsidRPr="00DF40BF">
        <w:t>т</w:t>
      </w:r>
      <w:r w:rsidRPr="00DF40BF">
        <w:t>нерств и кооперативов. Для поддержки малых и средних предприятий в 2009 и 2010 г</w:t>
      </w:r>
      <w:r w:rsidRPr="00DF40BF">
        <w:t>о</w:t>
      </w:r>
      <w:r w:rsidRPr="00DF40BF">
        <w:t>дах из государственного бюджета было выделено кредитов на сумму 30</w:t>
      </w:r>
      <w:r>
        <w:rPr>
          <w:lang w:val="en-US"/>
        </w:rPr>
        <w:t> </w:t>
      </w:r>
      <w:r w:rsidRPr="00DF40BF">
        <w:t>млн. тугриков. В 2011 году планируется потратить 300</w:t>
      </w:r>
      <w:r>
        <w:rPr>
          <w:lang w:val="en-US"/>
        </w:rPr>
        <w:t> </w:t>
      </w:r>
      <w:r w:rsidRPr="00DF40BF">
        <w:t>млрд. тугриков на поддержку МСП и 26 млрд. тугриков на содействие зан</w:t>
      </w:r>
      <w:r w:rsidRPr="00DF40BF">
        <w:t>я</w:t>
      </w:r>
      <w:r w:rsidRPr="00DF40BF">
        <w:t>тости.</w:t>
      </w:r>
    </w:p>
    <w:p w:rsidR="000E546C" w:rsidRPr="00DF40BF" w:rsidRDefault="000E546C" w:rsidP="000E546C">
      <w:pPr>
        <w:pStyle w:val="SingleTxtGR"/>
      </w:pPr>
      <w:r w:rsidRPr="000E546C">
        <w:t>105.</w:t>
      </w:r>
      <w:r w:rsidRPr="000E546C">
        <w:tab/>
      </w:r>
      <w:r w:rsidRPr="00DF40BF">
        <w:t>С достижениями в рамках цели по снижению уровня бедности, сокращ</w:t>
      </w:r>
      <w:r w:rsidRPr="00DF40BF">
        <w:t>е</w:t>
      </w:r>
      <w:r w:rsidRPr="00DF40BF">
        <w:t>нию различий между городом и деревней и рекомендациями по принятию дал</w:t>
      </w:r>
      <w:r w:rsidRPr="00DF40BF">
        <w:t>ь</w:t>
      </w:r>
      <w:r w:rsidRPr="00DF40BF">
        <w:t xml:space="preserve">нейших мер можно ознакомиться в третьем национальном докладе Монголии </w:t>
      </w:r>
      <w:r>
        <w:t>о</w:t>
      </w:r>
      <w:r>
        <w:rPr>
          <w:lang w:val="en-US"/>
        </w:rPr>
        <w:t> </w:t>
      </w:r>
      <w:r w:rsidRPr="00DF40BF">
        <w:t>реализации ЦРДТ (2009 год).</w:t>
      </w:r>
    </w:p>
    <w:p w:rsidR="000E546C" w:rsidRPr="00DF40BF" w:rsidRDefault="000E546C" w:rsidP="000E546C">
      <w:pPr>
        <w:pStyle w:val="SingleTxtGR"/>
      </w:pPr>
      <w:r w:rsidRPr="000E546C">
        <w:t>106.</w:t>
      </w:r>
      <w:r w:rsidRPr="000E546C">
        <w:tab/>
      </w:r>
      <w:r w:rsidRPr="00DF40BF">
        <w:t>Одним из элементов безопасности любой страны является обеспечение населения качественным, безопасным и доступным продовольствием, и этому вопросу государство придает особое внимание. В Конституции Монголии ук</w:t>
      </w:r>
      <w:r w:rsidRPr="00DF40BF">
        <w:t>а</w:t>
      </w:r>
      <w:r w:rsidRPr="00DF40BF">
        <w:t>зывается, что граждане имеют право на здоровую и безопасную окружающую среду и на защиту от загрязнения окружающей среды и от нарушения эколог</w:t>
      </w:r>
      <w:r w:rsidRPr="00DF40BF">
        <w:t>и</w:t>
      </w:r>
      <w:r w:rsidRPr="00DF40BF">
        <w:t>ческого баланса. Хотя право на надлежащее и безопасное продовольствие не включено в Конституцию в качестве отдельного положения, оно является ч</w:t>
      </w:r>
      <w:r w:rsidRPr="00DF40BF">
        <w:t>а</w:t>
      </w:r>
      <w:r w:rsidRPr="00DF40BF">
        <w:t>стью права на жизнь в условиях здоровой и безопасной окружающей среды и на охрану зд</w:t>
      </w:r>
      <w:r w:rsidRPr="00DF40BF">
        <w:t>о</w:t>
      </w:r>
      <w:r w:rsidRPr="00DF40BF">
        <w:t>ровья.</w:t>
      </w:r>
    </w:p>
    <w:p w:rsidR="000E546C" w:rsidRPr="00DF40BF" w:rsidRDefault="000E546C" w:rsidP="000E546C">
      <w:pPr>
        <w:pStyle w:val="SingleTxtGR"/>
      </w:pPr>
      <w:r w:rsidRPr="000E546C">
        <w:t>107.</w:t>
      </w:r>
      <w:r w:rsidRPr="000E546C">
        <w:tab/>
      </w:r>
      <w:r w:rsidRPr="00DF40BF">
        <w:t>Отношения в сфере снабжения продовольствием и его безопасности р</w:t>
      </w:r>
      <w:r w:rsidRPr="00DF40BF">
        <w:t>е</w:t>
      </w:r>
      <w:r w:rsidRPr="00DF40BF">
        <w:t>гулируются в нашей стране такими законами, как Закон о продовольствии, З</w:t>
      </w:r>
      <w:r w:rsidRPr="00DF40BF">
        <w:t>а</w:t>
      </w:r>
      <w:r w:rsidRPr="00DF40BF">
        <w:t xml:space="preserve">кон о земле, Закон о воде, Закон об охране здоровья скота и генофонда, </w:t>
      </w:r>
      <w:r>
        <w:t>Закон о</w:t>
      </w:r>
      <w:r>
        <w:rPr>
          <w:lang w:val="en-US"/>
        </w:rPr>
        <w:t> </w:t>
      </w:r>
      <w:r w:rsidRPr="00DF40BF">
        <w:t>карантине и контроле ввоза из-за границы продуктов животного и растител</w:t>
      </w:r>
      <w:r w:rsidRPr="00DF40BF">
        <w:t>ь</w:t>
      </w:r>
      <w:r w:rsidRPr="00DF40BF">
        <w:t>ного происхождения. В целом вышеназванные законы направлены на улучш</w:t>
      </w:r>
      <w:r w:rsidRPr="00DF40BF">
        <w:t>е</w:t>
      </w:r>
      <w:r w:rsidRPr="00DF40BF">
        <w:t>ние снабжения продовольствием и его безопасности. Поскольку правовая коо</w:t>
      </w:r>
      <w:r w:rsidRPr="00DF40BF">
        <w:t>р</w:t>
      </w:r>
      <w:r w:rsidRPr="00DF40BF">
        <w:t>динация вопросов снабжения граждан доступным и безопасным продовольс</w:t>
      </w:r>
      <w:r w:rsidRPr="00DF40BF">
        <w:t>т</w:t>
      </w:r>
      <w:r w:rsidRPr="00DF40BF">
        <w:t>вием еще недостаточно хор</w:t>
      </w:r>
      <w:r>
        <w:t>ошо развита, началась работа по</w:t>
      </w:r>
      <w:r w:rsidRPr="000E546C">
        <w:t xml:space="preserve"> </w:t>
      </w:r>
      <w:r>
        <w:t>пересмотру Закона о</w:t>
      </w:r>
      <w:r>
        <w:rPr>
          <w:lang w:val="en-US"/>
        </w:rPr>
        <w:t> </w:t>
      </w:r>
      <w:r w:rsidRPr="00DF40BF">
        <w:t>пр</w:t>
      </w:r>
      <w:r w:rsidRPr="00DF40BF">
        <w:t>о</w:t>
      </w:r>
      <w:r w:rsidRPr="00DF40BF">
        <w:t>довольствии.</w:t>
      </w:r>
    </w:p>
    <w:p w:rsidR="000E546C" w:rsidRPr="00DF40BF" w:rsidRDefault="000E546C" w:rsidP="000E546C">
      <w:pPr>
        <w:pStyle w:val="SingleTxtGR"/>
      </w:pPr>
      <w:r w:rsidRPr="000E546C">
        <w:t>108.</w:t>
      </w:r>
      <w:r w:rsidRPr="000E546C">
        <w:tab/>
      </w:r>
      <w:r w:rsidRPr="00DF40BF">
        <w:t>Цель сокращения числа недоедающего населения включена в число ц</w:t>
      </w:r>
      <w:r w:rsidRPr="00DF40BF">
        <w:t>е</w:t>
      </w:r>
      <w:r w:rsidRPr="00DF40BF">
        <w:t>лей, сформулированных в Декларации тысячелетия, для нашей страны, а по</w:t>
      </w:r>
      <w:r w:rsidRPr="00DF40BF">
        <w:t>д</w:t>
      </w:r>
      <w:r w:rsidRPr="00DF40BF">
        <w:t>робная информация по этому вопросу отражена в третьем национальном докл</w:t>
      </w:r>
      <w:r w:rsidRPr="00DF40BF">
        <w:t>а</w:t>
      </w:r>
      <w:r w:rsidRPr="00DF40BF">
        <w:t>де Мо</w:t>
      </w:r>
      <w:r w:rsidRPr="00DF40BF">
        <w:t>н</w:t>
      </w:r>
      <w:r w:rsidRPr="00DF40BF">
        <w:t>голии о реализации ЦРДТ.</w:t>
      </w:r>
    </w:p>
    <w:p w:rsidR="000E546C" w:rsidRPr="00DF40BF" w:rsidRDefault="000E546C" w:rsidP="000E546C">
      <w:pPr>
        <w:pStyle w:val="SingleTxtGR"/>
      </w:pPr>
      <w:r w:rsidRPr="000E546C">
        <w:t>109.</w:t>
      </w:r>
      <w:r w:rsidRPr="000E546C">
        <w:tab/>
      </w:r>
      <w:r w:rsidRPr="00DF40BF">
        <w:t>Реальный уровень снабжения продуктами питания определяется кал</w:t>
      </w:r>
      <w:r w:rsidRPr="00DF40BF">
        <w:t>о</w:t>
      </w:r>
      <w:r w:rsidRPr="00DF40BF">
        <w:t>рийностью потребляемой пищи и ее питательной ценностью. Средний уровень калорийности потребляемой населением пищи в последние три года выше на</w:t>
      </w:r>
      <w:r w:rsidRPr="00DF40BF">
        <w:t>д</w:t>
      </w:r>
      <w:r w:rsidRPr="00DF40BF">
        <w:t>лежащего уровня. В среднем по стране количество белков и жиров в</w:t>
      </w:r>
      <w:r w:rsidRPr="000E546C">
        <w:t xml:space="preserve"> </w:t>
      </w:r>
      <w:r w:rsidRPr="00DF40BF">
        <w:t>пищевых продуктах, потребляемых населением, постоянно выше надлежащих показат</w:t>
      </w:r>
      <w:r w:rsidRPr="00DF40BF">
        <w:t>е</w:t>
      </w:r>
      <w:r w:rsidRPr="00DF40BF">
        <w:t>лей. Тем не менее мясные и мучные изделия доминируют среди продуктов, п</w:t>
      </w:r>
      <w:r w:rsidRPr="00DF40BF">
        <w:t>о</w:t>
      </w:r>
      <w:r w:rsidRPr="00DF40BF">
        <w:t>требляемых монголами, а фрукты и овощи, являющи</w:t>
      </w:r>
      <w:r w:rsidRPr="00DF40BF">
        <w:t>е</w:t>
      </w:r>
      <w:r w:rsidRPr="00DF40BF">
        <w:t>ся основным источником минералов и витаминов, составляют лишь небольшую часть рациона. Лица, принадлежащие к уязвимым группам, пот</w:t>
      </w:r>
      <w:r w:rsidR="00C467DA">
        <w:t>ребляют пищу, содержащую на 33% </w:t>
      </w:r>
      <w:r w:rsidRPr="00DF40BF">
        <w:t>калорий меньше, чем среднее стандартное ежедневное потребление кал</w:t>
      </w:r>
      <w:r w:rsidRPr="00DF40BF">
        <w:t>о</w:t>
      </w:r>
      <w:r w:rsidRPr="00DF40BF">
        <w:t>рий на национальном уровне.</w:t>
      </w:r>
    </w:p>
    <w:p w:rsidR="000E546C" w:rsidRPr="00DF40BF" w:rsidRDefault="00DB1497" w:rsidP="000E546C">
      <w:pPr>
        <w:pStyle w:val="SingleTxtGR"/>
      </w:pPr>
      <w:r w:rsidRPr="00DB1497">
        <w:t>110.</w:t>
      </w:r>
      <w:r w:rsidRPr="00DB1497">
        <w:tab/>
      </w:r>
      <w:r w:rsidR="000E546C" w:rsidRPr="00DF40BF">
        <w:t>В рассматриваемый период не было внесено никаких изменений в наци</w:t>
      </w:r>
      <w:r w:rsidR="000E546C" w:rsidRPr="00DF40BF">
        <w:t>о</w:t>
      </w:r>
      <w:r w:rsidR="000E546C" w:rsidRPr="00DF40BF">
        <w:t>нальную политику, законы и практику, которые могли бы негативно повлиять на возможности достаточного потребления пищи нас</w:t>
      </w:r>
      <w:r w:rsidR="000E546C" w:rsidRPr="00DF40BF">
        <w:t>е</w:t>
      </w:r>
      <w:r w:rsidR="000E546C" w:rsidRPr="00DF40BF">
        <w:t>лением в целом или в каких-либо секторах или регионах с трудными условиями.</w:t>
      </w:r>
    </w:p>
    <w:p w:rsidR="000E546C" w:rsidRPr="00DF40BF" w:rsidRDefault="00DB1497" w:rsidP="000E546C">
      <w:pPr>
        <w:pStyle w:val="SingleTxtGR"/>
      </w:pPr>
      <w:r w:rsidRPr="00DB1497">
        <w:t>111.</w:t>
      </w:r>
      <w:r w:rsidRPr="00DB1497">
        <w:tab/>
      </w:r>
      <w:r w:rsidR="000E546C" w:rsidRPr="00DF40BF">
        <w:t>Всемирная карта голода, подготовленная ФАО, показывает, что 36% нас</w:t>
      </w:r>
      <w:r w:rsidR="000E546C" w:rsidRPr="00DF40BF">
        <w:t>е</w:t>
      </w:r>
      <w:r w:rsidR="000E546C" w:rsidRPr="00DF40BF">
        <w:t>ления Монголии живет в бедности и имеет проблемы, связанные с питанием. Поэтому Национальная программа по продовольственной безопасности вкл</w:t>
      </w:r>
      <w:r w:rsidR="000E546C" w:rsidRPr="00DF40BF">
        <w:t>ю</w:t>
      </w:r>
      <w:r w:rsidR="000E546C" w:rsidRPr="00DF40BF">
        <w:t>чает в себя осуществление Подпрограммы по обеспечению социально уязв</w:t>
      </w:r>
      <w:r w:rsidR="000E546C" w:rsidRPr="00DF40BF">
        <w:t>и</w:t>
      </w:r>
      <w:r w:rsidR="000E546C" w:rsidRPr="00DF40BF">
        <w:t>мых групп продовольствием и оказанию им помощи в организации питания. Программа была одобрена Рез</w:t>
      </w:r>
      <w:r w:rsidR="000E546C" w:rsidRPr="00DF40BF">
        <w:t>о</w:t>
      </w:r>
      <w:r w:rsidR="000E546C" w:rsidRPr="00DF40BF">
        <w:t>люцией 25 (2008 год) правительства Монголии.</w:t>
      </w:r>
    </w:p>
    <w:p w:rsidR="000E546C" w:rsidRPr="00DF40BF" w:rsidRDefault="00DB1497" w:rsidP="000E546C">
      <w:pPr>
        <w:pStyle w:val="SingleTxtGR"/>
      </w:pPr>
      <w:r w:rsidRPr="00DB1497">
        <w:t>112.</w:t>
      </w:r>
      <w:r w:rsidRPr="00DB1497">
        <w:tab/>
      </w:r>
      <w:r w:rsidR="000E546C" w:rsidRPr="00DF40BF">
        <w:t>Физиологическая норма питания нас</w:t>
      </w:r>
      <w:r>
        <w:t>еления была одобрена Резолюц</w:t>
      </w:r>
      <w:r>
        <w:t>и</w:t>
      </w:r>
      <w:r>
        <w:t>ей</w:t>
      </w:r>
      <w:r>
        <w:rPr>
          <w:lang w:val="en-US"/>
        </w:rPr>
        <w:t> </w:t>
      </w:r>
      <w:r w:rsidR="000E546C" w:rsidRPr="00DF40BF">
        <w:t>257 (2008 года) Министра здравоохранения. Норма устанавливает надлеж</w:t>
      </w:r>
      <w:r w:rsidR="000E546C" w:rsidRPr="00DF40BF">
        <w:t>а</w:t>
      </w:r>
      <w:r w:rsidR="000E546C" w:rsidRPr="00DF40BF">
        <w:t>щее количество 13 основных продуктов питания, которые должны потребляться в летний и зимний период. При расчете продовольственного баланса на наци</w:t>
      </w:r>
      <w:r w:rsidR="000E546C" w:rsidRPr="00DF40BF">
        <w:t>о</w:t>
      </w:r>
      <w:r w:rsidR="000E546C" w:rsidRPr="00DF40BF">
        <w:t>нальном уровне вышеупомянутая норма принимается за основу.</w:t>
      </w:r>
    </w:p>
    <w:p w:rsidR="000E546C" w:rsidRPr="00DF40BF" w:rsidRDefault="00DB1497" w:rsidP="000E546C">
      <w:pPr>
        <w:pStyle w:val="SingleTxtGR"/>
      </w:pPr>
      <w:r w:rsidRPr="00DB1497">
        <w:t>113.</w:t>
      </w:r>
      <w:r w:rsidRPr="00DB1497">
        <w:tab/>
      </w:r>
      <w:r w:rsidR="000E546C" w:rsidRPr="00DF40BF">
        <w:t>В соответствии с ежемесячным выборочным обследованием доходов, ра</w:t>
      </w:r>
      <w:r w:rsidR="000E546C" w:rsidRPr="00DF40BF">
        <w:t>с</w:t>
      </w:r>
      <w:r w:rsidR="000E546C" w:rsidRPr="00DF40BF">
        <w:t>ходов и жизненного уровня домохозяйств, проводимым Национальным стат</w:t>
      </w:r>
      <w:r w:rsidR="000E546C" w:rsidRPr="00DF40BF">
        <w:t>и</w:t>
      </w:r>
      <w:r w:rsidR="000E546C" w:rsidRPr="00DF40BF">
        <w:t>стическим управлением, полностью удовлетворяются стандартные потребности в расчете на душу населения в мясе, молоке, муке и сахаре, потребности в я</w:t>
      </w:r>
      <w:r w:rsidR="000E546C" w:rsidRPr="00DF40BF">
        <w:t>й</w:t>
      </w:r>
      <w:r w:rsidR="000E546C" w:rsidRPr="00DF40BF">
        <w:t>цах, растительном масле, рисе и картофеле – на 56</w:t>
      </w:r>
      <w:r w:rsidRPr="00DB1497">
        <w:t>−</w:t>
      </w:r>
      <w:r w:rsidR="000E546C" w:rsidRPr="00DF40BF">
        <w:t>80%, а потребление необх</w:t>
      </w:r>
      <w:r w:rsidR="000E546C" w:rsidRPr="00DF40BF">
        <w:t>о</w:t>
      </w:r>
      <w:r w:rsidR="000E546C" w:rsidRPr="00DF40BF">
        <w:t>димых овощей и фру</w:t>
      </w:r>
      <w:r w:rsidR="000E546C" w:rsidRPr="00DF40BF">
        <w:t>к</w:t>
      </w:r>
      <w:r w:rsidR="000E546C" w:rsidRPr="00DF40BF">
        <w:t>тов составляет лишь 12,8</w:t>
      </w:r>
      <w:r w:rsidRPr="00DB1497">
        <w:t>−</w:t>
      </w:r>
      <w:r w:rsidR="000E546C" w:rsidRPr="00DF40BF">
        <w:t>28%.</w:t>
      </w:r>
    </w:p>
    <w:p w:rsidR="000E546C" w:rsidRPr="00DF40BF" w:rsidRDefault="00DB1497" w:rsidP="000E546C">
      <w:pPr>
        <w:pStyle w:val="SingleTxtGR"/>
      </w:pPr>
      <w:r w:rsidRPr="00DB1497">
        <w:t>114.</w:t>
      </w:r>
      <w:r w:rsidRPr="00DB1497">
        <w:tab/>
      </w:r>
      <w:r w:rsidR="000E546C" w:rsidRPr="00DF40BF">
        <w:t>Правительство Монголии обновило Программу в области безопасности продовольственных поставок и питания, осуществляемую с 2001 года, в целях обеспечения продовольственной безопасности населения и представило Наци</w:t>
      </w:r>
      <w:r w:rsidR="000E546C" w:rsidRPr="00DF40BF">
        <w:t>о</w:t>
      </w:r>
      <w:r w:rsidR="000E546C" w:rsidRPr="00DF40BF">
        <w:t>нальную программу продовольственной безопасности. Тем самым оно учло нынешнюю ситуацию с поставками продовольствия в Монголии, ее дальнейшее развитие, нехватку продовольствия на мировом уровне, рост цен, а также рез</w:t>
      </w:r>
      <w:r w:rsidR="000E546C" w:rsidRPr="00DF40BF">
        <w:t>о</w:t>
      </w:r>
      <w:r w:rsidR="000E546C" w:rsidRPr="00DF40BF">
        <w:t>люции и рекомендации, разработанные ООН и другими международными орг</w:t>
      </w:r>
      <w:r w:rsidR="000E546C" w:rsidRPr="00DF40BF">
        <w:t>а</w:t>
      </w:r>
      <w:r w:rsidR="000E546C" w:rsidRPr="00DF40BF">
        <w:t>низациями по этим вопросам. Программа направлена на обеспечение населения питательными и безопасными продуктами на доступной и устойчивой основе, создание условий для здорового образа жизни и повышения производительн</w:t>
      </w:r>
      <w:r w:rsidR="000E546C" w:rsidRPr="00DF40BF">
        <w:t>о</w:t>
      </w:r>
      <w:r w:rsidR="000E546C" w:rsidRPr="00DF40BF">
        <w:t>сти труда. В целях поддержания устойчивых поставок основных продуктов п</w:t>
      </w:r>
      <w:r w:rsidR="000E546C" w:rsidRPr="00DF40BF">
        <w:t>и</w:t>
      </w:r>
      <w:r w:rsidR="000E546C" w:rsidRPr="00DF40BF">
        <w:t xml:space="preserve">тания для населения осуществляются такие программы, как </w:t>
      </w:r>
      <w:r w:rsidR="00C467DA">
        <w:t>"</w:t>
      </w:r>
      <w:r w:rsidR="000E546C" w:rsidRPr="00DF40BF">
        <w:t>Целинные земли-III</w:t>
      </w:r>
      <w:r w:rsidR="00C467DA">
        <w:t>"</w:t>
      </w:r>
      <w:r w:rsidR="000E546C" w:rsidRPr="00DF40BF">
        <w:t xml:space="preserve">, </w:t>
      </w:r>
      <w:r w:rsidR="00C467DA">
        <w:t>"</w:t>
      </w:r>
      <w:r w:rsidR="000E546C" w:rsidRPr="00DF40BF">
        <w:t>Зеленая революция</w:t>
      </w:r>
      <w:r w:rsidR="00C467DA">
        <w:t>"</w:t>
      </w:r>
      <w:r w:rsidR="000E546C" w:rsidRPr="00DF40BF">
        <w:t xml:space="preserve">, </w:t>
      </w:r>
      <w:r w:rsidR="00C467DA">
        <w:t>"</w:t>
      </w:r>
      <w:r w:rsidR="000E546C" w:rsidRPr="00DF40BF">
        <w:t>Молоко</w:t>
      </w:r>
      <w:r w:rsidR="00C467DA">
        <w:t>"</w:t>
      </w:r>
      <w:r w:rsidR="000E546C" w:rsidRPr="00DF40BF">
        <w:t xml:space="preserve">, </w:t>
      </w:r>
      <w:r w:rsidR="00C467DA">
        <w:t>"</w:t>
      </w:r>
      <w:r w:rsidR="000E546C" w:rsidRPr="00DF40BF">
        <w:t>Органические продукты</w:t>
      </w:r>
      <w:r w:rsidR="00C467DA">
        <w:t>"</w:t>
      </w:r>
      <w:r w:rsidR="000E546C" w:rsidRPr="00DF40BF">
        <w:t xml:space="preserve">, </w:t>
      </w:r>
      <w:r w:rsidR="00C467DA">
        <w:t>"</w:t>
      </w:r>
      <w:r w:rsidR="000E546C" w:rsidRPr="00DF40BF">
        <w:t xml:space="preserve">Борьба </w:t>
      </w:r>
      <w:r w:rsidR="00B84A8F">
        <w:t>с йодо</w:t>
      </w:r>
      <w:r w:rsidR="000E546C" w:rsidRPr="00DF40BF">
        <w:t>дефицитом</w:t>
      </w:r>
      <w:r w:rsidR="00C467DA">
        <w:t>"</w:t>
      </w:r>
      <w:r w:rsidR="000E546C" w:rsidRPr="00DF40BF">
        <w:t xml:space="preserve">, </w:t>
      </w:r>
      <w:r w:rsidR="00C467DA">
        <w:t>"</w:t>
      </w:r>
      <w:r w:rsidR="000E546C" w:rsidRPr="00DF40BF">
        <w:t>Здоровье скота</w:t>
      </w:r>
      <w:r w:rsidR="00C467DA">
        <w:t>"</w:t>
      </w:r>
      <w:r w:rsidR="000E546C" w:rsidRPr="00DF40BF">
        <w:t xml:space="preserve">, </w:t>
      </w:r>
      <w:r w:rsidR="00C467DA">
        <w:t>"</w:t>
      </w:r>
      <w:r w:rsidR="000E546C" w:rsidRPr="00DF40BF">
        <w:t>Поддержка интенсивного животноводс</w:t>
      </w:r>
      <w:r w:rsidR="000E546C" w:rsidRPr="00DF40BF">
        <w:t>т</w:t>
      </w:r>
      <w:r w:rsidR="000E546C" w:rsidRPr="00DF40BF">
        <w:t>ва</w:t>
      </w:r>
      <w:r w:rsidR="00C467DA">
        <w:t>"</w:t>
      </w:r>
      <w:r w:rsidR="000E546C" w:rsidRPr="00DF40BF">
        <w:t xml:space="preserve"> и </w:t>
      </w:r>
      <w:r w:rsidR="00C467DA">
        <w:t>"</w:t>
      </w:r>
      <w:r w:rsidR="000E546C" w:rsidRPr="00DF40BF">
        <w:t>Улучшение качества скота</w:t>
      </w:r>
      <w:r w:rsidR="00C467DA">
        <w:t>"</w:t>
      </w:r>
      <w:r w:rsidR="000E546C" w:rsidRPr="00DF40BF">
        <w:t>. Вышеназванные программы имеют большое значение в обеспечении населения достаточным и безопасным продовольств</w:t>
      </w:r>
      <w:r w:rsidR="000E546C" w:rsidRPr="00DF40BF">
        <w:t>и</w:t>
      </w:r>
      <w:r w:rsidR="000E546C" w:rsidRPr="00DF40BF">
        <w:t>ем. Например, в результате осуществления упомянутых выше про</w:t>
      </w:r>
      <w:r w:rsidR="00B84A8F">
        <w:t>грамм в 2010 </w:t>
      </w:r>
      <w:r w:rsidR="000E546C" w:rsidRPr="00DF40BF">
        <w:t>году спрос на мясо, молоко, муку и картофель бы</w:t>
      </w:r>
      <w:r>
        <w:t>л полностью удовл</w:t>
      </w:r>
      <w:r>
        <w:t>е</w:t>
      </w:r>
      <w:r>
        <w:t>творен, а</w:t>
      </w:r>
      <w:r>
        <w:rPr>
          <w:lang w:val="en-US"/>
        </w:rPr>
        <w:t> </w:t>
      </w:r>
      <w:r>
        <w:t>54%</w:t>
      </w:r>
      <w:r>
        <w:rPr>
          <w:lang w:val="en-US"/>
        </w:rPr>
        <w:t> </w:t>
      </w:r>
      <w:r w:rsidR="000E546C" w:rsidRPr="00DF40BF">
        <w:t>спроса на овощи было удовлетворено за счет внутреннего прои</w:t>
      </w:r>
      <w:r w:rsidR="000E546C" w:rsidRPr="00DF40BF">
        <w:t>з</w:t>
      </w:r>
      <w:r w:rsidR="000E546C" w:rsidRPr="00DF40BF">
        <w:t>водства.</w:t>
      </w:r>
    </w:p>
    <w:p w:rsidR="000E546C" w:rsidRPr="00DF40BF" w:rsidRDefault="00DB1497" w:rsidP="000E546C">
      <w:pPr>
        <w:pStyle w:val="SingleTxtGR"/>
      </w:pPr>
      <w:r w:rsidRPr="00DB1497">
        <w:t>115.</w:t>
      </w:r>
      <w:r w:rsidRPr="00DB1497">
        <w:tab/>
      </w:r>
      <w:r w:rsidR="000E546C" w:rsidRPr="00DF40BF">
        <w:t>Один из основных элементов Программы продовольственной безопасн</w:t>
      </w:r>
      <w:r w:rsidR="000E546C" w:rsidRPr="00DF40BF">
        <w:t>о</w:t>
      </w:r>
      <w:r w:rsidR="000E546C" w:rsidRPr="00DF40BF">
        <w:t>сти, утвержденной в 2009 году, включает в себя реализацию в общей сложности восьми пакетов мер по улучшению питательного качества продуктов, поддер</w:t>
      </w:r>
      <w:r w:rsidR="000E546C" w:rsidRPr="00DF40BF">
        <w:t>ж</w:t>
      </w:r>
      <w:r w:rsidR="000E546C" w:rsidRPr="00DF40BF">
        <w:t>ке надлежащих рационов питания, сокращению нехватки продовольствия и п</w:t>
      </w:r>
      <w:r w:rsidR="000E546C" w:rsidRPr="00DF40BF">
        <w:t>и</w:t>
      </w:r>
      <w:r w:rsidR="000E546C" w:rsidRPr="00DF40BF">
        <w:t>тательных веществ, профилактике основных неинфекционных заболеваний, к</w:t>
      </w:r>
      <w:r w:rsidR="000E546C" w:rsidRPr="00DF40BF">
        <w:t>о</w:t>
      </w:r>
      <w:r w:rsidR="000E546C" w:rsidRPr="00DF40BF">
        <w:t>торые находят отражение в основных направлениях экономического и социал</w:t>
      </w:r>
      <w:r w:rsidR="000E546C" w:rsidRPr="00DF40BF">
        <w:t>ь</w:t>
      </w:r>
      <w:r w:rsidR="000E546C" w:rsidRPr="00DF40BF">
        <w:t>ного развития. Например, были приняты меры по разработке и проведению р</w:t>
      </w:r>
      <w:r w:rsidR="000E546C" w:rsidRPr="00DF40BF">
        <w:t>е</w:t>
      </w:r>
      <w:r w:rsidR="000E546C" w:rsidRPr="00DF40BF">
        <w:t>гулярных операций Центром по поддержке внедрения надлежащих рационов питания на основе участия городских и сельских образовательных и медици</w:t>
      </w:r>
      <w:r w:rsidR="000E546C" w:rsidRPr="00DF40BF">
        <w:t>н</w:t>
      </w:r>
      <w:r w:rsidR="000E546C" w:rsidRPr="00DF40BF">
        <w:t>ских организаций, поощрения и поддержки движений и инициатив в пользу надл</w:t>
      </w:r>
      <w:r w:rsidR="000E546C" w:rsidRPr="00DF40BF">
        <w:t>е</w:t>
      </w:r>
      <w:r w:rsidR="000E546C" w:rsidRPr="00DF40BF">
        <w:t>жащих рационов питания для отдельных лиц и домашних хозяйств на уровне административных и территориальных единиц, государственных и час</w:t>
      </w:r>
      <w:r w:rsidR="000E546C" w:rsidRPr="00DF40BF">
        <w:t>т</w:t>
      </w:r>
      <w:r w:rsidR="000E546C" w:rsidRPr="00DF40BF">
        <w:t>ных предприятий и экономических единиц. Осуществляются программы по профилактике и мониторингу неинфекционн</w:t>
      </w:r>
      <w:r>
        <w:t>ых заболеваний и по поддержке в</w:t>
      </w:r>
      <w:r>
        <w:rPr>
          <w:lang w:val="en-US"/>
        </w:rPr>
        <w:t> </w:t>
      </w:r>
      <w:r w:rsidR="000E546C" w:rsidRPr="00DF40BF">
        <w:t>области питания социально уязвимых групп.</w:t>
      </w:r>
    </w:p>
    <w:p w:rsidR="000E546C" w:rsidRPr="00DF40BF" w:rsidRDefault="00DB1497" w:rsidP="000E546C">
      <w:pPr>
        <w:pStyle w:val="SingleTxtGR"/>
      </w:pPr>
      <w:r w:rsidRPr="00DB1497">
        <w:t>116.</w:t>
      </w:r>
      <w:r w:rsidRPr="00DB1497">
        <w:tab/>
      </w:r>
      <w:r w:rsidR="000E546C" w:rsidRPr="00DF40BF">
        <w:t>Согласно данным Переписи населения и жилищного фонда за 2010 год, из общего количества 713 780 семей 45,2% живет в юртах, 53,7% – в квартирах и 1,1% – в других видах жилья. Что касается местоположения, то из числа г</w:t>
      </w:r>
      <w:r w:rsidR="000E546C" w:rsidRPr="00DF40BF">
        <w:t>о</w:t>
      </w:r>
      <w:r w:rsidR="000E546C" w:rsidRPr="00DF40BF">
        <w:t>родских семей 65,9% живут в квартирах и 32,7% – в юртах, что свидетельствует о том, что доля семей, живущих в квартирах, уменьшилась с момента предыд</w:t>
      </w:r>
      <w:r w:rsidR="000E546C" w:rsidRPr="00DF40BF">
        <w:t>у</w:t>
      </w:r>
      <w:r w:rsidR="000E546C" w:rsidRPr="00DF40BF">
        <w:t>щей переписи, а доля семей, живущих в юртах, увеличилась. Из общего числа семей 12,4% не имеют какого-либо собственного жилья, и из них 73,8% прож</w:t>
      </w:r>
      <w:r w:rsidR="000E546C" w:rsidRPr="00DF40BF">
        <w:t>и</w:t>
      </w:r>
      <w:r w:rsidR="000E546C" w:rsidRPr="00DF40BF">
        <w:t>вает в городах. Большое количество семей без своего собственного жилья св</w:t>
      </w:r>
      <w:r w:rsidR="000E546C" w:rsidRPr="00DF40BF">
        <w:t>я</w:t>
      </w:r>
      <w:r w:rsidR="000E546C" w:rsidRPr="00DF40BF">
        <w:t>зано с миграцией и ростом городского населения.</w:t>
      </w:r>
    </w:p>
    <w:p w:rsidR="000E546C" w:rsidRPr="00DF40BF" w:rsidRDefault="00DB1497" w:rsidP="000E546C">
      <w:pPr>
        <w:pStyle w:val="SingleTxtGR"/>
      </w:pPr>
      <w:r w:rsidRPr="00DB1497">
        <w:t>117.</w:t>
      </w:r>
      <w:r w:rsidRPr="00DB1497">
        <w:tab/>
      </w:r>
      <w:r w:rsidR="000E546C" w:rsidRPr="00DF40BF">
        <w:t>Виды жилья различны в зависимости от уровня жизни тех или иных пре</w:t>
      </w:r>
      <w:r w:rsidR="000E546C" w:rsidRPr="00DF40BF">
        <w:t>д</w:t>
      </w:r>
      <w:r w:rsidR="000E546C" w:rsidRPr="00DF40BF">
        <w:t>ставителей населения. Почти половина людей, живущих в юртах в городах, а также в сельских районах, являются малоимущими. Подробная информация о наличии жилья и жилье уязвимых групп содержится в третьем национальном докладе Монголии о реализации ЦРДТ.</w:t>
      </w:r>
    </w:p>
    <w:p w:rsidR="000E546C" w:rsidRPr="00DF40BF" w:rsidRDefault="00DB1497" w:rsidP="000E546C">
      <w:pPr>
        <w:pStyle w:val="SingleTxtGR"/>
      </w:pPr>
      <w:r w:rsidRPr="00DB1497">
        <w:t>118.</w:t>
      </w:r>
      <w:r w:rsidRPr="00DB1497">
        <w:tab/>
      </w:r>
      <w:r w:rsidR="000E546C" w:rsidRPr="00DF40BF">
        <w:t>В целом отсутствует подробная правовая координация, что отрицательно сказывается на реализации права монгольских граждан на обеспечение жильем. Поэтому необходимо сосредоточить внимание на этом вопросе в будущем.</w:t>
      </w:r>
    </w:p>
    <w:p w:rsidR="000E546C" w:rsidRPr="00DF40BF" w:rsidRDefault="00DB1497" w:rsidP="000E546C">
      <w:pPr>
        <w:pStyle w:val="SingleTxtGR"/>
      </w:pPr>
      <w:r w:rsidRPr="00DB1497">
        <w:t>119.</w:t>
      </w:r>
      <w:r w:rsidRPr="00DB1497">
        <w:tab/>
      </w:r>
      <w:r w:rsidR="000E546C" w:rsidRPr="00DF40BF">
        <w:t>Хотя юрты играют важную роль в удовлетворении потребностей насел</w:t>
      </w:r>
      <w:r w:rsidR="000E546C" w:rsidRPr="00DF40BF">
        <w:t>е</w:t>
      </w:r>
      <w:r w:rsidR="000E546C" w:rsidRPr="00DF40BF">
        <w:t>ния в жилье, особенно в сельских районах, они не отвечают требованиям ко</w:t>
      </w:r>
      <w:r w:rsidR="000E546C" w:rsidRPr="00DF40BF">
        <w:t>м</w:t>
      </w:r>
      <w:r w:rsidR="000E546C" w:rsidRPr="00DF40BF">
        <w:t>фортного проживания в городах. Поэтому правительство Монголии принимает меры по обеспечению городов квартирами и строительству современных мн</w:t>
      </w:r>
      <w:r w:rsidR="000E546C" w:rsidRPr="00DF40BF">
        <w:t>о</w:t>
      </w:r>
      <w:r w:rsidR="000E546C" w:rsidRPr="00DF40BF">
        <w:t>гоквартирных домов. Например, в 2004</w:t>
      </w:r>
      <w:r w:rsidRPr="00DB1497">
        <w:t>−</w:t>
      </w:r>
      <w:r w:rsidR="000E546C" w:rsidRPr="00DF40BF">
        <w:t>2008 годах осуществлялась Программа по обеспечению жильем 40 000 семей, а с 2009 года реализуется Программа по обеспечению жильем 100</w:t>
      </w:r>
      <w:r>
        <w:rPr>
          <w:lang w:val="en-US"/>
        </w:rPr>
        <w:t> </w:t>
      </w:r>
      <w:r w:rsidR="000E546C" w:rsidRPr="00DF40BF">
        <w:t>000 семей с квотами для государственных гражда</w:t>
      </w:r>
      <w:r w:rsidR="000E546C" w:rsidRPr="00DF40BF">
        <w:t>н</w:t>
      </w:r>
      <w:r w:rsidR="000E546C" w:rsidRPr="00DF40BF">
        <w:t>ских служащих и семей с низким доходом или доходом ниже среднего. Была создана Жилищная финансовая корпорация для реализации государственных инвестиций, и была начата работа по строительству жилья для широкой общ</w:t>
      </w:r>
      <w:r w:rsidR="000E546C" w:rsidRPr="00DF40BF">
        <w:t>е</w:t>
      </w:r>
      <w:r w:rsidR="000E546C" w:rsidRPr="00DF40BF">
        <w:t>ственности. С 2011 года в столице апробируется новый метод. Частные земли освобождаются под строительство новых жилых районов с многоквартирными домами. Землевладельцам выплачивается компенсация или предоставляется право приобрести новую квартиру по льготной цене. Был принят ряд мер для снижения процентной ставки по ипотеке и поддержания ее на определенном уровне.</w:t>
      </w:r>
    </w:p>
    <w:p w:rsidR="000E546C" w:rsidRPr="00DF40BF" w:rsidRDefault="00DB1497" w:rsidP="000E546C">
      <w:pPr>
        <w:pStyle w:val="SingleTxtGR"/>
      </w:pPr>
      <w:r w:rsidRPr="00DB1497">
        <w:t>120.</w:t>
      </w:r>
      <w:r w:rsidRPr="00DB1497">
        <w:tab/>
      </w:r>
      <w:r w:rsidR="000E546C" w:rsidRPr="00DF40BF">
        <w:t>Правительство Монголии организовало успешное сотрудничество по ос</w:t>
      </w:r>
      <w:r w:rsidR="000E546C" w:rsidRPr="00DF40BF">
        <w:t>у</w:t>
      </w:r>
      <w:r w:rsidR="000E546C" w:rsidRPr="00DF40BF">
        <w:t>ществлению статьи 18 Пакта. Например, в сотрудничестве со Всемирным ба</w:t>
      </w:r>
      <w:r w:rsidR="000E546C" w:rsidRPr="00DF40BF">
        <w:t>н</w:t>
      </w:r>
      <w:r w:rsidR="000E546C" w:rsidRPr="00DF40BF">
        <w:t>ком, Азиатским банком развития, Международной продовольственной ассоци</w:t>
      </w:r>
      <w:r w:rsidR="000E546C" w:rsidRPr="00DF40BF">
        <w:t>а</w:t>
      </w:r>
      <w:r w:rsidR="000E546C" w:rsidRPr="00DF40BF">
        <w:t>цией и Европейским союзом оно осуществляет проекты и программы по с</w:t>
      </w:r>
      <w:r w:rsidR="000E546C" w:rsidRPr="00DF40BF">
        <w:t>о</w:t>
      </w:r>
      <w:r w:rsidR="000E546C" w:rsidRPr="00DF40BF">
        <w:t>кращению масштабов бедности, строительству жилья, созданию Жилищного фонда, улучшения продовольственного снабжения населения, особенно его м</w:t>
      </w:r>
      <w:r w:rsidR="000E546C" w:rsidRPr="00DF40BF">
        <w:t>а</w:t>
      </w:r>
      <w:r w:rsidR="000E546C" w:rsidRPr="00DF40BF">
        <w:t>лоимущей и уязвимой части. В результате осуществления вышеназванных пр</w:t>
      </w:r>
      <w:r w:rsidR="000E546C" w:rsidRPr="00DF40BF">
        <w:t>о</w:t>
      </w:r>
      <w:r w:rsidR="000E546C" w:rsidRPr="00DF40BF">
        <w:t>ектов и программ был достигнут существенный прогресс в таких областях, как улучшение статистических показателей в отношении малоимущих слоев нас</w:t>
      </w:r>
      <w:r w:rsidR="000E546C" w:rsidRPr="00DF40BF">
        <w:t>е</w:t>
      </w:r>
      <w:r w:rsidR="000E546C" w:rsidRPr="00DF40BF">
        <w:t>ления в Монголии, сокращение нехватки воды, которая оказывает негативное влияние на условия жизни сельского населения, надлежащее использование п</w:t>
      </w:r>
      <w:r w:rsidR="000E546C" w:rsidRPr="00DF40BF">
        <w:t>а</w:t>
      </w:r>
      <w:r w:rsidR="000E546C" w:rsidRPr="00DF40BF">
        <w:t>стбищ, ремонт и содержание зданий сектора социальных услуг, таких как шк</w:t>
      </w:r>
      <w:r w:rsidR="000E546C" w:rsidRPr="00DF40BF">
        <w:t>о</w:t>
      </w:r>
      <w:r w:rsidR="000E546C" w:rsidRPr="00DF40BF">
        <w:t>лы, де</w:t>
      </w:r>
      <w:r w:rsidR="000E546C" w:rsidRPr="00DF40BF">
        <w:t>т</w:t>
      </w:r>
      <w:r w:rsidR="000E546C" w:rsidRPr="00DF40BF">
        <w:t>ские сады и больницы, обновление оборудования, поддержка малого бизнеса, возглавляемого женщинами, введение услуг по предоставлению кр</w:t>
      </w:r>
      <w:r w:rsidR="000E546C" w:rsidRPr="00DF40BF">
        <w:t>е</w:t>
      </w:r>
      <w:r w:rsidR="000E546C" w:rsidRPr="00DF40BF">
        <w:t>дитов на приобретение жилья.</w:t>
      </w:r>
    </w:p>
    <w:p w:rsidR="000E546C" w:rsidRPr="00DF40BF" w:rsidRDefault="000E546C" w:rsidP="00DB1497">
      <w:pPr>
        <w:pStyle w:val="H1GR"/>
      </w:pPr>
      <w:r w:rsidRPr="00DF40BF">
        <w:tab/>
      </w:r>
      <w:r w:rsidRPr="00DF40BF">
        <w:tab/>
        <w:t>Статья 12</w:t>
      </w:r>
    </w:p>
    <w:p w:rsidR="000E546C" w:rsidRPr="00DF40BF" w:rsidRDefault="00DB1497" w:rsidP="000E546C">
      <w:pPr>
        <w:pStyle w:val="SingleTxtGR"/>
      </w:pPr>
      <w:r w:rsidRPr="00DB1497">
        <w:t>121.</w:t>
      </w:r>
      <w:r w:rsidRPr="00DB1497">
        <w:tab/>
      </w:r>
      <w:r w:rsidR="000E546C" w:rsidRPr="00DF40BF">
        <w:t>В статье 12 Международного пакта об экономических, социальных и культурных правах отмечается, что участвующие в настоящем Пакте государс</w:t>
      </w:r>
      <w:r w:rsidR="000E546C" w:rsidRPr="00DF40BF">
        <w:t>т</w:t>
      </w:r>
      <w:r w:rsidR="000E546C" w:rsidRPr="00DF40BF">
        <w:t>ва признают право каждого человека на наивысший достижимый уровень ф</w:t>
      </w:r>
      <w:r w:rsidR="000E546C" w:rsidRPr="00DF40BF">
        <w:t>и</w:t>
      </w:r>
      <w:r w:rsidR="000E546C" w:rsidRPr="00DF40BF">
        <w:t>зического и психического здоровья. Меры, которые должны быть приняты уч</w:t>
      </w:r>
      <w:r w:rsidR="000E546C" w:rsidRPr="00DF40BF">
        <w:t>а</w:t>
      </w:r>
      <w:r w:rsidR="000E546C" w:rsidRPr="00DF40BF">
        <w:t>ствующими в настоящем Пакте государствами для полного осуществления эт</w:t>
      </w:r>
      <w:r w:rsidR="000E546C" w:rsidRPr="00DF40BF">
        <w:t>о</w:t>
      </w:r>
      <w:r w:rsidR="000E546C" w:rsidRPr="00DF40BF">
        <w:t>го пр</w:t>
      </w:r>
      <w:r w:rsidR="000E546C" w:rsidRPr="00DF40BF">
        <w:t>а</w:t>
      </w:r>
      <w:r w:rsidR="000E546C" w:rsidRPr="00DF40BF">
        <w:t>ва, включают мероприятия, необходимые для:</w:t>
      </w:r>
    </w:p>
    <w:p w:rsidR="000E546C" w:rsidRPr="00DF40BF" w:rsidRDefault="00DB1497" w:rsidP="000E546C">
      <w:pPr>
        <w:pStyle w:val="SingleTxtGR"/>
      </w:pPr>
      <w:r>
        <w:rPr>
          <w:lang w:val="en-US"/>
        </w:rPr>
        <w:tab/>
      </w:r>
      <w:r w:rsidR="000E546C" w:rsidRPr="00DF40BF">
        <w:t>a)</w:t>
      </w:r>
      <w:r w:rsidR="000E546C" w:rsidRPr="00DF40BF">
        <w:tab/>
        <w:t>обеспечения сокращения мертворождаемости и детской смертности и здорового развития ребенка;</w:t>
      </w:r>
    </w:p>
    <w:p w:rsidR="000E546C" w:rsidRPr="00DF40BF" w:rsidRDefault="00DB1497" w:rsidP="000E546C">
      <w:pPr>
        <w:pStyle w:val="SingleTxtGR"/>
      </w:pPr>
      <w:r>
        <w:rPr>
          <w:lang w:val="en-US"/>
        </w:rPr>
        <w:tab/>
      </w:r>
      <w:r w:rsidR="000E546C" w:rsidRPr="00DF40BF">
        <w:t>b)</w:t>
      </w:r>
      <w:r w:rsidR="000E546C" w:rsidRPr="00DF40BF">
        <w:tab/>
        <w:t>улучшения всех аспектов гигиены внешней среды и гигиены труда в пр</w:t>
      </w:r>
      <w:r w:rsidR="000E546C" w:rsidRPr="00DF40BF">
        <w:t>о</w:t>
      </w:r>
      <w:r w:rsidR="000E546C" w:rsidRPr="00DF40BF">
        <w:t>мышленности;</w:t>
      </w:r>
    </w:p>
    <w:p w:rsidR="000E546C" w:rsidRPr="00DF40BF" w:rsidRDefault="00DB1497" w:rsidP="000E546C">
      <w:pPr>
        <w:pStyle w:val="SingleTxtGR"/>
      </w:pPr>
      <w:r>
        <w:rPr>
          <w:lang w:val="en-US"/>
        </w:rPr>
        <w:tab/>
      </w:r>
      <w:r w:rsidR="000E546C" w:rsidRPr="00DF40BF">
        <w:t>c)</w:t>
      </w:r>
      <w:r w:rsidR="000E546C" w:rsidRPr="00DF40BF">
        <w:tab/>
        <w:t>предупреждения и лечения эпидемических, эндемических, профе</w:t>
      </w:r>
      <w:r w:rsidR="000E546C" w:rsidRPr="00DF40BF">
        <w:t>с</w:t>
      </w:r>
      <w:r w:rsidR="000E546C" w:rsidRPr="00DF40BF">
        <w:t>сиональных и иных болезней и борьбы с ними;</w:t>
      </w:r>
    </w:p>
    <w:p w:rsidR="000E546C" w:rsidRPr="00DF40BF" w:rsidRDefault="00DB1497" w:rsidP="000E546C">
      <w:pPr>
        <w:pStyle w:val="SingleTxtGR"/>
      </w:pPr>
      <w:r>
        <w:rPr>
          <w:lang w:val="en-US"/>
        </w:rPr>
        <w:tab/>
      </w:r>
      <w:r w:rsidR="000E546C" w:rsidRPr="00DF40BF">
        <w:t>d)</w:t>
      </w:r>
      <w:r w:rsidR="000E546C" w:rsidRPr="00DF40BF">
        <w:tab/>
        <w:t>создания условий, которые обеспечивали бы всем медицинскую помощь и медицинский уход в случае болезни.</w:t>
      </w:r>
    </w:p>
    <w:p w:rsidR="000E546C" w:rsidRPr="00DF40BF" w:rsidRDefault="00DB1497" w:rsidP="000E546C">
      <w:pPr>
        <w:pStyle w:val="SingleTxtGR"/>
      </w:pPr>
      <w:r w:rsidRPr="00DB1497">
        <w:t>122.</w:t>
      </w:r>
      <w:r w:rsidRPr="00DB1497">
        <w:tab/>
      </w:r>
      <w:r w:rsidR="000E546C" w:rsidRPr="00DF40BF">
        <w:t>Министерство здравоохранения Монголии принимает следующие меры для достижения вышеуказанных целей. Проводятся мероприятия для выполн</w:t>
      </w:r>
      <w:r w:rsidR="000E546C" w:rsidRPr="00DF40BF">
        <w:t>е</w:t>
      </w:r>
      <w:r w:rsidR="000E546C" w:rsidRPr="00DF40BF">
        <w:t>ния положения о сокращении мертворождаемости и детской смертности и зд</w:t>
      </w:r>
      <w:r w:rsidR="000E546C" w:rsidRPr="00DF40BF">
        <w:t>о</w:t>
      </w:r>
      <w:r w:rsidR="000E546C" w:rsidRPr="00DF40BF">
        <w:t>рового развития ребенка.</w:t>
      </w:r>
    </w:p>
    <w:p w:rsidR="000E546C" w:rsidRPr="00DF40BF" w:rsidRDefault="00DB1497" w:rsidP="00DB1497">
      <w:pPr>
        <w:pStyle w:val="H4GR"/>
        <w:spacing w:before="240"/>
      </w:pPr>
      <w:r>
        <w:rPr>
          <w:lang w:val="en-US"/>
        </w:rPr>
        <w:tab/>
      </w:r>
      <w:r>
        <w:rPr>
          <w:lang w:val="en-US"/>
        </w:rPr>
        <w:tab/>
      </w:r>
      <w:r w:rsidR="000E546C" w:rsidRPr="00DF40BF">
        <w:t>Сокращение детской смертности</w:t>
      </w:r>
    </w:p>
    <w:p w:rsidR="000E546C" w:rsidRPr="00DF40BF" w:rsidRDefault="00DB1497" w:rsidP="000E546C">
      <w:pPr>
        <w:pStyle w:val="SingleTxtGR"/>
      </w:pPr>
      <w:r w:rsidRPr="00DB1497">
        <w:t>123.</w:t>
      </w:r>
      <w:r w:rsidRPr="00DB1497">
        <w:tab/>
      </w:r>
      <w:r w:rsidR="000E546C" w:rsidRPr="00DF40BF">
        <w:t>В Национальной программе по развитию и защите детей (2002</w:t>
      </w:r>
      <w:r w:rsidRPr="00DB1497">
        <w:t>−</w:t>
      </w:r>
      <w:r w:rsidR="000E546C" w:rsidRPr="00DF40BF">
        <w:t>2010 г</w:t>
      </w:r>
      <w:r w:rsidR="000E546C" w:rsidRPr="00DF40BF">
        <w:t>о</w:t>
      </w:r>
      <w:r w:rsidR="000E546C" w:rsidRPr="00DF40BF">
        <w:t>ды), утвержденной Правительственной резолюцией № 245 от 2002 года, излаг</w:t>
      </w:r>
      <w:r w:rsidR="000E546C" w:rsidRPr="00DF40BF">
        <w:t>а</w:t>
      </w:r>
      <w:r w:rsidR="000E546C" w:rsidRPr="00DF40BF">
        <w:t>ется ключевая политика, направленная на преодоление проблем в области охр</w:t>
      </w:r>
      <w:r w:rsidR="000E546C" w:rsidRPr="00DF40BF">
        <w:t>а</w:t>
      </w:r>
      <w:r w:rsidR="000E546C" w:rsidRPr="00DF40BF">
        <w:t>ны детского здоровья и уровня смертности детей в возрасте до пяти лет. В ч</w:t>
      </w:r>
      <w:r w:rsidR="000E546C" w:rsidRPr="00DF40BF">
        <w:t>а</w:t>
      </w:r>
      <w:r w:rsidR="000E546C" w:rsidRPr="00DF40BF">
        <w:t>стности, эта Программа направлена на решение приоритетных вопросов, таких как:</w:t>
      </w:r>
    </w:p>
    <w:p w:rsidR="000E546C" w:rsidRPr="00DF40BF" w:rsidRDefault="000E546C" w:rsidP="00DB1497">
      <w:pPr>
        <w:pStyle w:val="Bullet1GR"/>
      </w:pPr>
      <w:r w:rsidRPr="00DF40BF">
        <w:t>создание системы управления людскими ресурсами для обеспечения у</w:t>
      </w:r>
      <w:r w:rsidRPr="00DF40BF">
        <w:t>с</w:t>
      </w:r>
      <w:r w:rsidRPr="00DF40BF">
        <w:t>тойчивого пополнения штата медицинских работников в сельских ра</w:t>
      </w:r>
      <w:r w:rsidRPr="00DF40BF">
        <w:t>й</w:t>
      </w:r>
      <w:r w:rsidRPr="00DF40BF">
        <w:t>онах страны;</w:t>
      </w:r>
    </w:p>
    <w:p w:rsidR="000E546C" w:rsidRPr="00DF40BF" w:rsidRDefault="000E546C" w:rsidP="00DB1497">
      <w:pPr>
        <w:pStyle w:val="Bullet1GR"/>
      </w:pPr>
      <w:r w:rsidRPr="00DF40BF">
        <w:t xml:space="preserve">осуществление стратегии ВОЗ </w:t>
      </w:r>
      <w:r w:rsidR="00C467DA">
        <w:t>"</w:t>
      </w:r>
      <w:r w:rsidRPr="00DF40BF">
        <w:t>Интегрированное ведение болезней де</w:t>
      </w:r>
      <w:r w:rsidRPr="00DF40BF">
        <w:t>т</w:t>
      </w:r>
      <w:r w:rsidRPr="00DF40BF">
        <w:t>ского возраста (ИВБДВ)</w:t>
      </w:r>
      <w:r w:rsidR="00C467DA">
        <w:t>"</w:t>
      </w:r>
      <w:r w:rsidRPr="00DF40BF">
        <w:t>;</w:t>
      </w:r>
    </w:p>
    <w:p w:rsidR="000E546C" w:rsidRPr="00DF40BF" w:rsidRDefault="000E546C" w:rsidP="00DB1497">
      <w:pPr>
        <w:pStyle w:val="Bullet1GR"/>
      </w:pPr>
      <w:r w:rsidRPr="00DF40BF">
        <w:t>повышение уровня профессиональных знаний и навыков медицинских работников, обеспечивающих первичное медико-санитарное обслужив</w:t>
      </w:r>
      <w:r w:rsidRPr="00DF40BF">
        <w:t>а</w:t>
      </w:r>
      <w:r w:rsidRPr="00DF40BF">
        <w:t>ние д</w:t>
      </w:r>
      <w:r w:rsidRPr="00DF40BF">
        <w:t>е</w:t>
      </w:r>
      <w:r w:rsidRPr="00DF40BF">
        <w:t>тей и младенцев;</w:t>
      </w:r>
    </w:p>
    <w:p w:rsidR="000E546C" w:rsidRPr="00DF40BF" w:rsidRDefault="000E546C" w:rsidP="00DB1497">
      <w:pPr>
        <w:pStyle w:val="Bullet1GR"/>
      </w:pPr>
      <w:r w:rsidRPr="00DF40BF">
        <w:t>создание надежной системы мониторинга уровня недостаточности пит</w:t>
      </w:r>
      <w:r w:rsidRPr="00DF40BF">
        <w:t>а</w:t>
      </w:r>
      <w:r w:rsidRPr="00DF40BF">
        <w:t>тельных микроэлементов и витаминов в организме детей; и</w:t>
      </w:r>
    </w:p>
    <w:p w:rsidR="000E546C" w:rsidRPr="00DF40BF" w:rsidRDefault="000E546C" w:rsidP="00DB1497">
      <w:pPr>
        <w:pStyle w:val="Bullet1GR"/>
      </w:pPr>
      <w:r w:rsidRPr="00DF40BF">
        <w:t>улучшение неонатальной и фетальной диагностики и лечебных у</w:t>
      </w:r>
      <w:r w:rsidRPr="00DF40BF">
        <w:t>с</w:t>
      </w:r>
      <w:r w:rsidRPr="00DF40BF">
        <w:t>луг.</w:t>
      </w:r>
    </w:p>
    <w:p w:rsidR="000E546C" w:rsidRPr="00DF40BF" w:rsidRDefault="00DB1497" w:rsidP="00DB1497">
      <w:pPr>
        <w:pStyle w:val="SingleTxtGR"/>
        <w:pageBreakBefore/>
      </w:pPr>
      <w:r w:rsidRPr="00DB1497">
        <w:t>124.</w:t>
      </w:r>
      <w:r w:rsidRPr="00DB1497">
        <w:tab/>
      </w:r>
      <w:r w:rsidR="000E546C" w:rsidRPr="00DF40BF">
        <w:t xml:space="preserve">В частности, с 2000 года в рамках программы по внедрению </w:t>
      </w:r>
      <w:r w:rsidR="00C467DA">
        <w:t>"</w:t>
      </w:r>
      <w:r w:rsidR="000E546C" w:rsidRPr="00DF40BF">
        <w:t>Интегрир</w:t>
      </w:r>
      <w:r w:rsidR="000E546C" w:rsidRPr="00DF40BF">
        <w:t>о</w:t>
      </w:r>
      <w:r w:rsidR="000E546C" w:rsidRPr="00DF40BF">
        <w:t>ванного ведения болезней детского возраста (ИВБДВ)</w:t>
      </w:r>
      <w:r w:rsidR="00C467DA">
        <w:t>"</w:t>
      </w:r>
      <w:r w:rsidR="000E546C" w:rsidRPr="00DF40BF">
        <w:t xml:space="preserve"> принимаются эффе</w:t>
      </w:r>
      <w:r w:rsidR="000E546C" w:rsidRPr="00DF40BF">
        <w:t>к</w:t>
      </w:r>
      <w:r w:rsidR="000E546C" w:rsidRPr="00DF40BF">
        <w:t>тивные меры по наращиванию потенциала организационной структуры мед</w:t>
      </w:r>
      <w:r w:rsidR="000E546C" w:rsidRPr="00DF40BF">
        <w:t>и</w:t>
      </w:r>
      <w:r w:rsidR="000E546C" w:rsidRPr="00DF40BF">
        <w:t>цинского обслуживания, повышению качества и улучшению доступности услуг здравоохранения и обучению родителей и членов семьи вопросам ухода за р</w:t>
      </w:r>
      <w:r w:rsidR="000E546C" w:rsidRPr="00DF40BF">
        <w:t>е</w:t>
      </w:r>
      <w:r w:rsidR="000E546C" w:rsidRPr="00DF40BF">
        <w:t>бенком. Эти меры оказывают большое влияние</w:t>
      </w:r>
      <w:r w:rsidR="00E212C9">
        <w:t xml:space="preserve"> на снижение смертности детей в</w:t>
      </w:r>
      <w:r w:rsidR="00E212C9">
        <w:rPr>
          <w:lang w:val="en-US"/>
        </w:rPr>
        <w:t> </w:t>
      </w:r>
      <w:r w:rsidR="000E546C" w:rsidRPr="00DF40BF">
        <w:t>возра</w:t>
      </w:r>
      <w:r w:rsidR="000E546C" w:rsidRPr="00DF40BF">
        <w:t>с</w:t>
      </w:r>
      <w:r w:rsidR="000E546C" w:rsidRPr="00DF40BF">
        <w:t>те до пяти лет.</w:t>
      </w:r>
    </w:p>
    <w:p w:rsidR="000E546C" w:rsidRPr="00DF40BF" w:rsidRDefault="00E212C9" w:rsidP="000E546C">
      <w:pPr>
        <w:pStyle w:val="SingleTxtGR"/>
      </w:pPr>
      <w:r w:rsidRPr="00E212C9">
        <w:t>125.</w:t>
      </w:r>
      <w:r w:rsidRPr="00E212C9">
        <w:tab/>
      </w:r>
      <w:r w:rsidR="000E546C" w:rsidRPr="00DF40BF">
        <w:t>В сотрудничестве с ВОЗ и другими международными организациями Монголия осуществляет программы, направленные на обеспечение выживания детей, а именно: Программа выживания ребенка, Программа охраны здоровья матери и ребенка, Программа предупреждения недостаточного питания детей, Расш</w:t>
      </w:r>
      <w:r w:rsidR="000E546C" w:rsidRPr="00DF40BF">
        <w:t>и</w:t>
      </w:r>
      <w:r w:rsidR="000E546C" w:rsidRPr="00DF40BF">
        <w:t>ренная программа вакцинации и т.д. Эти программы также помогают снизить детскую смертность.</w:t>
      </w:r>
    </w:p>
    <w:p w:rsidR="000E546C" w:rsidRPr="00DF40BF" w:rsidRDefault="00E212C9" w:rsidP="000E546C">
      <w:pPr>
        <w:pStyle w:val="SingleTxtGR"/>
      </w:pPr>
      <w:r w:rsidRPr="00E212C9">
        <w:t>126.</w:t>
      </w:r>
      <w:r w:rsidRPr="00E212C9">
        <w:tab/>
      </w:r>
      <w:r w:rsidR="000E546C" w:rsidRPr="00DF40BF">
        <w:t>Коэффициент младенческой смертности в Монголии на 1</w:t>
      </w:r>
      <w:r w:rsidR="00927FD8">
        <w:t> </w:t>
      </w:r>
      <w:r w:rsidR="000E546C" w:rsidRPr="00DF40BF">
        <w:t>000 живоро</w:t>
      </w:r>
      <w:r w:rsidR="000E546C" w:rsidRPr="00DF40BF">
        <w:t>ж</w:t>
      </w:r>
      <w:r w:rsidR="000E546C" w:rsidRPr="00DF40BF">
        <w:t>дений снизился с 64,4 в 1990 году до 19,4 в 2010 году, тогда как коэффициент смертности детей в возрасте до пяти лет на</w:t>
      </w:r>
      <w:r>
        <w:t xml:space="preserve"> 1</w:t>
      </w:r>
      <w:r w:rsidR="00927FD8">
        <w:t> </w:t>
      </w:r>
      <w:r>
        <w:t>000 живорождений сократился с</w:t>
      </w:r>
      <w:r>
        <w:rPr>
          <w:lang w:val="en-US"/>
        </w:rPr>
        <w:t> </w:t>
      </w:r>
      <w:r w:rsidR="000E546C" w:rsidRPr="00DF40BF">
        <w:t>88,8 в 1990 году до 24,6 в 2010 году, причем о</w:t>
      </w:r>
      <w:r>
        <w:t>ба показателя свидетельствуют о</w:t>
      </w:r>
      <w:r>
        <w:rPr>
          <w:lang w:val="en-US"/>
        </w:rPr>
        <w:t> </w:t>
      </w:r>
      <w:r w:rsidR="000E546C" w:rsidRPr="00DF40BF">
        <w:t>значительном снижении; таким образом, Монголия принимает меры по в</w:t>
      </w:r>
      <w:r w:rsidR="000E546C" w:rsidRPr="00DF40BF">
        <w:t>ы</w:t>
      </w:r>
      <w:r w:rsidR="000E546C" w:rsidRPr="00DF40BF">
        <w:t>полнению своих вновь поставленных целей в рамках ЦРДТ, предполагающие снижение коэффициента младенческой смертности до 15 и коэффициента смертности детей в возрасте до пяти лет до 21 на 1</w:t>
      </w:r>
      <w:r>
        <w:rPr>
          <w:lang w:val="en-US"/>
        </w:rPr>
        <w:t> </w:t>
      </w:r>
      <w:r>
        <w:t>000 живорождений к</w:t>
      </w:r>
      <w:r>
        <w:rPr>
          <w:lang w:val="en-US"/>
        </w:rPr>
        <w:t> </w:t>
      </w:r>
      <w:r>
        <w:t>2015</w:t>
      </w:r>
      <w:r>
        <w:rPr>
          <w:lang w:val="en-US"/>
        </w:rPr>
        <w:t> </w:t>
      </w:r>
      <w:r w:rsidR="000E546C" w:rsidRPr="00DF40BF">
        <w:t>году.</w:t>
      </w:r>
    </w:p>
    <w:p w:rsidR="0064793D" w:rsidRDefault="000E546C" w:rsidP="00E212C9">
      <w:pPr>
        <w:pStyle w:val="Heading1"/>
        <w:spacing w:after="120"/>
        <w:ind w:left="1134"/>
        <w:jc w:val="left"/>
        <w:rPr>
          <w:lang w:val="en-US"/>
        </w:rPr>
      </w:pPr>
      <w:r w:rsidRPr="00E212C9">
        <w:rPr>
          <w:b w:val="0"/>
        </w:rPr>
        <w:t>Диаграмма 1</w:t>
      </w:r>
      <w:r w:rsidR="00E212C9" w:rsidRPr="00E212C9">
        <w:rPr>
          <w:b w:val="0"/>
        </w:rPr>
        <w:br/>
      </w:r>
      <w:r w:rsidRPr="00DF40BF">
        <w:t xml:space="preserve">Коэффициент младенческой смертности и коэффициент смертности детей </w:t>
      </w:r>
      <w:r w:rsidR="00E212C9" w:rsidRPr="00E212C9">
        <w:br/>
      </w:r>
      <w:r w:rsidRPr="00DF40BF">
        <w:t>в возрасте до пяти лет на 1</w:t>
      </w:r>
      <w:r w:rsidR="00E212C9">
        <w:rPr>
          <w:lang w:val="en-US"/>
        </w:rPr>
        <w:t> </w:t>
      </w:r>
      <w:r w:rsidRPr="00DF40BF">
        <w:t>000 живорождений (2000</w:t>
      </w:r>
      <w:r w:rsidR="00E212C9" w:rsidRPr="00E212C9">
        <w:t>−</w:t>
      </w:r>
      <w:r w:rsidRPr="00DF40BF">
        <w:t>2010 годы)</w:t>
      </w:r>
    </w:p>
    <w:p w:rsidR="00E212C9" w:rsidRDefault="00297597" w:rsidP="00297597">
      <w:pPr>
        <w:ind w:left="1134"/>
        <w:rPr>
          <w:lang w:val="en-US" w:eastAsia="ru-RU"/>
        </w:rPr>
      </w:pPr>
      <w:r>
        <w:rPr>
          <w:noProof/>
          <w:w w:val="100"/>
          <w:lang w:eastAsia="ru-RU"/>
        </w:rPr>
      </w:r>
      <w:r w:rsidRPr="00297597">
        <w:rPr>
          <w:lang w:val="en-US" w:eastAsia="ru-RU"/>
        </w:rPr>
        <w:pict>
          <v:shape id="_x0000_s1095" type="#_x0000_t75" style="width:386.95pt;height:186.75pt;mso-position-horizontal-relative:char;mso-position-vertical-relative:line">
            <v:imagedata r:id="rId15" o:title=""/>
            <w10:anchorlock/>
          </v:shape>
        </w:pict>
      </w:r>
    </w:p>
    <w:p w:rsidR="00996F47" w:rsidRPr="00996F47" w:rsidRDefault="00996F47" w:rsidP="00996F47">
      <w:pPr>
        <w:pStyle w:val="SingleTxtGR"/>
        <w:suppressAutoHyphens/>
        <w:spacing w:before="120"/>
        <w:ind w:firstLine="170"/>
        <w:jc w:val="left"/>
        <w:rPr>
          <w:sz w:val="18"/>
          <w:szCs w:val="18"/>
        </w:rPr>
      </w:pPr>
      <w:r w:rsidRPr="00996F47">
        <w:rPr>
          <w:i/>
          <w:sz w:val="18"/>
          <w:szCs w:val="18"/>
        </w:rPr>
        <w:t>Источник</w:t>
      </w:r>
      <w:r w:rsidRPr="00996F47">
        <w:rPr>
          <w:sz w:val="18"/>
          <w:szCs w:val="18"/>
        </w:rPr>
        <w:t>: Департамент здравоохранения, правительственное исполнительное учреждение, 2010 год.</w:t>
      </w:r>
    </w:p>
    <w:p w:rsidR="00996F47" w:rsidRPr="006D31EA" w:rsidRDefault="00996F47" w:rsidP="00996F47">
      <w:pPr>
        <w:pStyle w:val="SingleTxtGR"/>
      </w:pPr>
      <w:r w:rsidRPr="00996F47">
        <w:t>127.</w:t>
      </w:r>
      <w:r w:rsidRPr="00996F47">
        <w:tab/>
      </w:r>
      <w:r w:rsidRPr="006D31EA">
        <w:t>Обращает на себя внимание тот факт, что в большинстве своем забол</w:t>
      </w:r>
      <w:r w:rsidRPr="006D31EA">
        <w:t>е</w:t>
      </w:r>
      <w:r w:rsidRPr="006D31EA">
        <w:t xml:space="preserve">ваемость и смертность среди детей в возрасте до пяти </w:t>
      </w:r>
      <w:r>
        <w:t>лет имеет место в</w:t>
      </w:r>
      <w:r>
        <w:rPr>
          <w:lang w:val="en-US"/>
        </w:rPr>
        <w:t> </w:t>
      </w:r>
      <w:r w:rsidRPr="006D31EA">
        <w:t>сел</w:t>
      </w:r>
      <w:r w:rsidRPr="006D31EA">
        <w:t>ь</w:t>
      </w:r>
      <w:r w:rsidRPr="006D31EA">
        <w:t>ских районах и в малоимущих семьях; таким образом, правительство Монголии принимает следующие меры по достижению своих целей к 2015 году в рамках ц</w:t>
      </w:r>
      <w:r w:rsidRPr="006D31EA">
        <w:t>е</w:t>
      </w:r>
      <w:r w:rsidRPr="006D31EA">
        <w:t>лей, сформулированных в Декларации тысячелетия:</w:t>
      </w:r>
    </w:p>
    <w:p w:rsidR="00996F47" w:rsidRPr="006D31EA" w:rsidRDefault="00996F47" w:rsidP="00996F47">
      <w:pPr>
        <w:pStyle w:val="Bullet1GR"/>
      </w:pPr>
      <w:r w:rsidRPr="006D31EA">
        <w:t>усиление деятельности, направленной на поощрение грудного вскармл</w:t>
      </w:r>
      <w:r w:rsidRPr="006D31EA">
        <w:t>и</w:t>
      </w:r>
      <w:r w:rsidRPr="006D31EA">
        <w:t>вания и проведение учебы по вопросам детского питания, достаточного рациона пит</w:t>
      </w:r>
      <w:r w:rsidRPr="006D31EA">
        <w:t>а</w:t>
      </w:r>
      <w:r w:rsidRPr="006D31EA">
        <w:t>ния и здорового режима питания для родителей и опекунов;</w:t>
      </w:r>
    </w:p>
    <w:p w:rsidR="00996F47" w:rsidRPr="006D31EA" w:rsidRDefault="00996F47" w:rsidP="00996F47">
      <w:pPr>
        <w:pStyle w:val="Bullet1GR"/>
      </w:pPr>
      <w:r w:rsidRPr="006D31EA">
        <w:t>обеспечение лечебных учреждений необходимым медицинским оборуд</w:t>
      </w:r>
      <w:r w:rsidRPr="006D31EA">
        <w:t>о</w:t>
      </w:r>
      <w:r w:rsidRPr="006D31EA">
        <w:t>ванием, расходными материалами и лекарственными препаратами, а та</w:t>
      </w:r>
      <w:r w:rsidRPr="006D31EA">
        <w:t>к</w:t>
      </w:r>
      <w:r w:rsidRPr="006D31EA">
        <w:t>же организация обучения и проведение практических занятий для мед</w:t>
      </w:r>
      <w:r w:rsidRPr="006D31EA">
        <w:t>и</w:t>
      </w:r>
      <w:r w:rsidRPr="006D31EA">
        <w:t>цинских работников в аймаках, где уровень детской смертности остается высоким;</w:t>
      </w:r>
    </w:p>
    <w:p w:rsidR="00996F47" w:rsidRPr="006D31EA" w:rsidRDefault="00996F47" w:rsidP="00996F47">
      <w:pPr>
        <w:pStyle w:val="Bullet1GR"/>
      </w:pPr>
      <w:r w:rsidRPr="006D31EA">
        <w:t>повышение качества медицинского обслуживания в пренатальный и ф</w:t>
      </w:r>
      <w:r w:rsidRPr="006D31EA">
        <w:t>е</w:t>
      </w:r>
      <w:r w:rsidRPr="006D31EA">
        <w:t>тальный периоды в целях пред</w:t>
      </w:r>
      <w:r w:rsidRPr="006D31EA">
        <w:t>у</w:t>
      </w:r>
      <w:r w:rsidRPr="006D31EA">
        <w:t>преждения неонатальной смертности;</w:t>
      </w:r>
    </w:p>
    <w:p w:rsidR="00996F47" w:rsidRPr="006D31EA" w:rsidRDefault="00996F47" w:rsidP="00996F47">
      <w:pPr>
        <w:pStyle w:val="Bullet1GR"/>
      </w:pPr>
      <w:r w:rsidRPr="006D31EA">
        <w:t>обеспечение больниц каждого сомона необходимым медицинским обор</w:t>
      </w:r>
      <w:r w:rsidRPr="006D31EA">
        <w:t>у</w:t>
      </w:r>
      <w:r w:rsidRPr="006D31EA">
        <w:t>дованием и расходными материалами и улучшение медицинского обсл</w:t>
      </w:r>
      <w:r w:rsidRPr="006D31EA">
        <w:t>у</w:t>
      </w:r>
      <w:r w:rsidRPr="006D31EA">
        <w:t>живания в пренатальный и фетальный периоды;</w:t>
      </w:r>
    </w:p>
    <w:p w:rsidR="00996F47" w:rsidRPr="006D31EA" w:rsidRDefault="00996F47" w:rsidP="00996F47">
      <w:pPr>
        <w:pStyle w:val="Bullet1GR"/>
      </w:pPr>
      <w:r w:rsidRPr="006D31EA">
        <w:t>проведение политики в области планирования семьи и расширение пр</w:t>
      </w:r>
      <w:r w:rsidRPr="006D31EA">
        <w:t>о</w:t>
      </w:r>
      <w:r w:rsidRPr="006D31EA">
        <w:t>грамм по обучению родителей вопросам ухода за ребенком; и</w:t>
      </w:r>
    </w:p>
    <w:p w:rsidR="00996F47" w:rsidRPr="006D31EA" w:rsidRDefault="00996F47" w:rsidP="00996F47">
      <w:pPr>
        <w:pStyle w:val="Bullet1GR"/>
      </w:pPr>
      <w:r w:rsidRPr="006D31EA">
        <w:t>совершенствование услуг по проведению обследований в период бер</w:t>
      </w:r>
      <w:r w:rsidRPr="006D31EA">
        <w:t>е</w:t>
      </w:r>
      <w:r w:rsidRPr="006D31EA">
        <w:t xml:space="preserve">менности и улучшение здоровья женщин детородного возраста в рамках стратегии </w:t>
      </w:r>
      <w:r w:rsidR="00C467DA">
        <w:t>"</w:t>
      </w:r>
      <w:r w:rsidRPr="006D31EA">
        <w:t>Зд</w:t>
      </w:r>
      <w:r w:rsidRPr="006D31EA">
        <w:t>о</w:t>
      </w:r>
      <w:r w:rsidRPr="006D31EA">
        <w:t>ровая мать – здоровый ребенок</w:t>
      </w:r>
      <w:r w:rsidR="00C467DA">
        <w:t>"</w:t>
      </w:r>
      <w:r w:rsidRPr="006D31EA">
        <w:t>.</w:t>
      </w:r>
    </w:p>
    <w:p w:rsidR="00996F47" w:rsidRPr="006D31EA" w:rsidRDefault="00996F47" w:rsidP="00996F47">
      <w:pPr>
        <w:pStyle w:val="H4GR"/>
        <w:spacing w:before="240"/>
      </w:pPr>
      <w:r w:rsidRPr="006D31EA">
        <w:tab/>
      </w:r>
      <w:r w:rsidRPr="006D31EA">
        <w:tab/>
        <w:t>Снижение материнской смертности</w:t>
      </w:r>
    </w:p>
    <w:p w:rsidR="00996F47" w:rsidRPr="006D31EA" w:rsidRDefault="00996F47" w:rsidP="00996F47">
      <w:pPr>
        <w:pStyle w:val="SingleTxtGR"/>
      </w:pPr>
      <w:r w:rsidRPr="00996F47">
        <w:t>128.</w:t>
      </w:r>
      <w:r w:rsidRPr="00996F47">
        <w:tab/>
      </w:r>
      <w:r w:rsidRPr="006D31EA">
        <w:t>Правительство в настоящее время осуществляет Государственную пол</w:t>
      </w:r>
      <w:r w:rsidRPr="006D31EA">
        <w:t>и</w:t>
      </w:r>
      <w:r w:rsidRPr="006D31EA">
        <w:t>тику в области увеличения численности населений, третью Национальную пр</w:t>
      </w:r>
      <w:r w:rsidRPr="006D31EA">
        <w:t>о</w:t>
      </w:r>
      <w:r w:rsidRPr="006D31EA">
        <w:t>грамму в области репродуктивного здоровья, вторую Стратегию по снижению материнской смертности и Стратегию в области здоровья матери и ребенка (2011</w:t>
      </w:r>
      <w:r w:rsidRPr="00996F47">
        <w:t>−</w:t>
      </w:r>
      <w:r w:rsidRPr="006D31EA">
        <w:t xml:space="preserve">2015 годы). Такая политика и стратегии направлены на: </w:t>
      </w:r>
    </w:p>
    <w:p w:rsidR="00996F47" w:rsidRPr="006D31EA" w:rsidRDefault="00996F47" w:rsidP="00927FD8">
      <w:pPr>
        <w:pStyle w:val="Bullet1GR"/>
      </w:pPr>
      <w:r w:rsidRPr="006D31EA">
        <w:t>улучшение качества медицинских услуг для беременных женщин из групп риска;</w:t>
      </w:r>
    </w:p>
    <w:p w:rsidR="00996F47" w:rsidRPr="006D31EA" w:rsidRDefault="00996F47" w:rsidP="00996F47">
      <w:pPr>
        <w:pStyle w:val="Bullet1GR"/>
      </w:pPr>
      <w:r w:rsidRPr="006D31EA">
        <w:t>расширение возможностей диагностики известных рисков, связан</w:t>
      </w:r>
      <w:r>
        <w:t>ных с</w:t>
      </w:r>
      <w:r>
        <w:rPr>
          <w:lang w:val="en-US"/>
        </w:rPr>
        <w:t> </w:t>
      </w:r>
      <w:r w:rsidRPr="006D31EA">
        <w:t>беременностью, и совершенствование системы направления пациентов к вр</w:t>
      </w:r>
      <w:r w:rsidRPr="006D31EA">
        <w:t>а</w:t>
      </w:r>
      <w:r w:rsidRPr="006D31EA">
        <w:t>чам-специалистам;</w:t>
      </w:r>
    </w:p>
    <w:p w:rsidR="00996F47" w:rsidRPr="006D31EA" w:rsidRDefault="00996F47" w:rsidP="00996F47">
      <w:pPr>
        <w:pStyle w:val="Bullet1GR"/>
      </w:pPr>
      <w:r w:rsidRPr="006D31EA">
        <w:t>создание медицинских центров для беременных;</w:t>
      </w:r>
    </w:p>
    <w:p w:rsidR="00996F47" w:rsidRPr="006D31EA" w:rsidRDefault="00996F47" w:rsidP="00996F47">
      <w:pPr>
        <w:pStyle w:val="Bullet1GR"/>
      </w:pPr>
      <w:r w:rsidRPr="006D31EA">
        <w:t>расширение охвата женщин в сельских районах медицинскими у</w:t>
      </w:r>
      <w:r w:rsidRPr="006D31EA">
        <w:t>с</w:t>
      </w:r>
      <w:r w:rsidRPr="006D31EA">
        <w:t>лугами и улучшение их качес</w:t>
      </w:r>
      <w:r w:rsidRPr="006D31EA">
        <w:t>т</w:t>
      </w:r>
      <w:r w:rsidRPr="006D31EA">
        <w:t>ва;</w:t>
      </w:r>
    </w:p>
    <w:p w:rsidR="00996F47" w:rsidRPr="006D31EA" w:rsidRDefault="00996F47" w:rsidP="00996F47">
      <w:pPr>
        <w:pStyle w:val="Bullet1GR"/>
      </w:pPr>
      <w:r w:rsidRPr="006D31EA">
        <w:t>поддержание готовности медицинских работников к оказанию неотло</w:t>
      </w:r>
      <w:r w:rsidRPr="006D31EA">
        <w:t>ж</w:t>
      </w:r>
      <w:r w:rsidRPr="006D31EA">
        <w:t>ной медицинской помощи матерям и новорожденным;</w:t>
      </w:r>
    </w:p>
    <w:p w:rsidR="00996F47" w:rsidRPr="006D31EA" w:rsidRDefault="00996F47" w:rsidP="00996F47">
      <w:pPr>
        <w:pStyle w:val="Bullet1GR"/>
      </w:pPr>
      <w:r w:rsidRPr="006D31EA">
        <w:t>обеспечение соблюдения и выполнения медицинскими работник</w:t>
      </w:r>
      <w:r w:rsidRPr="006D31EA">
        <w:t>а</w:t>
      </w:r>
      <w:r w:rsidRPr="006D31EA">
        <w:t xml:space="preserve">ми </w:t>
      </w:r>
      <w:r w:rsidR="00C467DA">
        <w:t>"</w:t>
      </w:r>
      <w:r w:rsidRPr="006D31EA">
        <w:t>Стандартов в отношении организационной структуры и функциониров</w:t>
      </w:r>
      <w:r w:rsidRPr="006D31EA">
        <w:t>а</w:t>
      </w:r>
      <w:r w:rsidRPr="006D31EA">
        <w:t>ния родильных домов</w:t>
      </w:r>
      <w:r w:rsidR="00C467DA">
        <w:t>"</w:t>
      </w:r>
      <w:r w:rsidRPr="006D31EA">
        <w:t xml:space="preserve"> и клинических руководящих принципов по оказ</w:t>
      </w:r>
      <w:r w:rsidRPr="006D31EA">
        <w:t>а</w:t>
      </w:r>
      <w:r w:rsidRPr="006D31EA">
        <w:t>нию да</w:t>
      </w:r>
      <w:r w:rsidRPr="006D31EA">
        <w:t>н</w:t>
      </w:r>
      <w:r w:rsidRPr="006D31EA">
        <w:t>ных услуг; и</w:t>
      </w:r>
    </w:p>
    <w:p w:rsidR="00996F47" w:rsidRPr="006D31EA" w:rsidRDefault="00996F47" w:rsidP="00996F47">
      <w:pPr>
        <w:pStyle w:val="Bullet1GR"/>
      </w:pPr>
      <w:r w:rsidRPr="006D31EA">
        <w:t>улучшение санитарного просвещения населения в целом и укрепление партнерских связей.</w:t>
      </w:r>
    </w:p>
    <w:p w:rsidR="00996F47" w:rsidRPr="006D31EA" w:rsidRDefault="00B130FC" w:rsidP="00996F47">
      <w:pPr>
        <w:pStyle w:val="SingleTxtGR"/>
      </w:pPr>
      <w:r w:rsidRPr="00B130FC">
        <w:t>129.</w:t>
      </w:r>
      <w:r w:rsidRPr="00B130FC">
        <w:tab/>
      </w:r>
      <w:r w:rsidR="00996F47" w:rsidRPr="006D31EA">
        <w:t>В результате коэффициент материнской смертности (КоМС) на</w:t>
      </w:r>
      <w:r>
        <w:rPr>
          <w:lang w:val="en-US"/>
        </w:rPr>
        <w:t> </w:t>
      </w:r>
      <w:r w:rsidR="00996F47" w:rsidRPr="006D31EA">
        <w:t>100</w:t>
      </w:r>
      <w:r>
        <w:rPr>
          <w:lang w:val="en-US"/>
        </w:rPr>
        <w:t> </w:t>
      </w:r>
      <w:r>
        <w:t>000</w:t>
      </w:r>
      <w:r>
        <w:rPr>
          <w:lang w:val="en-US"/>
        </w:rPr>
        <w:t> </w:t>
      </w:r>
      <w:r w:rsidR="00996F47" w:rsidRPr="006D31EA">
        <w:t>живорождений снизился со 156 в 2000 году до 98,9 в 2004 году, при этом со снижением числа случаев материнской смерти с 81 в 2000 году до 44 Монголия стала классифицироваться как страна со среднем уровнем КоМС, т</w:t>
      </w:r>
      <w:r w:rsidR="00996F47" w:rsidRPr="006D31EA">
        <w:t>о</w:t>
      </w:r>
      <w:r w:rsidR="00996F47" w:rsidRPr="006D31EA">
        <w:t>гда как до этого она классифицировалась как страна с высоким КоМС.</w:t>
      </w:r>
    </w:p>
    <w:p w:rsidR="00996F47" w:rsidRPr="006D31EA" w:rsidRDefault="00B63108" w:rsidP="00996F47">
      <w:pPr>
        <w:pStyle w:val="SingleTxtGR"/>
      </w:pPr>
      <w:r w:rsidRPr="00B63108">
        <w:t>130.</w:t>
      </w:r>
      <w:r w:rsidRPr="00B63108">
        <w:tab/>
      </w:r>
      <w:r w:rsidR="00996F47" w:rsidRPr="006D31EA">
        <w:t>Всеобъемлющая национальная стратегия развития на основе целей, сфо</w:t>
      </w:r>
      <w:r w:rsidR="00996F47" w:rsidRPr="006D31EA">
        <w:t>р</w:t>
      </w:r>
      <w:r w:rsidR="00996F47" w:rsidRPr="006D31EA">
        <w:t>мулированных в Декларации тысячелетия, подготовленная</w:t>
      </w:r>
      <w:r>
        <w:t xml:space="preserve"> правительством в</w:t>
      </w:r>
      <w:r>
        <w:rPr>
          <w:lang w:val="en-US"/>
        </w:rPr>
        <w:t> </w:t>
      </w:r>
      <w:r w:rsidR="00996F47" w:rsidRPr="006D31EA">
        <w:t>2006 году, направлена на снижение КоМС до 50 на 100</w:t>
      </w:r>
      <w:r>
        <w:rPr>
          <w:lang w:val="en-US"/>
        </w:rPr>
        <w:t> </w:t>
      </w:r>
      <w:r w:rsidR="00996F47" w:rsidRPr="006D31EA">
        <w:t>000 живорождений и коэффициента младенческой смертности (КМС) до 22 на 1</w:t>
      </w:r>
      <w:r>
        <w:rPr>
          <w:lang w:val="en-US"/>
        </w:rPr>
        <w:t> </w:t>
      </w:r>
      <w:r w:rsidR="00996F47" w:rsidRPr="006D31EA">
        <w:t xml:space="preserve">000 </w:t>
      </w:r>
      <w:r>
        <w:t>живорождений к</w:t>
      </w:r>
      <w:r>
        <w:rPr>
          <w:lang w:val="en-US"/>
        </w:rPr>
        <w:t> </w:t>
      </w:r>
      <w:r w:rsidR="00996F47" w:rsidRPr="006D31EA">
        <w:t>2015 году. КоМС колеблется, при этом наблюдалось его постоянное снижение в 2005, 2006 и 2008 годах и рост в 2007 и 2009 годах по сравнению с тенде</w:t>
      </w:r>
      <w:r w:rsidR="00996F47" w:rsidRPr="006D31EA">
        <w:t>н</w:t>
      </w:r>
      <w:r w:rsidR="00996F47" w:rsidRPr="006D31EA">
        <w:t>циями пр</w:t>
      </w:r>
      <w:r w:rsidR="00996F47" w:rsidRPr="006D31EA">
        <w:t>е</w:t>
      </w:r>
      <w:r w:rsidR="00996F47" w:rsidRPr="006D31EA">
        <w:t>дыдущих лет.</w:t>
      </w:r>
    </w:p>
    <w:p w:rsidR="00297597" w:rsidRDefault="00996F47" w:rsidP="00B63108">
      <w:pPr>
        <w:pStyle w:val="Heading1"/>
        <w:spacing w:after="120"/>
        <w:ind w:left="1134"/>
        <w:jc w:val="left"/>
        <w:rPr>
          <w:lang w:val="en-US"/>
        </w:rPr>
      </w:pPr>
      <w:r w:rsidRPr="00B63108">
        <w:rPr>
          <w:b w:val="0"/>
        </w:rPr>
        <w:t>Диаграмма 2</w:t>
      </w:r>
      <w:r w:rsidR="00B63108" w:rsidRPr="00B63108">
        <w:rPr>
          <w:b w:val="0"/>
        </w:rPr>
        <w:br/>
      </w:r>
      <w:r w:rsidRPr="006D31EA">
        <w:t>Материнская смертность на 100</w:t>
      </w:r>
      <w:r w:rsidR="00B63108">
        <w:rPr>
          <w:lang w:val="en-US"/>
        </w:rPr>
        <w:t> </w:t>
      </w:r>
      <w:r w:rsidRPr="006D31EA">
        <w:t>000 живорождений (2000</w:t>
      </w:r>
      <w:r w:rsidR="00B63108" w:rsidRPr="00B63108">
        <w:t>−</w:t>
      </w:r>
      <w:r w:rsidRPr="006D31EA">
        <w:t>2010 г</w:t>
      </w:r>
      <w:r w:rsidRPr="006D31EA">
        <w:t>о</w:t>
      </w:r>
      <w:r w:rsidRPr="006D31EA">
        <w:t>ды)</w:t>
      </w:r>
    </w:p>
    <w:p w:rsidR="00B63108" w:rsidRDefault="00B63108" w:rsidP="00B63108">
      <w:pPr>
        <w:ind w:left="1134"/>
        <w:rPr>
          <w:lang w:val="en-US" w:eastAsia="ru-RU"/>
        </w:rPr>
      </w:pPr>
      <w:r>
        <w:rPr>
          <w:noProof/>
          <w:w w:val="100"/>
          <w:lang w:eastAsia="ru-RU"/>
        </w:rPr>
      </w:r>
      <w:r w:rsidRPr="00B63108">
        <w:rPr>
          <w:lang w:val="en-US" w:eastAsia="ru-RU"/>
        </w:rPr>
        <w:pict>
          <v:shape id="_x0000_s1096" type="#_x0000_t75" style="width:366.25pt;height:190.6pt;mso-position-horizontal-relative:char;mso-position-vertical-relative:line">
            <v:imagedata r:id="rId16" o:title=""/>
            <w10:anchorlock/>
          </v:shape>
        </w:pict>
      </w:r>
    </w:p>
    <w:p w:rsidR="00B63108" w:rsidRPr="00B63108" w:rsidRDefault="00B63108" w:rsidP="00B63108">
      <w:pPr>
        <w:pStyle w:val="SingleTxtGR"/>
        <w:suppressAutoHyphens/>
        <w:spacing w:before="120" w:line="220" w:lineRule="exact"/>
        <w:ind w:firstLine="170"/>
        <w:jc w:val="left"/>
        <w:rPr>
          <w:sz w:val="18"/>
          <w:szCs w:val="18"/>
          <w:lang w:eastAsia="ru-RU"/>
        </w:rPr>
      </w:pPr>
      <w:r w:rsidRPr="00B63108">
        <w:rPr>
          <w:i/>
          <w:sz w:val="18"/>
          <w:szCs w:val="18"/>
          <w:lang w:eastAsia="ru-RU"/>
        </w:rPr>
        <w:t>Источник</w:t>
      </w:r>
      <w:r w:rsidRPr="00B63108">
        <w:rPr>
          <w:sz w:val="18"/>
          <w:szCs w:val="18"/>
          <w:lang w:eastAsia="ru-RU"/>
        </w:rPr>
        <w:t>: Департамент здравоохранения, правительственное исполнительное учреждение, 2010 год.</w:t>
      </w:r>
    </w:p>
    <w:p w:rsidR="00B63108" w:rsidRPr="00B63108" w:rsidRDefault="00E775CC" w:rsidP="00B63108">
      <w:pPr>
        <w:pStyle w:val="SingleTxtGR"/>
        <w:rPr>
          <w:lang w:eastAsia="ru-RU"/>
        </w:rPr>
      </w:pPr>
      <w:r w:rsidRPr="00E775CC">
        <w:rPr>
          <w:lang w:eastAsia="ru-RU"/>
        </w:rPr>
        <w:t>131.</w:t>
      </w:r>
      <w:r w:rsidRPr="00E775CC">
        <w:rPr>
          <w:lang w:eastAsia="ru-RU"/>
        </w:rPr>
        <w:tab/>
      </w:r>
      <w:r w:rsidR="00B63108" w:rsidRPr="00B63108">
        <w:rPr>
          <w:lang w:eastAsia="ru-RU"/>
        </w:rPr>
        <w:t>Следует подчеркнуть, что снижение уровня медицинских услуг в резул</w:t>
      </w:r>
      <w:r w:rsidR="00B63108" w:rsidRPr="00B63108">
        <w:rPr>
          <w:lang w:eastAsia="ru-RU"/>
        </w:rPr>
        <w:t>ь</w:t>
      </w:r>
      <w:r w:rsidR="00B63108" w:rsidRPr="00B63108">
        <w:rPr>
          <w:lang w:eastAsia="ru-RU"/>
        </w:rPr>
        <w:t>тате таких социальных детерминантов, как мировой экономический кризис, бедность (32% всего населения составляют малоимущие), общее состояние здоровья женщин и другие факторы, связанные с чрезвычайными ситуациями, такими как наводнения, дзуд (суровые зимы или зимы со снежны</w:t>
      </w:r>
      <w:r>
        <w:rPr>
          <w:lang w:eastAsia="ru-RU"/>
        </w:rPr>
        <w:t>ми бурями), а</w:t>
      </w:r>
      <w:r>
        <w:rPr>
          <w:lang w:val="en-US" w:eastAsia="ru-RU"/>
        </w:rPr>
        <w:t> </w:t>
      </w:r>
      <w:r w:rsidR="00B63108" w:rsidRPr="00B63108">
        <w:rPr>
          <w:lang w:eastAsia="ru-RU"/>
        </w:rPr>
        <w:t>также пандемический грипп, являются движущими силами, ведущими к росту м</w:t>
      </w:r>
      <w:r w:rsidR="00B63108" w:rsidRPr="00B63108">
        <w:rPr>
          <w:lang w:eastAsia="ru-RU"/>
        </w:rPr>
        <w:t>а</w:t>
      </w:r>
      <w:r w:rsidR="00B63108" w:rsidRPr="00B63108">
        <w:rPr>
          <w:lang w:eastAsia="ru-RU"/>
        </w:rPr>
        <w:t>теринской и младенческой смертности.</w:t>
      </w:r>
    </w:p>
    <w:p w:rsidR="00B63108" w:rsidRPr="00B63108" w:rsidRDefault="00E775CC" w:rsidP="00B63108">
      <w:pPr>
        <w:pStyle w:val="SingleTxtGR"/>
        <w:rPr>
          <w:lang w:eastAsia="ru-RU"/>
        </w:rPr>
      </w:pPr>
      <w:r w:rsidRPr="00E775CC">
        <w:rPr>
          <w:lang w:eastAsia="ru-RU"/>
        </w:rPr>
        <w:t>132.</w:t>
      </w:r>
      <w:r w:rsidRPr="00E775CC">
        <w:rPr>
          <w:lang w:eastAsia="ru-RU"/>
        </w:rPr>
        <w:tab/>
      </w:r>
      <w:r w:rsidR="00B63108" w:rsidRPr="00B63108">
        <w:rPr>
          <w:lang w:eastAsia="ru-RU"/>
        </w:rPr>
        <w:t>Например, в 2009 году КоМС резко возрос (81,4 смертей на 100</w:t>
      </w:r>
      <w:r>
        <w:rPr>
          <w:lang w:val="en-US" w:eastAsia="ru-RU"/>
        </w:rPr>
        <w:t> </w:t>
      </w:r>
      <w:r w:rsidR="00B63108" w:rsidRPr="00B63108">
        <w:rPr>
          <w:lang w:eastAsia="ru-RU"/>
        </w:rPr>
        <w:t>000 ж</w:t>
      </w:r>
      <w:r w:rsidR="00B63108" w:rsidRPr="00B63108">
        <w:rPr>
          <w:lang w:eastAsia="ru-RU"/>
        </w:rPr>
        <w:t>и</w:t>
      </w:r>
      <w:r w:rsidR="00B63108" w:rsidRPr="00B63108">
        <w:rPr>
          <w:lang w:eastAsia="ru-RU"/>
        </w:rPr>
        <w:t>ворождений) в результате 17 случаев смерти от синдрома острой дыхательной недостаточности (ОДН). У четырех из этих 17 беременных женщин было по</w:t>
      </w:r>
      <w:r w:rsidR="00B63108" w:rsidRPr="00B63108">
        <w:rPr>
          <w:lang w:eastAsia="ru-RU"/>
        </w:rPr>
        <w:t>д</w:t>
      </w:r>
      <w:r w:rsidR="00B63108" w:rsidRPr="00B63108">
        <w:rPr>
          <w:lang w:eastAsia="ru-RU"/>
        </w:rPr>
        <w:t>тверждено инфицирование вирусом пандемического гриппа A (H1N1).</w:t>
      </w:r>
    </w:p>
    <w:p w:rsidR="00B63108" w:rsidRPr="00B63108" w:rsidRDefault="00E775CC" w:rsidP="00B63108">
      <w:pPr>
        <w:pStyle w:val="SingleTxtGR"/>
        <w:rPr>
          <w:lang w:eastAsia="ru-RU"/>
        </w:rPr>
      </w:pPr>
      <w:r w:rsidRPr="00E775CC">
        <w:rPr>
          <w:lang w:eastAsia="ru-RU"/>
        </w:rPr>
        <w:t>133.</w:t>
      </w:r>
      <w:r w:rsidRPr="00E775CC">
        <w:rPr>
          <w:lang w:eastAsia="ru-RU"/>
        </w:rPr>
        <w:tab/>
      </w:r>
      <w:r w:rsidR="00B63108" w:rsidRPr="00B63108">
        <w:rPr>
          <w:lang w:eastAsia="ru-RU"/>
        </w:rPr>
        <w:t>Структура КоМС з</w:t>
      </w:r>
      <w:r w:rsidR="00C467DA">
        <w:rPr>
          <w:lang w:eastAsia="ru-RU"/>
        </w:rPr>
        <w:t>а 2009 год показывает, что 66,1</w:t>
      </w:r>
      <w:r w:rsidR="00B63108" w:rsidRPr="00B63108">
        <w:rPr>
          <w:lang w:eastAsia="ru-RU"/>
        </w:rPr>
        <w:t>% случаев материнской смертности имеют причины, не связанные с ро</w:t>
      </w:r>
      <w:r>
        <w:rPr>
          <w:lang w:eastAsia="ru-RU"/>
        </w:rPr>
        <w:t>довспоможением, тогда как 33,9</w:t>
      </w:r>
      <w:r w:rsidR="00B63108" w:rsidRPr="00B63108">
        <w:rPr>
          <w:lang w:eastAsia="ru-RU"/>
        </w:rPr>
        <w:t>% случаев имели место по вине акушерской помощи. В связи с плохим с</w:t>
      </w:r>
      <w:r w:rsidR="00B63108" w:rsidRPr="00B63108">
        <w:rPr>
          <w:lang w:eastAsia="ru-RU"/>
        </w:rPr>
        <w:t>о</w:t>
      </w:r>
      <w:r w:rsidR="00B63108" w:rsidRPr="00B63108">
        <w:rPr>
          <w:lang w:eastAsia="ru-RU"/>
        </w:rPr>
        <w:t>стоянием здоровья женщин имеют место осложнения во время беременности, родов и в послеродовой период, приводя к материнской смертности.</w:t>
      </w:r>
    </w:p>
    <w:p w:rsidR="00B63108" w:rsidRPr="00B63108" w:rsidRDefault="00E775CC" w:rsidP="00B63108">
      <w:pPr>
        <w:pStyle w:val="SingleTxtGR"/>
        <w:rPr>
          <w:lang w:eastAsia="ru-RU"/>
        </w:rPr>
      </w:pPr>
      <w:r w:rsidRPr="00E775CC">
        <w:rPr>
          <w:lang w:eastAsia="ru-RU"/>
        </w:rPr>
        <w:t>134.</w:t>
      </w:r>
      <w:r w:rsidRPr="00E775CC">
        <w:rPr>
          <w:lang w:eastAsia="ru-RU"/>
        </w:rPr>
        <w:tab/>
      </w:r>
      <w:r w:rsidR="00B63108" w:rsidRPr="00B63108">
        <w:rPr>
          <w:lang w:eastAsia="ru-RU"/>
        </w:rPr>
        <w:t>Свыше 20% случаев материнской смертности вызвано задержками I вида, когда беременные женщины (и члены их семей) не имеют достаточной просв</w:t>
      </w:r>
      <w:r w:rsidR="00B63108" w:rsidRPr="00B63108">
        <w:rPr>
          <w:lang w:eastAsia="ru-RU"/>
        </w:rPr>
        <w:t>е</w:t>
      </w:r>
      <w:r w:rsidR="00B63108" w:rsidRPr="00B63108">
        <w:rPr>
          <w:lang w:eastAsia="ru-RU"/>
        </w:rPr>
        <w:t>щенности в медицинских вопросах, чтобы позаботиться о себе и последовать советам врачей, и обращаются к ламам и шаманам, исходя из своих суеверий.</w:t>
      </w:r>
    </w:p>
    <w:p w:rsidR="00B63108" w:rsidRPr="00B63108" w:rsidRDefault="00E775CC" w:rsidP="00592250">
      <w:pPr>
        <w:pStyle w:val="SingleTxtGR"/>
        <w:pageBreakBefore/>
        <w:rPr>
          <w:lang w:eastAsia="ru-RU"/>
        </w:rPr>
      </w:pPr>
      <w:r w:rsidRPr="00E775CC">
        <w:rPr>
          <w:lang w:eastAsia="ru-RU"/>
        </w:rPr>
        <w:t>135.</w:t>
      </w:r>
      <w:r w:rsidRPr="00E775CC">
        <w:rPr>
          <w:lang w:eastAsia="ru-RU"/>
        </w:rPr>
        <w:tab/>
      </w:r>
      <w:r w:rsidR="00B63108" w:rsidRPr="00B63108">
        <w:rPr>
          <w:lang w:eastAsia="ru-RU"/>
        </w:rPr>
        <w:t>Примерно еще 4</w:t>
      </w:r>
      <w:r w:rsidRPr="00E775CC">
        <w:rPr>
          <w:lang w:eastAsia="ru-RU"/>
        </w:rPr>
        <w:t>−</w:t>
      </w:r>
      <w:r w:rsidR="00B63108" w:rsidRPr="00B63108">
        <w:rPr>
          <w:lang w:eastAsia="ru-RU"/>
        </w:rPr>
        <w:t>5% случаев смертности вызвано задержками II вида, причиной которых в основном является невозможность вовремя добраться до медучреждений из-за больших расстояний, о</w:t>
      </w:r>
      <w:r>
        <w:rPr>
          <w:lang w:eastAsia="ru-RU"/>
        </w:rPr>
        <w:t>тсутствия связи и транспорта, а</w:t>
      </w:r>
      <w:r>
        <w:rPr>
          <w:lang w:val="en-US" w:eastAsia="ru-RU"/>
        </w:rPr>
        <w:t> </w:t>
      </w:r>
      <w:r w:rsidR="00B63108" w:rsidRPr="00B63108">
        <w:rPr>
          <w:lang w:eastAsia="ru-RU"/>
        </w:rPr>
        <w:t>также нехватки средств, чтобы оплатить перевозку. Невозможность совершить поездку в медучреждение в большинстве случаев обуславливается различными факторами, например, незнанием домашнего адреса, сезонной миграцией на отдаленные территории в поиске лучших пастбищ для скота, строительство д</w:t>
      </w:r>
      <w:r w:rsidR="00B63108" w:rsidRPr="00B63108">
        <w:rPr>
          <w:lang w:eastAsia="ru-RU"/>
        </w:rPr>
        <w:t>о</w:t>
      </w:r>
      <w:r w:rsidR="00B63108" w:rsidRPr="00B63108">
        <w:rPr>
          <w:lang w:eastAsia="ru-RU"/>
        </w:rPr>
        <w:t>ма в горах, снегопад и снежные бури, а также невозможность оплаты авиабил</w:t>
      </w:r>
      <w:r w:rsidR="00B63108" w:rsidRPr="00B63108">
        <w:rPr>
          <w:lang w:eastAsia="ru-RU"/>
        </w:rPr>
        <w:t>е</w:t>
      </w:r>
      <w:r w:rsidR="00B63108" w:rsidRPr="00B63108">
        <w:rPr>
          <w:lang w:eastAsia="ru-RU"/>
        </w:rPr>
        <w:t>та.</w:t>
      </w:r>
    </w:p>
    <w:p w:rsidR="00B63108" w:rsidRPr="00B63108" w:rsidRDefault="00E775CC" w:rsidP="00B63108">
      <w:pPr>
        <w:pStyle w:val="SingleTxtGR"/>
        <w:rPr>
          <w:lang w:eastAsia="ru-RU"/>
        </w:rPr>
      </w:pPr>
      <w:r w:rsidRPr="00E775CC">
        <w:rPr>
          <w:lang w:eastAsia="ru-RU"/>
        </w:rPr>
        <w:t>136.</w:t>
      </w:r>
      <w:r w:rsidRPr="00E775CC">
        <w:rPr>
          <w:lang w:eastAsia="ru-RU"/>
        </w:rPr>
        <w:tab/>
      </w:r>
      <w:r w:rsidR="00B63108" w:rsidRPr="00B63108">
        <w:rPr>
          <w:lang w:eastAsia="ru-RU"/>
        </w:rPr>
        <w:t>Кроме того, материнская смертность имеет место среди женщин, пок</w:t>
      </w:r>
      <w:r w:rsidR="00B63108" w:rsidRPr="00B63108">
        <w:rPr>
          <w:lang w:eastAsia="ru-RU"/>
        </w:rPr>
        <w:t>у</w:t>
      </w:r>
      <w:r w:rsidR="00B63108" w:rsidRPr="00B63108">
        <w:rPr>
          <w:lang w:eastAsia="ru-RU"/>
        </w:rPr>
        <w:t>пающих на рынке лекарства для прерывания беременности и сталкивающихся с осложнениями в результате аборта, не сообщая</w:t>
      </w:r>
      <w:r>
        <w:rPr>
          <w:lang w:eastAsia="ru-RU"/>
        </w:rPr>
        <w:t xml:space="preserve"> об этом членам своей семьи. По</w:t>
      </w:r>
      <w:r>
        <w:rPr>
          <w:lang w:val="en-US" w:eastAsia="ru-RU"/>
        </w:rPr>
        <w:t> </w:t>
      </w:r>
      <w:r w:rsidR="00B63108" w:rsidRPr="00B63108">
        <w:rPr>
          <w:lang w:eastAsia="ru-RU"/>
        </w:rPr>
        <w:t>состоянию на 2010 год было зарегистрировано 14,8 абортов на 1</w:t>
      </w:r>
      <w:r>
        <w:rPr>
          <w:lang w:val="en-US" w:eastAsia="ru-RU"/>
        </w:rPr>
        <w:t> </w:t>
      </w:r>
      <w:r w:rsidR="00B63108" w:rsidRPr="00B63108">
        <w:rPr>
          <w:lang w:eastAsia="ru-RU"/>
        </w:rPr>
        <w:t>000 же</w:t>
      </w:r>
      <w:r w:rsidR="00B63108" w:rsidRPr="00B63108">
        <w:rPr>
          <w:lang w:eastAsia="ru-RU"/>
        </w:rPr>
        <w:t>н</w:t>
      </w:r>
      <w:r w:rsidR="00B63108" w:rsidRPr="00B63108">
        <w:rPr>
          <w:lang w:eastAsia="ru-RU"/>
        </w:rPr>
        <w:t>щин репродуктивного возраста и 189,6 абортов на 1</w:t>
      </w:r>
      <w:r>
        <w:rPr>
          <w:lang w:val="en-US" w:eastAsia="ru-RU"/>
        </w:rPr>
        <w:t> </w:t>
      </w:r>
      <w:r w:rsidR="00B63108" w:rsidRPr="00B63108">
        <w:rPr>
          <w:lang w:eastAsia="ru-RU"/>
        </w:rPr>
        <w:t>000 живорождений. След</w:t>
      </w:r>
      <w:r w:rsidR="00B63108" w:rsidRPr="00B63108">
        <w:rPr>
          <w:lang w:eastAsia="ru-RU"/>
        </w:rPr>
        <w:t>у</w:t>
      </w:r>
      <w:r w:rsidR="00B63108" w:rsidRPr="00B63108">
        <w:rPr>
          <w:lang w:eastAsia="ru-RU"/>
        </w:rPr>
        <w:t>ет отметить, что из общего числа женщин, сделавших аборт, 16% являются учащимися и 54% сделали аборт повторно.</w:t>
      </w:r>
    </w:p>
    <w:p w:rsidR="00B63108" w:rsidRPr="00B63108" w:rsidRDefault="00E775CC" w:rsidP="00B63108">
      <w:pPr>
        <w:pStyle w:val="SingleTxtGR"/>
        <w:rPr>
          <w:lang w:eastAsia="ru-RU"/>
        </w:rPr>
      </w:pPr>
      <w:r w:rsidRPr="00E775CC">
        <w:rPr>
          <w:lang w:eastAsia="ru-RU"/>
        </w:rPr>
        <w:t>137.</w:t>
      </w:r>
      <w:r w:rsidRPr="00E775CC">
        <w:rPr>
          <w:lang w:eastAsia="ru-RU"/>
        </w:rPr>
        <w:tab/>
      </w:r>
      <w:r w:rsidR="00B63108" w:rsidRPr="00B63108">
        <w:rPr>
          <w:lang w:eastAsia="ru-RU"/>
        </w:rPr>
        <w:t>Правительство Монголии разработало Стратегию в области здоровья м</w:t>
      </w:r>
      <w:r w:rsidR="00B63108" w:rsidRPr="00B63108">
        <w:rPr>
          <w:lang w:eastAsia="ru-RU"/>
        </w:rPr>
        <w:t>а</w:t>
      </w:r>
      <w:r w:rsidR="00B63108" w:rsidRPr="00B63108">
        <w:rPr>
          <w:lang w:eastAsia="ru-RU"/>
        </w:rPr>
        <w:t>тери и ребенка и установило следующие стратегические цели для достижения своих задач в рамках ЦРДТ по снижению КоМС и КМС к 2015 году:</w:t>
      </w:r>
    </w:p>
    <w:p w:rsidR="00B63108" w:rsidRPr="00B63108" w:rsidRDefault="00B63108" w:rsidP="00E775CC">
      <w:pPr>
        <w:pStyle w:val="Bullet1GR"/>
      </w:pPr>
      <w:r w:rsidRPr="00B63108">
        <w:t>Стратегическая цель-1. Мобилизовать социальные ресурсы, создав благ</w:t>
      </w:r>
      <w:r w:rsidRPr="00B63108">
        <w:t>о</w:t>
      </w:r>
      <w:r w:rsidRPr="00B63108">
        <w:t>приятную социальную, экономическую и политическую среду и улучшив просветительскую подготовку членов семьи, жителей общин, руковод</w:t>
      </w:r>
      <w:r w:rsidRPr="00B63108">
        <w:t>и</w:t>
      </w:r>
      <w:r w:rsidRPr="00B63108">
        <w:t>телей, разработчиков политики и политических деятелей, а также пре</w:t>
      </w:r>
      <w:r w:rsidRPr="00B63108">
        <w:t>д</w:t>
      </w:r>
      <w:r w:rsidRPr="00B63108">
        <w:t>ставителей цел</w:t>
      </w:r>
      <w:r w:rsidRPr="00B63108">
        <w:t>е</w:t>
      </w:r>
      <w:r w:rsidRPr="00B63108">
        <w:t>вых групп по вопросам выживания детей;</w:t>
      </w:r>
    </w:p>
    <w:p w:rsidR="00B63108" w:rsidRPr="00B63108" w:rsidRDefault="00B63108" w:rsidP="00E775CC">
      <w:pPr>
        <w:pStyle w:val="Bullet1GR"/>
      </w:pPr>
      <w:r w:rsidRPr="00B63108">
        <w:t>Стратегическая цель-2. Сократить препятствия (транспортные расходы, регистрация, страхование, трудности финансового и культурного хара</w:t>
      </w:r>
      <w:r w:rsidRPr="00B63108">
        <w:t>к</w:t>
      </w:r>
      <w:r w:rsidRPr="00B63108">
        <w:t>тера, удаленность и т.д.) на пути к получению медицинской помощи м</w:t>
      </w:r>
      <w:r w:rsidRPr="00B63108">
        <w:t>а</w:t>
      </w:r>
      <w:r w:rsidRPr="00B63108">
        <w:t>терями и мл</w:t>
      </w:r>
      <w:r w:rsidRPr="00B63108">
        <w:t>а</w:t>
      </w:r>
      <w:r w:rsidRPr="00B63108">
        <w:t>денцами и улучшить ее доступность;</w:t>
      </w:r>
    </w:p>
    <w:p w:rsidR="00B63108" w:rsidRPr="00B63108" w:rsidRDefault="00B63108" w:rsidP="00E775CC">
      <w:pPr>
        <w:pStyle w:val="Bullet1GR"/>
      </w:pPr>
      <w:r w:rsidRPr="00B63108">
        <w:t>Стратегическая цель-3. Внедрить новейшую технологию доказательной медицины и улучшить качество оказания медицинской помощи матерям и мл</w:t>
      </w:r>
      <w:r w:rsidRPr="00B63108">
        <w:t>а</w:t>
      </w:r>
      <w:r w:rsidRPr="00B63108">
        <w:t>денцам.</w:t>
      </w:r>
    </w:p>
    <w:p w:rsidR="00B63108" w:rsidRPr="00B63108" w:rsidRDefault="000D7616" w:rsidP="00B63108">
      <w:pPr>
        <w:pStyle w:val="SingleTxtGR"/>
        <w:rPr>
          <w:lang w:eastAsia="ru-RU"/>
        </w:rPr>
      </w:pPr>
      <w:r w:rsidRPr="000D7616">
        <w:rPr>
          <w:lang w:eastAsia="ru-RU"/>
        </w:rPr>
        <w:t>138.</w:t>
      </w:r>
      <w:r w:rsidRPr="000D7616">
        <w:rPr>
          <w:lang w:eastAsia="ru-RU"/>
        </w:rPr>
        <w:tab/>
      </w:r>
      <w:r w:rsidR="00B63108" w:rsidRPr="00B63108">
        <w:rPr>
          <w:lang w:eastAsia="ru-RU"/>
        </w:rPr>
        <w:t>Кроме того, необходимо активизировать деятельность по обеспечению безопасности генетического фонда населения; дополнить непрерывность мед</w:t>
      </w:r>
      <w:r w:rsidR="00B63108" w:rsidRPr="00B63108">
        <w:rPr>
          <w:lang w:eastAsia="ru-RU"/>
        </w:rPr>
        <w:t>и</w:t>
      </w:r>
      <w:r w:rsidR="00B63108" w:rsidRPr="00B63108">
        <w:rPr>
          <w:lang w:eastAsia="ru-RU"/>
        </w:rPr>
        <w:t>цинских услуг в интересах матерей и младенцев проведением надлежащей п</w:t>
      </w:r>
      <w:r w:rsidR="00B63108" w:rsidRPr="00B63108">
        <w:rPr>
          <w:lang w:eastAsia="ru-RU"/>
        </w:rPr>
        <w:t>о</w:t>
      </w:r>
      <w:r w:rsidR="00B63108" w:rsidRPr="00B63108">
        <w:rPr>
          <w:lang w:eastAsia="ru-RU"/>
        </w:rPr>
        <w:t>литики в области рождаемости; обеспечить подготовку и готовность медици</w:t>
      </w:r>
      <w:r w:rsidR="00B63108" w:rsidRPr="00B63108">
        <w:rPr>
          <w:lang w:eastAsia="ru-RU"/>
        </w:rPr>
        <w:t>н</w:t>
      </w:r>
      <w:r w:rsidR="00B63108" w:rsidRPr="00B63108">
        <w:rPr>
          <w:lang w:eastAsia="ru-RU"/>
        </w:rPr>
        <w:t>ских служб на случай вновь возникающих инфекционных заболеваний, стихи</w:t>
      </w:r>
      <w:r w:rsidR="00B63108" w:rsidRPr="00B63108">
        <w:rPr>
          <w:lang w:eastAsia="ru-RU"/>
        </w:rPr>
        <w:t>й</w:t>
      </w:r>
      <w:r w:rsidR="00B63108" w:rsidRPr="00B63108">
        <w:rPr>
          <w:lang w:eastAsia="ru-RU"/>
        </w:rPr>
        <w:t>ных бедствий и чрезвычайных ситуаций; увеличить финансирование услуг, св</w:t>
      </w:r>
      <w:r w:rsidR="00B63108" w:rsidRPr="00B63108">
        <w:rPr>
          <w:lang w:eastAsia="ru-RU"/>
        </w:rPr>
        <w:t>я</w:t>
      </w:r>
      <w:r w:rsidR="00B63108" w:rsidRPr="00B63108">
        <w:rPr>
          <w:lang w:eastAsia="ru-RU"/>
        </w:rPr>
        <w:t>занных с родами и материнством; повысить зарплату и улучшить порядок пр</w:t>
      </w:r>
      <w:r w:rsidR="00B63108" w:rsidRPr="00B63108">
        <w:rPr>
          <w:lang w:eastAsia="ru-RU"/>
        </w:rPr>
        <w:t>о</w:t>
      </w:r>
      <w:r w:rsidR="00B63108" w:rsidRPr="00B63108">
        <w:rPr>
          <w:lang w:eastAsia="ru-RU"/>
        </w:rPr>
        <w:t>движения по службе для большинства специалистов-медиков, в которых ощ</w:t>
      </w:r>
      <w:r w:rsidR="00B63108" w:rsidRPr="00B63108">
        <w:rPr>
          <w:lang w:eastAsia="ru-RU"/>
        </w:rPr>
        <w:t>у</w:t>
      </w:r>
      <w:r w:rsidR="00B63108" w:rsidRPr="00B63108">
        <w:rPr>
          <w:lang w:eastAsia="ru-RU"/>
        </w:rPr>
        <w:t>щается потребность, а именно: акушеров-гинекологов, педиатров, врачей-неонатологов, анестезиологов и специалистов в области интенсивной терапии; внедрить новейшие медицинские технологии в диагностику и лечение забол</w:t>
      </w:r>
      <w:r w:rsidR="00B63108" w:rsidRPr="00B63108">
        <w:rPr>
          <w:lang w:eastAsia="ru-RU"/>
        </w:rPr>
        <w:t>е</w:t>
      </w:r>
      <w:r w:rsidR="00B63108" w:rsidRPr="00B63108">
        <w:rPr>
          <w:lang w:eastAsia="ru-RU"/>
        </w:rPr>
        <w:t>ваний в период младенчества и в фетальный период; и расширить услуги тел</w:t>
      </w:r>
      <w:r w:rsidR="00B63108" w:rsidRPr="00B63108">
        <w:rPr>
          <w:lang w:eastAsia="ru-RU"/>
        </w:rPr>
        <w:t>е</w:t>
      </w:r>
      <w:r w:rsidR="00B63108" w:rsidRPr="00B63108">
        <w:rPr>
          <w:lang w:eastAsia="ru-RU"/>
        </w:rPr>
        <w:t>медицины. Требуется улучшение всех аспектов гигиены окружающей среды и промышле</w:t>
      </w:r>
      <w:r w:rsidR="00B63108" w:rsidRPr="00B63108">
        <w:rPr>
          <w:lang w:eastAsia="ru-RU"/>
        </w:rPr>
        <w:t>н</w:t>
      </w:r>
      <w:r w:rsidR="00B63108" w:rsidRPr="00B63108">
        <w:rPr>
          <w:lang w:eastAsia="ru-RU"/>
        </w:rPr>
        <w:t>ной гигиены.</w:t>
      </w:r>
    </w:p>
    <w:p w:rsidR="00B63108" w:rsidRPr="000D7616" w:rsidRDefault="00B63108" w:rsidP="000D7616">
      <w:pPr>
        <w:pStyle w:val="Heading1"/>
        <w:spacing w:after="120"/>
        <w:ind w:left="1134"/>
        <w:jc w:val="left"/>
      </w:pPr>
      <w:r w:rsidRPr="000D7616">
        <w:rPr>
          <w:b w:val="0"/>
        </w:rPr>
        <w:t>Диаграмма 3</w:t>
      </w:r>
      <w:r w:rsidR="000D7616" w:rsidRPr="000D7616">
        <w:rPr>
          <w:b w:val="0"/>
        </w:rPr>
        <w:br/>
      </w:r>
      <w:r w:rsidRPr="00B63108">
        <w:t xml:space="preserve">Пять основных причин заболеваемости населения в расчете </w:t>
      </w:r>
      <w:r w:rsidR="000D7616" w:rsidRPr="000D7616">
        <w:br/>
      </w:r>
      <w:r w:rsidRPr="00B63108">
        <w:t>на 10 000 человек (2000</w:t>
      </w:r>
      <w:r w:rsidR="000D7616" w:rsidRPr="000D7616">
        <w:t>−</w:t>
      </w:r>
      <w:r w:rsidRPr="00B63108">
        <w:t>2010 г</w:t>
      </w:r>
      <w:r w:rsidRPr="00B63108">
        <w:t>о</w:t>
      </w:r>
      <w:r w:rsidRPr="00B63108">
        <w:t>ды)</w:t>
      </w:r>
    </w:p>
    <w:p w:rsidR="000D7616" w:rsidRDefault="00DF60E3" w:rsidP="000D7616">
      <w:pPr>
        <w:ind w:left="1134"/>
        <w:rPr>
          <w:lang w:val="en-US" w:eastAsia="ru-RU"/>
        </w:rPr>
      </w:pPr>
      <w:r>
        <w:rPr>
          <w:noProof/>
          <w:w w:val="1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270pt;margin-top:172.6pt;width:159.7pt;height:33.75pt;z-index:14" stroked="f">
            <v:textbox style="mso-next-textbox:#_x0000_s1100" inset="0,0,0,0">
              <w:txbxContent>
                <w:p w:rsidR="00033699" w:rsidRPr="009176B7" w:rsidRDefault="00033699" w:rsidP="009176B7">
                  <w:pPr>
                    <w:suppressAutoHyphens/>
                    <w:spacing w:after="20" w:line="240" w:lineRule="auto"/>
                    <w:rPr>
                      <w:sz w:val="16"/>
                      <w:szCs w:val="16"/>
                      <w:lang w:eastAsia="en-GB"/>
                    </w:rPr>
                  </w:pPr>
                  <w:r w:rsidRPr="009176B7">
                    <w:rPr>
                      <w:sz w:val="16"/>
                      <w:szCs w:val="16"/>
                      <w:lang w:eastAsia="en-GB"/>
                    </w:rPr>
                    <w:t>Заболевания пищеварительной системы</w:t>
                  </w:r>
                </w:p>
                <w:p w:rsidR="00033699" w:rsidRPr="009176B7" w:rsidRDefault="00033699" w:rsidP="009176B7">
                  <w:pPr>
                    <w:suppressAutoHyphens/>
                    <w:spacing w:after="20" w:line="240" w:lineRule="auto"/>
                    <w:rPr>
                      <w:sz w:val="16"/>
                      <w:szCs w:val="16"/>
                      <w:lang w:eastAsia="en-GB"/>
                    </w:rPr>
                  </w:pPr>
                  <w:r w:rsidRPr="009176B7">
                    <w:rPr>
                      <w:sz w:val="16"/>
                      <w:szCs w:val="16"/>
                      <w:lang w:eastAsia="en-GB"/>
                    </w:rPr>
                    <w:t>Заболевания сердечно-сосудистой системы</w:t>
                  </w:r>
                </w:p>
              </w:txbxContent>
            </v:textbox>
          </v:shape>
        </w:pict>
      </w:r>
      <w:r w:rsidR="004C0EAC">
        <w:rPr>
          <w:noProof/>
          <w:w w:val="100"/>
          <w:lang w:eastAsia="ru-RU"/>
        </w:rPr>
        <w:pict>
          <v:shape id="_x0000_s1099" type="#_x0000_t202" style="position:absolute;left:0;text-align:left;margin-left:77.3pt;margin-top:172.45pt;width:169pt;height:42pt;z-index:13" stroked="f">
            <v:textbox inset="0,0,0,0">
              <w:txbxContent>
                <w:p w:rsidR="00033699" w:rsidRPr="009176B7" w:rsidRDefault="00033699" w:rsidP="009176B7">
                  <w:pPr>
                    <w:suppressAutoHyphens/>
                    <w:spacing w:after="20" w:line="240" w:lineRule="auto"/>
                    <w:rPr>
                      <w:sz w:val="16"/>
                      <w:szCs w:val="16"/>
                      <w:lang w:val="en-US" w:eastAsia="en-GB"/>
                    </w:rPr>
                  </w:pPr>
                  <w:r w:rsidRPr="009176B7">
                    <w:rPr>
                      <w:sz w:val="16"/>
                      <w:szCs w:val="16"/>
                      <w:lang w:eastAsia="en-GB"/>
                    </w:rPr>
                    <w:t>Заболевания дыхательной системы</w:t>
                  </w:r>
                </w:p>
                <w:p w:rsidR="00033699" w:rsidRPr="009176B7" w:rsidRDefault="00033699" w:rsidP="009176B7">
                  <w:pPr>
                    <w:suppressAutoHyphens/>
                    <w:spacing w:after="20" w:line="240" w:lineRule="auto"/>
                    <w:rPr>
                      <w:sz w:val="16"/>
                      <w:szCs w:val="16"/>
                      <w:lang w:val="en-US" w:eastAsia="en-GB"/>
                    </w:rPr>
                  </w:pPr>
                  <w:r w:rsidRPr="009176B7">
                    <w:rPr>
                      <w:sz w:val="16"/>
                      <w:szCs w:val="16"/>
                      <w:lang w:eastAsia="en-GB"/>
                    </w:rPr>
                    <w:t>Заболевания мочевыводящей сист</w:t>
                  </w:r>
                  <w:r w:rsidRPr="009176B7">
                    <w:rPr>
                      <w:sz w:val="16"/>
                      <w:szCs w:val="16"/>
                      <w:lang w:eastAsia="en-GB"/>
                    </w:rPr>
                    <w:t>е</w:t>
                  </w:r>
                  <w:r w:rsidRPr="009176B7">
                    <w:rPr>
                      <w:sz w:val="16"/>
                      <w:szCs w:val="16"/>
                      <w:lang w:eastAsia="en-GB"/>
                    </w:rPr>
                    <w:t>мы</w:t>
                  </w:r>
                </w:p>
                <w:p w:rsidR="00033699" w:rsidRPr="009176B7" w:rsidRDefault="00033699" w:rsidP="009176B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20" w:line="240" w:lineRule="auto"/>
                    <w:rPr>
                      <w:sz w:val="16"/>
                      <w:szCs w:val="16"/>
                      <w:lang w:val="en-US"/>
                    </w:rPr>
                  </w:pPr>
                  <w:r w:rsidRPr="009176B7">
                    <w:rPr>
                      <w:sz w:val="16"/>
                      <w:szCs w:val="16"/>
                      <w:lang w:eastAsia="en-GB"/>
                    </w:rPr>
                    <w:t xml:space="preserve">Внешние причины заболеваемости </w:t>
                  </w:r>
                  <w:r w:rsidRPr="009176B7">
                    <w:rPr>
                      <w:sz w:val="16"/>
                      <w:szCs w:val="16"/>
                      <w:lang w:val="en-US" w:eastAsia="en-GB"/>
                    </w:rPr>
                    <w:br/>
                  </w:r>
                  <w:r w:rsidRPr="009176B7">
                    <w:rPr>
                      <w:sz w:val="16"/>
                      <w:szCs w:val="16"/>
                      <w:lang w:eastAsia="en-GB"/>
                    </w:rPr>
                    <w:t>и смертности</w:t>
                  </w:r>
                </w:p>
              </w:txbxContent>
            </v:textbox>
          </v:shape>
        </w:pict>
      </w:r>
      <w:r w:rsidR="000D7616">
        <w:rPr>
          <w:noProof/>
          <w:w w:val="100"/>
          <w:lang w:eastAsia="ru-RU"/>
        </w:rPr>
      </w:r>
      <w:r w:rsidR="000D7616">
        <w:rPr>
          <w:lang w:eastAsia="ru-RU"/>
        </w:rPr>
        <w:pict>
          <v:shape id="_x0000_s1097" type="#_x0000_t75" style="width:371.95pt;height:204.7pt;mso-position-horizontal-relative:char;mso-position-vertical-relative:line">
            <v:imagedata r:id="rId17" o:title=""/>
            <w10:anchorlock/>
          </v:shape>
        </w:pict>
      </w:r>
    </w:p>
    <w:p w:rsidR="000D7616" w:rsidRDefault="000D7616" w:rsidP="000D7616">
      <w:pPr>
        <w:ind w:left="1134"/>
        <w:rPr>
          <w:lang w:val="en-US" w:eastAsia="ru-RU"/>
        </w:rPr>
      </w:pPr>
    </w:p>
    <w:p w:rsidR="00D51377" w:rsidRPr="006E40DB" w:rsidRDefault="00D51377" w:rsidP="006E40DB">
      <w:pPr>
        <w:pStyle w:val="SingleTxtGR"/>
        <w:suppressAutoHyphens/>
        <w:spacing w:before="120" w:after="240" w:line="220" w:lineRule="exact"/>
        <w:ind w:firstLine="170"/>
        <w:jc w:val="left"/>
        <w:rPr>
          <w:sz w:val="18"/>
          <w:szCs w:val="18"/>
          <w:lang w:eastAsia="ru-RU"/>
        </w:rPr>
      </w:pPr>
      <w:r w:rsidRPr="006E40DB">
        <w:rPr>
          <w:i/>
          <w:sz w:val="18"/>
          <w:szCs w:val="18"/>
          <w:lang w:eastAsia="ru-RU"/>
        </w:rPr>
        <w:t>Источник</w:t>
      </w:r>
      <w:r w:rsidRPr="006E40DB">
        <w:rPr>
          <w:sz w:val="18"/>
          <w:szCs w:val="18"/>
          <w:lang w:eastAsia="ru-RU"/>
        </w:rPr>
        <w:t>: Департамент здравоохранения, правительственное исполнительное учреждение, 2010 год.</w:t>
      </w:r>
    </w:p>
    <w:p w:rsidR="00D51377" w:rsidRPr="00872427" w:rsidRDefault="006E40DB" w:rsidP="00872427">
      <w:pPr>
        <w:pStyle w:val="SingleTxtGR"/>
        <w:rPr>
          <w:lang w:eastAsia="ru-RU"/>
        </w:rPr>
      </w:pPr>
      <w:r w:rsidRPr="006E40DB">
        <w:rPr>
          <w:lang w:eastAsia="ru-RU"/>
        </w:rPr>
        <w:t>139.</w:t>
      </w:r>
      <w:r w:rsidRPr="006E40DB">
        <w:rPr>
          <w:lang w:eastAsia="ru-RU"/>
        </w:rPr>
        <w:tab/>
      </w:r>
      <w:r w:rsidR="00D51377" w:rsidRPr="00872427">
        <w:rPr>
          <w:lang w:eastAsia="ru-RU"/>
        </w:rPr>
        <w:t>Обследование Всемирного банка (2008 год) показало, что содержание PM2,5 и PM10 (ди</w:t>
      </w:r>
      <w:r w:rsidR="00D51377" w:rsidRPr="00872427">
        <w:rPr>
          <w:lang w:eastAsia="ru-RU"/>
        </w:rPr>
        <w:t>с</w:t>
      </w:r>
      <w:r w:rsidR="00D51377" w:rsidRPr="00872427">
        <w:rPr>
          <w:lang w:eastAsia="ru-RU"/>
        </w:rPr>
        <w:t>персное вещество) увеличивает риск заболеваний сердечно-сосудистой системы и дых</w:t>
      </w:r>
      <w:r w:rsidR="00D51377" w:rsidRPr="00872427">
        <w:rPr>
          <w:lang w:eastAsia="ru-RU"/>
        </w:rPr>
        <w:t>а</w:t>
      </w:r>
      <w:r w:rsidR="00D51377" w:rsidRPr="00872427">
        <w:rPr>
          <w:lang w:eastAsia="ru-RU"/>
        </w:rPr>
        <w:t>тельных путей на 19,5 и 23,5% соответственно.</w:t>
      </w:r>
    </w:p>
    <w:p w:rsidR="00D51377" w:rsidRPr="00872427" w:rsidRDefault="00D51377" w:rsidP="00872427">
      <w:pPr>
        <w:pStyle w:val="SingleTxtGR"/>
        <w:rPr>
          <w:lang w:eastAsia="ru-RU"/>
        </w:rPr>
      </w:pPr>
      <w:r w:rsidRPr="00D51377">
        <w:rPr>
          <w:lang w:eastAsia="ru-RU"/>
        </w:rPr>
        <w:t>140.</w:t>
      </w:r>
      <w:r w:rsidRPr="00D51377">
        <w:rPr>
          <w:lang w:eastAsia="ru-RU"/>
        </w:rPr>
        <w:tab/>
      </w:r>
      <w:r w:rsidRPr="00872427">
        <w:rPr>
          <w:lang w:eastAsia="ru-RU"/>
        </w:rPr>
        <w:t>Заболеваемость раком среди населения увеличилась с 283,6 до 469,2 сл</w:t>
      </w:r>
      <w:r w:rsidRPr="00872427">
        <w:rPr>
          <w:lang w:eastAsia="ru-RU"/>
        </w:rPr>
        <w:t>у</w:t>
      </w:r>
      <w:r w:rsidRPr="00872427">
        <w:rPr>
          <w:lang w:eastAsia="ru-RU"/>
        </w:rPr>
        <w:t>чаев на 100 000 человек в период с 2000 по 2010 год, а также наблюдался п</w:t>
      </w:r>
      <w:r w:rsidRPr="00872427">
        <w:rPr>
          <w:lang w:eastAsia="ru-RU"/>
        </w:rPr>
        <w:t>о</w:t>
      </w:r>
      <w:r w:rsidRPr="00872427">
        <w:rPr>
          <w:lang w:eastAsia="ru-RU"/>
        </w:rPr>
        <w:t>стоянный рост смертности в результате раковых заболеваний, которая достигла 118,3 случаев на 100 000 человек в 2010 году, тогда как в 2000 году этот показ</w:t>
      </w:r>
      <w:r w:rsidRPr="00872427">
        <w:rPr>
          <w:lang w:eastAsia="ru-RU"/>
        </w:rPr>
        <w:t>а</w:t>
      </w:r>
      <w:r w:rsidRPr="00872427">
        <w:rPr>
          <w:lang w:eastAsia="ru-RU"/>
        </w:rPr>
        <w:t>тель составлял 92,3 случая на 100 000 человек. Заболеваемость раком легких возросла в последние годы. 35</w:t>
      </w:r>
      <w:r w:rsidRPr="00D51377">
        <w:rPr>
          <w:lang w:eastAsia="ru-RU"/>
        </w:rPr>
        <w:t>−</w:t>
      </w:r>
      <w:r w:rsidRPr="00872427">
        <w:rPr>
          <w:lang w:eastAsia="ru-RU"/>
        </w:rPr>
        <w:t>40% всех случаев заболевания раком легких приходится лишь на один город – Улан-Батор, а каждый год от этой болезни умирает свыше 100 человек.</w:t>
      </w:r>
    </w:p>
    <w:p w:rsidR="00D51377" w:rsidRPr="00872427" w:rsidRDefault="00D51377" w:rsidP="00872427">
      <w:pPr>
        <w:pStyle w:val="SingleTxtGR"/>
        <w:rPr>
          <w:lang w:eastAsia="ru-RU"/>
        </w:rPr>
      </w:pPr>
      <w:r w:rsidRPr="00D51377">
        <w:rPr>
          <w:lang w:eastAsia="ru-RU"/>
        </w:rPr>
        <w:t>141.</w:t>
      </w:r>
      <w:r w:rsidRPr="00D51377">
        <w:rPr>
          <w:lang w:eastAsia="ru-RU"/>
        </w:rPr>
        <w:tab/>
      </w:r>
      <w:r w:rsidRPr="00872427">
        <w:rPr>
          <w:lang w:eastAsia="ru-RU"/>
        </w:rPr>
        <w:t>Поэтому правительство принимает меры и проводит мероприятия по р</w:t>
      </w:r>
      <w:r w:rsidRPr="00872427">
        <w:rPr>
          <w:lang w:eastAsia="ru-RU"/>
        </w:rPr>
        <w:t>е</w:t>
      </w:r>
      <w:r w:rsidRPr="00872427">
        <w:rPr>
          <w:lang w:eastAsia="ru-RU"/>
        </w:rPr>
        <w:t>шению этого вопроса. Особое внимание уделяется улучшению нормативной б</w:t>
      </w:r>
      <w:r w:rsidRPr="00872427">
        <w:rPr>
          <w:lang w:eastAsia="ru-RU"/>
        </w:rPr>
        <w:t>а</w:t>
      </w:r>
      <w:r w:rsidRPr="00872427">
        <w:rPr>
          <w:lang w:eastAsia="ru-RU"/>
        </w:rPr>
        <w:t>зы, и были внесены поправки в Закон Монголии об охране воздуха. Кроме того, в Монголии был принят Закон о сборах за загрязнение воздуха, а Закон о с</w:t>
      </w:r>
      <w:r w:rsidRPr="00872427">
        <w:rPr>
          <w:lang w:eastAsia="ru-RU"/>
        </w:rPr>
        <w:t>о</w:t>
      </w:r>
      <w:r w:rsidRPr="00872427">
        <w:rPr>
          <w:lang w:eastAsia="ru-RU"/>
        </w:rPr>
        <w:t>кращении загрязнения воздуха в столице, инициированный Президентом Мо</w:t>
      </w:r>
      <w:r w:rsidRPr="00872427">
        <w:rPr>
          <w:lang w:eastAsia="ru-RU"/>
        </w:rPr>
        <w:t>н</w:t>
      </w:r>
      <w:r w:rsidRPr="00872427">
        <w:rPr>
          <w:lang w:eastAsia="ru-RU"/>
        </w:rPr>
        <w:t>голии был одобрен парламентом, а так</w:t>
      </w:r>
      <w:r>
        <w:rPr>
          <w:lang w:eastAsia="ru-RU"/>
        </w:rPr>
        <w:t>же разрабатываются и вводятся в</w:t>
      </w:r>
      <w:r>
        <w:rPr>
          <w:lang w:val="en-US" w:eastAsia="ru-RU"/>
        </w:rPr>
        <w:t> </w:t>
      </w:r>
      <w:r w:rsidRPr="00872427">
        <w:rPr>
          <w:lang w:eastAsia="ru-RU"/>
        </w:rPr>
        <w:t>дейс</w:t>
      </w:r>
      <w:r w:rsidRPr="00872427">
        <w:rPr>
          <w:lang w:eastAsia="ru-RU"/>
        </w:rPr>
        <w:t>т</w:t>
      </w:r>
      <w:r w:rsidRPr="00872427">
        <w:rPr>
          <w:lang w:eastAsia="ru-RU"/>
        </w:rPr>
        <w:t>вие нормативные акты и стандарты, относящиеся к вновь принятым законам.</w:t>
      </w:r>
    </w:p>
    <w:p w:rsidR="00D51377" w:rsidRPr="00872427" w:rsidRDefault="00D51377" w:rsidP="00872427">
      <w:pPr>
        <w:pStyle w:val="SingleTxtGR"/>
        <w:rPr>
          <w:lang w:eastAsia="ru-RU"/>
        </w:rPr>
      </w:pPr>
      <w:r w:rsidRPr="00D51377">
        <w:rPr>
          <w:lang w:eastAsia="ru-RU"/>
        </w:rPr>
        <w:t>142.</w:t>
      </w:r>
      <w:r w:rsidRPr="00D51377">
        <w:rPr>
          <w:lang w:eastAsia="ru-RU"/>
        </w:rPr>
        <w:tab/>
      </w:r>
      <w:r w:rsidRPr="00872427">
        <w:rPr>
          <w:lang w:eastAsia="ru-RU"/>
        </w:rPr>
        <w:t>Приказом № A/53 Министра природных ресурсов, окружающей среды и туризма были одобрены и начали применяться нормативные положения, к</w:t>
      </w:r>
      <w:r w:rsidRPr="00872427">
        <w:rPr>
          <w:lang w:eastAsia="ru-RU"/>
        </w:rPr>
        <w:t>а</w:t>
      </w:r>
      <w:r w:rsidRPr="00872427">
        <w:rPr>
          <w:lang w:eastAsia="ru-RU"/>
        </w:rPr>
        <w:t>сающиеся информирования об индексе качества воздуха, определяемого путем мониторинга качества воздуха и его воздей</w:t>
      </w:r>
      <w:r>
        <w:rPr>
          <w:lang w:eastAsia="ru-RU"/>
        </w:rPr>
        <w:t>ствия на здоровье человека с</w:t>
      </w:r>
      <w:r>
        <w:rPr>
          <w:lang w:val="en-US" w:eastAsia="ru-RU"/>
        </w:rPr>
        <w:t> </w:t>
      </w:r>
      <w:r w:rsidRPr="00872427">
        <w:rPr>
          <w:lang w:eastAsia="ru-RU"/>
        </w:rPr>
        <w:t>опред</w:t>
      </w:r>
      <w:r w:rsidRPr="00872427">
        <w:rPr>
          <w:lang w:eastAsia="ru-RU"/>
        </w:rPr>
        <w:t>е</w:t>
      </w:r>
      <w:r w:rsidRPr="00872427">
        <w:rPr>
          <w:lang w:eastAsia="ru-RU"/>
        </w:rPr>
        <w:t>лением влияния загрязнителей воздуха на здоровье населения в городах, и с</w:t>
      </w:r>
      <w:r w:rsidRPr="00872427">
        <w:rPr>
          <w:lang w:eastAsia="ru-RU"/>
        </w:rPr>
        <w:t>о</w:t>
      </w:r>
      <w:r w:rsidRPr="00872427">
        <w:rPr>
          <w:lang w:eastAsia="ru-RU"/>
        </w:rPr>
        <w:t>общения широкой общественности рекомендаций по охране здор</w:t>
      </w:r>
      <w:r w:rsidRPr="00872427">
        <w:rPr>
          <w:lang w:eastAsia="ru-RU"/>
        </w:rPr>
        <w:t>о</w:t>
      </w:r>
      <w:r w:rsidRPr="00872427">
        <w:rPr>
          <w:lang w:eastAsia="ru-RU"/>
        </w:rPr>
        <w:t>вья.</w:t>
      </w:r>
    </w:p>
    <w:p w:rsidR="00D51377" w:rsidRPr="00872427" w:rsidRDefault="00D51377" w:rsidP="003356B6">
      <w:pPr>
        <w:pStyle w:val="SingleTxtGR"/>
        <w:rPr>
          <w:lang w:eastAsia="ru-RU"/>
        </w:rPr>
      </w:pPr>
      <w:r w:rsidRPr="00D51377">
        <w:rPr>
          <w:lang w:eastAsia="ru-RU"/>
        </w:rPr>
        <w:t>143.</w:t>
      </w:r>
      <w:r w:rsidRPr="00D51377">
        <w:rPr>
          <w:lang w:eastAsia="ru-RU"/>
        </w:rPr>
        <w:tab/>
      </w:r>
      <w:r w:rsidRPr="00872427">
        <w:rPr>
          <w:lang w:eastAsia="ru-RU"/>
        </w:rPr>
        <w:t>Обеспечение гигиены окружающей среды является не только важной з</w:t>
      </w:r>
      <w:r w:rsidRPr="00872427">
        <w:rPr>
          <w:lang w:eastAsia="ru-RU"/>
        </w:rPr>
        <w:t>а</w:t>
      </w:r>
      <w:r w:rsidRPr="00872427">
        <w:rPr>
          <w:lang w:eastAsia="ru-RU"/>
        </w:rPr>
        <w:t>дачей для страны, региона или континента, но и одним из насущных актуал</w:t>
      </w:r>
      <w:r w:rsidRPr="00872427">
        <w:rPr>
          <w:lang w:eastAsia="ru-RU"/>
        </w:rPr>
        <w:t>ь</w:t>
      </w:r>
      <w:r w:rsidRPr="00872427">
        <w:rPr>
          <w:lang w:eastAsia="ru-RU"/>
        </w:rPr>
        <w:t>ных вопросов мирового масштаба, и, таким образом, его решение является ш</w:t>
      </w:r>
      <w:r w:rsidRPr="00872427">
        <w:rPr>
          <w:lang w:eastAsia="ru-RU"/>
        </w:rPr>
        <w:t>а</w:t>
      </w:r>
      <w:r w:rsidRPr="00872427">
        <w:rPr>
          <w:lang w:eastAsia="ru-RU"/>
        </w:rPr>
        <w:t>гом вперед к достижению целей, сформулированных в Декларации тысячел</w:t>
      </w:r>
      <w:r w:rsidRPr="00872427">
        <w:rPr>
          <w:lang w:eastAsia="ru-RU"/>
        </w:rPr>
        <w:t>е</w:t>
      </w:r>
      <w:r w:rsidRPr="00872427">
        <w:rPr>
          <w:lang w:eastAsia="ru-RU"/>
        </w:rPr>
        <w:t>тия.</w:t>
      </w:r>
    </w:p>
    <w:p w:rsidR="00D51377" w:rsidRPr="00872427" w:rsidRDefault="00D51377" w:rsidP="00872427">
      <w:pPr>
        <w:pStyle w:val="SingleTxtGR"/>
        <w:rPr>
          <w:lang w:eastAsia="ru-RU"/>
        </w:rPr>
      </w:pPr>
      <w:r w:rsidRPr="00D51377">
        <w:rPr>
          <w:lang w:eastAsia="ru-RU"/>
        </w:rPr>
        <w:t>144.</w:t>
      </w:r>
      <w:r w:rsidRPr="00D51377">
        <w:rPr>
          <w:lang w:eastAsia="ru-RU"/>
        </w:rPr>
        <w:tab/>
      </w:r>
      <w:r w:rsidRPr="00872427">
        <w:rPr>
          <w:lang w:eastAsia="ru-RU"/>
        </w:rPr>
        <w:t>В Монголии домохозяйства, находящиеся в сельских и отдаленных пр</w:t>
      </w:r>
      <w:r w:rsidRPr="00872427">
        <w:rPr>
          <w:lang w:eastAsia="ru-RU"/>
        </w:rPr>
        <w:t>и</w:t>
      </w:r>
      <w:r w:rsidRPr="00872427">
        <w:rPr>
          <w:lang w:eastAsia="ru-RU"/>
        </w:rPr>
        <w:t>городных районах, не имеют доступа к безопасной питьевой воде и их члены живут в антисанитарных условиях, а также подвергаются воздействию химич</w:t>
      </w:r>
      <w:r w:rsidRPr="00872427">
        <w:rPr>
          <w:lang w:eastAsia="ru-RU"/>
        </w:rPr>
        <w:t>е</w:t>
      </w:r>
      <w:r w:rsidRPr="00872427">
        <w:rPr>
          <w:lang w:eastAsia="ru-RU"/>
        </w:rPr>
        <w:t>ских веществ, не имеют адекватной безопасности труда и сталкиваются с др</w:t>
      </w:r>
      <w:r w:rsidRPr="00872427">
        <w:rPr>
          <w:lang w:eastAsia="ru-RU"/>
        </w:rPr>
        <w:t>у</w:t>
      </w:r>
      <w:r w:rsidRPr="00872427">
        <w:rPr>
          <w:lang w:eastAsia="ru-RU"/>
        </w:rPr>
        <w:t>гими вопросами, связанными с год от года усиливающимся загрязнением во</w:t>
      </w:r>
      <w:r w:rsidRPr="00872427">
        <w:rPr>
          <w:lang w:eastAsia="ru-RU"/>
        </w:rPr>
        <w:t>з</w:t>
      </w:r>
      <w:r w:rsidRPr="00872427">
        <w:rPr>
          <w:lang w:eastAsia="ru-RU"/>
        </w:rPr>
        <w:t>духа в городах. Загрязнение воздуха в Улан-Баторе является следствием ко</w:t>
      </w:r>
      <w:r w:rsidRPr="00872427">
        <w:rPr>
          <w:lang w:eastAsia="ru-RU"/>
        </w:rPr>
        <w:t>м</w:t>
      </w:r>
      <w:r w:rsidRPr="00872427">
        <w:rPr>
          <w:lang w:eastAsia="ru-RU"/>
        </w:rPr>
        <w:t>плекса факторов, включая выхлопные газы или дым, пыль, специфические з</w:t>
      </w:r>
      <w:r w:rsidRPr="00872427">
        <w:rPr>
          <w:lang w:eastAsia="ru-RU"/>
        </w:rPr>
        <w:t>а</w:t>
      </w:r>
      <w:r w:rsidRPr="00872427">
        <w:rPr>
          <w:lang w:eastAsia="ru-RU"/>
        </w:rPr>
        <w:t>пахи, шум, излучение и т.д. Однако основными источниками загрязнения во</w:t>
      </w:r>
      <w:r w:rsidRPr="00872427">
        <w:rPr>
          <w:lang w:eastAsia="ru-RU"/>
        </w:rPr>
        <w:t>з</w:t>
      </w:r>
      <w:r w:rsidRPr="00872427">
        <w:rPr>
          <w:lang w:eastAsia="ru-RU"/>
        </w:rPr>
        <w:t>духа в Улан-Баторе являются три крупные электростанции, 1</w:t>
      </w:r>
      <w:r>
        <w:rPr>
          <w:lang w:val="en-US" w:eastAsia="ru-RU"/>
        </w:rPr>
        <w:t> </w:t>
      </w:r>
      <w:r w:rsidRPr="00872427">
        <w:rPr>
          <w:lang w:eastAsia="ru-RU"/>
        </w:rPr>
        <w:t>178 паровых ко</w:t>
      </w:r>
      <w:r w:rsidRPr="00872427">
        <w:rPr>
          <w:lang w:eastAsia="ru-RU"/>
        </w:rPr>
        <w:t>т</w:t>
      </w:r>
      <w:r w:rsidRPr="00872427">
        <w:rPr>
          <w:lang w:eastAsia="ru-RU"/>
        </w:rPr>
        <w:t>лов малой и средней мощности и свыше 175</w:t>
      </w:r>
      <w:r w:rsidR="003356B6">
        <w:rPr>
          <w:lang w:eastAsia="ru-RU"/>
        </w:rPr>
        <w:t> </w:t>
      </w:r>
      <w:r w:rsidRPr="00872427">
        <w:rPr>
          <w:lang w:eastAsia="ru-RU"/>
        </w:rPr>
        <w:t>000 домохозяйств, выбрасыва</w:t>
      </w:r>
      <w:r w:rsidRPr="00872427">
        <w:rPr>
          <w:lang w:eastAsia="ru-RU"/>
        </w:rPr>
        <w:t>ю</w:t>
      </w:r>
      <w:r w:rsidRPr="00872427">
        <w:rPr>
          <w:lang w:eastAsia="ru-RU"/>
        </w:rPr>
        <w:t>щих 260 тыс. тонн загрязнителей в атмосферу, сжи</w:t>
      </w:r>
      <w:r>
        <w:rPr>
          <w:lang w:eastAsia="ru-RU"/>
        </w:rPr>
        <w:t>гая 5,9 млн. тонн угля и 250</w:t>
      </w:r>
      <w:r>
        <w:rPr>
          <w:lang w:val="en-US" w:eastAsia="ru-RU"/>
        </w:rPr>
        <w:t> </w:t>
      </w:r>
      <w:r w:rsidRPr="00872427">
        <w:rPr>
          <w:lang w:eastAsia="ru-RU"/>
        </w:rPr>
        <w:t>тыс. кубоме</w:t>
      </w:r>
      <w:r w:rsidRPr="00872427">
        <w:rPr>
          <w:lang w:eastAsia="ru-RU"/>
        </w:rPr>
        <w:t>т</w:t>
      </w:r>
      <w:r w:rsidRPr="00872427">
        <w:rPr>
          <w:lang w:eastAsia="ru-RU"/>
        </w:rPr>
        <w:t>ров древесины в год.</w:t>
      </w:r>
    </w:p>
    <w:p w:rsidR="00D51377" w:rsidRPr="00872427" w:rsidRDefault="00D51377" w:rsidP="00872427">
      <w:pPr>
        <w:pStyle w:val="SingleTxtGR"/>
        <w:rPr>
          <w:lang w:eastAsia="ru-RU"/>
        </w:rPr>
      </w:pPr>
      <w:r w:rsidRPr="00D51377">
        <w:rPr>
          <w:lang w:eastAsia="ru-RU"/>
        </w:rPr>
        <w:t>145.</w:t>
      </w:r>
      <w:r w:rsidRPr="00D51377">
        <w:rPr>
          <w:lang w:eastAsia="ru-RU"/>
        </w:rPr>
        <w:tab/>
      </w:r>
      <w:r w:rsidRPr="00872427">
        <w:rPr>
          <w:lang w:eastAsia="ru-RU"/>
        </w:rPr>
        <w:t>В 2010 году среднегодовое содержание диоксида серы и диоксида азота</w:t>
      </w:r>
      <w:r>
        <w:rPr>
          <w:lang w:eastAsia="ru-RU"/>
        </w:rPr>
        <w:t xml:space="preserve"> в</w:t>
      </w:r>
      <w:r>
        <w:rPr>
          <w:lang w:val="en-US" w:eastAsia="ru-RU"/>
        </w:rPr>
        <w:t> </w:t>
      </w:r>
      <w:r w:rsidRPr="00872427">
        <w:rPr>
          <w:lang w:eastAsia="ru-RU"/>
        </w:rPr>
        <w:t>воздухе Улан-Батора возросло до 27 мкг/м</w:t>
      </w:r>
      <w:r w:rsidRPr="00D51377">
        <w:rPr>
          <w:vertAlign w:val="superscript"/>
          <w:lang w:eastAsia="ru-RU"/>
        </w:rPr>
        <w:t>3</w:t>
      </w:r>
      <w:r w:rsidRPr="00872427">
        <w:rPr>
          <w:lang w:eastAsia="ru-RU"/>
        </w:rPr>
        <w:t xml:space="preserve"> и 35 мкг/м</w:t>
      </w:r>
      <w:r w:rsidRPr="00D51377">
        <w:rPr>
          <w:vertAlign w:val="superscript"/>
          <w:lang w:eastAsia="ru-RU"/>
        </w:rPr>
        <w:t>3</w:t>
      </w:r>
      <w:r>
        <w:rPr>
          <w:lang w:eastAsia="ru-RU"/>
        </w:rPr>
        <w:t>, что, соответственно, в</w:t>
      </w:r>
      <w:r>
        <w:rPr>
          <w:lang w:val="en-US" w:eastAsia="ru-RU"/>
        </w:rPr>
        <w:t> </w:t>
      </w:r>
      <w:r w:rsidRPr="00872427">
        <w:rPr>
          <w:lang w:eastAsia="ru-RU"/>
        </w:rPr>
        <w:t>2,7 и 1,2 раза превышает стандарты качества воздуха MNS 4585:2007. Средн</w:t>
      </w:r>
      <w:r w:rsidRPr="00872427">
        <w:rPr>
          <w:lang w:eastAsia="ru-RU"/>
        </w:rPr>
        <w:t>е</w:t>
      </w:r>
      <w:r w:rsidRPr="00872427">
        <w:rPr>
          <w:lang w:eastAsia="ru-RU"/>
        </w:rPr>
        <w:t>годовое содержание твердых частиц размер</w:t>
      </w:r>
      <w:r>
        <w:rPr>
          <w:lang w:eastAsia="ru-RU"/>
        </w:rPr>
        <w:t>ом менее 10 микрон достигло 243</w:t>
      </w:r>
      <w:r>
        <w:rPr>
          <w:lang w:val="en-US" w:eastAsia="ru-RU"/>
        </w:rPr>
        <w:t> </w:t>
      </w:r>
      <w:r w:rsidRPr="00872427">
        <w:rPr>
          <w:lang w:eastAsia="ru-RU"/>
        </w:rPr>
        <w:t>мкг/м</w:t>
      </w:r>
      <w:r w:rsidRPr="00D51377">
        <w:rPr>
          <w:vertAlign w:val="superscript"/>
          <w:lang w:eastAsia="ru-RU"/>
        </w:rPr>
        <w:t>3</w:t>
      </w:r>
      <w:r w:rsidRPr="00872427">
        <w:rPr>
          <w:lang w:eastAsia="ru-RU"/>
        </w:rPr>
        <w:t>, что в 4,8 раза выше стандарта, и их максимальное суточное соде</w:t>
      </w:r>
      <w:r w:rsidRPr="00872427">
        <w:rPr>
          <w:lang w:eastAsia="ru-RU"/>
        </w:rPr>
        <w:t>р</w:t>
      </w:r>
      <w:r w:rsidRPr="00872427">
        <w:rPr>
          <w:lang w:eastAsia="ru-RU"/>
        </w:rPr>
        <w:t>жание в районах расположения юрт в ноябре 2010 года достигло 1850 мкг/м</w:t>
      </w:r>
      <w:r w:rsidRPr="00D51377">
        <w:rPr>
          <w:vertAlign w:val="superscript"/>
          <w:lang w:eastAsia="ru-RU"/>
        </w:rPr>
        <w:t>3</w:t>
      </w:r>
      <w:r w:rsidRPr="00872427">
        <w:rPr>
          <w:lang w:eastAsia="ru-RU"/>
        </w:rPr>
        <w:t>, что в 18,5 раз выше стандартного показателя. В соответствии с результатами обследов</w:t>
      </w:r>
      <w:r w:rsidRPr="00872427">
        <w:rPr>
          <w:lang w:eastAsia="ru-RU"/>
        </w:rPr>
        <w:t>а</w:t>
      </w:r>
      <w:r w:rsidRPr="00872427">
        <w:rPr>
          <w:lang w:eastAsia="ru-RU"/>
        </w:rPr>
        <w:t>ния, проведенного в 2008 году при поддержке Всемирного банка, Улан-Батор стал одним самых загрязненных городов мира с точки зрения с</w:t>
      </w:r>
      <w:r w:rsidRPr="00872427">
        <w:rPr>
          <w:lang w:eastAsia="ru-RU"/>
        </w:rPr>
        <w:t>о</w:t>
      </w:r>
      <w:r w:rsidRPr="00872427">
        <w:rPr>
          <w:lang w:eastAsia="ru-RU"/>
        </w:rPr>
        <w:t>держания твердых частиц в во</w:t>
      </w:r>
      <w:r w:rsidRPr="00872427">
        <w:rPr>
          <w:lang w:eastAsia="ru-RU"/>
        </w:rPr>
        <w:t>з</w:t>
      </w:r>
      <w:r w:rsidRPr="00872427">
        <w:rPr>
          <w:lang w:eastAsia="ru-RU"/>
        </w:rPr>
        <w:t>духе.</w:t>
      </w:r>
    </w:p>
    <w:p w:rsidR="00D51377" w:rsidRPr="00872427" w:rsidRDefault="00D976E0" w:rsidP="00872427">
      <w:pPr>
        <w:pStyle w:val="SingleTxtGR"/>
        <w:rPr>
          <w:lang w:eastAsia="ru-RU"/>
        </w:rPr>
      </w:pPr>
      <w:r w:rsidRPr="00D976E0">
        <w:rPr>
          <w:lang w:eastAsia="ru-RU"/>
        </w:rPr>
        <w:t>146.</w:t>
      </w:r>
      <w:r w:rsidRPr="00D976E0">
        <w:rPr>
          <w:lang w:eastAsia="ru-RU"/>
        </w:rPr>
        <w:tab/>
      </w:r>
      <w:r w:rsidR="00D51377" w:rsidRPr="00872427">
        <w:rPr>
          <w:lang w:eastAsia="ru-RU"/>
        </w:rPr>
        <w:t>Известно, что загрязнение воздуха повышает риск заболеваемости и к</w:t>
      </w:r>
      <w:r w:rsidR="00D51377" w:rsidRPr="00872427">
        <w:rPr>
          <w:lang w:eastAsia="ru-RU"/>
        </w:rPr>
        <w:t>о</w:t>
      </w:r>
      <w:r w:rsidR="00D51377" w:rsidRPr="00872427">
        <w:rPr>
          <w:lang w:eastAsia="ru-RU"/>
        </w:rPr>
        <w:t>эффициент смертности населения, особенно распространение заболеваний д</w:t>
      </w:r>
      <w:r w:rsidR="00D51377" w:rsidRPr="00872427">
        <w:rPr>
          <w:lang w:eastAsia="ru-RU"/>
        </w:rPr>
        <w:t>ы</w:t>
      </w:r>
      <w:r w:rsidR="00D51377" w:rsidRPr="00872427">
        <w:rPr>
          <w:lang w:eastAsia="ru-RU"/>
        </w:rPr>
        <w:t>хательных путей, рака легких, аллергии, сердечно-сосудистых заболеваний, гла</w:t>
      </w:r>
      <w:r w:rsidR="00D51377" w:rsidRPr="00872427">
        <w:rPr>
          <w:lang w:eastAsia="ru-RU"/>
        </w:rPr>
        <w:t>з</w:t>
      </w:r>
      <w:r w:rsidR="00D51377" w:rsidRPr="00872427">
        <w:rPr>
          <w:lang w:eastAsia="ru-RU"/>
        </w:rPr>
        <w:t>ных болезней, ринита, отита, генетических и наследственных заболеваний и врожденных дефектов.</w:t>
      </w:r>
    </w:p>
    <w:p w:rsidR="00D51377" w:rsidRPr="00872427" w:rsidRDefault="00D976E0" w:rsidP="00872427">
      <w:pPr>
        <w:pStyle w:val="SingleTxtGR"/>
        <w:rPr>
          <w:lang w:eastAsia="ru-RU"/>
        </w:rPr>
      </w:pPr>
      <w:r w:rsidRPr="00D976E0">
        <w:rPr>
          <w:lang w:eastAsia="ru-RU"/>
        </w:rPr>
        <w:t>147.</w:t>
      </w:r>
      <w:r w:rsidRPr="00D976E0">
        <w:rPr>
          <w:lang w:eastAsia="ru-RU"/>
        </w:rPr>
        <w:tab/>
      </w:r>
      <w:r w:rsidR="00D51377" w:rsidRPr="00872427">
        <w:rPr>
          <w:lang w:eastAsia="ru-RU"/>
        </w:rPr>
        <w:t>Согласно отчетам по статистике здравоохранения, респираторные забол</w:t>
      </w:r>
      <w:r w:rsidR="00D51377" w:rsidRPr="00872427">
        <w:rPr>
          <w:lang w:eastAsia="ru-RU"/>
        </w:rPr>
        <w:t>е</w:t>
      </w:r>
      <w:r w:rsidR="00D51377" w:rsidRPr="00872427">
        <w:rPr>
          <w:lang w:eastAsia="ru-RU"/>
        </w:rPr>
        <w:t>вания являются основной причиной заболеваемости населения в Монголии и ее постоянного ежегодного роста. На болезни дыхательных путей приходится от 23,4 до 26% всех заболеваний.</w:t>
      </w:r>
    </w:p>
    <w:p w:rsidR="00D51377" w:rsidRPr="00872427" w:rsidRDefault="00D976E0" w:rsidP="00872427">
      <w:pPr>
        <w:pStyle w:val="SingleTxtGR"/>
        <w:rPr>
          <w:lang w:eastAsia="ru-RU"/>
        </w:rPr>
      </w:pPr>
      <w:r w:rsidRPr="00D976E0">
        <w:rPr>
          <w:lang w:eastAsia="ru-RU"/>
        </w:rPr>
        <w:t>148.</w:t>
      </w:r>
      <w:r w:rsidRPr="00D976E0">
        <w:rPr>
          <w:lang w:eastAsia="ru-RU"/>
        </w:rPr>
        <w:tab/>
      </w:r>
      <w:r w:rsidR="00D51377" w:rsidRPr="00872427">
        <w:rPr>
          <w:lang w:eastAsia="ru-RU"/>
        </w:rPr>
        <w:t>Снабжение населения безопасной водой питьевого и бытового назначения для каждодневного использования рассматривается как ключевой вопрос для поддержания здоровья населения. На сегодняшний день 41% сельских домох</w:t>
      </w:r>
      <w:r w:rsidR="00D51377" w:rsidRPr="00872427">
        <w:rPr>
          <w:lang w:eastAsia="ru-RU"/>
        </w:rPr>
        <w:t>о</w:t>
      </w:r>
      <w:r w:rsidR="00D51377" w:rsidRPr="00872427">
        <w:rPr>
          <w:lang w:eastAsia="ru-RU"/>
        </w:rPr>
        <w:t>зяйств пользуются в своей повседневной жизни водой, не прошедшей дост</w:t>
      </w:r>
      <w:r w:rsidR="00D51377" w:rsidRPr="00872427">
        <w:rPr>
          <w:lang w:eastAsia="ru-RU"/>
        </w:rPr>
        <w:t>а</w:t>
      </w:r>
      <w:r w:rsidR="00D51377" w:rsidRPr="00872427">
        <w:rPr>
          <w:lang w:eastAsia="ru-RU"/>
        </w:rPr>
        <w:t>точную санитарную обработку, а домохозяйства 115 а</w:t>
      </w:r>
      <w:r w:rsidR="00D51377" w:rsidRPr="00872427">
        <w:rPr>
          <w:lang w:eastAsia="ru-RU"/>
        </w:rPr>
        <w:t>д</w:t>
      </w:r>
      <w:r w:rsidR="00D51377" w:rsidRPr="00872427">
        <w:rPr>
          <w:lang w:eastAsia="ru-RU"/>
        </w:rPr>
        <w:t>министративных центров сомонов в 17 аймаках используют воду, которая не соответствует стандартам гигиены на воду питьевого и бытового назначения. Содержание минеральных веществ и степень жесткости питьевой воды, как показывает исследование, превышает но</w:t>
      </w:r>
      <w:r w:rsidR="00D51377" w:rsidRPr="00872427">
        <w:rPr>
          <w:lang w:eastAsia="ru-RU"/>
        </w:rPr>
        <w:t>р</w:t>
      </w:r>
      <w:r w:rsidR="00D51377" w:rsidRPr="00872427">
        <w:rPr>
          <w:lang w:eastAsia="ru-RU"/>
        </w:rPr>
        <w:t>мы следующим образом: по содержанию магния – в 94 сомонах, по уровню жесткости – в 102 сомонах, по минерализации – в 64 сомонах и по содержанию фтора – в 22 сомонах.</w:t>
      </w:r>
    </w:p>
    <w:p w:rsidR="00D51377" w:rsidRPr="00872427" w:rsidRDefault="00D976E0" w:rsidP="00872427">
      <w:pPr>
        <w:pStyle w:val="SingleTxtGR"/>
        <w:rPr>
          <w:lang w:eastAsia="ru-RU"/>
        </w:rPr>
      </w:pPr>
      <w:r w:rsidRPr="00D976E0">
        <w:rPr>
          <w:lang w:eastAsia="ru-RU"/>
        </w:rPr>
        <w:t>149.</w:t>
      </w:r>
      <w:r w:rsidRPr="00D976E0">
        <w:rPr>
          <w:lang w:eastAsia="ru-RU"/>
        </w:rPr>
        <w:tab/>
      </w:r>
      <w:r w:rsidR="00D51377" w:rsidRPr="00872427">
        <w:rPr>
          <w:lang w:eastAsia="ru-RU"/>
        </w:rPr>
        <w:t>В результате принятых в течение последних нескольких лет мер по реш</w:t>
      </w:r>
      <w:r w:rsidR="00D51377" w:rsidRPr="00872427">
        <w:rPr>
          <w:lang w:eastAsia="ru-RU"/>
        </w:rPr>
        <w:t>е</w:t>
      </w:r>
      <w:r w:rsidR="00D51377" w:rsidRPr="00872427">
        <w:rPr>
          <w:lang w:eastAsia="ru-RU"/>
        </w:rPr>
        <w:t>нию вопросов водоснабжения и расширения спектра услуг в связи с перспект</w:t>
      </w:r>
      <w:r w:rsidR="00D51377" w:rsidRPr="00872427">
        <w:rPr>
          <w:lang w:eastAsia="ru-RU"/>
        </w:rPr>
        <w:t>и</w:t>
      </w:r>
      <w:r w:rsidR="00D51377" w:rsidRPr="00872427">
        <w:rPr>
          <w:lang w:eastAsia="ru-RU"/>
        </w:rPr>
        <w:t>вами развития городов мощность систем водоснабжения в городах и админис</w:t>
      </w:r>
      <w:r w:rsidR="00D51377" w:rsidRPr="00872427">
        <w:rPr>
          <w:lang w:eastAsia="ru-RU"/>
        </w:rPr>
        <w:t>т</w:t>
      </w:r>
      <w:r w:rsidR="00D51377" w:rsidRPr="00872427">
        <w:rPr>
          <w:lang w:eastAsia="ru-RU"/>
        </w:rPr>
        <w:t>ративных центрах аймаков возросла в шесть раз, а общая мощность сооруж</w:t>
      </w:r>
      <w:r w:rsidR="00D51377" w:rsidRPr="00872427">
        <w:rPr>
          <w:lang w:eastAsia="ru-RU"/>
        </w:rPr>
        <w:t>е</w:t>
      </w:r>
      <w:r w:rsidR="00D51377" w:rsidRPr="00872427">
        <w:rPr>
          <w:lang w:eastAsia="ru-RU"/>
        </w:rPr>
        <w:t>ний по рециркуляции и очистке сточных вод увеличилась в четыре раза, и еж</w:t>
      </w:r>
      <w:r w:rsidR="00D51377" w:rsidRPr="00872427">
        <w:rPr>
          <w:lang w:eastAsia="ru-RU"/>
        </w:rPr>
        <w:t>е</w:t>
      </w:r>
      <w:r w:rsidR="00D51377" w:rsidRPr="00872427">
        <w:rPr>
          <w:lang w:eastAsia="ru-RU"/>
        </w:rPr>
        <w:t>дневно свыше 400 тыс. кубометров сточных вод проходит рецирк</w:t>
      </w:r>
      <w:r w:rsidR="00D51377" w:rsidRPr="00872427">
        <w:rPr>
          <w:lang w:eastAsia="ru-RU"/>
        </w:rPr>
        <w:t>у</w:t>
      </w:r>
      <w:r w:rsidR="00D51377" w:rsidRPr="00872427">
        <w:rPr>
          <w:lang w:eastAsia="ru-RU"/>
        </w:rPr>
        <w:t>ляцию.</w:t>
      </w:r>
    </w:p>
    <w:p w:rsidR="00D51377" w:rsidRPr="00872427" w:rsidRDefault="00D976E0" w:rsidP="00872427">
      <w:pPr>
        <w:pStyle w:val="SingleTxtGR"/>
        <w:rPr>
          <w:lang w:eastAsia="ru-RU"/>
        </w:rPr>
      </w:pPr>
      <w:r w:rsidRPr="00D976E0">
        <w:rPr>
          <w:lang w:eastAsia="ru-RU"/>
        </w:rPr>
        <w:t>150.</w:t>
      </w:r>
      <w:r w:rsidRPr="00D976E0">
        <w:rPr>
          <w:lang w:eastAsia="ru-RU"/>
        </w:rPr>
        <w:tab/>
      </w:r>
      <w:r w:rsidR="00D51377" w:rsidRPr="00872427">
        <w:rPr>
          <w:lang w:eastAsia="ru-RU"/>
        </w:rPr>
        <w:t>Стандарты по качеству питьевой воды UST 900:92 Монголии пересматр</w:t>
      </w:r>
      <w:r w:rsidR="00D51377" w:rsidRPr="00872427">
        <w:rPr>
          <w:lang w:eastAsia="ru-RU"/>
        </w:rPr>
        <w:t>и</w:t>
      </w:r>
      <w:r w:rsidR="00D51377" w:rsidRPr="00872427">
        <w:rPr>
          <w:lang w:eastAsia="ru-RU"/>
        </w:rPr>
        <w:t>вались в 2005 и 2010 годах в соответствии с Руководством ВОЗ по обеспечению качества питьевой воды.</w:t>
      </w:r>
    </w:p>
    <w:p w:rsidR="00D51377" w:rsidRPr="00872427" w:rsidRDefault="00D976E0" w:rsidP="00872427">
      <w:pPr>
        <w:pStyle w:val="SingleTxtGR"/>
        <w:rPr>
          <w:lang w:eastAsia="ru-RU"/>
        </w:rPr>
      </w:pPr>
      <w:r w:rsidRPr="00D976E0">
        <w:rPr>
          <w:lang w:eastAsia="ru-RU"/>
        </w:rPr>
        <w:t>151.</w:t>
      </w:r>
      <w:r w:rsidRPr="00D976E0">
        <w:rPr>
          <w:lang w:eastAsia="ru-RU"/>
        </w:rPr>
        <w:tab/>
      </w:r>
      <w:r w:rsidR="00D51377" w:rsidRPr="00872427">
        <w:rPr>
          <w:lang w:eastAsia="ru-RU"/>
        </w:rPr>
        <w:t>Поскольку, как указывается в Руководстве ВОЗ по обеспечению качества питьевой воды, план по безопасности воды является наиболее эффективным средством последовательного обеспечения безопасности водоснабжения пить</w:t>
      </w:r>
      <w:r w:rsidR="00D51377" w:rsidRPr="00872427">
        <w:rPr>
          <w:lang w:eastAsia="ru-RU"/>
        </w:rPr>
        <w:t>е</w:t>
      </w:r>
      <w:r w:rsidR="00D51377" w:rsidRPr="00872427">
        <w:rPr>
          <w:lang w:eastAsia="ru-RU"/>
        </w:rPr>
        <w:t>вой водой, Монголия недавно подготовила свой план по обеспечению безопа</w:t>
      </w:r>
      <w:r w:rsidR="00D51377" w:rsidRPr="00872427">
        <w:rPr>
          <w:lang w:eastAsia="ru-RU"/>
        </w:rPr>
        <w:t>с</w:t>
      </w:r>
      <w:r w:rsidR="00D51377" w:rsidRPr="00872427">
        <w:rPr>
          <w:lang w:eastAsia="ru-RU"/>
        </w:rPr>
        <w:t>ности воды, включающий цели по улучшению безопасности питьевой воды и состо</w:t>
      </w:r>
      <w:r w:rsidR="00D51377" w:rsidRPr="00872427">
        <w:rPr>
          <w:lang w:eastAsia="ru-RU"/>
        </w:rPr>
        <w:t>я</w:t>
      </w:r>
      <w:r w:rsidR="00D51377" w:rsidRPr="00872427">
        <w:rPr>
          <w:lang w:eastAsia="ru-RU"/>
        </w:rPr>
        <w:t>ния здоровья населения.</w:t>
      </w:r>
    </w:p>
    <w:p w:rsidR="00D51377" w:rsidRPr="00872427" w:rsidRDefault="00D976E0" w:rsidP="00872427">
      <w:pPr>
        <w:pStyle w:val="SingleTxtGR"/>
        <w:rPr>
          <w:lang w:eastAsia="ru-RU"/>
        </w:rPr>
      </w:pPr>
      <w:r w:rsidRPr="00D976E0">
        <w:rPr>
          <w:lang w:eastAsia="ru-RU"/>
        </w:rPr>
        <w:t>152.</w:t>
      </w:r>
      <w:r w:rsidRPr="00D976E0">
        <w:rPr>
          <w:lang w:eastAsia="ru-RU"/>
        </w:rPr>
        <w:tab/>
      </w:r>
      <w:r w:rsidR="00D51377" w:rsidRPr="00872427">
        <w:rPr>
          <w:lang w:eastAsia="ru-RU"/>
        </w:rPr>
        <w:t>В связи с созданием многочисленных малых и средних предпр</w:t>
      </w:r>
      <w:r w:rsidR="00D51377" w:rsidRPr="00872427">
        <w:rPr>
          <w:lang w:eastAsia="ru-RU"/>
        </w:rPr>
        <w:t>и</w:t>
      </w:r>
      <w:r w:rsidR="00D51377" w:rsidRPr="00872427">
        <w:rPr>
          <w:lang w:eastAsia="ru-RU"/>
        </w:rPr>
        <w:t>ятий/</w:t>
      </w:r>
      <w:r w:rsidRPr="00D976E0">
        <w:rPr>
          <w:lang w:eastAsia="ru-RU"/>
        </w:rPr>
        <w:br/>
      </w:r>
      <w:r w:rsidR="00D51377" w:rsidRPr="00872427">
        <w:rPr>
          <w:lang w:eastAsia="ru-RU"/>
        </w:rPr>
        <w:t>коммерческих структур как результат приватизации промышленных объектов во время перехода Монголии от централизованно планируемой к рыночной эк</w:t>
      </w:r>
      <w:r w:rsidR="00D51377" w:rsidRPr="00872427">
        <w:rPr>
          <w:lang w:eastAsia="ru-RU"/>
        </w:rPr>
        <w:t>о</w:t>
      </w:r>
      <w:r w:rsidR="00D51377" w:rsidRPr="00872427">
        <w:rPr>
          <w:lang w:eastAsia="ru-RU"/>
        </w:rPr>
        <w:t>номике приоритетным становится вопрос об организации и проведении мер</w:t>
      </w:r>
      <w:r w:rsidR="00D51377" w:rsidRPr="00872427">
        <w:rPr>
          <w:lang w:eastAsia="ru-RU"/>
        </w:rPr>
        <w:t>о</w:t>
      </w:r>
      <w:r w:rsidR="00D51377" w:rsidRPr="00872427">
        <w:rPr>
          <w:lang w:eastAsia="ru-RU"/>
        </w:rPr>
        <w:t>приятий по улучшению контроля за безопасностью и гигиеной труда, а также по подготовке их в соответствии с национальными особенностями Монголии, международной политикой и мировыми тенденциями.</w:t>
      </w:r>
    </w:p>
    <w:p w:rsidR="00D51377" w:rsidRPr="00872427" w:rsidRDefault="00D976E0" w:rsidP="00872427">
      <w:pPr>
        <w:pStyle w:val="SingleTxtGR"/>
        <w:rPr>
          <w:lang w:eastAsia="ru-RU"/>
        </w:rPr>
      </w:pPr>
      <w:r w:rsidRPr="00D976E0">
        <w:rPr>
          <w:lang w:eastAsia="ru-RU"/>
        </w:rPr>
        <w:t>153.</w:t>
      </w:r>
      <w:r w:rsidRPr="00D976E0">
        <w:rPr>
          <w:lang w:eastAsia="ru-RU"/>
        </w:rPr>
        <w:tab/>
      </w:r>
      <w:r w:rsidR="00D51377" w:rsidRPr="00872427">
        <w:rPr>
          <w:lang w:eastAsia="ru-RU"/>
        </w:rPr>
        <w:t>В настоящее время Министерство социального обеспечения и труда, М</w:t>
      </w:r>
      <w:r w:rsidR="00D51377" w:rsidRPr="00872427">
        <w:rPr>
          <w:lang w:eastAsia="ru-RU"/>
        </w:rPr>
        <w:t>и</w:t>
      </w:r>
      <w:r w:rsidR="00D51377" w:rsidRPr="00872427">
        <w:rPr>
          <w:lang w:eastAsia="ru-RU"/>
        </w:rPr>
        <w:t>нистерство здравоохранения, Агентство по профессиональной инспекции Мо</w:t>
      </w:r>
      <w:r w:rsidR="00D51377" w:rsidRPr="00872427">
        <w:rPr>
          <w:lang w:eastAsia="ru-RU"/>
        </w:rPr>
        <w:t>н</w:t>
      </w:r>
      <w:r w:rsidR="00D51377" w:rsidRPr="00872427">
        <w:rPr>
          <w:lang w:eastAsia="ru-RU"/>
        </w:rPr>
        <w:t>голии, управления губернаторов, Национальный комитет по трехстороннему трудовому и социальному соглашению и его подкомитеты являются основными учреждениями, занимающимися управлением и координацией вопросов, св</w:t>
      </w:r>
      <w:r w:rsidR="00D51377" w:rsidRPr="00872427">
        <w:rPr>
          <w:lang w:eastAsia="ru-RU"/>
        </w:rPr>
        <w:t>я</w:t>
      </w:r>
      <w:r w:rsidR="00D51377" w:rsidRPr="00872427">
        <w:rPr>
          <w:lang w:eastAsia="ru-RU"/>
        </w:rPr>
        <w:t>занных с контролем охраны и гигиены труда.</w:t>
      </w:r>
    </w:p>
    <w:p w:rsidR="00D51377" w:rsidRPr="00872427" w:rsidRDefault="00D976E0" w:rsidP="00872427">
      <w:pPr>
        <w:pStyle w:val="SingleTxtGR"/>
        <w:rPr>
          <w:lang w:eastAsia="ru-RU"/>
        </w:rPr>
      </w:pPr>
      <w:r w:rsidRPr="00D976E0">
        <w:rPr>
          <w:lang w:eastAsia="ru-RU"/>
        </w:rPr>
        <w:t>154.</w:t>
      </w:r>
      <w:r w:rsidRPr="00D976E0">
        <w:rPr>
          <w:lang w:eastAsia="ru-RU"/>
        </w:rPr>
        <w:tab/>
      </w:r>
      <w:r w:rsidR="00D51377" w:rsidRPr="00872427">
        <w:rPr>
          <w:lang w:eastAsia="ru-RU"/>
        </w:rPr>
        <w:t>Согласно докладу Государственного агентства по профессиональной и</w:t>
      </w:r>
      <w:r w:rsidR="00D51377" w:rsidRPr="00872427">
        <w:rPr>
          <w:lang w:eastAsia="ru-RU"/>
        </w:rPr>
        <w:t>н</w:t>
      </w:r>
      <w:r w:rsidR="00D51377" w:rsidRPr="00872427">
        <w:rPr>
          <w:lang w:eastAsia="ru-RU"/>
        </w:rPr>
        <w:t>спекции (2008 год)</w:t>
      </w:r>
      <w:r w:rsidR="00B965F5">
        <w:rPr>
          <w:lang w:eastAsia="ru-RU"/>
        </w:rPr>
        <w:t>,</w:t>
      </w:r>
      <w:r w:rsidR="00D51377" w:rsidRPr="00872427">
        <w:rPr>
          <w:lang w:eastAsia="ru-RU"/>
        </w:rPr>
        <w:t xml:space="preserve"> в Монголии из 32 000 зарегистрированных структур по всей стране 46,6% или 14 922 единиц прошли проверку с точки зрения условий и г</w:t>
      </w:r>
      <w:r w:rsidR="00D51377" w:rsidRPr="00872427">
        <w:rPr>
          <w:lang w:eastAsia="ru-RU"/>
        </w:rPr>
        <w:t>и</w:t>
      </w:r>
      <w:r w:rsidR="00D51377" w:rsidRPr="00872427">
        <w:rPr>
          <w:lang w:eastAsia="ru-RU"/>
        </w:rPr>
        <w:t>гиены труда, и 50% работников этих структур пользовались услугами служб г</w:t>
      </w:r>
      <w:r w:rsidR="00D51377" w:rsidRPr="00872427">
        <w:rPr>
          <w:lang w:eastAsia="ru-RU"/>
        </w:rPr>
        <w:t>и</w:t>
      </w:r>
      <w:r w:rsidR="00D51377" w:rsidRPr="00872427">
        <w:rPr>
          <w:lang w:eastAsia="ru-RU"/>
        </w:rPr>
        <w:t>гиены труда на своем рабочем месте, в числе которых можно назвать регуля</w:t>
      </w:r>
      <w:r w:rsidR="00D51377" w:rsidRPr="00872427">
        <w:rPr>
          <w:lang w:eastAsia="ru-RU"/>
        </w:rPr>
        <w:t>р</w:t>
      </w:r>
      <w:r w:rsidR="00D51377" w:rsidRPr="00872427">
        <w:rPr>
          <w:lang w:eastAsia="ru-RU"/>
        </w:rPr>
        <w:t>ные медосмотры, проводимые специалистами по гигиене труда или врач</w:t>
      </w:r>
      <w:r w:rsidR="00D51377" w:rsidRPr="00872427">
        <w:rPr>
          <w:lang w:eastAsia="ru-RU"/>
        </w:rPr>
        <w:t>а</w:t>
      </w:r>
      <w:r w:rsidR="00D51377" w:rsidRPr="00872427">
        <w:rPr>
          <w:lang w:eastAsia="ru-RU"/>
        </w:rPr>
        <w:t>ми-терапевтами, а также проверки условий труда.</w:t>
      </w:r>
    </w:p>
    <w:p w:rsidR="00D51377" w:rsidRPr="00872427" w:rsidRDefault="00D976E0" w:rsidP="00872427">
      <w:pPr>
        <w:pStyle w:val="SingleTxtGR"/>
        <w:rPr>
          <w:lang w:eastAsia="ru-RU"/>
        </w:rPr>
      </w:pPr>
      <w:r w:rsidRPr="00D976E0">
        <w:rPr>
          <w:lang w:eastAsia="ru-RU"/>
        </w:rPr>
        <w:t>155.</w:t>
      </w:r>
      <w:r w:rsidRPr="00D976E0">
        <w:rPr>
          <w:lang w:eastAsia="ru-RU"/>
        </w:rPr>
        <w:tab/>
      </w:r>
      <w:r w:rsidR="00D51377" w:rsidRPr="00872427">
        <w:rPr>
          <w:lang w:eastAsia="ru-RU"/>
        </w:rPr>
        <w:t>В стране имеется 34 специалиста по гигиене труда, работающих на н</w:t>
      </w:r>
      <w:r w:rsidR="00D51377" w:rsidRPr="00872427">
        <w:rPr>
          <w:lang w:eastAsia="ru-RU"/>
        </w:rPr>
        <w:t>а</w:t>
      </w:r>
      <w:r w:rsidR="00D51377" w:rsidRPr="00872427">
        <w:rPr>
          <w:lang w:eastAsia="ru-RU"/>
        </w:rPr>
        <w:t>циональном уровне, и на 100</w:t>
      </w:r>
      <w:r>
        <w:rPr>
          <w:lang w:val="en-US" w:eastAsia="ru-RU"/>
        </w:rPr>
        <w:t> </w:t>
      </w:r>
      <w:r w:rsidR="00D51377" w:rsidRPr="00872427">
        <w:rPr>
          <w:lang w:eastAsia="ru-RU"/>
        </w:rPr>
        <w:t>000 работников приходится 3,3 специалиста по гигиене труда. Вместе с инспекторами по безопасности труда на 100 000 рабо</w:t>
      </w:r>
      <w:r w:rsidR="00D51377" w:rsidRPr="00872427">
        <w:rPr>
          <w:lang w:eastAsia="ru-RU"/>
        </w:rPr>
        <w:t>т</w:t>
      </w:r>
      <w:r w:rsidR="00D51377" w:rsidRPr="00872427">
        <w:rPr>
          <w:lang w:eastAsia="ru-RU"/>
        </w:rPr>
        <w:t>ников приходится 8,8 инспекторов по безопасн</w:t>
      </w:r>
      <w:r w:rsidR="00D51377" w:rsidRPr="00872427">
        <w:rPr>
          <w:lang w:eastAsia="ru-RU"/>
        </w:rPr>
        <w:t>о</w:t>
      </w:r>
      <w:r w:rsidR="00D51377" w:rsidRPr="00872427">
        <w:rPr>
          <w:lang w:eastAsia="ru-RU"/>
        </w:rPr>
        <w:t>сти и гигиене труда.</w:t>
      </w:r>
    </w:p>
    <w:p w:rsidR="00D51377" w:rsidRPr="00872427" w:rsidRDefault="00D976E0" w:rsidP="00872427">
      <w:pPr>
        <w:pStyle w:val="SingleTxtGR"/>
        <w:rPr>
          <w:lang w:eastAsia="ru-RU"/>
        </w:rPr>
      </w:pPr>
      <w:r w:rsidRPr="00D976E0">
        <w:rPr>
          <w:lang w:eastAsia="ru-RU"/>
        </w:rPr>
        <w:t>156.</w:t>
      </w:r>
      <w:r w:rsidRPr="00D976E0">
        <w:rPr>
          <w:lang w:eastAsia="ru-RU"/>
        </w:rPr>
        <w:tab/>
      </w:r>
      <w:r w:rsidR="00D51377" w:rsidRPr="00872427">
        <w:rPr>
          <w:lang w:eastAsia="ru-RU"/>
        </w:rPr>
        <w:t>В 1974</w:t>
      </w:r>
      <w:r w:rsidRPr="00D976E0">
        <w:rPr>
          <w:lang w:eastAsia="ru-RU"/>
        </w:rPr>
        <w:t>−</w:t>
      </w:r>
      <w:r w:rsidR="00D51377" w:rsidRPr="00872427">
        <w:rPr>
          <w:lang w:eastAsia="ru-RU"/>
        </w:rPr>
        <w:t>2009 годах было зарегистрировано 8</w:t>
      </w:r>
      <w:r>
        <w:rPr>
          <w:lang w:val="en-US" w:eastAsia="ru-RU"/>
        </w:rPr>
        <w:t> </w:t>
      </w:r>
      <w:r w:rsidR="00D51377" w:rsidRPr="00872427">
        <w:rPr>
          <w:lang w:eastAsia="ru-RU"/>
        </w:rPr>
        <w:t>883 случая профессионал</w:t>
      </w:r>
      <w:r w:rsidR="00D51377" w:rsidRPr="00872427">
        <w:rPr>
          <w:lang w:eastAsia="ru-RU"/>
        </w:rPr>
        <w:t>ь</w:t>
      </w:r>
      <w:r w:rsidR="00D51377" w:rsidRPr="00872427">
        <w:rPr>
          <w:lang w:eastAsia="ru-RU"/>
        </w:rPr>
        <w:t>ных заболеваний, в том числе: заболевания легких, вызванные внешними фа</w:t>
      </w:r>
      <w:r w:rsidR="00D51377" w:rsidRPr="00872427">
        <w:rPr>
          <w:lang w:eastAsia="ru-RU"/>
        </w:rPr>
        <w:t>к</w:t>
      </w:r>
      <w:r w:rsidR="00D51377" w:rsidRPr="00872427">
        <w:rPr>
          <w:lang w:eastAsia="ru-RU"/>
        </w:rPr>
        <w:t>торами – 2</w:t>
      </w:r>
      <w:r>
        <w:rPr>
          <w:lang w:val="en-US" w:eastAsia="ru-RU"/>
        </w:rPr>
        <w:t> </w:t>
      </w:r>
      <w:r w:rsidR="00D51377" w:rsidRPr="00872427">
        <w:rPr>
          <w:lang w:eastAsia="ru-RU"/>
        </w:rPr>
        <w:t>608 (46%); заболевания опорно-двигательного аппарата и суставов – 2</w:t>
      </w:r>
      <w:r>
        <w:rPr>
          <w:lang w:val="en-US" w:eastAsia="ru-RU"/>
        </w:rPr>
        <w:t> </w:t>
      </w:r>
      <w:r w:rsidR="00D51377" w:rsidRPr="00872427">
        <w:rPr>
          <w:lang w:eastAsia="ru-RU"/>
        </w:rPr>
        <w:t>226 (41%); хроническое воздействие химикатов – 511 (9%); потеря слуха от шумового воздействия – 184 (3%); патология верхних дыха</w:t>
      </w:r>
      <w:r>
        <w:rPr>
          <w:lang w:eastAsia="ru-RU"/>
        </w:rPr>
        <w:t>тельных путей – 21</w:t>
      </w:r>
      <w:r>
        <w:rPr>
          <w:lang w:val="en-US" w:eastAsia="ru-RU"/>
        </w:rPr>
        <w:t> </w:t>
      </w:r>
      <w:r w:rsidR="00D51377" w:rsidRPr="00872427">
        <w:rPr>
          <w:lang w:eastAsia="ru-RU"/>
        </w:rPr>
        <w:t>(0,4%); офтальмологические заболевания, вызванные физическими и хим</w:t>
      </w:r>
      <w:r w:rsidR="00D51377" w:rsidRPr="00872427">
        <w:rPr>
          <w:lang w:eastAsia="ru-RU"/>
        </w:rPr>
        <w:t>и</w:t>
      </w:r>
      <w:r w:rsidR="00D51377" w:rsidRPr="00872427">
        <w:rPr>
          <w:lang w:eastAsia="ru-RU"/>
        </w:rPr>
        <w:t>ческими раздражителями – 9 (0,2%); и заболевания, вызванные радиоактивн</w:t>
      </w:r>
      <w:r w:rsidR="00D51377" w:rsidRPr="00872427">
        <w:rPr>
          <w:lang w:eastAsia="ru-RU"/>
        </w:rPr>
        <w:t>ы</w:t>
      </w:r>
      <w:r w:rsidR="00D51377" w:rsidRPr="00872427">
        <w:rPr>
          <w:lang w:eastAsia="ru-RU"/>
        </w:rPr>
        <w:t>ми веществами – 25 (0,4%).</w:t>
      </w:r>
    </w:p>
    <w:p w:rsidR="00D51377" w:rsidRPr="00872427" w:rsidRDefault="00D976E0" w:rsidP="00872427">
      <w:pPr>
        <w:pStyle w:val="SingleTxtGR"/>
        <w:rPr>
          <w:lang w:eastAsia="ru-RU"/>
        </w:rPr>
      </w:pPr>
      <w:r w:rsidRPr="00D976E0">
        <w:rPr>
          <w:lang w:eastAsia="ru-RU"/>
        </w:rPr>
        <w:t>157.</w:t>
      </w:r>
      <w:r w:rsidRPr="00D976E0">
        <w:rPr>
          <w:lang w:eastAsia="ru-RU"/>
        </w:rPr>
        <w:tab/>
      </w:r>
      <w:r w:rsidR="00D51377" w:rsidRPr="00872427">
        <w:rPr>
          <w:lang w:eastAsia="ru-RU"/>
        </w:rPr>
        <w:t>Профессиональные заболевания могут быть классифицированы следу</w:t>
      </w:r>
      <w:r w:rsidR="00D51377" w:rsidRPr="00872427">
        <w:rPr>
          <w:lang w:eastAsia="ru-RU"/>
        </w:rPr>
        <w:t>ю</w:t>
      </w:r>
      <w:r w:rsidR="00D51377" w:rsidRPr="00872427">
        <w:rPr>
          <w:lang w:eastAsia="ru-RU"/>
        </w:rPr>
        <w:t>щим образом в зав</w:t>
      </w:r>
      <w:r w:rsidR="00D51377" w:rsidRPr="00872427">
        <w:rPr>
          <w:lang w:eastAsia="ru-RU"/>
        </w:rPr>
        <w:t>и</w:t>
      </w:r>
      <w:r w:rsidR="00D51377" w:rsidRPr="00872427">
        <w:rPr>
          <w:lang w:eastAsia="ru-RU"/>
        </w:rPr>
        <w:t>симости от отрасли или вида деятельности:</w:t>
      </w:r>
    </w:p>
    <w:p w:rsidR="00D51377" w:rsidRPr="00872427" w:rsidRDefault="00D51377" w:rsidP="00D976E0">
      <w:pPr>
        <w:pStyle w:val="Bullet1GR"/>
      </w:pPr>
      <w:r w:rsidRPr="00872427">
        <w:t>заболевания работников угольной промышленности – 2</w:t>
      </w:r>
      <w:r w:rsidR="00D976E0">
        <w:rPr>
          <w:lang w:val="en-US"/>
        </w:rPr>
        <w:t> </w:t>
      </w:r>
      <w:r w:rsidRPr="00872427">
        <w:t>230 (40%);</w:t>
      </w:r>
    </w:p>
    <w:p w:rsidR="00D51377" w:rsidRPr="00872427" w:rsidRDefault="00D51377" w:rsidP="00D976E0">
      <w:pPr>
        <w:pStyle w:val="Bullet1GR"/>
      </w:pPr>
      <w:r w:rsidRPr="00872427">
        <w:t>заболевания работников, занятых добычей цветных металлов и флюор</w:t>
      </w:r>
      <w:r w:rsidRPr="00872427">
        <w:t>и</w:t>
      </w:r>
      <w:r w:rsidRPr="00872427">
        <w:t>та</w:t>
      </w:r>
      <w:r w:rsidR="00D976E0">
        <w:rPr>
          <w:lang w:val="en-US"/>
        </w:rPr>
        <w:t> </w:t>
      </w:r>
      <w:r w:rsidRPr="00872427">
        <w:t>– 1</w:t>
      </w:r>
      <w:r w:rsidR="00D976E0">
        <w:rPr>
          <w:lang w:val="en-US"/>
        </w:rPr>
        <w:t> </w:t>
      </w:r>
      <w:r w:rsidRPr="00872427">
        <w:t>726 (31%);</w:t>
      </w:r>
    </w:p>
    <w:p w:rsidR="00D51377" w:rsidRPr="00872427" w:rsidRDefault="00D51377" w:rsidP="00D976E0">
      <w:pPr>
        <w:pStyle w:val="Bullet1GR"/>
      </w:pPr>
      <w:r w:rsidRPr="00872427">
        <w:t>заболевания работников, занятых в электроэнергетике и энергомашин</w:t>
      </w:r>
      <w:r w:rsidRPr="00872427">
        <w:t>о</w:t>
      </w:r>
      <w:r w:rsidRPr="00872427">
        <w:t>строении – 673 (12%);</w:t>
      </w:r>
    </w:p>
    <w:p w:rsidR="00D51377" w:rsidRPr="00872427" w:rsidRDefault="00D51377" w:rsidP="00D976E0">
      <w:pPr>
        <w:pStyle w:val="Bullet1GR"/>
      </w:pPr>
      <w:r w:rsidRPr="00872427">
        <w:t>заболевания в области строительства и производства стройматериалов – 468 (8%);</w:t>
      </w:r>
    </w:p>
    <w:p w:rsidR="00D51377" w:rsidRPr="00872427" w:rsidRDefault="00D51377" w:rsidP="00D976E0">
      <w:pPr>
        <w:pStyle w:val="Bullet1GR"/>
      </w:pPr>
      <w:r w:rsidRPr="00872427">
        <w:t>заболевания в отрасли сельского хозяйства – 33 (1%);</w:t>
      </w:r>
    </w:p>
    <w:p w:rsidR="00D51377" w:rsidRPr="00872427" w:rsidRDefault="00D51377" w:rsidP="00D976E0">
      <w:pPr>
        <w:pStyle w:val="Bullet1GR"/>
      </w:pPr>
      <w:r w:rsidRPr="00872427">
        <w:t>заболевания в пищевой промышленности – 308 (5%); и</w:t>
      </w:r>
    </w:p>
    <w:p w:rsidR="00D51377" w:rsidRPr="00872427" w:rsidRDefault="00D51377" w:rsidP="00D976E0">
      <w:pPr>
        <w:pStyle w:val="Bullet1GR"/>
      </w:pPr>
      <w:r w:rsidRPr="00872427">
        <w:t>заболевания, связанные с другими видами деятельности (образование, здравоохран</w:t>
      </w:r>
      <w:r w:rsidRPr="00872427">
        <w:t>е</w:t>
      </w:r>
      <w:r w:rsidRPr="00872427">
        <w:t>ние и государственная служба) – 146 (3%).</w:t>
      </w:r>
    </w:p>
    <w:p w:rsidR="00D51377" w:rsidRPr="00872427" w:rsidRDefault="000C0C70" w:rsidP="00872427">
      <w:pPr>
        <w:pStyle w:val="SingleTxtGR"/>
        <w:rPr>
          <w:lang w:eastAsia="ru-RU"/>
        </w:rPr>
      </w:pPr>
      <w:r w:rsidRPr="000C0C70">
        <w:rPr>
          <w:lang w:eastAsia="ru-RU"/>
        </w:rPr>
        <w:t>158.</w:t>
      </w:r>
      <w:r w:rsidRPr="000C0C70">
        <w:rPr>
          <w:lang w:eastAsia="ru-RU"/>
        </w:rPr>
        <w:tab/>
      </w:r>
      <w:r w:rsidR="00D51377" w:rsidRPr="00872427">
        <w:rPr>
          <w:lang w:eastAsia="ru-RU"/>
        </w:rPr>
        <w:t>Проводились исследования экологич</w:t>
      </w:r>
      <w:r>
        <w:rPr>
          <w:lang w:eastAsia="ru-RU"/>
        </w:rPr>
        <w:t>еских факторов риска, ведущих к</w:t>
      </w:r>
      <w:r>
        <w:rPr>
          <w:lang w:val="en-US" w:eastAsia="ru-RU"/>
        </w:rPr>
        <w:t> </w:t>
      </w:r>
      <w:r w:rsidR="003356B6">
        <w:rPr>
          <w:lang w:eastAsia="ru-RU"/>
        </w:rPr>
        <w:t>ух</w:t>
      </w:r>
      <w:r w:rsidR="00D51377" w:rsidRPr="00872427">
        <w:rPr>
          <w:lang w:eastAsia="ru-RU"/>
        </w:rPr>
        <w:t>удшению здоровья и вызывающих заболевания. Поэтому были приняты п</w:t>
      </w:r>
      <w:r w:rsidR="00D51377" w:rsidRPr="00872427">
        <w:rPr>
          <w:lang w:eastAsia="ru-RU"/>
        </w:rPr>
        <w:t>о</w:t>
      </w:r>
      <w:r w:rsidR="00D51377" w:rsidRPr="00872427">
        <w:rPr>
          <w:lang w:eastAsia="ru-RU"/>
        </w:rPr>
        <w:t>этапные меры по сокращению их причин, последствий и по профилактике во</w:t>
      </w:r>
      <w:r w:rsidR="00D51377" w:rsidRPr="00872427">
        <w:rPr>
          <w:lang w:eastAsia="ru-RU"/>
        </w:rPr>
        <w:t>з</w:t>
      </w:r>
      <w:r w:rsidR="00D51377" w:rsidRPr="00872427">
        <w:rPr>
          <w:lang w:eastAsia="ru-RU"/>
        </w:rPr>
        <w:t>действия экологических факторов. Например, были приняты и находятся в ст</w:t>
      </w:r>
      <w:r w:rsidR="00D51377" w:rsidRPr="00872427">
        <w:rPr>
          <w:lang w:eastAsia="ru-RU"/>
        </w:rPr>
        <w:t>а</w:t>
      </w:r>
      <w:r w:rsidR="00D51377" w:rsidRPr="00872427">
        <w:rPr>
          <w:lang w:eastAsia="ru-RU"/>
        </w:rPr>
        <w:t>дии осуществления Национальная программа в области гигиены окружающей среды, утвержденная Правительственной резолюцией № 245 от 2002 года; Н</w:t>
      </w:r>
      <w:r w:rsidR="00D51377" w:rsidRPr="00872427">
        <w:rPr>
          <w:lang w:eastAsia="ru-RU"/>
        </w:rPr>
        <w:t>а</w:t>
      </w:r>
      <w:r w:rsidR="00D51377" w:rsidRPr="00872427">
        <w:rPr>
          <w:lang w:eastAsia="ru-RU"/>
        </w:rPr>
        <w:t>циональная программа по снабжению безопасной питьевой водой; Национал</w:t>
      </w:r>
      <w:r w:rsidR="00D51377" w:rsidRPr="00872427">
        <w:rPr>
          <w:lang w:eastAsia="ru-RU"/>
        </w:rPr>
        <w:t>ь</w:t>
      </w:r>
      <w:r w:rsidR="00D51377" w:rsidRPr="00872427">
        <w:rPr>
          <w:lang w:eastAsia="ru-RU"/>
        </w:rPr>
        <w:t>ная программа по водным ресурсам и Правительственная резолюция о м</w:t>
      </w:r>
      <w:r w:rsidR="00D51377" w:rsidRPr="00872427">
        <w:rPr>
          <w:lang w:eastAsia="ru-RU"/>
        </w:rPr>
        <w:t>е</w:t>
      </w:r>
      <w:r w:rsidR="00D51377" w:rsidRPr="00872427">
        <w:rPr>
          <w:lang w:eastAsia="ru-RU"/>
        </w:rPr>
        <w:t>рах по снижению з</w:t>
      </w:r>
      <w:r w:rsidR="00D51377" w:rsidRPr="00872427">
        <w:rPr>
          <w:lang w:eastAsia="ru-RU"/>
        </w:rPr>
        <w:t>а</w:t>
      </w:r>
      <w:r w:rsidR="00D51377" w:rsidRPr="00872427">
        <w:rPr>
          <w:lang w:eastAsia="ru-RU"/>
        </w:rPr>
        <w:t>грязнения воздуха.</w:t>
      </w:r>
    </w:p>
    <w:p w:rsidR="00D51377" w:rsidRPr="00872427" w:rsidRDefault="000C0C70" w:rsidP="00872427">
      <w:pPr>
        <w:pStyle w:val="SingleTxtGR"/>
        <w:rPr>
          <w:lang w:eastAsia="ru-RU"/>
        </w:rPr>
      </w:pPr>
      <w:r w:rsidRPr="000C0C70">
        <w:rPr>
          <w:lang w:eastAsia="ru-RU"/>
        </w:rPr>
        <w:t>159.</w:t>
      </w:r>
      <w:r w:rsidRPr="000C0C70">
        <w:rPr>
          <w:lang w:eastAsia="ru-RU"/>
        </w:rPr>
        <w:tab/>
      </w:r>
      <w:r w:rsidR="00D51377" w:rsidRPr="00872427">
        <w:rPr>
          <w:lang w:eastAsia="ru-RU"/>
        </w:rPr>
        <w:t>Кроме того, был принят Закон о безопасности и гигиене труда, внесены поправки в Закон о сборах за загрязнение воздуха и Закон о водоснабжении г</w:t>
      </w:r>
      <w:r w:rsidR="00D51377" w:rsidRPr="00872427">
        <w:rPr>
          <w:lang w:eastAsia="ru-RU"/>
        </w:rPr>
        <w:t>о</w:t>
      </w:r>
      <w:r w:rsidR="00D51377" w:rsidRPr="00872427">
        <w:rPr>
          <w:lang w:eastAsia="ru-RU"/>
        </w:rPr>
        <w:t>родов и использовании канализации, и в наст</w:t>
      </w:r>
      <w:r>
        <w:rPr>
          <w:lang w:eastAsia="ru-RU"/>
        </w:rPr>
        <w:t>оящее время вносятся поправки в</w:t>
      </w:r>
      <w:r>
        <w:rPr>
          <w:lang w:val="en-US" w:eastAsia="ru-RU"/>
        </w:rPr>
        <w:t> </w:t>
      </w:r>
      <w:r w:rsidR="00D51377" w:rsidRPr="00872427">
        <w:rPr>
          <w:lang w:eastAsia="ru-RU"/>
        </w:rPr>
        <w:t>Закон об оценке воздействия на окружа</w:t>
      </w:r>
      <w:r w:rsidR="00D51377" w:rsidRPr="00872427">
        <w:rPr>
          <w:lang w:eastAsia="ru-RU"/>
        </w:rPr>
        <w:t>ю</w:t>
      </w:r>
      <w:r w:rsidR="00D51377" w:rsidRPr="00872427">
        <w:rPr>
          <w:lang w:eastAsia="ru-RU"/>
        </w:rPr>
        <w:t>щую среду и Закон о гигиене.</w:t>
      </w:r>
    </w:p>
    <w:p w:rsidR="00D51377" w:rsidRPr="00872427" w:rsidRDefault="000C0C70" w:rsidP="00872427">
      <w:pPr>
        <w:pStyle w:val="SingleTxtGR"/>
        <w:rPr>
          <w:lang w:eastAsia="ru-RU"/>
        </w:rPr>
      </w:pPr>
      <w:r w:rsidRPr="000C0C70">
        <w:rPr>
          <w:lang w:eastAsia="ru-RU"/>
        </w:rPr>
        <w:t>160.</w:t>
      </w:r>
      <w:r w:rsidRPr="000C0C70">
        <w:rPr>
          <w:lang w:eastAsia="ru-RU"/>
        </w:rPr>
        <w:tab/>
      </w:r>
      <w:r w:rsidR="00D51377" w:rsidRPr="00872427">
        <w:rPr>
          <w:lang w:eastAsia="ru-RU"/>
        </w:rPr>
        <w:t>Национальная программа по улучшению безопасности и гигиены труда обновлялась четыре раза в целях совершенствования регулирования вопросов безопасности и гигиены труда, укрепления системы координации и монитори</w:t>
      </w:r>
      <w:r w:rsidR="00D51377" w:rsidRPr="00872427">
        <w:rPr>
          <w:lang w:eastAsia="ru-RU"/>
        </w:rPr>
        <w:t>н</w:t>
      </w:r>
      <w:r w:rsidR="00D51377" w:rsidRPr="00872427">
        <w:rPr>
          <w:lang w:eastAsia="ru-RU"/>
        </w:rPr>
        <w:t>га, а также ее нормативной базы; профилактики травматизма и несчастных сл</w:t>
      </w:r>
      <w:r w:rsidR="00D51377" w:rsidRPr="00872427">
        <w:rPr>
          <w:lang w:eastAsia="ru-RU"/>
        </w:rPr>
        <w:t>у</w:t>
      </w:r>
      <w:r w:rsidR="00D51377" w:rsidRPr="00872427">
        <w:rPr>
          <w:lang w:eastAsia="ru-RU"/>
        </w:rPr>
        <w:t>чаев, определения негативных последствий производственной среды и их ли</w:t>
      </w:r>
      <w:r w:rsidR="00D51377" w:rsidRPr="00872427">
        <w:rPr>
          <w:lang w:eastAsia="ru-RU"/>
        </w:rPr>
        <w:t>к</w:t>
      </w:r>
      <w:r w:rsidR="00D51377" w:rsidRPr="00872427">
        <w:rPr>
          <w:lang w:eastAsia="ru-RU"/>
        </w:rPr>
        <w:t>видации; усиление/расширение обязанностей работников и работодателей во всех секторах в плане обеспечения БГТ.</w:t>
      </w:r>
    </w:p>
    <w:p w:rsidR="00D51377" w:rsidRPr="00872427" w:rsidRDefault="000C0C70" w:rsidP="00872427">
      <w:pPr>
        <w:pStyle w:val="SingleTxtGR"/>
        <w:rPr>
          <w:lang w:eastAsia="ru-RU"/>
        </w:rPr>
      </w:pPr>
      <w:r w:rsidRPr="000C0C70">
        <w:rPr>
          <w:lang w:eastAsia="ru-RU"/>
        </w:rPr>
        <w:t>161.</w:t>
      </w:r>
      <w:r w:rsidRPr="000C0C70">
        <w:rPr>
          <w:lang w:eastAsia="ru-RU"/>
        </w:rPr>
        <w:tab/>
      </w:r>
      <w:r w:rsidR="00D51377" w:rsidRPr="00872427">
        <w:rPr>
          <w:lang w:eastAsia="ru-RU"/>
        </w:rPr>
        <w:t>В 2009 году была принята и находится в стадии осуществления Наци</w:t>
      </w:r>
      <w:r w:rsidR="00D51377" w:rsidRPr="00872427">
        <w:rPr>
          <w:lang w:eastAsia="ru-RU"/>
        </w:rPr>
        <w:t>о</w:t>
      </w:r>
      <w:r w:rsidR="00D51377" w:rsidRPr="00872427">
        <w:rPr>
          <w:lang w:eastAsia="ru-RU"/>
        </w:rPr>
        <w:t>нальная стратегия по утилизации медицинских отходов, направленная на и</w:t>
      </w:r>
      <w:r w:rsidR="00D51377" w:rsidRPr="00872427">
        <w:rPr>
          <w:lang w:eastAsia="ru-RU"/>
        </w:rPr>
        <w:t>с</w:t>
      </w:r>
      <w:r w:rsidR="00D51377" w:rsidRPr="00872427">
        <w:rPr>
          <w:lang w:eastAsia="ru-RU"/>
        </w:rPr>
        <w:t>пользование экологически чистой технологии, исключающей сжигание. В ра</w:t>
      </w:r>
      <w:r w:rsidR="00D51377" w:rsidRPr="00872427">
        <w:rPr>
          <w:lang w:eastAsia="ru-RU"/>
        </w:rPr>
        <w:t>м</w:t>
      </w:r>
      <w:r w:rsidR="00D51377" w:rsidRPr="00872427">
        <w:rPr>
          <w:lang w:eastAsia="ru-RU"/>
        </w:rPr>
        <w:t>ках этой стратегии в основных городах были созданы предприятия по перер</w:t>
      </w:r>
      <w:r w:rsidR="00D51377" w:rsidRPr="00872427">
        <w:rPr>
          <w:lang w:eastAsia="ru-RU"/>
        </w:rPr>
        <w:t>а</w:t>
      </w:r>
      <w:r w:rsidR="00D51377" w:rsidRPr="00872427">
        <w:rPr>
          <w:lang w:eastAsia="ru-RU"/>
        </w:rPr>
        <w:t>ботке отходов, и в свыше 40% сомонов используется технология дезинфекции паром вместо сжигания отходов.</w:t>
      </w:r>
    </w:p>
    <w:p w:rsidR="00D51377" w:rsidRPr="00872427" w:rsidRDefault="000C0C70" w:rsidP="00872427">
      <w:pPr>
        <w:pStyle w:val="SingleTxtGR"/>
        <w:rPr>
          <w:lang w:eastAsia="ru-RU"/>
        </w:rPr>
      </w:pPr>
      <w:r w:rsidRPr="000C0C70">
        <w:rPr>
          <w:lang w:eastAsia="ru-RU"/>
        </w:rPr>
        <w:t>162.</w:t>
      </w:r>
      <w:r w:rsidRPr="000C0C70">
        <w:rPr>
          <w:lang w:eastAsia="ru-RU"/>
        </w:rPr>
        <w:tab/>
      </w:r>
      <w:r w:rsidR="00D51377" w:rsidRPr="00872427">
        <w:rPr>
          <w:lang w:eastAsia="ru-RU"/>
        </w:rPr>
        <w:t xml:space="preserve">В 1996 году Монголия приступила к осуществлению инициативы </w:t>
      </w:r>
      <w:r w:rsidR="00C467DA">
        <w:rPr>
          <w:lang w:eastAsia="ru-RU"/>
        </w:rPr>
        <w:t>"</w:t>
      </w:r>
      <w:r w:rsidR="00D51377" w:rsidRPr="00872427">
        <w:rPr>
          <w:lang w:eastAsia="ru-RU"/>
        </w:rPr>
        <w:t>Здор</w:t>
      </w:r>
      <w:r w:rsidR="00D51377" w:rsidRPr="00872427">
        <w:rPr>
          <w:lang w:eastAsia="ru-RU"/>
        </w:rPr>
        <w:t>о</w:t>
      </w:r>
      <w:r w:rsidR="00D51377" w:rsidRPr="00872427">
        <w:rPr>
          <w:lang w:eastAsia="ru-RU"/>
        </w:rPr>
        <w:t>вый город</w:t>
      </w:r>
      <w:r w:rsidR="00C467DA">
        <w:rPr>
          <w:lang w:eastAsia="ru-RU"/>
        </w:rPr>
        <w:t>"</w:t>
      </w:r>
      <w:r w:rsidR="00D51377" w:rsidRPr="00872427">
        <w:rPr>
          <w:lang w:eastAsia="ru-RU"/>
        </w:rPr>
        <w:t xml:space="preserve"> в соответствии с рекомендациями ВОЗ и в 2003 году присоедин</w:t>
      </w:r>
      <w:r w:rsidR="00D51377" w:rsidRPr="00872427">
        <w:rPr>
          <w:lang w:eastAsia="ru-RU"/>
        </w:rPr>
        <w:t>и</w:t>
      </w:r>
      <w:r w:rsidR="00D51377" w:rsidRPr="00872427">
        <w:rPr>
          <w:lang w:eastAsia="ru-RU"/>
        </w:rPr>
        <w:t>лась к Альянсу ВОЗ за здоровые города региона западной части Тихого океана. Монголия была избрана членом Исполнительного совета Альянса и принимает активное участие в его деятельности. В настоящее время четыре города Монг</w:t>
      </w:r>
      <w:r w:rsidR="00D51377" w:rsidRPr="00872427">
        <w:rPr>
          <w:lang w:eastAsia="ru-RU"/>
        </w:rPr>
        <w:t>о</w:t>
      </w:r>
      <w:r w:rsidR="00D51377" w:rsidRPr="00872427">
        <w:rPr>
          <w:lang w:eastAsia="ru-RU"/>
        </w:rPr>
        <w:t xml:space="preserve">лии участвуют в инициативе </w:t>
      </w:r>
      <w:r w:rsidR="00C467DA">
        <w:rPr>
          <w:lang w:eastAsia="ru-RU"/>
        </w:rPr>
        <w:t>"</w:t>
      </w:r>
      <w:r w:rsidR="00D51377" w:rsidRPr="00872427">
        <w:rPr>
          <w:lang w:eastAsia="ru-RU"/>
        </w:rPr>
        <w:t>Здоровый город</w:t>
      </w:r>
      <w:r w:rsidR="00C467DA">
        <w:rPr>
          <w:lang w:eastAsia="ru-RU"/>
        </w:rPr>
        <w:t>"</w:t>
      </w:r>
      <w:r w:rsidR="00D51377" w:rsidRPr="00872427">
        <w:rPr>
          <w:lang w:eastAsia="ru-RU"/>
        </w:rPr>
        <w:t>, и более 70 организаций и о</w:t>
      </w:r>
      <w:r w:rsidR="00D51377" w:rsidRPr="00872427">
        <w:rPr>
          <w:lang w:eastAsia="ru-RU"/>
        </w:rPr>
        <w:t>б</w:t>
      </w:r>
      <w:r w:rsidR="00D51377" w:rsidRPr="00872427">
        <w:rPr>
          <w:lang w:eastAsia="ru-RU"/>
        </w:rPr>
        <w:t xml:space="preserve">щин получили звание </w:t>
      </w:r>
      <w:r w:rsidR="00C467DA">
        <w:rPr>
          <w:lang w:eastAsia="ru-RU"/>
        </w:rPr>
        <w:t>"</w:t>
      </w:r>
      <w:r w:rsidR="00D51377" w:rsidRPr="00872427">
        <w:rPr>
          <w:lang w:eastAsia="ru-RU"/>
        </w:rPr>
        <w:t>Подрайона, сомона, рабочего места, больницы, школы, детского сада, рынка и т.д., поощряющего здоровый образ жизни</w:t>
      </w:r>
      <w:r w:rsidR="00C467DA">
        <w:rPr>
          <w:lang w:eastAsia="ru-RU"/>
        </w:rPr>
        <w:t>"</w:t>
      </w:r>
      <w:r w:rsidR="00D51377" w:rsidRPr="00872427">
        <w:rPr>
          <w:lang w:eastAsia="ru-RU"/>
        </w:rPr>
        <w:t>. Кроме того, были созданы многочисленные НПО, такие как Ассоциация монгольских гор</w:t>
      </w:r>
      <w:r w:rsidR="00D51377" w:rsidRPr="00872427">
        <w:rPr>
          <w:lang w:eastAsia="ru-RU"/>
        </w:rPr>
        <w:t>о</w:t>
      </w:r>
      <w:r w:rsidR="00D51377" w:rsidRPr="00872427">
        <w:rPr>
          <w:lang w:eastAsia="ru-RU"/>
        </w:rPr>
        <w:t>дов и Ассоциация здоровых монгольских городов. В целях более широкого ра</w:t>
      </w:r>
      <w:r w:rsidR="00D51377" w:rsidRPr="00872427">
        <w:rPr>
          <w:lang w:eastAsia="ru-RU"/>
        </w:rPr>
        <w:t>с</w:t>
      </w:r>
      <w:r w:rsidR="00D51377" w:rsidRPr="00872427">
        <w:rPr>
          <w:lang w:eastAsia="ru-RU"/>
        </w:rPr>
        <w:t xml:space="preserve">пространения инициативы </w:t>
      </w:r>
      <w:r w:rsidR="00C467DA">
        <w:rPr>
          <w:lang w:eastAsia="ru-RU"/>
        </w:rPr>
        <w:t>"</w:t>
      </w:r>
      <w:r w:rsidR="00D51377" w:rsidRPr="00872427">
        <w:rPr>
          <w:lang w:eastAsia="ru-RU"/>
        </w:rPr>
        <w:t>Здоровый город</w:t>
      </w:r>
      <w:r w:rsidR="00C467DA">
        <w:rPr>
          <w:lang w:eastAsia="ru-RU"/>
        </w:rPr>
        <w:t>"</w:t>
      </w:r>
      <w:r>
        <w:rPr>
          <w:lang w:eastAsia="ru-RU"/>
        </w:rPr>
        <w:t xml:space="preserve"> Министр здравоохранения в</w:t>
      </w:r>
      <w:r>
        <w:rPr>
          <w:lang w:val="en-US" w:eastAsia="ru-RU"/>
        </w:rPr>
        <w:t> </w:t>
      </w:r>
      <w:r>
        <w:rPr>
          <w:lang w:eastAsia="ru-RU"/>
        </w:rPr>
        <w:t>2002</w:t>
      </w:r>
      <w:r>
        <w:rPr>
          <w:lang w:val="en-US" w:eastAsia="ru-RU"/>
        </w:rPr>
        <w:t> </w:t>
      </w:r>
      <w:r w:rsidR="00D51377" w:rsidRPr="00872427">
        <w:rPr>
          <w:lang w:eastAsia="ru-RU"/>
        </w:rPr>
        <w:t>году издал Приказ № 176 (в который в 2008 году были внесены поправки Приказом № 184) о порядке номинации организаций и общин, содействующих здоровому образу жизни; отбора организаций, содействующих здоровому обр</w:t>
      </w:r>
      <w:r w:rsidR="00D51377" w:rsidRPr="00872427">
        <w:rPr>
          <w:lang w:eastAsia="ru-RU"/>
        </w:rPr>
        <w:t>а</w:t>
      </w:r>
      <w:r w:rsidR="00D51377" w:rsidRPr="00872427">
        <w:rPr>
          <w:lang w:eastAsia="ru-RU"/>
        </w:rPr>
        <w:t>зу жизни на местном и национальном уровне, и оценки работы отобранных о</w:t>
      </w:r>
      <w:r w:rsidR="00D51377" w:rsidRPr="00872427">
        <w:rPr>
          <w:lang w:eastAsia="ru-RU"/>
        </w:rPr>
        <w:t>р</w:t>
      </w:r>
      <w:r w:rsidR="00D51377" w:rsidRPr="00872427">
        <w:rPr>
          <w:lang w:eastAsia="ru-RU"/>
        </w:rPr>
        <w:t>ганизаций и общин; и на сегодняшний день десяти организациям по всей стр</w:t>
      </w:r>
      <w:r w:rsidR="00D51377" w:rsidRPr="00872427">
        <w:rPr>
          <w:lang w:eastAsia="ru-RU"/>
        </w:rPr>
        <w:t>а</w:t>
      </w:r>
      <w:r w:rsidR="00D51377" w:rsidRPr="00872427">
        <w:rPr>
          <w:lang w:eastAsia="ru-RU"/>
        </w:rPr>
        <w:t xml:space="preserve">не было присвоено звание </w:t>
      </w:r>
      <w:r w:rsidR="00C467DA">
        <w:rPr>
          <w:lang w:eastAsia="ru-RU"/>
        </w:rPr>
        <w:t>"</w:t>
      </w:r>
      <w:r w:rsidR="00D51377" w:rsidRPr="00872427">
        <w:rPr>
          <w:lang w:eastAsia="ru-RU"/>
        </w:rPr>
        <w:t>Организации, содействующей здоровому образу жизни</w:t>
      </w:r>
      <w:r w:rsidR="00C467DA">
        <w:rPr>
          <w:lang w:eastAsia="ru-RU"/>
        </w:rPr>
        <w:t>"</w:t>
      </w:r>
      <w:r w:rsidR="00D51377" w:rsidRPr="00872427">
        <w:rPr>
          <w:lang w:eastAsia="ru-RU"/>
        </w:rPr>
        <w:t xml:space="preserve">. Национальная программа </w:t>
      </w:r>
      <w:r w:rsidR="00C467DA">
        <w:rPr>
          <w:lang w:eastAsia="ru-RU"/>
        </w:rPr>
        <w:t>"</w:t>
      </w:r>
      <w:r w:rsidR="00D51377" w:rsidRPr="00872427">
        <w:rPr>
          <w:lang w:eastAsia="ru-RU"/>
        </w:rPr>
        <w:t>Здоровый город</w:t>
      </w:r>
      <w:r w:rsidR="00C467DA">
        <w:rPr>
          <w:lang w:eastAsia="ru-RU"/>
        </w:rPr>
        <w:t>"</w:t>
      </w:r>
      <w:r w:rsidR="00D51377" w:rsidRPr="00872427">
        <w:rPr>
          <w:lang w:eastAsia="ru-RU"/>
        </w:rPr>
        <w:t xml:space="preserve"> получает дальнейшее ра</w:t>
      </w:r>
      <w:r w:rsidR="00D51377" w:rsidRPr="00872427">
        <w:rPr>
          <w:lang w:eastAsia="ru-RU"/>
        </w:rPr>
        <w:t>з</w:t>
      </w:r>
      <w:r w:rsidR="00D51377" w:rsidRPr="00872427">
        <w:rPr>
          <w:lang w:eastAsia="ru-RU"/>
        </w:rPr>
        <w:t xml:space="preserve">витие с целью содействия тенденции к развитию </w:t>
      </w:r>
      <w:r w:rsidR="00C467DA">
        <w:rPr>
          <w:lang w:eastAsia="ru-RU"/>
        </w:rPr>
        <w:t>"</w:t>
      </w:r>
      <w:r w:rsidR="00D51377" w:rsidRPr="00872427">
        <w:rPr>
          <w:lang w:eastAsia="ru-RU"/>
        </w:rPr>
        <w:t>здоровых городов</w:t>
      </w:r>
      <w:r w:rsidR="00C467DA">
        <w:rPr>
          <w:lang w:eastAsia="ru-RU"/>
        </w:rPr>
        <w:t>"</w:t>
      </w:r>
      <w:r w:rsidR="00D51377" w:rsidRPr="00872427">
        <w:rPr>
          <w:lang w:eastAsia="ru-RU"/>
        </w:rPr>
        <w:t xml:space="preserve"> путем расширения участия населения, организаций и общин и регулирования межсе</w:t>
      </w:r>
      <w:r w:rsidR="00D51377" w:rsidRPr="00872427">
        <w:rPr>
          <w:lang w:eastAsia="ru-RU"/>
        </w:rPr>
        <w:t>к</w:t>
      </w:r>
      <w:r w:rsidR="00D51377" w:rsidRPr="00872427">
        <w:rPr>
          <w:lang w:eastAsia="ru-RU"/>
        </w:rPr>
        <w:t xml:space="preserve">торального сотрудничества, имеющего отношение к инициативе </w:t>
      </w:r>
      <w:r w:rsidR="00C467DA">
        <w:rPr>
          <w:lang w:eastAsia="ru-RU"/>
        </w:rPr>
        <w:t>"</w:t>
      </w:r>
      <w:r w:rsidR="00D51377" w:rsidRPr="00872427">
        <w:rPr>
          <w:lang w:eastAsia="ru-RU"/>
        </w:rPr>
        <w:t>Здоровый г</w:t>
      </w:r>
      <w:r w:rsidR="00D51377" w:rsidRPr="00872427">
        <w:rPr>
          <w:lang w:eastAsia="ru-RU"/>
        </w:rPr>
        <w:t>о</w:t>
      </w:r>
      <w:r w:rsidR="00D51377" w:rsidRPr="00872427">
        <w:rPr>
          <w:lang w:eastAsia="ru-RU"/>
        </w:rPr>
        <w:t>род</w:t>
      </w:r>
      <w:r w:rsidR="00C467DA">
        <w:rPr>
          <w:lang w:eastAsia="ru-RU"/>
        </w:rPr>
        <w:t>"</w:t>
      </w:r>
      <w:r w:rsidR="00D51377" w:rsidRPr="00872427">
        <w:rPr>
          <w:lang w:eastAsia="ru-RU"/>
        </w:rPr>
        <w:t>.</w:t>
      </w:r>
    </w:p>
    <w:p w:rsidR="00D51377" w:rsidRPr="00872427" w:rsidRDefault="000C0C70" w:rsidP="00872427">
      <w:pPr>
        <w:pStyle w:val="SingleTxtGR"/>
        <w:rPr>
          <w:lang w:eastAsia="ru-RU"/>
        </w:rPr>
      </w:pPr>
      <w:r w:rsidRPr="000C0C70">
        <w:rPr>
          <w:lang w:eastAsia="ru-RU"/>
        </w:rPr>
        <w:t>163.</w:t>
      </w:r>
      <w:r w:rsidRPr="000C0C70">
        <w:rPr>
          <w:lang w:eastAsia="ru-RU"/>
        </w:rPr>
        <w:tab/>
      </w:r>
      <w:r w:rsidR="00D51377" w:rsidRPr="00872427">
        <w:rPr>
          <w:lang w:eastAsia="ru-RU"/>
        </w:rPr>
        <w:t>Несмотря на то, что был проведен целый ряд мероприятий, направленных на снижения загрязнения воздуха, никаких заметных значительных результатов пока еще достигнуто не было. Это обусловлено, с одной стороны, многими сложными факторами, включая то, что система мониторинга гигиены окр</w:t>
      </w:r>
      <w:r w:rsidR="00D51377" w:rsidRPr="00872427">
        <w:rPr>
          <w:lang w:eastAsia="ru-RU"/>
        </w:rPr>
        <w:t>у</w:t>
      </w:r>
      <w:r w:rsidR="00D51377" w:rsidRPr="00872427">
        <w:rPr>
          <w:lang w:eastAsia="ru-RU"/>
        </w:rPr>
        <w:t>жающей среды не соответствует имеющимся стандартам, правовая база являе</w:t>
      </w:r>
      <w:r w:rsidR="00D51377" w:rsidRPr="00872427">
        <w:rPr>
          <w:lang w:eastAsia="ru-RU"/>
        </w:rPr>
        <w:t>т</w:t>
      </w:r>
      <w:r w:rsidR="00D51377" w:rsidRPr="00872427">
        <w:rPr>
          <w:lang w:eastAsia="ru-RU"/>
        </w:rPr>
        <w:t>ся недостаточной, людские ресурсы ограничены, лабораторное д</w:t>
      </w:r>
      <w:r w:rsidR="00D51377" w:rsidRPr="00872427">
        <w:rPr>
          <w:lang w:eastAsia="ru-RU"/>
        </w:rPr>
        <w:t>и</w:t>
      </w:r>
      <w:r w:rsidR="00D51377" w:rsidRPr="00872427">
        <w:rPr>
          <w:lang w:eastAsia="ru-RU"/>
        </w:rPr>
        <w:t>агностическое оборудование не отвечает установленным стандартам, а финансирование, ма</w:t>
      </w:r>
      <w:r w:rsidR="00D51377" w:rsidRPr="00872427">
        <w:rPr>
          <w:lang w:eastAsia="ru-RU"/>
        </w:rPr>
        <w:t>с</w:t>
      </w:r>
      <w:r w:rsidR="00D51377" w:rsidRPr="00872427">
        <w:rPr>
          <w:lang w:eastAsia="ru-RU"/>
        </w:rPr>
        <w:t>штабы, виды и объем научно-исследовательской работы в области окружающей среды является неадекватным/недостаточным, тогда как, с другой стороны, анализ ССВУ системы обеспечения гигиены труда Монголии показал низкий уровень мониторинга и регулирования вопросов трудовой деятельности, отсу</w:t>
      </w:r>
      <w:r w:rsidR="00D51377" w:rsidRPr="00872427">
        <w:rPr>
          <w:lang w:eastAsia="ru-RU"/>
        </w:rPr>
        <w:t>т</w:t>
      </w:r>
      <w:r w:rsidR="00D51377" w:rsidRPr="00872427">
        <w:rPr>
          <w:lang w:eastAsia="ru-RU"/>
        </w:rPr>
        <w:t>ствие независимого научно-исследовательского центра/организации по вопр</w:t>
      </w:r>
      <w:r w:rsidR="00D51377" w:rsidRPr="00872427">
        <w:rPr>
          <w:lang w:eastAsia="ru-RU"/>
        </w:rPr>
        <w:t>о</w:t>
      </w:r>
      <w:r w:rsidR="00D51377" w:rsidRPr="00872427">
        <w:rPr>
          <w:lang w:eastAsia="ru-RU"/>
        </w:rPr>
        <w:t>сам гигиены труда, низкий уровень диагностических возможностей в области гигиены труда, слабую регистрационную и информационную систему по несч</w:t>
      </w:r>
      <w:r w:rsidR="00D51377" w:rsidRPr="00872427">
        <w:rPr>
          <w:lang w:eastAsia="ru-RU"/>
        </w:rPr>
        <w:t>а</w:t>
      </w:r>
      <w:r w:rsidR="00D51377" w:rsidRPr="00872427">
        <w:rPr>
          <w:lang w:eastAsia="ru-RU"/>
        </w:rPr>
        <w:t>стным случаям на производстве и профессиональным заболеваниям, низкий уровень возможностей научно-исследовательских лабораторий, нерегулярное оказание услуг в области гигиены труда малым и средним предприятиям и н</w:t>
      </w:r>
      <w:r w:rsidR="00D51377" w:rsidRPr="00872427">
        <w:rPr>
          <w:lang w:eastAsia="ru-RU"/>
        </w:rPr>
        <w:t>е</w:t>
      </w:r>
      <w:r w:rsidR="00D51377" w:rsidRPr="00872427">
        <w:rPr>
          <w:lang w:eastAsia="ru-RU"/>
        </w:rPr>
        <w:t>формальному сектору, а также низкий охват работников медосмотрами (план</w:t>
      </w:r>
      <w:r w:rsidR="00D51377" w:rsidRPr="00872427">
        <w:rPr>
          <w:lang w:eastAsia="ru-RU"/>
        </w:rPr>
        <w:t>о</w:t>
      </w:r>
      <w:r w:rsidR="00D51377" w:rsidRPr="00872427">
        <w:rPr>
          <w:lang w:eastAsia="ru-RU"/>
        </w:rPr>
        <w:t>выми и повседневными) и их результаты, которые вызывают безразличие или являются неудовлетворительными.</w:t>
      </w:r>
    </w:p>
    <w:p w:rsidR="00D51377" w:rsidRPr="00872427" w:rsidRDefault="000C0C70" w:rsidP="00872427">
      <w:pPr>
        <w:pStyle w:val="SingleTxtGR"/>
        <w:rPr>
          <w:lang w:eastAsia="ru-RU"/>
        </w:rPr>
      </w:pPr>
      <w:r w:rsidRPr="000C0C70">
        <w:rPr>
          <w:lang w:eastAsia="ru-RU"/>
        </w:rPr>
        <w:t>164.</w:t>
      </w:r>
      <w:r w:rsidRPr="000C0C70">
        <w:rPr>
          <w:lang w:eastAsia="ru-RU"/>
        </w:rPr>
        <w:tab/>
      </w:r>
      <w:r w:rsidR="00D51377" w:rsidRPr="00872427">
        <w:rPr>
          <w:lang w:eastAsia="ru-RU"/>
        </w:rPr>
        <w:t>Поэтому необходимо проводить следующую работу в целях улучшения гигиены окружа</w:t>
      </w:r>
      <w:r w:rsidR="00D51377" w:rsidRPr="00872427">
        <w:rPr>
          <w:lang w:eastAsia="ru-RU"/>
        </w:rPr>
        <w:t>ю</w:t>
      </w:r>
      <w:r w:rsidR="00D51377" w:rsidRPr="00872427">
        <w:rPr>
          <w:lang w:eastAsia="ru-RU"/>
        </w:rPr>
        <w:t>щей среды и гигиены труда:</w:t>
      </w:r>
    </w:p>
    <w:p w:rsidR="00D51377" w:rsidRPr="00872427" w:rsidRDefault="00D51377" w:rsidP="000C0C70">
      <w:pPr>
        <w:pStyle w:val="Bullet1GR"/>
      </w:pPr>
      <w:r w:rsidRPr="00872427">
        <w:t>содействовать деятельности Межсекторальной рабочей группы по вопр</w:t>
      </w:r>
      <w:r w:rsidRPr="00872427">
        <w:t>о</w:t>
      </w:r>
      <w:r w:rsidRPr="00872427">
        <w:t>сам улучшения гигиены окружающей среды в рамках Национального с</w:t>
      </w:r>
      <w:r w:rsidRPr="00872427">
        <w:t>о</w:t>
      </w:r>
      <w:r w:rsidRPr="00872427">
        <w:t>вета здравоохранения, учитывая рост заболеваний, связанных с загрязн</w:t>
      </w:r>
      <w:r w:rsidRPr="00872427">
        <w:t>е</w:t>
      </w:r>
      <w:r w:rsidRPr="00872427">
        <w:t>нием воды, почвы, воздуха, а также с загрязнением среды химическими веществами;</w:t>
      </w:r>
    </w:p>
    <w:p w:rsidR="00D51377" w:rsidRPr="00872427" w:rsidRDefault="00D51377" w:rsidP="000C0C70">
      <w:pPr>
        <w:pStyle w:val="Bullet1GR"/>
      </w:pPr>
      <w:r w:rsidRPr="00872427">
        <w:t>улучшить систему мониторинга/контроля за профессиональными забол</w:t>
      </w:r>
      <w:r w:rsidRPr="00872427">
        <w:t>е</w:t>
      </w:r>
      <w:r w:rsidRPr="00872427">
        <w:t>ваниями и межсекторальное сотрудничество и повысить эффективность системы обеспечения гигиены на рабочем месте, регистрации и инфо</w:t>
      </w:r>
      <w:r w:rsidRPr="00872427">
        <w:t>р</w:t>
      </w:r>
      <w:r w:rsidRPr="00872427">
        <w:t>мирования, а также расширить возможности по проведению диа</w:t>
      </w:r>
      <w:r w:rsidRPr="00872427">
        <w:t>г</w:t>
      </w:r>
      <w:r w:rsidRPr="00872427">
        <w:t>ностики и лечения;</w:t>
      </w:r>
    </w:p>
    <w:p w:rsidR="00D51377" w:rsidRPr="00872427" w:rsidRDefault="00D51377" w:rsidP="000C0C70">
      <w:pPr>
        <w:pStyle w:val="Bullet1GR"/>
      </w:pPr>
      <w:r w:rsidRPr="00872427">
        <w:t>укрепить Центр контроля за случаями отравлений и информирова</w:t>
      </w:r>
      <w:r w:rsidR="000C0C70">
        <w:t>ния о</w:t>
      </w:r>
      <w:r w:rsidR="000C0C70">
        <w:rPr>
          <w:lang w:val="en-US"/>
        </w:rPr>
        <w:t> </w:t>
      </w:r>
      <w:r w:rsidRPr="00872427">
        <w:t>них при Институте здравоохранения, улучшить подготовку специал</w:t>
      </w:r>
      <w:r w:rsidRPr="00872427">
        <w:t>и</w:t>
      </w:r>
      <w:r w:rsidRPr="00872427">
        <w:t>стов по токсикологии, поскольку наблюдается рост числа случаев непр</w:t>
      </w:r>
      <w:r w:rsidRPr="00872427">
        <w:t>а</w:t>
      </w:r>
      <w:r w:rsidRPr="00872427">
        <w:t>вильного обращения с ядовитыми и опасными химическими вещес</w:t>
      </w:r>
      <w:r w:rsidRPr="00872427">
        <w:t>т</w:t>
      </w:r>
      <w:r w:rsidRPr="00872427">
        <w:t>вами;</w:t>
      </w:r>
    </w:p>
    <w:p w:rsidR="00D51377" w:rsidRPr="00872427" w:rsidRDefault="00D51377" w:rsidP="000C0C70">
      <w:pPr>
        <w:pStyle w:val="Bullet1GR"/>
      </w:pPr>
      <w:r w:rsidRPr="00872427">
        <w:t>укрепить кадровый потенциал и улучшить возможности лаборато</w:t>
      </w:r>
      <w:r w:rsidR="000C0C70">
        <w:t>рий, а</w:t>
      </w:r>
      <w:r w:rsidR="000C0C70">
        <w:rPr>
          <w:lang w:val="en-US"/>
        </w:rPr>
        <w:t> </w:t>
      </w:r>
      <w:r w:rsidRPr="00872427">
        <w:t>также повысить качество профессиональной подготовки и исследов</w:t>
      </w:r>
      <w:r w:rsidRPr="00872427">
        <w:t>а</w:t>
      </w:r>
      <w:r w:rsidRPr="00872427">
        <w:t>ний в области гигиены окружающей среды и гигиены труда на рабочих местах;</w:t>
      </w:r>
    </w:p>
    <w:p w:rsidR="00D51377" w:rsidRPr="00872427" w:rsidRDefault="00D51377" w:rsidP="000C0C70">
      <w:pPr>
        <w:pStyle w:val="Bullet1GR"/>
      </w:pPr>
      <w:r w:rsidRPr="00872427">
        <w:t>выделить средства для улучшения ликвидации медицинских и иных о</w:t>
      </w:r>
      <w:r w:rsidRPr="00872427">
        <w:t>т</w:t>
      </w:r>
      <w:r w:rsidRPr="00872427">
        <w:t>ходов на уровне городов, аймаков и сомонов, поскольку отходы являются одним из насущных вопросов борьбы с загрязнением окр</w:t>
      </w:r>
      <w:r w:rsidRPr="00872427">
        <w:t>у</w:t>
      </w:r>
      <w:r w:rsidRPr="00872427">
        <w:t>жающей среды;</w:t>
      </w:r>
    </w:p>
    <w:p w:rsidR="00D51377" w:rsidRPr="00872427" w:rsidRDefault="00D51377" w:rsidP="000C0C70">
      <w:pPr>
        <w:pStyle w:val="Bullet1GR"/>
      </w:pPr>
      <w:r w:rsidRPr="00872427">
        <w:t>отразить вопрос о воздействии окружающей среды на здоровье ч</w:t>
      </w:r>
      <w:r w:rsidRPr="00872427">
        <w:t>е</w:t>
      </w:r>
      <w:r w:rsidRPr="00872427">
        <w:t>ловека в законопр</w:t>
      </w:r>
      <w:r w:rsidRPr="00872427">
        <w:t>о</w:t>
      </w:r>
      <w:r w:rsidRPr="00872427">
        <w:t>екте об оценке влияния окружающей среды;</w:t>
      </w:r>
    </w:p>
    <w:p w:rsidR="00D51377" w:rsidRPr="00872427" w:rsidRDefault="00D51377" w:rsidP="000C0C70">
      <w:pPr>
        <w:pStyle w:val="Bullet1GR"/>
      </w:pPr>
      <w:r w:rsidRPr="00872427">
        <w:t>добиться соблюдения нормативных положений в отношении городского планирования и строительства и обеспечить здоровые и безопасные жи</w:t>
      </w:r>
      <w:r w:rsidRPr="00872427">
        <w:t>з</w:t>
      </w:r>
      <w:r w:rsidRPr="00872427">
        <w:t>ненные и экологические условия для населения; и</w:t>
      </w:r>
    </w:p>
    <w:p w:rsidR="00D51377" w:rsidRPr="00872427" w:rsidRDefault="00D51377" w:rsidP="000C0C70">
      <w:pPr>
        <w:pStyle w:val="Bullet1GR"/>
      </w:pPr>
      <w:r w:rsidRPr="00872427">
        <w:t>улучшить осведомленность и подготовку общественности в вопросах г</w:t>
      </w:r>
      <w:r w:rsidRPr="00872427">
        <w:t>и</w:t>
      </w:r>
      <w:r w:rsidRPr="00872427">
        <w:t>гиены окружающей среды и гигиены труда на рабочих местах, более а</w:t>
      </w:r>
      <w:r w:rsidRPr="00872427">
        <w:t>к</w:t>
      </w:r>
      <w:r w:rsidRPr="00872427">
        <w:t>тивно привлекая общины, частный и иные сектора к участию в учебной подготовке и распространению информации, повышая качество подгото</w:t>
      </w:r>
      <w:r w:rsidRPr="00872427">
        <w:t>в</w:t>
      </w:r>
      <w:r w:rsidRPr="00872427">
        <w:t>ки, регулярно организуя общественные кампании, а также ра</w:t>
      </w:r>
      <w:r w:rsidRPr="00872427">
        <w:t>с</w:t>
      </w:r>
      <w:r w:rsidRPr="00872427">
        <w:t xml:space="preserve">пространяя инициативу </w:t>
      </w:r>
      <w:r w:rsidR="00C467DA">
        <w:t>"</w:t>
      </w:r>
      <w:r w:rsidRPr="00872427">
        <w:t>Здоровый город</w:t>
      </w:r>
      <w:r w:rsidR="00C467DA">
        <w:t>"</w:t>
      </w:r>
      <w:r w:rsidRPr="00872427">
        <w:t xml:space="preserve"> на сомоны, округа и рабочие места.</w:t>
      </w:r>
    </w:p>
    <w:p w:rsidR="00D51377" w:rsidRPr="00872427" w:rsidRDefault="00D51377" w:rsidP="000C0C70">
      <w:pPr>
        <w:pStyle w:val="H4GR"/>
        <w:spacing w:before="240"/>
        <w:ind w:left="1134" w:hanging="1134"/>
      </w:pPr>
      <w:r w:rsidRPr="00872427">
        <w:tab/>
      </w:r>
      <w:r w:rsidRPr="00872427">
        <w:tab/>
        <w:t xml:space="preserve">Профилактика и лечение эпидемических, эндемических, профессиональных </w:t>
      </w:r>
      <w:r w:rsidR="000C0C70" w:rsidRPr="000C0C70">
        <w:br/>
      </w:r>
      <w:r w:rsidRPr="00872427">
        <w:t>и других заболеваний, а также борьба с ними</w:t>
      </w:r>
    </w:p>
    <w:p w:rsidR="00D51377" w:rsidRPr="00872427" w:rsidRDefault="00872A3E" w:rsidP="00872427">
      <w:pPr>
        <w:pStyle w:val="SingleTxtGR"/>
        <w:rPr>
          <w:lang w:eastAsia="ru-RU"/>
        </w:rPr>
      </w:pPr>
      <w:r w:rsidRPr="00872A3E">
        <w:rPr>
          <w:lang w:eastAsia="ru-RU"/>
        </w:rPr>
        <w:t>165.</w:t>
      </w:r>
      <w:r w:rsidRPr="00872A3E">
        <w:rPr>
          <w:lang w:eastAsia="ru-RU"/>
        </w:rPr>
        <w:tab/>
      </w:r>
      <w:r w:rsidR="00D51377" w:rsidRPr="00872427">
        <w:rPr>
          <w:lang w:eastAsia="ru-RU"/>
        </w:rPr>
        <w:t>Профилактика инфекционных заболеваний и борьба с ними является о</w:t>
      </w:r>
      <w:r w:rsidR="00D51377" w:rsidRPr="00872427">
        <w:rPr>
          <w:lang w:eastAsia="ru-RU"/>
        </w:rPr>
        <w:t>д</w:t>
      </w:r>
      <w:r w:rsidR="00D51377" w:rsidRPr="00872427">
        <w:rPr>
          <w:lang w:eastAsia="ru-RU"/>
        </w:rPr>
        <w:t>ной из основных задач здравоохранения. Многие факторы, включая окружа</w:t>
      </w:r>
      <w:r w:rsidR="00D51377" w:rsidRPr="00872427">
        <w:rPr>
          <w:lang w:eastAsia="ru-RU"/>
        </w:rPr>
        <w:t>ю</w:t>
      </w:r>
      <w:r w:rsidR="00D51377" w:rsidRPr="00872427">
        <w:rPr>
          <w:lang w:eastAsia="ru-RU"/>
        </w:rPr>
        <w:t>щую среду, изменение климата, большую плотность населения и социально-экономическое развитие способствуют возникновению новых инфекционных заболеваний и причиняют серьезный ущерб мировой экономике и здоровью ч</w:t>
      </w:r>
      <w:r w:rsidR="00D51377" w:rsidRPr="00872427">
        <w:rPr>
          <w:lang w:eastAsia="ru-RU"/>
        </w:rPr>
        <w:t>е</w:t>
      </w:r>
      <w:r w:rsidR="00D51377" w:rsidRPr="00872427">
        <w:rPr>
          <w:lang w:eastAsia="ru-RU"/>
        </w:rPr>
        <w:t>ловека. Например, в 2003 году атипичная пневмония (ТОРС) быстро распр</w:t>
      </w:r>
      <w:r w:rsidR="00D51377" w:rsidRPr="00872427">
        <w:rPr>
          <w:lang w:eastAsia="ru-RU"/>
        </w:rPr>
        <w:t>о</w:t>
      </w:r>
      <w:r w:rsidR="00D51377" w:rsidRPr="00872427">
        <w:rPr>
          <w:lang w:eastAsia="ru-RU"/>
        </w:rPr>
        <w:t>странилась по всему миру, и в более чем 30 странах было зарегистрировано свыше 8</w:t>
      </w:r>
      <w:r w:rsidR="003E21CB">
        <w:rPr>
          <w:lang w:eastAsia="ru-RU"/>
        </w:rPr>
        <w:t> </w:t>
      </w:r>
      <w:r w:rsidR="00D51377" w:rsidRPr="00872427">
        <w:rPr>
          <w:lang w:eastAsia="ru-RU"/>
        </w:rPr>
        <w:t xml:space="preserve">000 случаев этого заболевания. Вирус гриппа A подтипа H5N1, или также известный как </w:t>
      </w:r>
      <w:r w:rsidR="00C467DA">
        <w:rPr>
          <w:lang w:eastAsia="ru-RU"/>
        </w:rPr>
        <w:t>"</w:t>
      </w:r>
      <w:r w:rsidR="00D51377" w:rsidRPr="00872427">
        <w:rPr>
          <w:lang w:eastAsia="ru-RU"/>
        </w:rPr>
        <w:t>птичий грипп</w:t>
      </w:r>
      <w:r w:rsidR="00C467DA">
        <w:rPr>
          <w:lang w:eastAsia="ru-RU"/>
        </w:rPr>
        <w:t>"</w:t>
      </w:r>
      <w:r w:rsidR="00D51377" w:rsidRPr="00872427">
        <w:rPr>
          <w:lang w:eastAsia="ru-RU"/>
        </w:rPr>
        <w:t>, с 2004 г</w:t>
      </w:r>
      <w:r>
        <w:rPr>
          <w:lang w:eastAsia="ru-RU"/>
        </w:rPr>
        <w:t>ода распространился более чем в</w:t>
      </w:r>
      <w:r>
        <w:rPr>
          <w:lang w:val="en-US" w:eastAsia="ru-RU"/>
        </w:rPr>
        <w:t> </w:t>
      </w:r>
      <w:r w:rsidR="00D51377" w:rsidRPr="00872427">
        <w:rPr>
          <w:lang w:eastAsia="ru-RU"/>
        </w:rPr>
        <w:t>20 странах, включая КНР, Индонезию, Таиланд, Вьетнам и Египет, и привел к заражению миллионов особей домашней и дикой птицы и свыше 500 человек, из которых 262 умерли в результате этой болезни. Также существует большая потенциальная вероятность пандемической вспышки этого заболевания в буд</w:t>
      </w:r>
      <w:r w:rsidR="00D51377" w:rsidRPr="00872427">
        <w:rPr>
          <w:lang w:eastAsia="ru-RU"/>
        </w:rPr>
        <w:t>у</w:t>
      </w:r>
      <w:r w:rsidR="00D51377" w:rsidRPr="00872427">
        <w:rPr>
          <w:lang w:eastAsia="ru-RU"/>
        </w:rPr>
        <w:t>щем.</w:t>
      </w:r>
    </w:p>
    <w:p w:rsidR="00D51377" w:rsidRPr="00872427" w:rsidRDefault="00872A3E" w:rsidP="00872427">
      <w:pPr>
        <w:pStyle w:val="SingleTxtGR"/>
        <w:rPr>
          <w:lang w:eastAsia="ru-RU"/>
        </w:rPr>
      </w:pPr>
      <w:r w:rsidRPr="00872A3E">
        <w:rPr>
          <w:lang w:eastAsia="ru-RU"/>
        </w:rPr>
        <w:t>166.</w:t>
      </w:r>
      <w:r w:rsidRPr="00872A3E">
        <w:rPr>
          <w:lang w:eastAsia="ru-RU"/>
        </w:rPr>
        <w:tab/>
      </w:r>
      <w:r w:rsidR="00D51377" w:rsidRPr="00872427">
        <w:rPr>
          <w:lang w:eastAsia="ru-RU"/>
        </w:rPr>
        <w:t>С момента первого сообщения о зар</w:t>
      </w:r>
      <w:r w:rsidR="008F2FAC">
        <w:rPr>
          <w:lang w:eastAsia="ru-RU"/>
        </w:rPr>
        <w:t>ажении вирусом гриппа A подт</w:t>
      </w:r>
      <w:r w:rsidR="008F2FAC">
        <w:rPr>
          <w:lang w:eastAsia="ru-RU"/>
        </w:rPr>
        <w:t>и</w:t>
      </w:r>
      <w:r w:rsidR="008F2FAC">
        <w:rPr>
          <w:lang w:eastAsia="ru-RU"/>
        </w:rPr>
        <w:t>па</w:t>
      </w:r>
      <w:r w:rsidR="008F2FAC">
        <w:rPr>
          <w:lang w:val="en-US" w:eastAsia="ru-RU"/>
        </w:rPr>
        <w:t> </w:t>
      </w:r>
      <w:r w:rsidR="00D51377" w:rsidRPr="00872427">
        <w:rPr>
          <w:lang w:eastAsia="ru-RU"/>
        </w:rPr>
        <w:t>H5N1 15 апреля 2009 года его пандемическая вспышка распростран</w:t>
      </w:r>
      <w:r w:rsidR="00D51377" w:rsidRPr="00872427">
        <w:rPr>
          <w:lang w:eastAsia="ru-RU"/>
        </w:rPr>
        <w:t>и</w:t>
      </w:r>
      <w:r w:rsidR="00D51377" w:rsidRPr="00872427">
        <w:rPr>
          <w:lang w:eastAsia="ru-RU"/>
        </w:rPr>
        <w:t>лась на страны по всему миру.</w:t>
      </w:r>
    </w:p>
    <w:p w:rsidR="00D51377" w:rsidRPr="00872427" w:rsidRDefault="008F2FAC" w:rsidP="00872427">
      <w:pPr>
        <w:pStyle w:val="SingleTxtGR"/>
        <w:rPr>
          <w:lang w:eastAsia="ru-RU"/>
        </w:rPr>
      </w:pPr>
      <w:r w:rsidRPr="008F2FAC">
        <w:rPr>
          <w:lang w:eastAsia="ru-RU"/>
        </w:rPr>
        <w:t>167.</w:t>
      </w:r>
      <w:r w:rsidRPr="008F2FAC">
        <w:rPr>
          <w:lang w:eastAsia="ru-RU"/>
        </w:rPr>
        <w:tab/>
      </w:r>
      <w:r w:rsidR="00D51377" w:rsidRPr="00872427">
        <w:rPr>
          <w:lang w:eastAsia="ru-RU"/>
        </w:rPr>
        <w:t>Динамика зарегистрированных случаев инфекционных заболеваний на национальном уровне за последние шесть лет из расчета на 10 000 человек в</w:t>
      </w:r>
      <w:r w:rsidR="00D51377" w:rsidRPr="00872427">
        <w:rPr>
          <w:lang w:eastAsia="ru-RU"/>
        </w:rPr>
        <w:t>ы</w:t>
      </w:r>
      <w:r w:rsidR="00D51377" w:rsidRPr="00872427">
        <w:rPr>
          <w:lang w:eastAsia="ru-RU"/>
        </w:rPr>
        <w:t>глядит следующим образом: 129% в 2005 году, 140,8% в 2006 году, 157,3</w:t>
      </w:r>
      <w:r>
        <w:rPr>
          <w:lang w:eastAsia="ru-RU"/>
        </w:rPr>
        <w:t>% в</w:t>
      </w:r>
      <w:r>
        <w:rPr>
          <w:lang w:val="en-US" w:eastAsia="ru-RU"/>
        </w:rPr>
        <w:t> </w:t>
      </w:r>
      <w:r w:rsidR="00D51377" w:rsidRPr="00872427">
        <w:rPr>
          <w:lang w:eastAsia="ru-RU"/>
        </w:rPr>
        <w:t>2007 г</w:t>
      </w:r>
      <w:r w:rsidR="00D51377" w:rsidRPr="00872427">
        <w:rPr>
          <w:lang w:eastAsia="ru-RU"/>
        </w:rPr>
        <w:t>о</w:t>
      </w:r>
      <w:r w:rsidR="00D51377" w:rsidRPr="00872427">
        <w:rPr>
          <w:lang w:eastAsia="ru-RU"/>
        </w:rPr>
        <w:t>ду, 164,8% в 2008 году, 146,2% в 2009 году и 151,2% в 2010 году.</w:t>
      </w:r>
    </w:p>
    <w:p w:rsidR="00D51377" w:rsidRPr="00872427" w:rsidRDefault="008F2FAC" w:rsidP="00872427">
      <w:pPr>
        <w:pStyle w:val="SingleTxtGR"/>
        <w:rPr>
          <w:lang w:eastAsia="ru-RU"/>
        </w:rPr>
      </w:pPr>
      <w:r w:rsidRPr="008F2FAC">
        <w:rPr>
          <w:lang w:eastAsia="ru-RU"/>
        </w:rPr>
        <w:t>168.</w:t>
      </w:r>
      <w:r w:rsidRPr="008F2FAC">
        <w:rPr>
          <w:lang w:eastAsia="ru-RU"/>
        </w:rPr>
        <w:tab/>
      </w:r>
      <w:r w:rsidR="00D51377" w:rsidRPr="00872427">
        <w:rPr>
          <w:lang w:eastAsia="ru-RU"/>
        </w:rPr>
        <w:t>Несмотря на то, что в целом количество случаев инфекционных забол</w:t>
      </w:r>
      <w:r w:rsidR="00D51377" w:rsidRPr="00872427">
        <w:rPr>
          <w:lang w:eastAsia="ru-RU"/>
        </w:rPr>
        <w:t>е</w:t>
      </w:r>
      <w:r w:rsidR="00D51377" w:rsidRPr="00872427">
        <w:rPr>
          <w:lang w:eastAsia="ru-RU"/>
        </w:rPr>
        <w:t>ваний снижается, некоторые болезни, особенно новые и вновь возрождающиеся инфекционные заболевания (грипп, сибирская язва, заболевание кистей рук, стоп и полости рта и т.д.) становятся более частыми и их процентное отнош</w:t>
      </w:r>
      <w:r w:rsidR="00D51377" w:rsidRPr="00872427">
        <w:rPr>
          <w:lang w:eastAsia="ru-RU"/>
        </w:rPr>
        <w:t>е</w:t>
      </w:r>
      <w:r w:rsidR="00D51377" w:rsidRPr="00872427">
        <w:rPr>
          <w:lang w:eastAsia="ru-RU"/>
        </w:rPr>
        <w:t>ние к общему числу случаев инфекционны</w:t>
      </w:r>
      <w:r w:rsidR="003E21CB">
        <w:rPr>
          <w:lang w:eastAsia="ru-RU"/>
        </w:rPr>
        <w:t>х заболеваний имеет тенденцию к </w:t>
      </w:r>
      <w:r w:rsidR="00D51377" w:rsidRPr="00872427">
        <w:rPr>
          <w:lang w:eastAsia="ru-RU"/>
        </w:rPr>
        <w:t>р</w:t>
      </w:r>
      <w:r w:rsidR="00D51377" w:rsidRPr="00872427">
        <w:rPr>
          <w:lang w:eastAsia="ru-RU"/>
        </w:rPr>
        <w:t>о</w:t>
      </w:r>
      <w:r w:rsidR="00D51377" w:rsidRPr="00872427">
        <w:rPr>
          <w:lang w:eastAsia="ru-RU"/>
        </w:rPr>
        <w:t>сту.</w:t>
      </w:r>
    </w:p>
    <w:p w:rsidR="00D51377" w:rsidRPr="00872427" w:rsidRDefault="00D51377" w:rsidP="008F2FAC">
      <w:pPr>
        <w:pStyle w:val="Heading1"/>
        <w:spacing w:after="120"/>
        <w:ind w:left="1134"/>
        <w:jc w:val="left"/>
      </w:pPr>
      <w:r w:rsidRPr="008F2FAC">
        <w:rPr>
          <w:b w:val="0"/>
        </w:rPr>
        <w:t>Диаграмма 4</w:t>
      </w:r>
      <w:r w:rsidR="008F2FAC" w:rsidRPr="008F2FAC">
        <w:rPr>
          <w:b w:val="0"/>
        </w:rPr>
        <w:br/>
      </w:r>
      <w:r w:rsidRPr="00872427">
        <w:t>Структура инфекционных заболеваний, 2010 год</w:t>
      </w:r>
    </w:p>
    <w:p w:rsidR="00872427" w:rsidRPr="008F2FAC" w:rsidRDefault="004C0EAC" w:rsidP="000D7616">
      <w:pPr>
        <w:ind w:left="1134"/>
        <w:rPr>
          <w:lang w:eastAsia="ru-RU"/>
        </w:rPr>
      </w:pPr>
      <w:r>
        <w:rPr>
          <w:noProof/>
          <w:w w:val="100"/>
          <w:lang w:eastAsia="ru-RU"/>
        </w:rPr>
      </w:r>
      <w:r w:rsidRPr="004C0EAC">
        <w:rPr>
          <w:lang w:val="en-US" w:eastAsia="ru-RU"/>
        </w:rPr>
        <w:pict>
          <v:shape id="_x0000_s1098" type="#_x0000_t75" style="width:292.45pt;height:137.15pt;mso-position-horizontal-relative:char;mso-position-vertical-relative:line">
            <v:imagedata r:id="rId18" o:title=""/>
            <w10:anchorlock/>
          </v:shape>
        </w:pict>
      </w:r>
    </w:p>
    <w:p w:rsidR="008F2FAC" w:rsidRPr="008F2FAC" w:rsidRDefault="008F2FAC" w:rsidP="008F2FAC">
      <w:pPr>
        <w:pStyle w:val="SingleTxtGR"/>
        <w:suppressAutoHyphens/>
        <w:spacing w:before="120" w:after="240" w:line="220" w:lineRule="exact"/>
        <w:ind w:firstLine="170"/>
        <w:jc w:val="left"/>
        <w:rPr>
          <w:sz w:val="18"/>
          <w:szCs w:val="18"/>
        </w:rPr>
      </w:pPr>
      <w:r w:rsidRPr="008F2FAC">
        <w:rPr>
          <w:i/>
          <w:sz w:val="18"/>
          <w:szCs w:val="18"/>
        </w:rPr>
        <w:t>Источник</w:t>
      </w:r>
      <w:r w:rsidRPr="008F2FAC">
        <w:rPr>
          <w:sz w:val="18"/>
          <w:szCs w:val="18"/>
        </w:rPr>
        <w:t>: Департамент здравоохранения, правительственное исполнительное учреждение, 2010 год.</w:t>
      </w:r>
    </w:p>
    <w:p w:rsidR="008F2FAC" w:rsidRDefault="008F2FAC" w:rsidP="008F2FAC">
      <w:pPr>
        <w:pStyle w:val="SingleTxtGR"/>
      </w:pPr>
      <w:r>
        <w:t>169.</w:t>
      </w:r>
      <w:r>
        <w:tab/>
        <w:t>В 2010 году из общего числа зарегистрированных инфекционных забол</w:t>
      </w:r>
      <w:r>
        <w:t>е</w:t>
      </w:r>
      <w:r>
        <w:t>ваний на национальном уровне 35% приходилось на болезни, передаваемые п</w:t>
      </w:r>
      <w:r>
        <w:t>о</w:t>
      </w:r>
      <w:r>
        <w:t>ловым путем, 10% – на туберкулез, 10% – на брюшные инфекционные забол</w:t>
      </w:r>
      <w:r>
        <w:t>е</w:t>
      </w:r>
      <w:r>
        <w:t>вания и 22% – на вирусный гепатит.</w:t>
      </w:r>
    </w:p>
    <w:p w:rsidR="008F2FAC" w:rsidRDefault="008F2FAC" w:rsidP="008F2FAC">
      <w:pPr>
        <w:pStyle w:val="SingleTxtGR"/>
      </w:pPr>
      <w:r>
        <w:t>170.</w:t>
      </w:r>
      <w:r>
        <w:tab/>
        <w:t>В 2005</w:t>
      </w:r>
      <w:r w:rsidR="00957145" w:rsidRPr="00957145">
        <w:t>−</w:t>
      </w:r>
      <w:r>
        <w:t>2010 годах имели место вспышки дизентерии, сальмонеллеза, г</w:t>
      </w:r>
      <w:r>
        <w:t>е</w:t>
      </w:r>
      <w:r>
        <w:t>патита A и тифа, охватившие большое количество людей в школах, детских с</w:t>
      </w:r>
      <w:r>
        <w:t>а</w:t>
      </w:r>
      <w:r>
        <w:t>дах и общинах по причине зараженной воды и п</w:t>
      </w:r>
      <w:r>
        <w:t>и</w:t>
      </w:r>
      <w:r>
        <w:t>щи в городах. В 2010 году имелась следующая структура общего числа зарегистрированных случаев брюшных инфекционных заболеваний на национальном уровне: 54,5% прих</w:t>
      </w:r>
      <w:r>
        <w:t>о</w:t>
      </w:r>
      <w:r>
        <w:t>дилось на гепатит A, 23,2% – на дизентерию, 17,4% – на заболевание кистей рук, стоп и полости рта и 3,4% – на пищевые отра</w:t>
      </w:r>
      <w:r>
        <w:t>в</w:t>
      </w:r>
      <w:r>
        <w:t>ления.</w:t>
      </w:r>
    </w:p>
    <w:p w:rsidR="008F2FAC" w:rsidRDefault="008F2FAC" w:rsidP="008F2FAC">
      <w:pPr>
        <w:pStyle w:val="SingleTxtGR"/>
      </w:pPr>
      <w:r>
        <w:t>171.</w:t>
      </w:r>
      <w:r>
        <w:tab/>
        <w:t>За последние годы природные источники зоонозных инфекций получили быстрое распростран</w:t>
      </w:r>
      <w:r>
        <w:t>е</w:t>
      </w:r>
      <w:r>
        <w:t>ние, и наблюдается рост числа случаев сибирской язвы и акариазов.</w:t>
      </w:r>
    </w:p>
    <w:p w:rsidR="008F2FAC" w:rsidRDefault="008F2FAC" w:rsidP="008F2FAC">
      <w:pPr>
        <w:pStyle w:val="SingleTxtGR"/>
      </w:pPr>
      <w:r>
        <w:t>172.</w:t>
      </w:r>
      <w:r>
        <w:tab/>
        <w:t>В рамках всеобъемлющей национальной политики по профилактике ча</w:t>
      </w:r>
      <w:r>
        <w:t>с</w:t>
      </w:r>
      <w:r>
        <w:t>то встречающихся среди населения инфе</w:t>
      </w:r>
      <w:r w:rsidR="00957145">
        <w:t>кционных заболеваний и борьбы с</w:t>
      </w:r>
      <w:r w:rsidR="00957145">
        <w:rPr>
          <w:lang w:val="en-US"/>
        </w:rPr>
        <w:t> </w:t>
      </w:r>
      <w:r w:rsidR="00957145" w:rsidRPr="00957145">
        <w:t>ни</w:t>
      </w:r>
      <w:r>
        <w:t>ми, а также в соответствии с комплексным подходом к решению этого в</w:t>
      </w:r>
      <w:r>
        <w:t>о</w:t>
      </w:r>
      <w:r>
        <w:t>проса осуществлялась Национальная программа по борьбе с инфекционными забол</w:t>
      </w:r>
      <w:r>
        <w:t>е</w:t>
      </w:r>
      <w:r>
        <w:t>ваниями на 2002-2010 годы, включавшая шесть подпрограмм, а именно: по профилактике предупреждаемых вакцинацией инфекционных заболеваний и борьбе с ними, по профилактике брюшных инфекционных заболеваний и бор</w:t>
      </w:r>
      <w:r>
        <w:t>ь</w:t>
      </w:r>
      <w:r>
        <w:t>бе с ними, по профилактике зоонозных инфекций и природно-очаговых инфе</w:t>
      </w:r>
      <w:r>
        <w:t>к</w:t>
      </w:r>
      <w:r>
        <w:t>ционных заболеваний и борьбе с ними, по проф</w:t>
      </w:r>
      <w:r w:rsidR="00957145">
        <w:t>илактике туберкулеза и борьбе с </w:t>
      </w:r>
      <w:r>
        <w:t>ним, по профилактике ВИЧ/СПИДа/ИППП и борьбе с ними и по профилакт</w:t>
      </w:r>
      <w:r>
        <w:t>и</w:t>
      </w:r>
      <w:r>
        <w:t>ке других инфекционных заболеваний и борьбе с ними.</w:t>
      </w:r>
    </w:p>
    <w:p w:rsidR="008F2FAC" w:rsidRDefault="008F2FAC" w:rsidP="008F2FAC">
      <w:pPr>
        <w:pStyle w:val="SingleTxtGR"/>
      </w:pPr>
      <w:r>
        <w:t>173.</w:t>
      </w:r>
      <w:r>
        <w:tab/>
        <w:t>План действий по выполнению Нац</w:t>
      </w:r>
      <w:r w:rsidR="00957145">
        <w:t>иональной программы по борьбе с</w:t>
      </w:r>
      <w:r w:rsidR="00957145">
        <w:rPr>
          <w:lang w:val="en-US"/>
        </w:rPr>
        <w:t> </w:t>
      </w:r>
      <w:r w:rsidR="00957145" w:rsidRPr="00957145">
        <w:t>и</w:t>
      </w:r>
      <w:r>
        <w:t>нфекционными заболеваниями на период 2011</w:t>
      </w:r>
      <w:r w:rsidR="00957145" w:rsidRPr="00957145">
        <w:t>−</w:t>
      </w:r>
      <w:r>
        <w:t>2015 годов был утвержден совместным приказом Министра здравоохранения и Председателем национал</w:t>
      </w:r>
      <w:r>
        <w:t>ь</w:t>
      </w:r>
      <w:r>
        <w:t>ного комитета по развитию и инновациям.</w:t>
      </w:r>
    </w:p>
    <w:p w:rsidR="008F2FAC" w:rsidRDefault="008F2FAC" w:rsidP="008F2FAC">
      <w:pPr>
        <w:pStyle w:val="SingleTxtGR"/>
      </w:pPr>
      <w:r>
        <w:t>174.</w:t>
      </w:r>
      <w:r>
        <w:tab/>
        <w:t>Кроме того, правительство утвердило и претворяет в жизнь План раннего обнаружения вспышек инфекционных заболеваний и принятия соответству</w:t>
      </w:r>
      <w:r>
        <w:t>ю</w:t>
      </w:r>
      <w:r>
        <w:t>щих мер, Стратегию готовности к предупрежде</w:t>
      </w:r>
      <w:r w:rsidR="00957145">
        <w:t>нию птичьего гриппа и борьбы с</w:t>
      </w:r>
      <w:r w:rsidR="00957145">
        <w:rPr>
          <w:lang w:val="en-US"/>
        </w:rPr>
        <w:t> </w:t>
      </w:r>
      <w:r>
        <w:t>ним и Стратегический план по безопасной вакцинации.</w:t>
      </w:r>
    </w:p>
    <w:p w:rsidR="008F2FAC" w:rsidRDefault="008F2FAC" w:rsidP="008F2FAC">
      <w:pPr>
        <w:pStyle w:val="SingleTxtGR"/>
      </w:pPr>
      <w:r>
        <w:t>175.</w:t>
      </w:r>
      <w:r>
        <w:tab/>
        <w:t>С 2007 года Монголия внедряет Национальную систему наблюдения для раннего обнаружения вспышек инфекционных заболеваний и соответствующ</w:t>
      </w:r>
      <w:r>
        <w:t>е</w:t>
      </w:r>
      <w:r>
        <w:t>го реагирования в целях обеспечения выполн</w:t>
      </w:r>
      <w:r>
        <w:t>е</w:t>
      </w:r>
      <w:r>
        <w:t>ния Международных медико-санитарных правил (2005 год) и реализации Азиатско-тихоокеанской стр</w:t>
      </w:r>
      <w:r>
        <w:t>а</w:t>
      </w:r>
      <w:r>
        <w:t>тегии по новым инфекционным заболеваниям.</w:t>
      </w:r>
    </w:p>
    <w:p w:rsidR="008F2FAC" w:rsidRDefault="008F2FAC" w:rsidP="008F2FAC">
      <w:pPr>
        <w:pStyle w:val="SingleTxtGR"/>
      </w:pPr>
      <w:r>
        <w:t>176.</w:t>
      </w:r>
      <w:r>
        <w:tab/>
        <w:t xml:space="preserve">В рамках Национальной программы вакцинации в мае и октябре по всей стране проводится ежегодная кампания под названием </w:t>
      </w:r>
      <w:r w:rsidR="00C467DA">
        <w:t>"</w:t>
      </w:r>
      <w:r>
        <w:t>Десять дней вакцин</w:t>
      </w:r>
      <w:r>
        <w:t>а</w:t>
      </w:r>
      <w:r>
        <w:t>ции</w:t>
      </w:r>
      <w:r w:rsidR="00C467DA">
        <w:t>"</w:t>
      </w:r>
      <w:r>
        <w:t>. Руководители всех административных единиц, неправительственные о</w:t>
      </w:r>
      <w:r>
        <w:t>р</w:t>
      </w:r>
      <w:r>
        <w:t>ганизации и общины принимают активное участие в этой кампании, и это уч</w:t>
      </w:r>
      <w:r>
        <w:t>а</w:t>
      </w:r>
      <w:r>
        <w:t>стие все больше увеличивается. В прошлом году были сделаны прививки д</w:t>
      </w:r>
      <w:r>
        <w:t>о</w:t>
      </w:r>
      <w:r>
        <w:t>полнительно 2</w:t>
      </w:r>
      <w:r w:rsidR="00957145">
        <w:rPr>
          <w:lang w:val="en-US"/>
        </w:rPr>
        <w:t> </w:t>
      </w:r>
      <w:r>
        <w:t>000 детей, которые не были охвачены плановыми кампаниями вакцинации.</w:t>
      </w:r>
    </w:p>
    <w:p w:rsidR="008F2FAC" w:rsidRDefault="008F2FAC" w:rsidP="008F2FAC">
      <w:pPr>
        <w:pStyle w:val="SingleTxtGR"/>
      </w:pPr>
      <w:r>
        <w:t>177.</w:t>
      </w:r>
      <w:r>
        <w:tab/>
        <w:t>По состоянию на 2010 год были зарегистрированы следующие показатели по охвату прививками детей в возрасте до одног</w:t>
      </w:r>
      <w:r w:rsidR="00957145">
        <w:t>о года: прививки от туберкул</w:t>
      </w:r>
      <w:r w:rsidR="00957145">
        <w:t>е</w:t>
      </w:r>
      <w:r w:rsidR="00957145">
        <w:t>за</w:t>
      </w:r>
      <w:r w:rsidR="00957145">
        <w:rPr>
          <w:lang w:val="en-US"/>
        </w:rPr>
        <w:t> </w:t>
      </w:r>
      <w:r>
        <w:t xml:space="preserve">– 98,5%, прививки от полиомиелита – 96,5%, пентавелентная вакцина или комбинированная вакцина </w:t>
      </w:r>
      <w:r w:rsidR="00C467DA">
        <w:t>"</w:t>
      </w:r>
      <w:r>
        <w:t>пять в одной</w:t>
      </w:r>
      <w:r w:rsidR="00C467DA">
        <w:t>"</w:t>
      </w:r>
      <w:r>
        <w:t xml:space="preserve"> (от дифтерии, столбняка, коклюша, гепатита B и гемофильной инфекции типа B) – 96,1%, вакцина от гепатита B – 98,1% и тривакцина (от кори, свинки и краснухи) – 94,9%.</w:t>
      </w:r>
    </w:p>
    <w:p w:rsidR="008F2FAC" w:rsidRDefault="008F2FAC" w:rsidP="008F2FAC">
      <w:pPr>
        <w:pStyle w:val="SingleTxtGR"/>
      </w:pPr>
      <w:r>
        <w:t>178.</w:t>
      </w:r>
      <w:r>
        <w:tab/>
        <w:t>В результате успешного осуществления Национальной программы ва</w:t>
      </w:r>
      <w:r>
        <w:t>к</w:t>
      </w:r>
      <w:r>
        <w:t>цинации и других мероприятий в области здравоохранения не было зарегистр</w:t>
      </w:r>
      <w:r>
        <w:t>и</w:t>
      </w:r>
      <w:r>
        <w:t>ровано случаев предупреждаемых вакцинацией заболеваний, а именно – кори, дифтерии, столбняка и коклюша.</w:t>
      </w:r>
    </w:p>
    <w:p w:rsidR="004C0EAC" w:rsidRDefault="008F2FAC" w:rsidP="00957145">
      <w:pPr>
        <w:pStyle w:val="Heading1"/>
        <w:spacing w:after="120"/>
        <w:ind w:left="1134"/>
        <w:jc w:val="left"/>
        <w:rPr>
          <w:lang w:val="en-US"/>
        </w:rPr>
      </w:pPr>
      <w:r w:rsidRPr="00957145">
        <w:rPr>
          <w:b w:val="0"/>
        </w:rPr>
        <w:t>Диаграмма 5</w:t>
      </w:r>
      <w:r w:rsidR="00957145" w:rsidRPr="00957145">
        <w:rPr>
          <w:b w:val="0"/>
        </w:rPr>
        <w:br/>
      </w:r>
      <w:r>
        <w:t>Заболеваемость корью и охват прививками (2000</w:t>
      </w:r>
      <w:r w:rsidR="00957145" w:rsidRPr="00957145">
        <w:t>−</w:t>
      </w:r>
      <w:r>
        <w:t>2010 годы)</w:t>
      </w:r>
    </w:p>
    <w:p w:rsidR="00957145" w:rsidRDefault="00E83A38" w:rsidP="00E84ABB">
      <w:pPr>
        <w:ind w:left="1134"/>
        <w:rPr>
          <w:lang w:val="en-US" w:eastAsia="ru-RU"/>
        </w:rPr>
      </w:pPr>
      <w:r>
        <w:rPr>
          <w:noProof/>
          <w:w w:val="100"/>
          <w:lang w:eastAsia="ru-RU"/>
        </w:rPr>
        <w:pict>
          <v:shape id="_x0000_s1102" type="#_x0000_t202" style="position:absolute;left:0;text-align:left;margin-left:140.95pt;margin-top:179.4pt;width:124.85pt;height:24.55pt;z-index:15" stroked="f">
            <v:textbox inset="0,0,0,0">
              <w:txbxContent>
                <w:p w:rsidR="00033699" w:rsidRPr="00B965F5" w:rsidRDefault="00033699" w:rsidP="004C1D39">
                  <w:pPr>
                    <w:spacing w:line="216" w:lineRule="auto"/>
                    <w:ind w:left="113"/>
                    <w:rPr>
                      <w:spacing w:val="0"/>
                      <w:w w:val="100"/>
                      <w:sz w:val="18"/>
                      <w:szCs w:val="18"/>
                    </w:rPr>
                  </w:pPr>
                  <w:r w:rsidRPr="00B965F5">
                    <w:rPr>
                      <w:spacing w:val="0"/>
                      <w:w w:val="100"/>
                      <w:sz w:val="18"/>
                      <w:szCs w:val="18"/>
                    </w:rPr>
                    <w:t xml:space="preserve">Количество случаев </w:t>
                  </w:r>
                  <w:r w:rsidRPr="00B965F5">
                    <w:rPr>
                      <w:spacing w:val="0"/>
                      <w:w w:val="100"/>
                      <w:sz w:val="18"/>
                      <w:szCs w:val="18"/>
                      <w:lang w:val="en-US"/>
                    </w:rPr>
                    <w:br/>
                  </w:r>
                  <w:r w:rsidRPr="00B965F5">
                    <w:rPr>
                      <w:spacing w:val="0"/>
                      <w:w w:val="100"/>
                      <w:sz w:val="18"/>
                      <w:szCs w:val="18"/>
                    </w:rPr>
                    <w:t>на</w:t>
                  </w:r>
                  <w:r w:rsidRPr="00B965F5">
                    <w:rPr>
                      <w:spacing w:val="0"/>
                      <w:w w:val="100"/>
                      <w:sz w:val="18"/>
                      <w:szCs w:val="18"/>
                      <w:lang w:val="en-GB"/>
                    </w:rPr>
                    <w:t xml:space="preserve"> 10</w:t>
                  </w:r>
                  <w:r w:rsidRPr="00B965F5">
                    <w:rPr>
                      <w:spacing w:val="0"/>
                      <w:w w:val="100"/>
                      <w:sz w:val="18"/>
                      <w:szCs w:val="18"/>
                    </w:rPr>
                    <w:t xml:space="preserve"> </w:t>
                  </w:r>
                  <w:r w:rsidRPr="00B965F5">
                    <w:rPr>
                      <w:spacing w:val="0"/>
                      <w:w w:val="100"/>
                      <w:sz w:val="18"/>
                      <w:szCs w:val="18"/>
                      <w:lang w:val="en-GB"/>
                    </w:rPr>
                    <w:t>000</w:t>
                  </w:r>
                  <w:r w:rsidRPr="00B965F5">
                    <w:rPr>
                      <w:spacing w:val="0"/>
                      <w:w w:val="100"/>
                      <w:sz w:val="18"/>
                      <w:szCs w:val="18"/>
                    </w:rPr>
                    <w:t xml:space="preserve"> чел</w:t>
                  </w:r>
                  <w:r w:rsidRPr="00B965F5">
                    <w:rPr>
                      <w:spacing w:val="0"/>
                      <w:w w:val="100"/>
                      <w:sz w:val="18"/>
                      <w:szCs w:val="18"/>
                    </w:rPr>
                    <w:t>о</w:t>
                  </w:r>
                  <w:r w:rsidRPr="00B965F5">
                    <w:rPr>
                      <w:spacing w:val="0"/>
                      <w:w w:val="100"/>
                      <w:sz w:val="18"/>
                      <w:szCs w:val="18"/>
                    </w:rPr>
                    <w:t>век</w:t>
                  </w:r>
                </w:p>
              </w:txbxContent>
            </v:textbox>
          </v:shape>
        </w:pict>
      </w:r>
      <w:r w:rsidR="004C1D39">
        <w:rPr>
          <w:noProof/>
          <w:w w:val="100"/>
          <w:lang w:eastAsia="ru-RU"/>
        </w:rPr>
        <w:pict>
          <v:shape id="_x0000_s1103" type="#_x0000_t202" style="position:absolute;left:0;text-align:left;margin-left:4in;margin-top:180.45pt;width:108pt;height:15.55pt;z-index:16" stroked="f">
            <v:textbox inset="0,0,0,0">
              <w:txbxContent>
                <w:p w:rsidR="00033699" w:rsidRPr="00B965F5" w:rsidRDefault="00033699" w:rsidP="004C1D39">
                  <w:pPr>
                    <w:ind w:left="113"/>
                    <w:rPr>
                      <w:sz w:val="18"/>
                      <w:szCs w:val="18"/>
                    </w:rPr>
                  </w:pPr>
                  <w:r w:rsidRPr="00B965F5">
                    <w:rPr>
                      <w:sz w:val="18"/>
                      <w:szCs w:val="18"/>
                    </w:rPr>
                    <w:t>Прививки</w:t>
                  </w:r>
                </w:p>
              </w:txbxContent>
            </v:textbox>
          </v:shape>
        </w:pict>
      </w:r>
      <w:r w:rsidR="00E84ABB">
        <w:rPr>
          <w:noProof/>
          <w:w w:val="100"/>
          <w:lang w:eastAsia="ru-RU"/>
        </w:rPr>
      </w:r>
      <w:r w:rsidR="00E84ABB" w:rsidRPr="00E84ABB">
        <w:rPr>
          <w:lang w:val="en-US" w:eastAsia="ru-RU"/>
        </w:rPr>
        <w:pict>
          <v:shape id="_x0000_s1101" type="#_x0000_t75" style="width:361.45pt;height:192.75pt;mso-position-horizontal-relative:char;mso-position-vertical-relative:line">
            <v:imagedata r:id="rId19" o:title=""/>
            <w10:anchorlock/>
          </v:shape>
        </w:pict>
      </w:r>
    </w:p>
    <w:p w:rsidR="00E84ABB" w:rsidRDefault="00E84ABB" w:rsidP="00E84ABB">
      <w:pPr>
        <w:ind w:left="1134"/>
        <w:rPr>
          <w:lang w:val="en-US" w:eastAsia="ru-RU"/>
        </w:rPr>
      </w:pPr>
    </w:p>
    <w:p w:rsidR="00E83A38" w:rsidRDefault="00E83A38" w:rsidP="00E83A38">
      <w:pPr>
        <w:pStyle w:val="SingleTxtGR"/>
      </w:pPr>
      <w:r>
        <w:t>179.</w:t>
      </w:r>
      <w:r>
        <w:tab/>
        <w:t xml:space="preserve">При поддержке Глобального альянса в отношении вакцин и иммунизации (ГАВИ) была внедрена пентавелентная вакцина или комбинированная вакцина </w:t>
      </w:r>
      <w:r w:rsidR="00C467DA">
        <w:t>"</w:t>
      </w:r>
      <w:r>
        <w:t>пять в одной</w:t>
      </w:r>
      <w:r w:rsidR="00C467DA">
        <w:t>"</w:t>
      </w:r>
      <w:r>
        <w:t xml:space="preserve"> (от дифтерии, столбняка, коклюша, гепатита B и гемофильной инфекции типа B), что дало возможность одним уколом делать прививку от п</w:t>
      </w:r>
      <w:r>
        <w:t>я</w:t>
      </w:r>
      <w:r>
        <w:t>ти различных детских болезней. В 2008 году в рамках дополнительной расш</w:t>
      </w:r>
      <w:r>
        <w:t>и</w:t>
      </w:r>
      <w:r>
        <w:t>ренной кампании по вакцинации свыше 200 000 детей были привиты от мени</w:t>
      </w:r>
      <w:r>
        <w:t>н</w:t>
      </w:r>
      <w:r>
        <w:t>гококковой инфекции. В результате удалось пре</w:t>
      </w:r>
      <w:r w:rsidR="00450CF2">
        <w:t>дохранить от менингита свыше 30</w:t>
      </w:r>
      <w:r w:rsidR="00450CF2">
        <w:rPr>
          <w:lang w:val="en-US"/>
        </w:rPr>
        <w:t> </w:t>
      </w:r>
      <w:r>
        <w:t>000 детей, и было спасено примерно 4</w:t>
      </w:r>
      <w:r w:rsidR="00450CF2">
        <w:rPr>
          <w:lang w:val="en-US"/>
        </w:rPr>
        <w:t> </w:t>
      </w:r>
      <w:r>
        <w:t>000 детских жизней.</w:t>
      </w:r>
    </w:p>
    <w:p w:rsidR="00E83A38" w:rsidRDefault="00E83A38" w:rsidP="00E83A38">
      <w:pPr>
        <w:pStyle w:val="SingleTxtGR"/>
      </w:pPr>
      <w:r>
        <w:t>180.</w:t>
      </w:r>
      <w:r>
        <w:tab/>
        <w:t>В 2010 году от полиомиелита были привиты дети в возрасте от 5 месяцев до 6 лет, при этом охват составил 92% благодаря дополнительной вакцинации, направленной на предотвращение передачи дикого полиовируса (тип I), в</w:t>
      </w:r>
      <w:r>
        <w:t>ы</w:t>
      </w:r>
      <w:r>
        <w:t>звавшего случаи заболевания полиомиелитом, которые были зарегистриров</w:t>
      </w:r>
      <w:r>
        <w:t>а</w:t>
      </w:r>
      <w:r>
        <w:t>ны в Иркутске, Российская Федерация.</w:t>
      </w:r>
    </w:p>
    <w:p w:rsidR="00E83A38" w:rsidRDefault="00E83A38" w:rsidP="00E83A38">
      <w:pPr>
        <w:pStyle w:val="SingleTxtGR"/>
      </w:pPr>
      <w:r>
        <w:t>181.</w:t>
      </w:r>
      <w:r>
        <w:tab/>
        <w:t>С сентября 2009 года в Национальную программу вакцинации была та</w:t>
      </w:r>
      <w:r>
        <w:t>к</w:t>
      </w:r>
      <w:r>
        <w:t>же включена тривакцина (от кори, свинки и краснухи). Благодаря тривакцине за один укол осуществляется прививка от трех различных детских болезней, и, т</w:t>
      </w:r>
      <w:r>
        <w:t>а</w:t>
      </w:r>
      <w:r>
        <w:t>ким образом, в стране можно искоренить корь и краснуху.</w:t>
      </w:r>
    </w:p>
    <w:p w:rsidR="00E83A38" w:rsidRDefault="00E83A38" w:rsidP="00E83A38">
      <w:pPr>
        <w:pStyle w:val="SingleTxtGR"/>
      </w:pPr>
      <w:r>
        <w:t>182.</w:t>
      </w:r>
      <w:r>
        <w:tab/>
        <w:t>В результате осуществления Национальной программы вакцинации уд</w:t>
      </w:r>
      <w:r>
        <w:t>а</w:t>
      </w:r>
      <w:r>
        <w:t>лось искоренить столбняк и полиомиелит, и охват вакцинацией (детей в возра</w:t>
      </w:r>
      <w:r>
        <w:t>с</w:t>
      </w:r>
      <w:r>
        <w:t>те до одного года) от семи различных заболеваний остается постоянно шир</w:t>
      </w:r>
      <w:r>
        <w:t>о</w:t>
      </w:r>
      <w:r>
        <w:t>ким (&gt;95%).</w:t>
      </w:r>
    </w:p>
    <w:p w:rsidR="00E83A38" w:rsidRDefault="00E83A38" w:rsidP="00450CF2">
      <w:pPr>
        <w:pStyle w:val="Heading1"/>
        <w:spacing w:after="120"/>
        <w:ind w:left="1134"/>
        <w:jc w:val="left"/>
        <w:rPr>
          <w:lang w:val="en-US"/>
        </w:rPr>
      </w:pPr>
      <w:r w:rsidRPr="00450CF2">
        <w:rPr>
          <w:b w:val="0"/>
        </w:rPr>
        <w:t>Диаграмма 6</w:t>
      </w:r>
      <w:r w:rsidR="00450CF2" w:rsidRPr="00450CF2">
        <w:rPr>
          <w:b w:val="0"/>
        </w:rPr>
        <w:br/>
      </w:r>
      <w:r>
        <w:t>Заболеваемость гепатитом B и охват прививками (2000</w:t>
      </w:r>
      <w:r w:rsidR="00450CF2" w:rsidRPr="00450CF2">
        <w:t>−</w:t>
      </w:r>
      <w:r>
        <w:t>2010 г</w:t>
      </w:r>
      <w:r>
        <w:t>о</w:t>
      </w:r>
      <w:r>
        <w:t>ды)</w:t>
      </w:r>
    </w:p>
    <w:p w:rsidR="00450CF2" w:rsidRDefault="00C20DC2" w:rsidP="003151ED">
      <w:pPr>
        <w:ind w:left="1134"/>
        <w:rPr>
          <w:lang w:val="en-US" w:eastAsia="ru-RU"/>
        </w:rPr>
      </w:pPr>
      <w:r>
        <w:rPr>
          <w:noProof/>
          <w:w w:val="100"/>
          <w:lang w:eastAsia="ru-RU"/>
        </w:rPr>
        <w:pict>
          <v:shape id="_x0000_s1105" type="#_x0000_t202" style="position:absolute;left:0;text-align:left;margin-left:153pt;margin-top:184pt;width:117pt;height:22.3pt;z-index:17" stroked="f">
            <v:textbox inset="0,0,0,0">
              <w:txbxContent>
                <w:p w:rsidR="00033699" w:rsidRPr="00B965F5" w:rsidRDefault="00033699" w:rsidP="00C20DC2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B965F5">
                    <w:rPr>
                      <w:sz w:val="18"/>
                      <w:szCs w:val="18"/>
                    </w:rPr>
                    <w:t xml:space="preserve">Количество случаев </w:t>
                  </w:r>
                  <w:r w:rsidRPr="00B965F5">
                    <w:rPr>
                      <w:sz w:val="18"/>
                      <w:szCs w:val="18"/>
                      <w:lang w:val="en-US"/>
                    </w:rPr>
                    <w:br/>
                  </w:r>
                  <w:r w:rsidRPr="00B965F5">
                    <w:rPr>
                      <w:sz w:val="18"/>
                      <w:szCs w:val="18"/>
                    </w:rPr>
                    <w:t>на 10 000 человек</w:t>
                  </w:r>
                </w:p>
              </w:txbxContent>
            </v:textbox>
          </v:shape>
        </w:pict>
      </w:r>
      <w:r w:rsidR="003151ED">
        <w:rPr>
          <w:noProof/>
          <w:w w:val="100"/>
          <w:lang w:eastAsia="ru-RU"/>
        </w:rPr>
        <w:pict>
          <v:shape id="_x0000_s1106" type="#_x0000_t202" style="position:absolute;left:0;text-align:left;margin-left:299.95pt;margin-top:183.7pt;width:123.05pt;height:18.3pt;z-index:18" stroked="f">
            <v:textbox inset="0,0,0,0">
              <w:txbxContent>
                <w:p w:rsidR="00033699" w:rsidRPr="00B965F5" w:rsidRDefault="00033699">
                  <w:pPr>
                    <w:rPr>
                      <w:sz w:val="18"/>
                      <w:szCs w:val="18"/>
                    </w:rPr>
                  </w:pPr>
                  <w:r w:rsidRPr="00B965F5">
                    <w:rPr>
                      <w:sz w:val="18"/>
                      <w:szCs w:val="18"/>
                    </w:rPr>
                    <w:t>Прививки</w:t>
                  </w:r>
                </w:p>
              </w:txbxContent>
            </v:textbox>
          </v:shape>
        </w:pict>
      </w:r>
      <w:r w:rsidR="003151ED">
        <w:rPr>
          <w:noProof/>
          <w:w w:val="100"/>
          <w:lang w:eastAsia="ru-RU"/>
        </w:rPr>
      </w:r>
      <w:r w:rsidR="003151ED" w:rsidRPr="003151ED">
        <w:rPr>
          <w:lang w:val="en-US" w:eastAsia="ru-RU"/>
        </w:rPr>
        <w:pict>
          <v:shape id="_x0000_s1104" type="#_x0000_t75" style="width:395.2pt;height:197.25pt;mso-position-horizontal-relative:char;mso-position-vertical-relative:line">
            <v:imagedata r:id="rId20" o:title=""/>
            <w10:anchorlock/>
          </v:shape>
        </w:pict>
      </w:r>
    </w:p>
    <w:p w:rsidR="003151ED" w:rsidRDefault="003151ED" w:rsidP="003151ED">
      <w:pPr>
        <w:ind w:left="1134"/>
        <w:rPr>
          <w:lang w:val="en-US" w:eastAsia="ru-RU"/>
        </w:rPr>
      </w:pPr>
    </w:p>
    <w:p w:rsidR="007825FF" w:rsidRPr="007825FF" w:rsidRDefault="007825FF" w:rsidP="007825FF">
      <w:pPr>
        <w:pStyle w:val="SingleTxtGR"/>
        <w:suppressAutoHyphens/>
        <w:spacing w:after="240" w:line="220" w:lineRule="exact"/>
        <w:ind w:firstLine="170"/>
        <w:jc w:val="left"/>
        <w:rPr>
          <w:sz w:val="18"/>
          <w:szCs w:val="18"/>
        </w:rPr>
      </w:pPr>
      <w:r w:rsidRPr="007825FF">
        <w:rPr>
          <w:i/>
          <w:sz w:val="18"/>
          <w:szCs w:val="18"/>
        </w:rPr>
        <w:t>Источник</w:t>
      </w:r>
      <w:r w:rsidRPr="007825FF">
        <w:rPr>
          <w:sz w:val="18"/>
          <w:szCs w:val="18"/>
        </w:rPr>
        <w:t>: Департамент здравоохранения, правительственное исполнительное учреждение, 2010 год.</w:t>
      </w:r>
    </w:p>
    <w:p w:rsidR="007825FF" w:rsidRDefault="007825FF" w:rsidP="007825FF">
      <w:pPr>
        <w:pStyle w:val="SingleTxtGR"/>
      </w:pPr>
      <w:r>
        <w:t>183.</w:t>
      </w:r>
      <w:r>
        <w:tab/>
        <w:t>Тогда как согласно исследованиям, проведенным в 2005 и 2007 годах, уровень распространенн</w:t>
      </w:r>
      <w:r>
        <w:t>о</w:t>
      </w:r>
      <w:r>
        <w:t xml:space="preserve">сти поверхностного антигена вируса гепатита B среди детей в возрасте до пяти лет составлял 5−7%, он снизился до 0,58% – целевого уровня ВОЗ, как это показали данные </w:t>
      </w:r>
      <w:r w:rsidR="00C467DA">
        <w:t>"</w:t>
      </w:r>
      <w:r>
        <w:t>Второго национального исследования итогов массовой вакцинации от гепатита B в Монголии</w:t>
      </w:r>
      <w:r w:rsidR="00C467DA">
        <w:t>"</w:t>
      </w:r>
      <w:r>
        <w:t>, проведенного в 2010 году.</w:t>
      </w:r>
    </w:p>
    <w:p w:rsidR="007825FF" w:rsidRDefault="007825FF" w:rsidP="007825FF">
      <w:pPr>
        <w:pStyle w:val="SingleTxtGR"/>
      </w:pPr>
      <w:r>
        <w:t>184.</w:t>
      </w:r>
      <w:r>
        <w:tab/>
        <w:t>Несмотря на расширение охвата прививками и сокращения числа случаев предупреждаемых вакцинацией заболеваний, в некоторых сомонах и багах не был достигнут целевой уровень охвата приви</w:t>
      </w:r>
      <w:r>
        <w:t>в</w:t>
      </w:r>
      <w:r>
        <w:t>ками.</w:t>
      </w:r>
    </w:p>
    <w:p w:rsidR="007825FF" w:rsidRDefault="007825FF" w:rsidP="007825FF">
      <w:pPr>
        <w:pStyle w:val="SingleTxtGR"/>
      </w:pPr>
      <w:r>
        <w:t>185.</w:t>
      </w:r>
      <w:r>
        <w:tab/>
        <w:t>Вакцинация 70% всех детей, живущих в отдаленных районах, произв</w:t>
      </w:r>
      <w:r>
        <w:t>о</w:t>
      </w:r>
      <w:r>
        <w:t>дится выездными бригад</w:t>
      </w:r>
      <w:r>
        <w:t>а</w:t>
      </w:r>
      <w:r>
        <w:t>ми. Такой способ проведения вакцинации не является экономически эффективным; кроме того, в каждом сомоне примерно 20−30 д</w:t>
      </w:r>
      <w:r>
        <w:t>е</w:t>
      </w:r>
      <w:r>
        <w:t>тей не проходят ежегодную плановую вакцинацию и должны охватываться д</w:t>
      </w:r>
      <w:r>
        <w:t>о</w:t>
      </w:r>
      <w:r>
        <w:t xml:space="preserve">полнительной серией прививок в рамках кампании по вакцинации </w:t>
      </w:r>
      <w:r w:rsidR="00C467DA">
        <w:t>"</w:t>
      </w:r>
      <w:r>
        <w:t>Десять дней прививок</w:t>
      </w:r>
      <w:r w:rsidR="00C467DA">
        <w:t>"</w:t>
      </w:r>
      <w:r>
        <w:t>. По-прежнему существуют некоторые недостатки, такие как отсутс</w:t>
      </w:r>
      <w:r>
        <w:t>т</w:t>
      </w:r>
      <w:r>
        <w:t>вие необходимого финансирования технического обслуживания и ремонта об</w:t>
      </w:r>
      <w:r>
        <w:t>о</w:t>
      </w:r>
      <w:r>
        <w:t>рудования для холодовой цепи, национальной плановой вакцинации и испол</w:t>
      </w:r>
      <w:r>
        <w:t>ь</w:t>
      </w:r>
      <w:r>
        <w:t>зуемого для нее оборудования и устройств, а также вакцинации выездными бригадами.</w:t>
      </w:r>
    </w:p>
    <w:p w:rsidR="007825FF" w:rsidRDefault="007825FF" w:rsidP="007825FF">
      <w:pPr>
        <w:pStyle w:val="SingleTxtGR"/>
      </w:pPr>
      <w:r>
        <w:t>186.</w:t>
      </w:r>
      <w:r>
        <w:tab/>
        <w:t>В дальнейшем необходимо предусмотреть следующее:</w:t>
      </w:r>
    </w:p>
    <w:p w:rsidR="007825FF" w:rsidRDefault="007825FF" w:rsidP="007825FF">
      <w:pPr>
        <w:pStyle w:val="Bullet1GR"/>
      </w:pPr>
      <w:r>
        <w:t>поэтапно включить вакцину от гепатита A в Национальную программу вакцинации;</w:t>
      </w:r>
    </w:p>
    <w:p w:rsidR="007825FF" w:rsidRDefault="007825FF" w:rsidP="007825FF">
      <w:pPr>
        <w:pStyle w:val="Bullet1GR"/>
      </w:pPr>
      <w:r>
        <w:t>поддерживать статус полного искоренения полиомиелита;</w:t>
      </w:r>
    </w:p>
    <w:p w:rsidR="007825FF" w:rsidRDefault="007825FF" w:rsidP="007825FF">
      <w:pPr>
        <w:pStyle w:val="Bullet1GR"/>
      </w:pPr>
      <w:r>
        <w:t>укрепить систему раннего обнаружения вспышек инфекционных забол</w:t>
      </w:r>
      <w:r>
        <w:t>е</w:t>
      </w:r>
      <w:r>
        <w:t>ваний и соответствующего реагирования и искоренить корь;</w:t>
      </w:r>
    </w:p>
    <w:p w:rsidR="007825FF" w:rsidRDefault="007825FF" w:rsidP="007825FF">
      <w:pPr>
        <w:pStyle w:val="Bullet1GR"/>
      </w:pPr>
      <w:r>
        <w:t>укрепить потенциал профессиональных организаций;</w:t>
      </w:r>
    </w:p>
    <w:p w:rsidR="007825FF" w:rsidRDefault="007825FF" w:rsidP="007825FF">
      <w:pPr>
        <w:pStyle w:val="Bullet1GR"/>
      </w:pPr>
      <w:r>
        <w:t>расширить возможности и улучшить готовность лабораторий; и</w:t>
      </w:r>
    </w:p>
    <w:p w:rsidR="007825FF" w:rsidRDefault="007825FF" w:rsidP="007825FF">
      <w:pPr>
        <w:pStyle w:val="Bullet1GR"/>
      </w:pPr>
      <w:r>
        <w:t>обеспечить медико-санитарное просвещение и повысить осведомле</w:t>
      </w:r>
      <w:r>
        <w:t>н</w:t>
      </w:r>
      <w:r>
        <w:t>ность общественности в в</w:t>
      </w:r>
      <w:r>
        <w:t>о</w:t>
      </w:r>
      <w:r>
        <w:t>просах здорового образа жизни.</w:t>
      </w:r>
    </w:p>
    <w:p w:rsidR="007825FF" w:rsidRDefault="007825FF" w:rsidP="00B1122E">
      <w:pPr>
        <w:pStyle w:val="H4GR"/>
        <w:spacing w:before="240"/>
        <w:ind w:left="1134" w:hanging="1134"/>
      </w:pPr>
      <w:r>
        <w:tab/>
      </w:r>
      <w:r>
        <w:tab/>
        <w:t xml:space="preserve">Создание условий, которые обеспечат каждому медицинскую помощь </w:t>
      </w:r>
      <w:r w:rsidR="00B1122E">
        <w:br/>
      </w:r>
      <w:r>
        <w:t>и уход в случае болезни</w:t>
      </w:r>
    </w:p>
    <w:p w:rsidR="007825FF" w:rsidRDefault="007825FF" w:rsidP="007825FF">
      <w:pPr>
        <w:pStyle w:val="SingleTxtGR"/>
      </w:pPr>
      <w:r>
        <w:t>187.</w:t>
      </w:r>
      <w:r>
        <w:tab/>
        <w:t>В соответствии с законами и нормативными актами, принятыми в Монг</w:t>
      </w:r>
      <w:r>
        <w:t>о</w:t>
      </w:r>
      <w:r>
        <w:t>лии, оказываемая медицинская помощь имеет трехуровневую структуру: пе</w:t>
      </w:r>
      <w:r>
        <w:t>р</w:t>
      </w:r>
      <w:r>
        <w:t>вичный, вторичный и третичный уровень мед</w:t>
      </w:r>
      <w:r>
        <w:t>и</w:t>
      </w:r>
      <w:r>
        <w:t>цинской помощи. На первичном уровне в Улан-Баторе медицинская помощь оказывается амбулаториями семе</w:t>
      </w:r>
      <w:r>
        <w:t>й</w:t>
      </w:r>
      <w:r>
        <w:t>ной медицины, тогда как в аймаках (провинциях) такая помощь оказывается в сомонных и межс</w:t>
      </w:r>
      <w:r>
        <w:t>о</w:t>
      </w:r>
      <w:r>
        <w:t>монных больницах. Медицинская помощь вторичного уровня оказывается районными больницами в Улан-Баторе и соответственно больн</w:t>
      </w:r>
      <w:r>
        <w:t>и</w:t>
      </w:r>
      <w:r>
        <w:t>цами аймаков и сельскими больницами общего профиля в аймаках. Медици</w:t>
      </w:r>
      <w:r>
        <w:t>н</w:t>
      </w:r>
      <w:r>
        <w:t>ская помощь третичного уровня оказывается крупными государственными больницами и специализированными медицинским</w:t>
      </w:r>
      <w:r w:rsidR="00B1122E">
        <w:t>и центрами в Улан-Баторе, а </w:t>
      </w:r>
      <w:r>
        <w:t>также региональными диагностическими и лечебными центрами в аймаках. По состоянию на 2010 год в Монголии функционировало 16 центральных бол</w:t>
      </w:r>
      <w:r>
        <w:t>ь</w:t>
      </w:r>
      <w:r>
        <w:t>ниц и специализированных медицинских центров, 4 региональных и диагн</w:t>
      </w:r>
      <w:r>
        <w:t>о</w:t>
      </w:r>
      <w:r>
        <w:t>стических и лечебных центров, 17 больниц общего профиля в аймаках, 12 о</w:t>
      </w:r>
      <w:r>
        <w:t>к</w:t>
      </w:r>
      <w:r>
        <w:t>ружных больниц общего профиля, 6 сель</w:t>
      </w:r>
      <w:r w:rsidR="00B1122E">
        <w:t>ских больниц общего профиля, 37 </w:t>
      </w:r>
      <w:r>
        <w:t>межсомонных больниц, 274 сомонных больницы, 218 амбулаторий семейной медицины и 1</w:t>
      </w:r>
      <w:r w:rsidR="00B1122E">
        <w:t> </w:t>
      </w:r>
      <w:r>
        <w:t>113 частных больниц и клиник.</w:t>
      </w:r>
    </w:p>
    <w:p w:rsidR="007825FF" w:rsidRDefault="007825FF" w:rsidP="00B1122E">
      <w:pPr>
        <w:pStyle w:val="Heading1"/>
        <w:spacing w:after="120"/>
        <w:ind w:left="1134"/>
        <w:jc w:val="left"/>
      </w:pPr>
      <w:r w:rsidRPr="00B1122E">
        <w:rPr>
          <w:b w:val="0"/>
        </w:rPr>
        <w:t>Диаграмма 7</w:t>
      </w:r>
      <w:r w:rsidR="00B1122E" w:rsidRPr="00B1122E">
        <w:rPr>
          <w:b w:val="0"/>
        </w:rPr>
        <w:br/>
      </w:r>
      <w:r>
        <w:t xml:space="preserve">Некоторые показатели в сфере оказания медицинских услуг и охвата </w:t>
      </w:r>
      <w:r w:rsidR="00B1122E">
        <w:br/>
      </w:r>
      <w:r>
        <w:t>ими нас</w:t>
      </w:r>
      <w:r>
        <w:t>е</w:t>
      </w:r>
      <w:r>
        <w:t>ления в 2004</w:t>
      </w:r>
      <w:r w:rsidR="00B1122E">
        <w:t>−</w:t>
      </w:r>
      <w:r>
        <w:t>2010 годах</w:t>
      </w:r>
    </w:p>
    <w:p w:rsidR="00B1122E" w:rsidRDefault="00223E8B" w:rsidP="006C782D">
      <w:pPr>
        <w:ind w:left="1134"/>
        <w:rPr>
          <w:lang w:eastAsia="ru-RU"/>
        </w:rPr>
      </w:pPr>
      <w:r>
        <w:rPr>
          <w:noProof/>
          <w:w w:val="100"/>
          <w:lang w:eastAsia="ru-RU"/>
        </w:rPr>
        <w:pict>
          <v:shape id="_x0000_s1108" type="#_x0000_t202" style="position:absolute;left:0;text-align:left;margin-left:138.6pt;margin-top:146.55pt;width:141.1pt;height:26.5pt;z-index:19" stroked="f">
            <v:textbox inset="0,0,0,0">
              <w:txbxContent>
                <w:p w:rsidR="00033699" w:rsidRPr="007D4571" w:rsidRDefault="00033699" w:rsidP="007D4571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D4571">
                    <w:rPr>
                      <w:sz w:val="16"/>
                      <w:szCs w:val="16"/>
                    </w:rPr>
                    <w:t xml:space="preserve">Количество больничных коек </w:t>
                  </w:r>
                  <w:r w:rsidRPr="007D4571">
                    <w:rPr>
                      <w:sz w:val="16"/>
                      <w:szCs w:val="16"/>
                    </w:rPr>
                    <w:br/>
                    <w:t>на 10 000 человек</w:t>
                  </w:r>
                </w:p>
                <w:p w:rsidR="00033699" w:rsidRPr="007D4571" w:rsidRDefault="00033699" w:rsidP="007D4571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D4571">
                    <w:rPr>
                      <w:sz w:val="16"/>
                      <w:szCs w:val="16"/>
                    </w:rPr>
                    <w:t xml:space="preserve">Количество врачей </w:t>
                  </w:r>
                  <w:r>
                    <w:rPr>
                      <w:sz w:val="16"/>
                      <w:szCs w:val="16"/>
                    </w:rPr>
                    <w:t xml:space="preserve">на </w:t>
                  </w:r>
                  <w:r w:rsidRPr="007D4571">
                    <w:rPr>
                      <w:sz w:val="16"/>
                      <w:szCs w:val="16"/>
                    </w:rPr>
                    <w:t>10 000 человек</w:t>
                  </w:r>
                </w:p>
              </w:txbxContent>
            </v:textbox>
          </v:shape>
        </w:pict>
      </w:r>
      <w:r>
        <w:rPr>
          <w:noProof/>
          <w:w w:val="100"/>
          <w:lang w:eastAsia="ru-RU"/>
        </w:rPr>
        <w:pict>
          <v:shape id="_x0000_s1109" type="#_x0000_t202" style="position:absolute;left:0;text-align:left;margin-left:293.95pt;margin-top:144.45pt;width:134.6pt;height:25.2pt;z-index:20" stroked="f">
            <v:textbox inset="0,0,0,0">
              <w:txbxContent>
                <w:p w:rsidR="00033699" w:rsidRDefault="00033699" w:rsidP="007D4571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Количество среднего медицинского персонала на </w:t>
                  </w:r>
                  <w:r w:rsidRPr="00175182">
                    <w:rPr>
                      <w:sz w:val="16"/>
                      <w:szCs w:val="16"/>
                    </w:rPr>
                    <w:t>10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75182">
                    <w:rPr>
                      <w:sz w:val="16"/>
                      <w:szCs w:val="16"/>
                    </w:rPr>
                    <w:t>000</w:t>
                  </w:r>
                  <w:r>
                    <w:rPr>
                      <w:sz w:val="16"/>
                      <w:szCs w:val="16"/>
                    </w:rPr>
                    <w:t xml:space="preserve"> человек</w:t>
                  </w:r>
                </w:p>
                <w:p w:rsidR="00033699" w:rsidRPr="007D4571" w:rsidRDefault="00033699" w:rsidP="007D4571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Количество койко-мест в больницах</w:t>
                  </w:r>
                </w:p>
              </w:txbxContent>
            </v:textbox>
          </v:shape>
        </w:pict>
      </w:r>
      <w:r w:rsidR="006C782D">
        <w:rPr>
          <w:noProof/>
          <w:w w:val="100"/>
          <w:lang w:eastAsia="ru-RU"/>
        </w:rPr>
      </w:r>
      <w:r w:rsidR="006C782D">
        <w:rPr>
          <w:lang w:eastAsia="ru-RU"/>
        </w:rPr>
        <w:pict>
          <v:shape id="_x0000_s1107" type="#_x0000_t75" style="width:376.45pt;height:167.25pt;mso-position-horizontal-relative:char;mso-position-vertical-relative:line">
            <v:imagedata r:id="rId21" o:title=""/>
            <w10:anchorlock/>
          </v:shape>
        </w:pict>
      </w:r>
    </w:p>
    <w:p w:rsidR="00223E8B" w:rsidRPr="00223E8B" w:rsidRDefault="00223E8B" w:rsidP="00223E8B">
      <w:pPr>
        <w:pStyle w:val="SingleTxtGR"/>
        <w:suppressAutoHyphens/>
        <w:spacing w:before="240" w:after="240" w:line="220" w:lineRule="exact"/>
        <w:ind w:firstLine="170"/>
        <w:jc w:val="left"/>
        <w:rPr>
          <w:sz w:val="18"/>
          <w:szCs w:val="18"/>
          <w:lang w:eastAsia="ru-RU"/>
        </w:rPr>
      </w:pPr>
      <w:r w:rsidRPr="00223E8B">
        <w:rPr>
          <w:i/>
          <w:sz w:val="18"/>
          <w:szCs w:val="18"/>
          <w:lang w:eastAsia="ru-RU"/>
        </w:rPr>
        <w:t>Источник</w:t>
      </w:r>
      <w:r w:rsidRPr="00223E8B">
        <w:rPr>
          <w:sz w:val="18"/>
          <w:szCs w:val="18"/>
          <w:lang w:eastAsia="ru-RU"/>
        </w:rPr>
        <w:t>: Департамент здравоохранения, правительственное исполнительное учреждение, 2010 год.</w:t>
      </w:r>
    </w:p>
    <w:p w:rsidR="00223E8B" w:rsidRDefault="00223E8B" w:rsidP="00223E8B">
      <w:pPr>
        <w:pStyle w:val="SingleTxtGR"/>
        <w:rPr>
          <w:lang w:eastAsia="ru-RU"/>
        </w:rPr>
      </w:pPr>
      <w:r>
        <w:rPr>
          <w:lang w:eastAsia="ru-RU"/>
        </w:rPr>
        <w:t>188.</w:t>
      </w:r>
      <w:r>
        <w:rPr>
          <w:lang w:eastAsia="ru-RU"/>
        </w:rPr>
        <w:tab/>
        <w:t>Текущее положение в сфере оказания медицинских услуг в разбивке по медучреждениям и стационарам: 36% пациентов получают помощь в централ</w:t>
      </w:r>
      <w:r>
        <w:rPr>
          <w:lang w:eastAsia="ru-RU"/>
        </w:rPr>
        <w:t>ь</w:t>
      </w:r>
      <w:r>
        <w:rPr>
          <w:lang w:eastAsia="ru-RU"/>
        </w:rPr>
        <w:t>ных больницах, специализированных медицинских центрах и региональных диагностических и лечебных центрах, 30% – в больницах общего профиля и 33% – в амбулаториях семейной медицины, в сомонных и межсомонных бол</w:t>
      </w:r>
      <w:r>
        <w:rPr>
          <w:lang w:eastAsia="ru-RU"/>
        </w:rPr>
        <w:t>ь</w:t>
      </w:r>
      <w:r>
        <w:rPr>
          <w:lang w:eastAsia="ru-RU"/>
        </w:rPr>
        <w:t>ницах.</w:t>
      </w:r>
    </w:p>
    <w:p w:rsidR="00223E8B" w:rsidRDefault="00223E8B" w:rsidP="00223E8B">
      <w:pPr>
        <w:pStyle w:val="SingleTxtGR"/>
        <w:rPr>
          <w:lang w:eastAsia="ru-RU"/>
        </w:rPr>
      </w:pPr>
      <w:r>
        <w:rPr>
          <w:lang w:eastAsia="ru-RU"/>
        </w:rPr>
        <w:t>189.</w:t>
      </w:r>
      <w:r>
        <w:rPr>
          <w:lang w:eastAsia="ru-RU"/>
        </w:rPr>
        <w:tab/>
        <w:t>Монголия поставила перед собой цель надлежащим образом использ</w:t>
      </w:r>
      <w:r>
        <w:rPr>
          <w:lang w:eastAsia="ru-RU"/>
        </w:rPr>
        <w:t>о</w:t>
      </w:r>
      <w:r>
        <w:rPr>
          <w:lang w:eastAsia="ru-RU"/>
        </w:rPr>
        <w:t>вать дорогостоящие медицинские услуги, оказываемые на третичном уровне здравоохранения в це</w:t>
      </w:r>
      <w:r>
        <w:rPr>
          <w:lang w:eastAsia="ru-RU"/>
        </w:rPr>
        <w:t>н</w:t>
      </w:r>
      <w:r>
        <w:rPr>
          <w:lang w:eastAsia="ru-RU"/>
        </w:rPr>
        <w:t>тральных больницах, специализированных медицинских центрах и региональных диагностических и лечебных центрах, путем повыш</w:t>
      </w:r>
      <w:r>
        <w:rPr>
          <w:lang w:eastAsia="ru-RU"/>
        </w:rPr>
        <w:t>е</w:t>
      </w:r>
      <w:r>
        <w:rPr>
          <w:lang w:eastAsia="ru-RU"/>
        </w:rPr>
        <w:t>ния качества и расширения медицинских услуг, оказываемых на первичном и вторичном уровне здравоохранения в амбулаториях семейной медицины, л</w:t>
      </w:r>
      <w:r>
        <w:rPr>
          <w:lang w:eastAsia="ru-RU"/>
        </w:rPr>
        <w:t>е</w:t>
      </w:r>
      <w:r>
        <w:rPr>
          <w:lang w:eastAsia="ru-RU"/>
        </w:rPr>
        <w:t>чебных учреждениях сомонов, округов и аймаков.</w:t>
      </w:r>
    </w:p>
    <w:p w:rsidR="00223E8B" w:rsidRDefault="00223E8B" w:rsidP="00223E8B">
      <w:pPr>
        <w:pStyle w:val="SingleTxtGR"/>
        <w:rPr>
          <w:lang w:eastAsia="ru-RU"/>
        </w:rPr>
      </w:pPr>
      <w:r>
        <w:rPr>
          <w:lang w:eastAsia="ru-RU"/>
        </w:rPr>
        <w:t>190.</w:t>
      </w:r>
      <w:r>
        <w:rPr>
          <w:lang w:eastAsia="ru-RU"/>
        </w:rPr>
        <w:tab/>
        <w:t>Для достижения этой цели медицинские учреждения активно занимаются следующей деятельностью:</w:t>
      </w:r>
    </w:p>
    <w:p w:rsidR="00223E8B" w:rsidRDefault="00223E8B" w:rsidP="00B906AD">
      <w:pPr>
        <w:pStyle w:val="Bullet1GR"/>
      </w:pPr>
      <w:r>
        <w:t>расширяют количество услуг, предоставляемых амбулаториями с</w:t>
      </w:r>
      <w:r>
        <w:t>е</w:t>
      </w:r>
      <w:r>
        <w:t>мейной медицины, сомонными, межсомонными больницами и больницами общ</w:t>
      </w:r>
      <w:r>
        <w:t>е</w:t>
      </w:r>
      <w:r>
        <w:t>го профиля в зависимости от количества заболеваний и потреб</w:t>
      </w:r>
      <w:r w:rsidR="001C5B0F">
        <w:t>ности в</w:t>
      </w:r>
      <w:r w:rsidR="001C5B0F">
        <w:rPr>
          <w:lang w:val="en-US"/>
        </w:rPr>
        <w:t> </w:t>
      </w:r>
      <w:r w:rsidR="00C268CC">
        <w:t>ус</w:t>
      </w:r>
      <w:r>
        <w:t>лугах;</w:t>
      </w:r>
    </w:p>
    <w:p w:rsidR="00223E8B" w:rsidRDefault="00223E8B" w:rsidP="00B906AD">
      <w:pPr>
        <w:pStyle w:val="Bullet1GR"/>
      </w:pPr>
      <w:r>
        <w:t>вводят ежедневный прием для лечения/процедур и расширяют число у</w:t>
      </w:r>
      <w:r>
        <w:t>с</w:t>
      </w:r>
      <w:r>
        <w:t>луг в рамках амбулаторного лечения; и</w:t>
      </w:r>
    </w:p>
    <w:p w:rsidR="00223E8B" w:rsidRDefault="00223E8B" w:rsidP="00B906AD">
      <w:pPr>
        <w:pStyle w:val="Bullet1GR"/>
      </w:pPr>
      <w:r>
        <w:t>проводят значительную деятельность на организационном уровне для п</w:t>
      </w:r>
      <w:r>
        <w:t>о</w:t>
      </w:r>
      <w:r>
        <w:t>вышения качества услуг для пациентов с хроническими заболев</w:t>
      </w:r>
      <w:r>
        <w:t>а</w:t>
      </w:r>
      <w:r>
        <w:t>ниями и улу</w:t>
      </w:r>
      <w:r>
        <w:t>ч</w:t>
      </w:r>
      <w:r>
        <w:t>шения контроля за их предоставлением.</w:t>
      </w:r>
    </w:p>
    <w:p w:rsidR="00223E8B" w:rsidRDefault="00223E8B" w:rsidP="009E4B18">
      <w:pPr>
        <w:pStyle w:val="H1GR"/>
        <w:pageBreakBefore/>
      </w:pPr>
      <w:r>
        <w:tab/>
      </w:r>
      <w:r>
        <w:tab/>
        <w:t>Статьи 13 и 14</w:t>
      </w:r>
    </w:p>
    <w:p w:rsidR="00223E8B" w:rsidRDefault="00223E8B" w:rsidP="00223E8B">
      <w:pPr>
        <w:pStyle w:val="SingleTxtGR"/>
        <w:rPr>
          <w:lang w:eastAsia="ru-RU"/>
        </w:rPr>
      </w:pPr>
      <w:r>
        <w:rPr>
          <w:lang w:eastAsia="ru-RU"/>
        </w:rPr>
        <w:t>191.</w:t>
      </w:r>
      <w:r>
        <w:rPr>
          <w:lang w:eastAsia="ru-RU"/>
        </w:rPr>
        <w:tab/>
        <w:t xml:space="preserve">Статья 16 Конституции Монголии гласит: </w:t>
      </w:r>
      <w:r w:rsidR="00C467DA">
        <w:rPr>
          <w:lang w:eastAsia="ru-RU"/>
        </w:rPr>
        <w:t>"</w:t>
      </w:r>
      <w:r>
        <w:rPr>
          <w:lang w:eastAsia="ru-RU"/>
        </w:rPr>
        <w:t>Государство обеспечивает бесплатное б</w:t>
      </w:r>
      <w:r>
        <w:rPr>
          <w:lang w:eastAsia="ru-RU"/>
        </w:rPr>
        <w:t>а</w:t>
      </w:r>
      <w:r>
        <w:rPr>
          <w:lang w:eastAsia="ru-RU"/>
        </w:rPr>
        <w:t>зовое общее образование. Граждане могут создавать частные школы и руководить ими, если выполняются требования, установленные гос</w:t>
      </w:r>
      <w:r>
        <w:rPr>
          <w:lang w:eastAsia="ru-RU"/>
        </w:rPr>
        <w:t>у</w:t>
      </w:r>
      <w:r>
        <w:rPr>
          <w:lang w:eastAsia="ru-RU"/>
        </w:rPr>
        <w:t>дарством</w:t>
      </w:r>
      <w:r w:rsidR="00C467DA">
        <w:rPr>
          <w:lang w:eastAsia="ru-RU"/>
        </w:rPr>
        <w:t>"</w:t>
      </w:r>
      <w:r>
        <w:rPr>
          <w:lang w:eastAsia="ru-RU"/>
        </w:rPr>
        <w:t>. Осуществление статьи 16 Конституции Монголии регулируется З</w:t>
      </w:r>
      <w:r>
        <w:rPr>
          <w:lang w:eastAsia="ru-RU"/>
        </w:rPr>
        <w:t>а</w:t>
      </w:r>
      <w:r>
        <w:rPr>
          <w:lang w:eastAsia="ru-RU"/>
        </w:rPr>
        <w:t>коном об образовании, Законом о начальном и среднем о</w:t>
      </w:r>
      <w:r>
        <w:rPr>
          <w:lang w:eastAsia="ru-RU"/>
        </w:rPr>
        <w:t>б</w:t>
      </w:r>
      <w:r>
        <w:rPr>
          <w:lang w:eastAsia="ru-RU"/>
        </w:rPr>
        <w:t>разовании и Законом о высшем образовании. В соответствии с Конституцией Монголии базовое о</w:t>
      </w:r>
      <w:r>
        <w:rPr>
          <w:lang w:eastAsia="ru-RU"/>
        </w:rPr>
        <w:t>б</w:t>
      </w:r>
      <w:r>
        <w:rPr>
          <w:lang w:eastAsia="ru-RU"/>
        </w:rPr>
        <w:t>щее образование предоставляется бесплатно, и каждый гражданин Монголии обязан иметь базовое образование (девять лет учебы в школе).</w:t>
      </w:r>
    </w:p>
    <w:p w:rsidR="00223E8B" w:rsidRDefault="00223E8B" w:rsidP="00223E8B">
      <w:pPr>
        <w:pStyle w:val="SingleTxtGR"/>
        <w:rPr>
          <w:lang w:eastAsia="ru-RU"/>
        </w:rPr>
      </w:pPr>
      <w:r>
        <w:rPr>
          <w:lang w:eastAsia="ru-RU"/>
        </w:rPr>
        <w:t>192.</w:t>
      </w:r>
      <w:r>
        <w:rPr>
          <w:lang w:eastAsia="ru-RU"/>
        </w:rPr>
        <w:tab/>
        <w:t>Профессионально-техническое образование предоставляется бесплатно. Учащиеся центров профессионально-технического обучения получают ежем</w:t>
      </w:r>
      <w:r>
        <w:rPr>
          <w:lang w:eastAsia="ru-RU"/>
        </w:rPr>
        <w:t>е</w:t>
      </w:r>
      <w:r>
        <w:rPr>
          <w:lang w:eastAsia="ru-RU"/>
        </w:rPr>
        <w:t>сячную стипендию в размере 45 000 тугриков. В 2009 году центры професси</w:t>
      </w:r>
      <w:r>
        <w:rPr>
          <w:lang w:eastAsia="ru-RU"/>
        </w:rPr>
        <w:t>о</w:t>
      </w:r>
      <w:r>
        <w:rPr>
          <w:lang w:eastAsia="ru-RU"/>
        </w:rPr>
        <w:t>нально-технического обучения Монголии окончили примерно 11 200 учащихся.</w:t>
      </w:r>
    </w:p>
    <w:p w:rsidR="00223E8B" w:rsidRDefault="00223E8B" w:rsidP="00223E8B">
      <w:pPr>
        <w:pStyle w:val="SingleTxtGR"/>
        <w:rPr>
          <w:lang w:eastAsia="ru-RU"/>
        </w:rPr>
      </w:pPr>
      <w:r>
        <w:rPr>
          <w:lang w:eastAsia="ru-RU"/>
        </w:rPr>
        <w:t>193.</w:t>
      </w:r>
      <w:r>
        <w:rPr>
          <w:lang w:eastAsia="ru-RU"/>
        </w:rPr>
        <w:tab/>
        <w:t>Государство не предоставляет высшего образования бесплатно (диплом и степень б</w:t>
      </w:r>
      <w:r>
        <w:rPr>
          <w:lang w:eastAsia="ru-RU"/>
        </w:rPr>
        <w:t>а</w:t>
      </w:r>
      <w:r>
        <w:rPr>
          <w:lang w:eastAsia="ru-RU"/>
        </w:rPr>
        <w:t>калавра, магистра и доктора). Однако студентам-сиротам и студентам из малоимущих семей или семей пастухов предоставляются стипендии и кр</w:t>
      </w:r>
      <w:r>
        <w:rPr>
          <w:lang w:eastAsia="ru-RU"/>
        </w:rPr>
        <w:t>е</w:t>
      </w:r>
      <w:r>
        <w:rPr>
          <w:lang w:eastAsia="ru-RU"/>
        </w:rPr>
        <w:t>диты на обучение, если они удовлетворяют определенным квалификационным требованиям. Кроме того, государство выделяет по 500 000 тугриков для опл</w:t>
      </w:r>
      <w:r>
        <w:rPr>
          <w:lang w:eastAsia="ru-RU"/>
        </w:rPr>
        <w:t>а</w:t>
      </w:r>
      <w:r>
        <w:rPr>
          <w:lang w:eastAsia="ru-RU"/>
        </w:rPr>
        <w:t>ты обучения студентам, посещающим занятия во второй половине дня. Стипе</w:t>
      </w:r>
      <w:r>
        <w:rPr>
          <w:lang w:eastAsia="ru-RU"/>
        </w:rPr>
        <w:t>н</w:t>
      </w:r>
      <w:r>
        <w:rPr>
          <w:lang w:eastAsia="ru-RU"/>
        </w:rPr>
        <w:t>дии Президента и Премьер-министра предоставляются студентам, доби</w:t>
      </w:r>
      <w:r>
        <w:rPr>
          <w:lang w:eastAsia="ru-RU"/>
        </w:rPr>
        <w:t>в</w:t>
      </w:r>
      <w:r>
        <w:rPr>
          <w:lang w:eastAsia="ru-RU"/>
        </w:rPr>
        <w:t>шимся определенных успехов.</w:t>
      </w:r>
    </w:p>
    <w:p w:rsidR="00223E8B" w:rsidRDefault="00223E8B" w:rsidP="00223E8B">
      <w:pPr>
        <w:pStyle w:val="SingleTxtGR"/>
        <w:rPr>
          <w:lang w:eastAsia="ru-RU"/>
        </w:rPr>
      </w:pPr>
      <w:r>
        <w:rPr>
          <w:lang w:eastAsia="ru-RU"/>
        </w:rPr>
        <w:t>194.</w:t>
      </w:r>
      <w:r>
        <w:rPr>
          <w:lang w:eastAsia="ru-RU"/>
        </w:rPr>
        <w:tab/>
        <w:t>Система образования в Монголии включает в себя формальное и нефо</w:t>
      </w:r>
      <w:r>
        <w:rPr>
          <w:lang w:eastAsia="ru-RU"/>
        </w:rPr>
        <w:t>р</w:t>
      </w:r>
      <w:r>
        <w:rPr>
          <w:lang w:eastAsia="ru-RU"/>
        </w:rPr>
        <w:t>мальное образование. Поэтому даже лица, не завершившие курс начальной и средней школы, могут все же получить неформальное образование. Статья</w:t>
      </w:r>
      <w:r w:rsidR="009E4B18">
        <w:rPr>
          <w:lang w:eastAsia="ru-RU"/>
        </w:rPr>
        <w:t> </w:t>
      </w:r>
      <w:r>
        <w:rPr>
          <w:lang w:eastAsia="ru-RU"/>
        </w:rPr>
        <w:t xml:space="preserve">17 Закона об образовании гласит: </w:t>
      </w:r>
      <w:r w:rsidR="00C467DA">
        <w:rPr>
          <w:lang w:eastAsia="ru-RU"/>
        </w:rPr>
        <w:t>"</w:t>
      </w:r>
      <w:r>
        <w:rPr>
          <w:lang w:eastAsia="ru-RU"/>
        </w:rPr>
        <w:t>Неформальное образование может быть пол</w:t>
      </w:r>
      <w:r>
        <w:rPr>
          <w:lang w:eastAsia="ru-RU"/>
        </w:rPr>
        <w:t>у</w:t>
      </w:r>
      <w:r>
        <w:rPr>
          <w:lang w:eastAsia="ru-RU"/>
        </w:rPr>
        <w:t>чено в центрах неформального образования или в учебных центрах формальн</w:t>
      </w:r>
      <w:r>
        <w:rPr>
          <w:lang w:eastAsia="ru-RU"/>
        </w:rPr>
        <w:t>о</w:t>
      </w:r>
      <w:r>
        <w:rPr>
          <w:lang w:eastAsia="ru-RU"/>
        </w:rPr>
        <w:t>го образования, где организуются различные виды обучения. Такие центры должны строит</w:t>
      </w:r>
      <w:r w:rsidR="00186028">
        <w:rPr>
          <w:lang w:eastAsia="ru-RU"/>
        </w:rPr>
        <w:t>ь</w:t>
      </w:r>
      <w:r>
        <w:rPr>
          <w:lang w:eastAsia="ru-RU"/>
        </w:rPr>
        <w:t>ся в городах, административны</w:t>
      </w:r>
      <w:r w:rsidR="001C5B0F">
        <w:rPr>
          <w:lang w:eastAsia="ru-RU"/>
        </w:rPr>
        <w:t>х центрах аймаков и сомонов</w:t>
      </w:r>
      <w:r w:rsidR="00C467DA">
        <w:rPr>
          <w:lang w:eastAsia="ru-RU"/>
        </w:rPr>
        <w:t>"</w:t>
      </w:r>
      <w:r w:rsidR="001C5B0F">
        <w:rPr>
          <w:lang w:eastAsia="ru-RU"/>
        </w:rPr>
        <w:t>. В</w:t>
      </w:r>
      <w:r w:rsidR="001C5B0F">
        <w:rPr>
          <w:lang w:val="en-US" w:eastAsia="ru-RU"/>
        </w:rPr>
        <w:t> </w:t>
      </w:r>
      <w:r>
        <w:rPr>
          <w:lang w:eastAsia="ru-RU"/>
        </w:rPr>
        <w:t>настоящее время в Монголии имеется в общей сложности 370 центров н</w:t>
      </w:r>
      <w:r>
        <w:rPr>
          <w:lang w:eastAsia="ru-RU"/>
        </w:rPr>
        <w:t>е</w:t>
      </w:r>
      <w:r>
        <w:rPr>
          <w:lang w:eastAsia="ru-RU"/>
        </w:rPr>
        <w:t>формального образования. 92,7% этих центров работают при содействии др</w:t>
      </w:r>
      <w:r>
        <w:rPr>
          <w:lang w:eastAsia="ru-RU"/>
        </w:rPr>
        <w:t>у</w:t>
      </w:r>
      <w:r>
        <w:rPr>
          <w:lang w:eastAsia="ru-RU"/>
        </w:rPr>
        <w:t>гих центров формального образования, 3,5% являются независимыми центр</w:t>
      </w:r>
      <w:r>
        <w:rPr>
          <w:lang w:eastAsia="ru-RU"/>
        </w:rPr>
        <w:t>а</w:t>
      </w:r>
      <w:r>
        <w:rPr>
          <w:lang w:eastAsia="ru-RU"/>
        </w:rPr>
        <w:t>ми, а остальные работают с помощью организаций, не являющихся образов</w:t>
      </w:r>
      <w:r>
        <w:rPr>
          <w:lang w:eastAsia="ru-RU"/>
        </w:rPr>
        <w:t>а</w:t>
      </w:r>
      <w:r>
        <w:rPr>
          <w:lang w:eastAsia="ru-RU"/>
        </w:rPr>
        <w:t>тельными. Эти центры неформального образования предназначены для обуч</w:t>
      </w:r>
      <w:r>
        <w:rPr>
          <w:lang w:eastAsia="ru-RU"/>
        </w:rPr>
        <w:t>е</w:t>
      </w:r>
      <w:r>
        <w:rPr>
          <w:lang w:eastAsia="ru-RU"/>
        </w:rPr>
        <w:t>ния тех лиц, которые не посещали школу, отсеялись из школы или бросили ее, не пол</w:t>
      </w:r>
      <w:r>
        <w:rPr>
          <w:lang w:eastAsia="ru-RU"/>
        </w:rPr>
        <w:t>у</w:t>
      </w:r>
      <w:r>
        <w:rPr>
          <w:lang w:eastAsia="ru-RU"/>
        </w:rPr>
        <w:t>чив начального и среднего образования.</w:t>
      </w:r>
    </w:p>
    <w:p w:rsidR="00223E8B" w:rsidRDefault="00223E8B" w:rsidP="00223E8B">
      <w:pPr>
        <w:pStyle w:val="SingleTxtGR"/>
        <w:rPr>
          <w:lang w:eastAsia="ru-RU"/>
        </w:rPr>
      </w:pPr>
      <w:r>
        <w:rPr>
          <w:lang w:eastAsia="ru-RU"/>
        </w:rPr>
        <w:t>195.</w:t>
      </w:r>
      <w:r>
        <w:rPr>
          <w:lang w:eastAsia="ru-RU"/>
        </w:rPr>
        <w:tab/>
        <w:t>В рамках Десятилетия грамотности Организации Объединенных Наций и целей, сформулированных в Декларации тысячелетия, в Монголии реализов</w:t>
      </w:r>
      <w:r>
        <w:rPr>
          <w:lang w:eastAsia="ru-RU"/>
        </w:rPr>
        <w:t>ы</w:t>
      </w:r>
      <w:r>
        <w:rPr>
          <w:lang w:eastAsia="ru-RU"/>
        </w:rPr>
        <w:t xml:space="preserve">валась программа </w:t>
      </w:r>
      <w:r w:rsidR="00C467DA">
        <w:rPr>
          <w:lang w:eastAsia="ru-RU"/>
        </w:rPr>
        <w:t>"</w:t>
      </w:r>
      <w:r>
        <w:rPr>
          <w:lang w:eastAsia="ru-RU"/>
        </w:rPr>
        <w:t>Обучение грамоте</w:t>
      </w:r>
      <w:r w:rsidR="00C467DA">
        <w:rPr>
          <w:lang w:eastAsia="ru-RU"/>
        </w:rPr>
        <w:t>"</w:t>
      </w:r>
      <w:r>
        <w:rPr>
          <w:lang w:eastAsia="ru-RU"/>
        </w:rPr>
        <w:t xml:space="preserve"> на 2004</w:t>
      </w:r>
      <w:r w:rsidR="001C5B0F" w:rsidRPr="001C5B0F">
        <w:rPr>
          <w:lang w:eastAsia="ru-RU"/>
        </w:rPr>
        <w:t>−</w:t>
      </w:r>
      <w:r>
        <w:rPr>
          <w:lang w:eastAsia="ru-RU"/>
        </w:rPr>
        <w:t>2012 годы. Целью этой пр</w:t>
      </w:r>
      <w:r>
        <w:rPr>
          <w:lang w:eastAsia="ru-RU"/>
        </w:rPr>
        <w:t>о</w:t>
      </w:r>
      <w:r>
        <w:rPr>
          <w:lang w:eastAsia="ru-RU"/>
        </w:rPr>
        <w:t>граммы было достижение всеобщей грамотности и повышение уровня грамо</w:t>
      </w:r>
      <w:r>
        <w:rPr>
          <w:lang w:eastAsia="ru-RU"/>
        </w:rPr>
        <w:t>т</w:t>
      </w:r>
      <w:r>
        <w:rPr>
          <w:lang w:eastAsia="ru-RU"/>
        </w:rPr>
        <w:t>ности населения.</w:t>
      </w:r>
    </w:p>
    <w:p w:rsidR="00223E8B" w:rsidRDefault="00223E8B" w:rsidP="00223E8B">
      <w:pPr>
        <w:pStyle w:val="SingleTxtGR"/>
        <w:rPr>
          <w:lang w:eastAsia="ru-RU"/>
        </w:rPr>
      </w:pPr>
      <w:r>
        <w:rPr>
          <w:lang w:eastAsia="ru-RU"/>
        </w:rPr>
        <w:t>196.</w:t>
      </w:r>
      <w:r>
        <w:rPr>
          <w:lang w:eastAsia="ru-RU"/>
        </w:rPr>
        <w:tab/>
        <w:t xml:space="preserve">В поправке от 2006 года к Закону об образовании указывается, что </w:t>
      </w:r>
      <w:r w:rsidR="00C467DA">
        <w:rPr>
          <w:lang w:eastAsia="ru-RU"/>
        </w:rPr>
        <w:t>"</w:t>
      </w:r>
      <w:r>
        <w:rPr>
          <w:lang w:eastAsia="ru-RU"/>
        </w:rPr>
        <w:t>н</w:t>
      </w:r>
      <w:r>
        <w:rPr>
          <w:lang w:eastAsia="ru-RU"/>
        </w:rPr>
        <w:t>а</w:t>
      </w:r>
      <w:r>
        <w:rPr>
          <w:lang w:eastAsia="ru-RU"/>
        </w:rPr>
        <w:t>чальное и среднее образование может предоставляться бесплатно на основе н</w:t>
      </w:r>
      <w:r>
        <w:rPr>
          <w:lang w:eastAsia="ru-RU"/>
        </w:rPr>
        <w:t>е</w:t>
      </w:r>
      <w:r>
        <w:rPr>
          <w:lang w:eastAsia="ru-RU"/>
        </w:rPr>
        <w:t>официальной, но должным образом подготовленной учебной программы, л</w:t>
      </w:r>
      <w:r>
        <w:rPr>
          <w:lang w:eastAsia="ru-RU"/>
        </w:rPr>
        <w:t>и</w:t>
      </w:r>
      <w:r>
        <w:rPr>
          <w:lang w:eastAsia="ru-RU"/>
        </w:rPr>
        <w:t>цам, не посещавшим школу, отсеявшимся из школы или бросившим ее, не п</w:t>
      </w:r>
      <w:r>
        <w:rPr>
          <w:lang w:eastAsia="ru-RU"/>
        </w:rPr>
        <w:t>о</w:t>
      </w:r>
      <w:r>
        <w:rPr>
          <w:lang w:eastAsia="ru-RU"/>
        </w:rPr>
        <w:t>лучив начального или среднего образования</w:t>
      </w:r>
      <w:r w:rsidR="00C467DA">
        <w:rPr>
          <w:lang w:eastAsia="ru-RU"/>
        </w:rPr>
        <w:t>"</w:t>
      </w:r>
      <w:r>
        <w:rPr>
          <w:lang w:eastAsia="ru-RU"/>
        </w:rPr>
        <w:t>. Эта поправка имеет большое зн</w:t>
      </w:r>
      <w:r>
        <w:rPr>
          <w:lang w:eastAsia="ru-RU"/>
        </w:rPr>
        <w:t>а</w:t>
      </w:r>
      <w:r>
        <w:rPr>
          <w:lang w:eastAsia="ru-RU"/>
        </w:rPr>
        <w:t>чение для улучшения образования населения и поддерживает тех, кому треб</w:t>
      </w:r>
      <w:r>
        <w:rPr>
          <w:lang w:eastAsia="ru-RU"/>
        </w:rPr>
        <w:t>у</w:t>
      </w:r>
      <w:r>
        <w:rPr>
          <w:lang w:eastAsia="ru-RU"/>
        </w:rPr>
        <w:t>ется образование. В 2007 году в соответствии с этой поправкой к Закону М</w:t>
      </w:r>
      <w:r>
        <w:rPr>
          <w:lang w:eastAsia="ru-RU"/>
        </w:rPr>
        <w:t>и</w:t>
      </w:r>
      <w:r>
        <w:rPr>
          <w:lang w:eastAsia="ru-RU"/>
        </w:rPr>
        <w:t xml:space="preserve">нистр образования, культуры и науки издал </w:t>
      </w:r>
      <w:r w:rsidR="00C467DA">
        <w:rPr>
          <w:lang w:eastAsia="ru-RU"/>
        </w:rPr>
        <w:t>"</w:t>
      </w:r>
      <w:r>
        <w:rPr>
          <w:lang w:eastAsia="ru-RU"/>
        </w:rPr>
        <w:t>Руководящие принципы по пр</w:t>
      </w:r>
      <w:r>
        <w:rPr>
          <w:lang w:eastAsia="ru-RU"/>
        </w:rPr>
        <w:t>е</w:t>
      </w:r>
      <w:r>
        <w:rPr>
          <w:lang w:eastAsia="ru-RU"/>
        </w:rPr>
        <w:t>доставлению неофициального начального, среднего и базового образования на основе надлежащей уче</w:t>
      </w:r>
      <w:r>
        <w:rPr>
          <w:lang w:eastAsia="ru-RU"/>
        </w:rPr>
        <w:t>б</w:t>
      </w:r>
      <w:r>
        <w:rPr>
          <w:lang w:eastAsia="ru-RU"/>
        </w:rPr>
        <w:t>ной программы</w:t>
      </w:r>
      <w:r w:rsidR="00C467DA">
        <w:rPr>
          <w:lang w:eastAsia="ru-RU"/>
        </w:rPr>
        <w:t>"</w:t>
      </w:r>
      <w:r>
        <w:rPr>
          <w:lang w:eastAsia="ru-RU"/>
        </w:rPr>
        <w:t>.</w:t>
      </w:r>
    </w:p>
    <w:p w:rsidR="00223E8B" w:rsidRDefault="00223E8B" w:rsidP="00223E8B">
      <w:pPr>
        <w:pStyle w:val="SingleTxtGR"/>
        <w:rPr>
          <w:lang w:eastAsia="ru-RU"/>
        </w:rPr>
      </w:pPr>
      <w:r>
        <w:rPr>
          <w:lang w:eastAsia="ru-RU"/>
        </w:rPr>
        <w:t>197.</w:t>
      </w:r>
      <w:r>
        <w:rPr>
          <w:lang w:eastAsia="ru-RU"/>
        </w:rPr>
        <w:tab/>
        <w:t>В соответствии с этими Руководящими принципами устанавливается м</w:t>
      </w:r>
      <w:r>
        <w:rPr>
          <w:lang w:eastAsia="ru-RU"/>
        </w:rPr>
        <w:t>и</w:t>
      </w:r>
      <w:r>
        <w:rPr>
          <w:lang w:eastAsia="ru-RU"/>
        </w:rPr>
        <w:t>нимальный возраст для получения неофициального начального образования – 10 лет, а для среднего и базового образования – 15 лет.</w:t>
      </w:r>
    </w:p>
    <w:p w:rsidR="00223E8B" w:rsidRDefault="00223E8B" w:rsidP="00223E8B">
      <w:pPr>
        <w:pStyle w:val="SingleTxtGR"/>
        <w:rPr>
          <w:lang w:eastAsia="ru-RU"/>
        </w:rPr>
      </w:pPr>
      <w:r>
        <w:rPr>
          <w:lang w:eastAsia="ru-RU"/>
        </w:rPr>
        <w:t>198.</w:t>
      </w:r>
      <w:r>
        <w:rPr>
          <w:lang w:eastAsia="ru-RU"/>
        </w:rPr>
        <w:tab/>
        <w:t>Предоставление неформального образования на основе надлежащей пр</w:t>
      </w:r>
      <w:r>
        <w:rPr>
          <w:lang w:eastAsia="ru-RU"/>
        </w:rPr>
        <w:t>о</w:t>
      </w:r>
      <w:r>
        <w:rPr>
          <w:lang w:eastAsia="ru-RU"/>
        </w:rPr>
        <w:t>граммы также помогает преодолевать трудности, с которыми сталкивается си</w:t>
      </w:r>
      <w:r>
        <w:rPr>
          <w:lang w:eastAsia="ru-RU"/>
        </w:rPr>
        <w:t>с</w:t>
      </w:r>
      <w:r>
        <w:rPr>
          <w:lang w:eastAsia="ru-RU"/>
        </w:rPr>
        <w:t>тема среднего образования. Эта программа направлена на предоставление обр</w:t>
      </w:r>
      <w:r>
        <w:rPr>
          <w:lang w:eastAsia="ru-RU"/>
        </w:rPr>
        <w:t>а</w:t>
      </w:r>
      <w:r>
        <w:rPr>
          <w:lang w:eastAsia="ru-RU"/>
        </w:rPr>
        <w:t>зования, подготовку людей к следующим этапам своей карьеры и улучшение навыков самостоятельного обучения. Программа покрывает 75% программы общего образования, и предусматривается, что одна треть программы должна быть пройдена в классе, а остающаяся часть – путем самостоятельных занятий. Кроме того, программа направлена на улучшение навыков учащихся в плане общения, учебы, повседневной жизни, а также социальных контактов.</w:t>
      </w:r>
    </w:p>
    <w:p w:rsidR="00223E8B" w:rsidRDefault="00223E8B" w:rsidP="00223E8B">
      <w:pPr>
        <w:pStyle w:val="SingleTxtGR"/>
        <w:rPr>
          <w:lang w:eastAsia="ru-RU"/>
        </w:rPr>
      </w:pPr>
      <w:r>
        <w:rPr>
          <w:lang w:eastAsia="ru-RU"/>
        </w:rPr>
        <w:t>199.</w:t>
      </w:r>
      <w:r>
        <w:rPr>
          <w:lang w:eastAsia="ru-RU"/>
        </w:rPr>
        <w:tab/>
        <w:t xml:space="preserve">Общественное мнение в отношении стратегии </w:t>
      </w:r>
      <w:r w:rsidR="00C467DA">
        <w:rPr>
          <w:lang w:eastAsia="ru-RU"/>
        </w:rPr>
        <w:t>"</w:t>
      </w:r>
      <w:r>
        <w:rPr>
          <w:lang w:eastAsia="ru-RU"/>
        </w:rPr>
        <w:t>Предоставления неоф</w:t>
      </w:r>
      <w:r>
        <w:rPr>
          <w:lang w:eastAsia="ru-RU"/>
        </w:rPr>
        <w:t>и</w:t>
      </w:r>
      <w:r>
        <w:rPr>
          <w:lang w:eastAsia="ru-RU"/>
        </w:rPr>
        <w:t>циального начального, среднего и основного образования на основе надлеж</w:t>
      </w:r>
      <w:r>
        <w:rPr>
          <w:lang w:eastAsia="ru-RU"/>
        </w:rPr>
        <w:t>а</w:t>
      </w:r>
      <w:r>
        <w:rPr>
          <w:lang w:eastAsia="ru-RU"/>
        </w:rPr>
        <w:t>щей учебной программы</w:t>
      </w:r>
      <w:r w:rsidR="00C467DA">
        <w:rPr>
          <w:lang w:eastAsia="ru-RU"/>
        </w:rPr>
        <w:t>"</w:t>
      </w:r>
      <w:r>
        <w:rPr>
          <w:lang w:eastAsia="ru-RU"/>
        </w:rPr>
        <w:t xml:space="preserve"> является положительным, о чем свидетельствует рост записывающихся на прохождение</w:t>
      </w:r>
      <w:r w:rsidR="001C5B0F">
        <w:rPr>
          <w:lang w:eastAsia="ru-RU"/>
        </w:rPr>
        <w:t xml:space="preserve"> обучения по такой программе. В</w:t>
      </w:r>
      <w:r w:rsidR="001C5B0F">
        <w:rPr>
          <w:lang w:val="en-US" w:eastAsia="ru-RU"/>
        </w:rPr>
        <w:t> </w:t>
      </w:r>
      <w:r>
        <w:rPr>
          <w:lang w:eastAsia="ru-RU"/>
        </w:rPr>
        <w:t>2008/</w:t>
      </w:r>
      <w:r w:rsidR="001C5B0F">
        <w:rPr>
          <w:lang w:eastAsia="ru-RU"/>
        </w:rPr>
        <w:t>09</w:t>
      </w:r>
      <w:r w:rsidR="001C5B0F">
        <w:rPr>
          <w:lang w:val="en-US" w:eastAsia="ru-RU"/>
        </w:rPr>
        <w:t> </w:t>
      </w:r>
      <w:r>
        <w:rPr>
          <w:lang w:eastAsia="ru-RU"/>
        </w:rPr>
        <w:t>учебном году в общей сложности 924 учащихся системы базового образования и 957 учащихся системы общего образования окончили образов</w:t>
      </w:r>
      <w:r>
        <w:rPr>
          <w:lang w:eastAsia="ru-RU"/>
        </w:rPr>
        <w:t>а</w:t>
      </w:r>
      <w:r>
        <w:rPr>
          <w:lang w:eastAsia="ru-RU"/>
        </w:rPr>
        <w:t>тельные центры и получили возможность поступать в университеты и колле</w:t>
      </w:r>
      <w:r>
        <w:rPr>
          <w:lang w:eastAsia="ru-RU"/>
        </w:rPr>
        <w:t>д</w:t>
      </w:r>
      <w:r>
        <w:rPr>
          <w:lang w:eastAsia="ru-RU"/>
        </w:rPr>
        <w:t>жи.</w:t>
      </w:r>
    </w:p>
    <w:p w:rsidR="00223E8B" w:rsidRDefault="00223E8B" w:rsidP="00223E8B">
      <w:pPr>
        <w:pStyle w:val="SingleTxtGR"/>
        <w:rPr>
          <w:lang w:eastAsia="ru-RU"/>
        </w:rPr>
      </w:pPr>
      <w:r>
        <w:rPr>
          <w:lang w:eastAsia="ru-RU"/>
        </w:rPr>
        <w:t>200.</w:t>
      </w:r>
      <w:r>
        <w:rPr>
          <w:lang w:eastAsia="ru-RU"/>
        </w:rPr>
        <w:tab/>
        <w:t>В 2010 году более 11</w:t>
      </w:r>
      <w:r w:rsidR="001C5B0F">
        <w:rPr>
          <w:lang w:val="en-US" w:eastAsia="ru-RU"/>
        </w:rPr>
        <w:t> </w:t>
      </w:r>
      <w:r>
        <w:rPr>
          <w:lang w:eastAsia="ru-RU"/>
        </w:rPr>
        <w:t>000 учащихся в возрасте 9</w:t>
      </w:r>
      <w:r w:rsidR="001C5B0F" w:rsidRPr="001C5B0F">
        <w:rPr>
          <w:lang w:eastAsia="ru-RU"/>
        </w:rPr>
        <w:t>−</w:t>
      </w:r>
      <w:r>
        <w:rPr>
          <w:lang w:eastAsia="ru-RU"/>
        </w:rPr>
        <w:t>24 лет приняли участие в программе получения образования. Соглас</w:t>
      </w:r>
      <w:r w:rsidR="001C5B0F">
        <w:rPr>
          <w:lang w:eastAsia="ru-RU"/>
        </w:rPr>
        <w:t>но статистическим данным, 64,3%</w:t>
      </w:r>
      <w:r w:rsidR="001C5B0F">
        <w:rPr>
          <w:lang w:val="en-US" w:eastAsia="ru-RU"/>
        </w:rPr>
        <w:t> </w:t>
      </w:r>
      <w:r>
        <w:rPr>
          <w:lang w:eastAsia="ru-RU"/>
        </w:rPr>
        <w:t>учащихся составляли лица мужского пола и 46,7% приходилось на в</w:t>
      </w:r>
      <w:r>
        <w:rPr>
          <w:lang w:eastAsia="ru-RU"/>
        </w:rPr>
        <w:t>ы</w:t>
      </w:r>
      <w:r>
        <w:rPr>
          <w:lang w:eastAsia="ru-RU"/>
        </w:rPr>
        <w:t>ходцев из семей пастухов. Ежегодно государство выделяет в общей сложности 1,2 млрд. тугриков на эту программу.</w:t>
      </w:r>
    </w:p>
    <w:p w:rsidR="00223E8B" w:rsidRDefault="00223E8B" w:rsidP="00223E8B">
      <w:pPr>
        <w:pStyle w:val="SingleTxtGR"/>
        <w:rPr>
          <w:lang w:eastAsia="ru-RU"/>
        </w:rPr>
      </w:pPr>
      <w:r>
        <w:rPr>
          <w:lang w:eastAsia="ru-RU"/>
        </w:rPr>
        <w:t>201.</w:t>
      </w:r>
      <w:r>
        <w:rPr>
          <w:lang w:eastAsia="ru-RU"/>
        </w:rPr>
        <w:tab/>
        <w:t>В соответствии со статьей 12 Закона о начальном и среднем образовании набор уч</w:t>
      </w:r>
      <w:r>
        <w:rPr>
          <w:lang w:eastAsia="ru-RU"/>
        </w:rPr>
        <w:t>а</w:t>
      </w:r>
      <w:r>
        <w:rPr>
          <w:lang w:eastAsia="ru-RU"/>
        </w:rPr>
        <w:t>щихся для прохождения заочного и вечернего обучения для получения начального, базового и общего образования производится в средних школах не только в Улан-Баторе, но и в аймаках. В статье 39 Закона об образовании указ</w:t>
      </w:r>
      <w:r>
        <w:rPr>
          <w:lang w:eastAsia="ru-RU"/>
        </w:rPr>
        <w:t>ы</w:t>
      </w:r>
      <w:r>
        <w:rPr>
          <w:lang w:eastAsia="ru-RU"/>
        </w:rPr>
        <w:t>вается, что заочное и вечернее обучение для получения начального, базового и общего образования является бесплатным.</w:t>
      </w:r>
    </w:p>
    <w:p w:rsidR="00223E8B" w:rsidRDefault="00223E8B" w:rsidP="00223E8B">
      <w:pPr>
        <w:pStyle w:val="SingleTxtGR"/>
        <w:rPr>
          <w:lang w:eastAsia="ru-RU"/>
        </w:rPr>
      </w:pPr>
      <w:r>
        <w:rPr>
          <w:lang w:eastAsia="ru-RU"/>
        </w:rPr>
        <w:t>202.</w:t>
      </w:r>
      <w:r>
        <w:rPr>
          <w:lang w:eastAsia="ru-RU"/>
        </w:rPr>
        <w:tab/>
        <w:t>В 2009/10 учебном году имелось 23 школы с вечерней формой обуч</w:t>
      </w:r>
      <w:r>
        <w:rPr>
          <w:lang w:eastAsia="ru-RU"/>
        </w:rPr>
        <w:t>е</w:t>
      </w:r>
      <w:r>
        <w:rPr>
          <w:lang w:eastAsia="ru-RU"/>
        </w:rPr>
        <w:t>ния в 9 аймаках и 5 школ с заочной формой обучения в 16 аймаках. Из 3</w:t>
      </w:r>
      <w:r w:rsidR="003C09B4">
        <w:rPr>
          <w:lang w:val="en-US" w:eastAsia="ru-RU"/>
        </w:rPr>
        <w:t> </w:t>
      </w:r>
      <w:r>
        <w:rPr>
          <w:lang w:eastAsia="ru-RU"/>
        </w:rPr>
        <w:t>428 учащи</w:t>
      </w:r>
      <w:r>
        <w:rPr>
          <w:lang w:eastAsia="ru-RU"/>
        </w:rPr>
        <w:t>х</w:t>
      </w:r>
      <w:r>
        <w:rPr>
          <w:lang w:eastAsia="ru-RU"/>
        </w:rPr>
        <w:t>ся, выбравших такие формы обучения, 69,6% занимались заочно и 30,3% пос</w:t>
      </w:r>
      <w:r>
        <w:rPr>
          <w:lang w:eastAsia="ru-RU"/>
        </w:rPr>
        <w:t>е</w:t>
      </w:r>
      <w:r>
        <w:rPr>
          <w:lang w:eastAsia="ru-RU"/>
        </w:rPr>
        <w:t>щали вечернюю школу. Кроме того, 77,7% учащихся получили сертификат об общем образовании. В 2010 году осуществлялась программа поддержки обр</w:t>
      </w:r>
      <w:r>
        <w:rPr>
          <w:lang w:eastAsia="ru-RU"/>
        </w:rPr>
        <w:t>а</w:t>
      </w:r>
      <w:r>
        <w:rPr>
          <w:lang w:eastAsia="ru-RU"/>
        </w:rPr>
        <w:t>зования для детей-казахов.</w:t>
      </w:r>
    </w:p>
    <w:p w:rsidR="00223E8B" w:rsidRDefault="00223E8B" w:rsidP="00223E8B">
      <w:pPr>
        <w:pStyle w:val="SingleTxtGR"/>
        <w:rPr>
          <w:lang w:eastAsia="ru-RU"/>
        </w:rPr>
      </w:pPr>
      <w:r>
        <w:rPr>
          <w:lang w:eastAsia="ru-RU"/>
        </w:rPr>
        <w:t>203.</w:t>
      </w:r>
      <w:r>
        <w:rPr>
          <w:lang w:eastAsia="ru-RU"/>
        </w:rPr>
        <w:tab/>
        <w:t>Образование считается ведущим и влиятельным сектором в Монголии. Опираясь на принятую в 2000 году Организацией Объединенных Наций Декл</w:t>
      </w:r>
      <w:r>
        <w:rPr>
          <w:lang w:eastAsia="ru-RU"/>
        </w:rPr>
        <w:t>а</w:t>
      </w:r>
      <w:r>
        <w:rPr>
          <w:lang w:eastAsia="ru-RU"/>
        </w:rPr>
        <w:t>рацию тысячелетия, Монголия осуществляет сформулированные в ее рамках цели развития, которые были ратифицированы парламентом. Одной из целей развития, сформулированных в рамках Декларации тысячелетия, является обеспечение начального образования всем детям в Монголии к 2015 году.</w:t>
      </w:r>
    </w:p>
    <w:p w:rsidR="00223E8B" w:rsidRDefault="00223E8B" w:rsidP="00223E8B">
      <w:pPr>
        <w:pStyle w:val="SingleTxtGR"/>
        <w:rPr>
          <w:lang w:eastAsia="ru-RU"/>
        </w:rPr>
      </w:pPr>
      <w:r>
        <w:rPr>
          <w:lang w:eastAsia="ru-RU"/>
        </w:rPr>
        <w:t>204.</w:t>
      </w:r>
      <w:r>
        <w:rPr>
          <w:lang w:eastAsia="ru-RU"/>
        </w:rPr>
        <w:tab/>
        <w:t>Причина того, почему уровень образования в Монголии выше</w:t>
      </w:r>
      <w:r w:rsidR="003C09B4" w:rsidRPr="003C09B4">
        <w:rPr>
          <w:lang w:eastAsia="ru-RU"/>
        </w:rPr>
        <w:t>,</w:t>
      </w:r>
      <w:r>
        <w:rPr>
          <w:lang w:eastAsia="ru-RU"/>
        </w:rPr>
        <w:t xml:space="preserve"> чем в большинстве других развивающихся стран, заключается в том, что в период централизованно планируемой экономики правительство уделяло особо пр</w:t>
      </w:r>
      <w:r>
        <w:rPr>
          <w:lang w:eastAsia="ru-RU"/>
        </w:rPr>
        <w:t>и</w:t>
      </w:r>
      <w:r>
        <w:rPr>
          <w:lang w:eastAsia="ru-RU"/>
        </w:rPr>
        <w:t>оритетное внимание начальному и средн</w:t>
      </w:r>
      <w:r>
        <w:rPr>
          <w:lang w:eastAsia="ru-RU"/>
        </w:rPr>
        <w:t>е</w:t>
      </w:r>
      <w:r>
        <w:rPr>
          <w:lang w:eastAsia="ru-RU"/>
        </w:rPr>
        <w:t>му образованию. В период рыночной экономики начальному и среднему образованию также уделяется много вним</w:t>
      </w:r>
      <w:r>
        <w:rPr>
          <w:lang w:eastAsia="ru-RU"/>
        </w:rPr>
        <w:t>а</w:t>
      </w:r>
      <w:r>
        <w:rPr>
          <w:lang w:eastAsia="ru-RU"/>
        </w:rPr>
        <w:t>ния. В 2009/10 учебном году в общей сложности 522 000 учащихся посещали 755 средних общеобразовательных школ, частных и государственных. Однако 5,7% детей (в возрасте 6</w:t>
      </w:r>
      <w:r w:rsidR="003C09B4" w:rsidRPr="003C09B4">
        <w:rPr>
          <w:lang w:eastAsia="ru-RU"/>
        </w:rPr>
        <w:t>−</w:t>
      </w:r>
      <w:r>
        <w:rPr>
          <w:lang w:eastAsia="ru-RU"/>
        </w:rPr>
        <w:t>11 лет) не могут по</w:t>
      </w:r>
      <w:r w:rsidR="003C09B4">
        <w:rPr>
          <w:lang w:eastAsia="ru-RU"/>
        </w:rPr>
        <w:t>лучать начальное образование. С</w:t>
      </w:r>
      <w:r w:rsidR="003C09B4">
        <w:rPr>
          <w:lang w:val="en-US" w:eastAsia="ru-RU"/>
        </w:rPr>
        <w:t> </w:t>
      </w:r>
      <w:r>
        <w:rPr>
          <w:lang w:eastAsia="ru-RU"/>
        </w:rPr>
        <w:t>2004 года количество детей, посещающих школу для получения начального образования, возрастало, однако их процентное соотношение испытывало нек</w:t>
      </w:r>
      <w:r>
        <w:rPr>
          <w:lang w:eastAsia="ru-RU"/>
        </w:rPr>
        <w:t>о</w:t>
      </w:r>
      <w:r>
        <w:rPr>
          <w:lang w:eastAsia="ru-RU"/>
        </w:rPr>
        <w:t>торые колебания.</w:t>
      </w:r>
    </w:p>
    <w:p w:rsidR="003C09B4" w:rsidRDefault="00933623" w:rsidP="00223E8B">
      <w:pPr>
        <w:pStyle w:val="SingleTxtGR"/>
        <w:rPr>
          <w:lang w:val="en-US"/>
        </w:rPr>
      </w:pPr>
      <w:r>
        <w:rPr>
          <w:noProof/>
          <w:w w:val="100"/>
          <w:lang w:eastAsia="ru-RU"/>
        </w:rPr>
        <w:pict>
          <v:shape id="_x0000_s1110" type="#_x0000_t202" style="position:absolute;left:0;text-align:left;margin-left:90pt;margin-top:5.45pt;width:279pt;height:18.55pt;z-index:21" stroked="f">
            <v:textbox inset="0,0,0,0">
              <w:txbxContent>
                <w:p w:rsidR="00033699" w:rsidRPr="00933623" w:rsidRDefault="00033699" w:rsidP="00933623">
                  <w:pPr>
                    <w:pStyle w:val="SingleTxtGR"/>
                    <w:ind w:left="0" w:right="0"/>
                    <w:rPr>
                      <w:b/>
                      <w:lang w:val="en-US" w:eastAsia="ru-RU"/>
                    </w:rPr>
                  </w:pPr>
                  <w:r w:rsidRPr="00933623">
                    <w:rPr>
                      <w:b/>
                      <w:lang w:eastAsia="ru-RU"/>
                    </w:rPr>
                    <w:t>Процент детей, получающих начальное образов</w:t>
                  </w:r>
                  <w:r w:rsidRPr="00933623">
                    <w:rPr>
                      <w:b/>
                      <w:lang w:eastAsia="ru-RU"/>
                    </w:rPr>
                    <w:t>а</w:t>
                  </w:r>
                  <w:r w:rsidRPr="00933623">
                    <w:rPr>
                      <w:b/>
                      <w:lang w:eastAsia="ru-RU"/>
                    </w:rPr>
                    <w:t>ние</w:t>
                  </w:r>
                </w:p>
                <w:p w:rsidR="00033699" w:rsidRDefault="00033699"/>
              </w:txbxContent>
            </v:textbox>
          </v:shape>
        </w:pict>
      </w:r>
      <w:r w:rsidRPr="00CC28DC">
        <w:pict>
          <v:shape id="_x0000_i1039" type="#_x0000_t75" style="width:309.75pt;height:155.25pt">
            <v:imagedata r:id="rId22" o:title=""/>
          </v:shape>
        </w:pict>
      </w:r>
    </w:p>
    <w:p w:rsidR="00064E25" w:rsidRPr="00064E25" w:rsidRDefault="00064E25" w:rsidP="00064E25">
      <w:pPr>
        <w:pStyle w:val="SingleTxtGR"/>
      </w:pPr>
      <w:r w:rsidRPr="00064E25">
        <w:t>205.</w:t>
      </w:r>
      <w:r w:rsidRPr="00064E25">
        <w:tab/>
        <w:t>Кроме того, процент детей, получающих начальное образование в во</w:t>
      </w:r>
      <w:r w:rsidRPr="00064E25">
        <w:t>с</w:t>
      </w:r>
      <w:r w:rsidRPr="00064E25">
        <w:t>точной части Монголии, является самым высоким (96,4%), тогда как в Улан-Баторе он самый низкий – 92,9%. Разница между этими двумя показателями равна 3,5%, что можно объяснить растущей бедностью и нехваткой средних школ, так как все больше и больше людей переезжают в Улан-Батор из сельской местности.</w:t>
      </w:r>
    </w:p>
    <w:p w:rsidR="00064E25" w:rsidRPr="00064E25" w:rsidRDefault="00064E25" w:rsidP="00064E25">
      <w:pPr>
        <w:pStyle w:val="SingleTxtGR"/>
      </w:pPr>
      <w:r w:rsidRPr="00064E25">
        <w:t>206.</w:t>
      </w:r>
      <w:r w:rsidRPr="00064E25">
        <w:tab/>
        <w:t>Имеется высокий процент детей в возрасте 7, 9 и 11 лет, получающих н</w:t>
      </w:r>
      <w:r w:rsidRPr="00064E25">
        <w:t>а</w:t>
      </w:r>
      <w:r w:rsidRPr="00064E25">
        <w:t>чальное образование. Дети в возрасте 6, 8 и 11 лет имеют наименьший доступ к начальному образованию, поскольку статистика показывает, что доля детей, п</w:t>
      </w:r>
      <w:r w:rsidRPr="00064E25">
        <w:t>о</w:t>
      </w:r>
      <w:r w:rsidRPr="00064E25">
        <w:t>лучающих начальное образование соответственно равна 91,6%, 92,9% и 93,1%. Другими словами, дети в первом, третьем и пятом классе зачастую отсеиваются или не могут записаться в эти классы. Такие колебания могут быть вызваны о</w:t>
      </w:r>
      <w:r w:rsidRPr="00064E25">
        <w:t>т</w:t>
      </w:r>
      <w:r w:rsidRPr="00064E25">
        <w:t>севом и нехваткой общежитий.</w:t>
      </w:r>
    </w:p>
    <w:p w:rsidR="00064E25" w:rsidRPr="00064E25" w:rsidRDefault="00064E25" w:rsidP="00064E25">
      <w:pPr>
        <w:pStyle w:val="SingleTxtGR"/>
      </w:pPr>
      <w:r w:rsidRPr="00064E25">
        <w:t>207.</w:t>
      </w:r>
      <w:r w:rsidRPr="00064E25">
        <w:tab/>
        <w:t>Для обеспечения каждому получения образования на равных условиях правительство Монголии проводит политику, предусматривающую оплату пр</w:t>
      </w:r>
      <w:r w:rsidRPr="00064E25">
        <w:t>о</w:t>
      </w:r>
      <w:r w:rsidRPr="00064E25">
        <w:t>живания учащимся, размещаемым в общежитиях, выделение стипендий уч</w:t>
      </w:r>
      <w:r w:rsidRPr="00064E25">
        <w:t>а</w:t>
      </w:r>
      <w:r w:rsidRPr="00064E25">
        <w:t>щимся из уязвимых групп и бесплатную выдачу учебников ученикам начальной школы.</w:t>
      </w:r>
    </w:p>
    <w:p w:rsidR="00064E25" w:rsidRPr="00064E25" w:rsidRDefault="00064E25" w:rsidP="00064E25">
      <w:pPr>
        <w:pStyle w:val="SingleTxtGR"/>
      </w:pPr>
      <w:r w:rsidRPr="00064E25">
        <w:t>208.</w:t>
      </w:r>
      <w:r w:rsidRPr="00064E25">
        <w:tab/>
        <w:t>В 2009/10 учебном году осуществлялась Программа поддержки школьн</w:t>
      </w:r>
      <w:r w:rsidRPr="00064E25">
        <w:t>о</w:t>
      </w:r>
      <w:r w:rsidRPr="00064E25">
        <w:t>го питания с целью содействия посещаемости учениками начальной школы и борьбы с прогулами. Стоимость обеда на о</w:t>
      </w:r>
      <w:r>
        <w:t>дного учащегося была повышена с</w:t>
      </w:r>
      <w:r>
        <w:rPr>
          <w:lang w:val="en-US"/>
        </w:rPr>
        <w:t> </w:t>
      </w:r>
      <w:r w:rsidRPr="00064E25">
        <w:t>300 до 400 тугриков. Такая политика не только оказывает помощь семейным бюджетам, но также способствует созданию равных возможностей для всех.</w:t>
      </w:r>
    </w:p>
    <w:p w:rsidR="00064E25" w:rsidRPr="00064E25" w:rsidRDefault="00064E25" w:rsidP="00064E25">
      <w:pPr>
        <w:pStyle w:val="SingleTxtGR"/>
      </w:pPr>
      <w:r w:rsidRPr="00064E25">
        <w:t>209.</w:t>
      </w:r>
      <w:r w:rsidRPr="00064E25">
        <w:tab/>
        <w:t>В 2010 году началась реализация Программы школьных обедов, пред</w:t>
      </w:r>
      <w:r w:rsidRPr="00064E25">
        <w:t>у</w:t>
      </w:r>
      <w:r w:rsidRPr="00064E25">
        <w:t>сматривающая улучшение предыдущей программы, которая была направлена на обеспечение питанием учеников начальной школы. Эта новая Программа пр</w:t>
      </w:r>
      <w:r w:rsidRPr="00064E25">
        <w:t>и</w:t>
      </w:r>
      <w:r w:rsidRPr="00064E25">
        <w:t>звана обеспечить учащихся общеобразовательных школ здоровой пищей и х</w:t>
      </w:r>
      <w:r w:rsidRPr="00064E25">
        <w:t>о</w:t>
      </w:r>
      <w:r w:rsidRPr="00064E25">
        <w:t>рошим обслуживанием.</w:t>
      </w:r>
    </w:p>
    <w:p w:rsidR="00064E25" w:rsidRPr="00064E25" w:rsidRDefault="00064E25" w:rsidP="00064E25">
      <w:pPr>
        <w:pStyle w:val="SingleTxtGR"/>
      </w:pPr>
      <w:r w:rsidRPr="00064E25">
        <w:t>210.</w:t>
      </w:r>
      <w:r w:rsidRPr="00064E25">
        <w:tab/>
        <w:t>Школьные принадлежности, такие как портфели и форма выдаются бе</w:t>
      </w:r>
      <w:r w:rsidRPr="00064E25">
        <w:t>с</w:t>
      </w:r>
      <w:r w:rsidRPr="00064E25">
        <w:t>платно учащимся из уязвимых групп. Эта политика направлена на создание равных возможностей и условий для учащихся и борьбы с их отсевом. Однако по-прежнему право на образование нарушается по причине различных факт</w:t>
      </w:r>
      <w:r w:rsidRPr="00064E25">
        <w:t>о</w:t>
      </w:r>
      <w:r w:rsidRPr="00064E25">
        <w:t>ров, таких как бедность, безработица, миграция населения, переполненность школ, нехватка общежитий и многих других.</w:t>
      </w:r>
    </w:p>
    <w:p w:rsidR="00064E25" w:rsidRPr="00064E25" w:rsidRDefault="00064E25" w:rsidP="00064E25">
      <w:pPr>
        <w:pStyle w:val="SingleTxtGR"/>
      </w:pPr>
      <w:r w:rsidRPr="00064E25">
        <w:t>211.</w:t>
      </w:r>
      <w:r w:rsidRPr="00064E25">
        <w:tab/>
        <w:t xml:space="preserve">В Законе об образовании провозглашается, что </w:t>
      </w:r>
      <w:r w:rsidR="00C467DA">
        <w:t>"</w:t>
      </w:r>
      <w:r w:rsidRPr="00064E25">
        <w:t>не менее 20% государс</w:t>
      </w:r>
      <w:r w:rsidRPr="00064E25">
        <w:t>т</w:t>
      </w:r>
      <w:r w:rsidRPr="00064E25">
        <w:t>венного бюджета должно расходоваться на сектор образования</w:t>
      </w:r>
      <w:r w:rsidR="00C467DA">
        <w:t>"</w:t>
      </w:r>
      <w:r w:rsidRPr="00064E25">
        <w:t>. На сегодня</w:t>
      </w:r>
      <w:r w:rsidRPr="00064E25">
        <w:t>ш</w:t>
      </w:r>
      <w:r w:rsidRPr="00064E25">
        <w:t>ний день на сектор образования выделяется 18,5% государственного бюджета.</w:t>
      </w:r>
    </w:p>
    <w:p w:rsidR="007825FF" w:rsidRPr="00C467DA" w:rsidRDefault="00064E25" w:rsidP="00064E25">
      <w:pPr>
        <w:pStyle w:val="Heading1"/>
        <w:spacing w:after="120"/>
        <w:ind w:left="1134"/>
        <w:jc w:val="left"/>
      </w:pPr>
      <w:r w:rsidRPr="00064E25">
        <w:t>Расходы на сектор образования</w:t>
      </w:r>
    </w:p>
    <w:tbl>
      <w:tblPr>
        <w:tblW w:w="7371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31"/>
        <w:gridCol w:w="1098"/>
        <w:gridCol w:w="1018"/>
        <w:gridCol w:w="1036"/>
        <w:gridCol w:w="988"/>
      </w:tblGrid>
      <w:tr w:rsidR="00AF4DE9" w:rsidRPr="00A17519" w:rsidTr="005335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tblHeader/>
        </w:trPr>
        <w:tc>
          <w:tcPr>
            <w:tcW w:w="32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79FF" w:rsidRPr="00A17519" w:rsidRDefault="009C79FF" w:rsidP="009C79FF">
            <w:pPr>
              <w:keepNext/>
              <w:suppressAutoHyphens/>
              <w:autoSpaceDE w:val="0"/>
              <w:autoSpaceDN w:val="0"/>
              <w:adjustRightInd w:val="0"/>
              <w:spacing w:before="80" w:after="80" w:line="200" w:lineRule="exact"/>
              <w:rPr>
                <w:i/>
                <w:kern w:val="2"/>
                <w:sz w:val="16"/>
                <w:szCs w:val="24"/>
                <w:lang w:eastAsia="en-GB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79FF" w:rsidRPr="00A17519" w:rsidRDefault="009C79FF" w:rsidP="009C79FF">
            <w:pPr>
              <w:keepNext/>
              <w:suppressAutoHyphens/>
              <w:autoSpaceDE w:val="0"/>
              <w:autoSpaceDN w:val="0"/>
              <w:adjustRightInd w:val="0"/>
              <w:spacing w:before="80" w:after="80" w:line="200" w:lineRule="exact"/>
              <w:jc w:val="right"/>
              <w:rPr>
                <w:i/>
                <w:kern w:val="2"/>
                <w:sz w:val="16"/>
                <w:szCs w:val="24"/>
                <w:lang w:eastAsia="en-GB"/>
              </w:rPr>
            </w:pPr>
            <w:r w:rsidRPr="00A17519">
              <w:rPr>
                <w:bCs/>
                <w:i/>
                <w:kern w:val="2"/>
                <w:sz w:val="16"/>
                <w:szCs w:val="22"/>
                <w:lang w:eastAsia="en-GB"/>
              </w:rPr>
              <w:t>2007 год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79FF" w:rsidRPr="00A17519" w:rsidRDefault="009C79FF" w:rsidP="009C79FF">
            <w:pPr>
              <w:keepNext/>
              <w:suppressAutoHyphens/>
              <w:autoSpaceDE w:val="0"/>
              <w:autoSpaceDN w:val="0"/>
              <w:adjustRightInd w:val="0"/>
              <w:spacing w:before="80" w:after="80" w:line="200" w:lineRule="exact"/>
              <w:jc w:val="right"/>
              <w:rPr>
                <w:i/>
                <w:kern w:val="2"/>
                <w:sz w:val="16"/>
                <w:szCs w:val="24"/>
                <w:lang w:eastAsia="en-GB"/>
              </w:rPr>
            </w:pPr>
            <w:r w:rsidRPr="00A17519">
              <w:rPr>
                <w:bCs/>
                <w:i/>
                <w:kern w:val="2"/>
                <w:sz w:val="16"/>
                <w:szCs w:val="22"/>
                <w:lang w:eastAsia="en-GB"/>
              </w:rPr>
              <w:t xml:space="preserve">2008 год 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79FF" w:rsidRPr="00A17519" w:rsidRDefault="009C79FF" w:rsidP="009C79FF">
            <w:pPr>
              <w:keepNext/>
              <w:suppressAutoHyphens/>
              <w:autoSpaceDE w:val="0"/>
              <w:autoSpaceDN w:val="0"/>
              <w:adjustRightInd w:val="0"/>
              <w:spacing w:before="80" w:after="80" w:line="200" w:lineRule="exact"/>
              <w:jc w:val="right"/>
              <w:rPr>
                <w:i/>
                <w:kern w:val="2"/>
                <w:sz w:val="16"/>
                <w:szCs w:val="24"/>
                <w:lang w:eastAsia="en-GB"/>
              </w:rPr>
            </w:pPr>
            <w:r w:rsidRPr="00A17519">
              <w:rPr>
                <w:bCs/>
                <w:i/>
                <w:kern w:val="2"/>
                <w:sz w:val="16"/>
                <w:szCs w:val="22"/>
                <w:lang w:eastAsia="en-GB"/>
              </w:rPr>
              <w:t>2009 год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79FF" w:rsidRPr="00A17519" w:rsidRDefault="009C79FF" w:rsidP="009C79FF">
            <w:pPr>
              <w:keepNext/>
              <w:suppressAutoHyphens/>
              <w:autoSpaceDE w:val="0"/>
              <w:autoSpaceDN w:val="0"/>
              <w:adjustRightInd w:val="0"/>
              <w:spacing w:before="80" w:after="80" w:line="200" w:lineRule="exact"/>
              <w:jc w:val="right"/>
              <w:rPr>
                <w:i/>
                <w:kern w:val="2"/>
                <w:sz w:val="16"/>
                <w:szCs w:val="24"/>
                <w:lang w:eastAsia="en-GB"/>
              </w:rPr>
            </w:pPr>
            <w:r w:rsidRPr="00A17519">
              <w:rPr>
                <w:bCs/>
                <w:i/>
                <w:kern w:val="2"/>
                <w:sz w:val="16"/>
                <w:szCs w:val="22"/>
                <w:lang w:eastAsia="en-GB"/>
              </w:rPr>
              <w:t>2010 год**</w:t>
            </w:r>
          </w:p>
        </w:tc>
      </w:tr>
      <w:tr w:rsidR="00AF4DE9" w:rsidRPr="00A17519" w:rsidTr="005335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231" w:type="dxa"/>
            <w:tcBorders>
              <w:top w:val="single" w:sz="12" w:space="0" w:color="auto"/>
            </w:tcBorders>
            <w:shd w:val="clear" w:color="auto" w:fill="auto"/>
          </w:tcPr>
          <w:p w:rsidR="009C79FF" w:rsidRPr="009C79FF" w:rsidRDefault="009C79FF" w:rsidP="009C79FF">
            <w:pPr>
              <w:keepNext/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kern w:val="2"/>
                <w:sz w:val="18"/>
                <w:szCs w:val="18"/>
                <w:lang w:eastAsia="en-GB"/>
              </w:rPr>
            </w:pPr>
            <w:r w:rsidRPr="009C79FF">
              <w:rPr>
                <w:kern w:val="2"/>
                <w:sz w:val="18"/>
                <w:szCs w:val="18"/>
                <w:lang w:eastAsia="en-GB"/>
              </w:rPr>
              <w:t xml:space="preserve">Общий объем расходов государственного бюджета, </w:t>
            </w:r>
            <w:r w:rsidR="00533538">
              <w:rPr>
                <w:kern w:val="2"/>
                <w:sz w:val="18"/>
                <w:szCs w:val="18"/>
                <w:lang w:eastAsia="en-GB"/>
              </w:rPr>
              <w:br/>
            </w:r>
            <w:r w:rsidRPr="009C79FF">
              <w:rPr>
                <w:kern w:val="2"/>
                <w:sz w:val="18"/>
                <w:szCs w:val="18"/>
                <w:lang w:eastAsia="en-GB"/>
              </w:rPr>
              <w:t>млн. тугриков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C79FF" w:rsidRPr="009C79FF" w:rsidRDefault="009C79FF" w:rsidP="009C79FF">
            <w:pPr>
              <w:keepNext/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kern w:val="2"/>
                <w:sz w:val="18"/>
                <w:szCs w:val="18"/>
                <w:lang w:eastAsia="en-GB"/>
              </w:rPr>
            </w:pPr>
            <w:r w:rsidRPr="009C79FF">
              <w:rPr>
                <w:kern w:val="2"/>
                <w:sz w:val="18"/>
                <w:szCs w:val="18"/>
                <w:lang w:eastAsia="en-GB"/>
              </w:rPr>
              <w:t>1 747 310,5</w:t>
            </w:r>
          </w:p>
        </w:tc>
        <w:tc>
          <w:tcPr>
            <w:tcW w:w="101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C79FF" w:rsidRPr="009C79FF" w:rsidRDefault="009C79FF" w:rsidP="009C79FF">
            <w:pPr>
              <w:keepNext/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kern w:val="2"/>
                <w:sz w:val="18"/>
                <w:szCs w:val="18"/>
                <w:lang w:eastAsia="en-GB"/>
              </w:rPr>
            </w:pPr>
            <w:r w:rsidRPr="009C79FF">
              <w:rPr>
                <w:kern w:val="2"/>
                <w:sz w:val="18"/>
                <w:szCs w:val="18"/>
                <w:lang w:eastAsia="en-GB"/>
              </w:rPr>
              <w:t>2 466 774,4</w:t>
            </w:r>
          </w:p>
        </w:tc>
        <w:tc>
          <w:tcPr>
            <w:tcW w:w="103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C79FF" w:rsidRPr="009C79FF" w:rsidRDefault="009C79FF" w:rsidP="009C79FF">
            <w:pPr>
              <w:keepNext/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kern w:val="2"/>
                <w:sz w:val="18"/>
                <w:szCs w:val="18"/>
                <w:lang w:eastAsia="en-GB"/>
              </w:rPr>
            </w:pPr>
            <w:r w:rsidRPr="009C79FF">
              <w:rPr>
                <w:kern w:val="2"/>
                <w:sz w:val="18"/>
                <w:szCs w:val="18"/>
                <w:lang w:eastAsia="en-GB"/>
              </w:rPr>
              <w:t>2 336 629,7</w:t>
            </w:r>
          </w:p>
        </w:tc>
        <w:tc>
          <w:tcPr>
            <w:tcW w:w="98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C79FF" w:rsidRPr="009C79FF" w:rsidRDefault="009C79FF" w:rsidP="009C79FF">
            <w:pPr>
              <w:keepNext/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kern w:val="2"/>
                <w:sz w:val="18"/>
                <w:szCs w:val="18"/>
                <w:lang w:eastAsia="en-GB"/>
              </w:rPr>
            </w:pPr>
            <w:r w:rsidRPr="009C79FF">
              <w:rPr>
                <w:kern w:val="2"/>
                <w:sz w:val="18"/>
                <w:szCs w:val="18"/>
                <w:lang w:eastAsia="en-GB"/>
              </w:rPr>
              <w:t>3 076 262,8</w:t>
            </w:r>
          </w:p>
        </w:tc>
      </w:tr>
      <w:tr w:rsidR="00AF4DE9" w:rsidRPr="00A17519" w:rsidTr="005335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231" w:type="dxa"/>
            <w:shd w:val="clear" w:color="auto" w:fill="auto"/>
          </w:tcPr>
          <w:p w:rsidR="009C79FF" w:rsidRPr="009C79FF" w:rsidRDefault="009C79FF" w:rsidP="009C79FF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kern w:val="2"/>
                <w:sz w:val="18"/>
                <w:szCs w:val="18"/>
                <w:lang w:eastAsia="en-GB"/>
              </w:rPr>
            </w:pPr>
            <w:r w:rsidRPr="009C79FF">
              <w:rPr>
                <w:kern w:val="2"/>
                <w:sz w:val="18"/>
                <w:szCs w:val="18"/>
                <w:lang w:eastAsia="en-GB"/>
              </w:rPr>
              <w:t xml:space="preserve">Расходы на сектор образования*, </w:t>
            </w:r>
            <w:r w:rsidR="00AF4DE9" w:rsidRPr="00AF4DE9">
              <w:rPr>
                <w:kern w:val="2"/>
                <w:sz w:val="18"/>
                <w:szCs w:val="18"/>
                <w:lang w:eastAsia="en-GB"/>
              </w:rPr>
              <w:br/>
            </w:r>
            <w:r w:rsidRPr="009C79FF">
              <w:rPr>
                <w:kern w:val="2"/>
                <w:sz w:val="18"/>
                <w:szCs w:val="18"/>
                <w:lang w:eastAsia="en-GB"/>
              </w:rPr>
              <w:t>млн. тугриков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9C79FF" w:rsidRPr="009C79FF" w:rsidRDefault="009C79FF" w:rsidP="009C79FF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kern w:val="2"/>
                <w:sz w:val="18"/>
                <w:szCs w:val="18"/>
                <w:lang w:eastAsia="en-GB"/>
              </w:rPr>
            </w:pPr>
            <w:r w:rsidRPr="009C79FF">
              <w:rPr>
                <w:kern w:val="2"/>
                <w:sz w:val="18"/>
                <w:szCs w:val="18"/>
                <w:lang w:eastAsia="en-GB"/>
              </w:rPr>
              <w:t>273 271,5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C79FF" w:rsidRPr="009C79FF" w:rsidRDefault="009C79FF" w:rsidP="009C79FF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kern w:val="2"/>
                <w:sz w:val="18"/>
                <w:szCs w:val="18"/>
                <w:lang w:eastAsia="en-GB"/>
              </w:rPr>
            </w:pPr>
            <w:r w:rsidRPr="009C79FF">
              <w:rPr>
                <w:kern w:val="2"/>
                <w:sz w:val="18"/>
                <w:szCs w:val="18"/>
                <w:lang w:eastAsia="en-GB"/>
              </w:rPr>
              <w:t>414 243,6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9C79FF" w:rsidRPr="009C79FF" w:rsidRDefault="009C79FF" w:rsidP="009C79FF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kern w:val="2"/>
                <w:sz w:val="18"/>
                <w:szCs w:val="18"/>
                <w:lang w:eastAsia="en-GB"/>
              </w:rPr>
            </w:pPr>
            <w:r w:rsidRPr="009C79FF">
              <w:rPr>
                <w:kern w:val="2"/>
                <w:sz w:val="18"/>
                <w:szCs w:val="18"/>
                <w:lang w:eastAsia="en-GB"/>
              </w:rPr>
              <w:t>430 533,9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9C79FF" w:rsidRPr="009C79FF" w:rsidRDefault="009C79FF" w:rsidP="009C79FF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kern w:val="2"/>
                <w:sz w:val="18"/>
                <w:szCs w:val="18"/>
                <w:lang w:eastAsia="en-GB"/>
              </w:rPr>
            </w:pPr>
            <w:r w:rsidRPr="009C79FF">
              <w:rPr>
                <w:kern w:val="2"/>
                <w:sz w:val="18"/>
                <w:szCs w:val="18"/>
                <w:lang w:eastAsia="en-GB"/>
              </w:rPr>
              <w:t>523 949,6</w:t>
            </w:r>
          </w:p>
        </w:tc>
      </w:tr>
      <w:tr w:rsidR="00AF4DE9" w:rsidRPr="00A17519" w:rsidTr="005335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231" w:type="dxa"/>
            <w:shd w:val="clear" w:color="auto" w:fill="auto"/>
          </w:tcPr>
          <w:p w:rsidR="009C79FF" w:rsidRPr="009C79FF" w:rsidRDefault="009C79FF" w:rsidP="009C79FF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kern w:val="2"/>
                <w:sz w:val="18"/>
                <w:szCs w:val="18"/>
                <w:lang w:eastAsia="en-GB"/>
              </w:rPr>
            </w:pPr>
            <w:r w:rsidRPr="009C79FF">
              <w:rPr>
                <w:kern w:val="2"/>
                <w:sz w:val="18"/>
                <w:szCs w:val="18"/>
                <w:lang w:eastAsia="en-GB"/>
              </w:rPr>
              <w:t>Процент расходов на сектор обра</w:t>
            </w:r>
            <w:r w:rsidR="000408DF">
              <w:rPr>
                <w:kern w:val="2"/>
                <w:sz w:val="18"/>
                <w:szCs w:val="18"/>
                <w:lang w:eastAsia="en-GB"/>
              </w:rPr>
              <w:t>зования от</w:t>
            </w:r>
            <w:r w:rsidR="00533538">
              <w:rPr>
                <w:kern w:val="2"/>
                <w:sz w:val="18"/>
                <w:szCs w:val="18"/>
                <w:lang w:eastAsia="en-GB"/>
              </w:rPr>
              <w:t xml:space="preserve"> </w:t>
            </w:r>
            <w:r w:rsidRPr="009C79FF">
              <w:rPr>
                <w:kern w:val="2"/>
                <w:sz w:val="18"/>
                <w:szCs w:val="18"/>
                <w:lang w:eastAsia="en-GB"/>
              </w:rPr>
              <w:t>общего объема расходов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9C79FF" w:rsidRPr="009C79FF" w:rsidRDefault="009C79FF" w:rsidP="009C79FF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kern w:val="2"/>
                <w:sz w:val="18"/>
                <w:szCs w:val="18"/>
                <w:lang w:eastAsia="en-GB"/>
              </w:rPr>
            </w:pPr>
            <w:r w:rsidRPr="009C79FF">
              <w:rPr>
                <w:kern w:val="2"/>
                <w:sz w:val="18"/>
                <w:szCs w:val="18"/>
                <w:lang w:eastAsia="en-GB"/>
              </w:rPr>
              <w:t>15,6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C79FF" w:rsidRPr="009C79FF" w:rsidRDefault="009C79FF" w:rsidP="009C79FF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kern w:val="2"/>
                <w:sz w:val="18"/>
                <w:szCs w:val="18"/>
                <w:lang w:eastAsia="en-GB"/>
              </w:rPr>
            </w:pPr>
            <w:r w:rsidRPr="009C79FF">
              <w:rPr>
                <w:kern w:val="2"/>
                <w:sz w:val="18"/>
                <w:szCs w:val="18"/>
                <w:lang w:eastAsia="en-GB"/>
              </w:rPr>
              <w:t>16,8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9C79FF" w:rsidRPr="009C79FF" w:rsidRDefault="009C79FF" w:rsidP="009C79FF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kern w:val="2"/>
                <w:sz w:val="18"/>
                <w:szCs w:val="18"/>
                <w:lang w:eastAsia="en-GB"/>
              </w:rPr>
            </w:pPr>
            <w:r w:rsidRPr="009C79FF">
              <w:rPr>
                <w:kern w:val="2"/>
                <w:sz w:val="18"/>
                <w:szCs w:val="18"/>
                <w:lang w:eastAsia="en-GB"/>
              </w:rPr>
              <w:t>18,5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9C79FF" w:rsidRPr="009C79FF" w:rsidRDefault="009C79FF" w:rsidP="009C79FF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kern w:val="2"/>
                <w:sz w:val="18"/>
                <w:szCs w:val="18"/>
                <w:lang w:eastAsia="en-GB"/>
              </w:rPr>
            </w:pPr>
            <w:r w:rsidRPr="009C79FF">
              <w:rPr>
                <w:kern w:val="2"/>
                <w:sz w:val="18"/>
                <w:szCs w:val="18"/>
                <w:lang w:eastAsia="en-GB"/>
              </w:rPr>
              <w:t>17,0</w:t>
            </w:r>
          </w:p>
        </w:tc>
      </w:tr>
      <w:tr w:rsidR="00AF4DE9" w:rsidRPr="00A17519" w:rsidTr="005335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231" w:type="dxa"/>
            <w:tcBorders>
              <w:bottom w:val="single" w:sz="12" w:space="0" w:color="auto"/>
            </w:tcBorders>
            <w:shd w:val="clear" w:color="auto" w:fill="auto"/>
          </w:tcPr>
          <w:p w:rsidR="009C79FF" w:rsidRPr="009C79FF" w:rsidRDefault="009C79FF" w:rsidP="009C79FF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kern w:val="2"/>
                <w:sz w:val="18"/>
                <w:szCs w:val="18"/>
                <w:lang w:eastAsia="en-GB"/>
              </w:rPr>
            </w:pPr>
            <w:r w:rsidRPr="009C79FF">
              <w:rPr>
                <w:kern w:val="2"/>
                <w:sz w:val="18"/>
                <w:szCs w:val="18"/>
                <w:lang w:eastAsia="en-GB"/>
              </w:rPr>
              <w:t>Р</w:t>
            </w:r>
            <w:r w:rsidR="00533538">
              <w:rPr>
                <w:kern w:val="2"/>
                <w:sz w:val="18"/>
                <w:szCs w:val="18"/>
                <w:lang w:eastAsia="en-GB"/>
              </w:rPr>
              <w:t>асходы на сектор образования из </w:t>
            </w:r>
            <w:r w:rsidRPr="009C79FF">
              <w:rPr>
                <w:kern w:val="2"/>
                <w:sz w:val="18"/>
                <w:szCs w:val="18"/>
                <w:lang w:eastAsia="en-GB"/>
              </w:rPr>
              <w:t xml:space="preserve">расчета на душу населения, </w:t>
            </w:r>
            <w:r w:rsidR="00533538">
              <w:rPr>
                <w:kern w:val="2"/>
                <w:sz w:val="18"/>
                <w:szCs w:val="18"/>
                <w:lang w:eastAsia="en-GB"/>
              </w:rPr>
              <w:br/>
            </w:r>
            <w:r w:rsidRPr="009C79FF">
              <w:rPr>
                <w:kern w:val="2"/>
                <w:sz w:val="18"/>
                <w:szCs w:val="18"/>
                <w:lang w:eastAsia="en-GB"/>
              </w:rPr>
              <w:t>тыс. тугриков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79FF" w:rsidRPr="009C79FF" w:rsidRDefault="009C79FF" w:rsidP="009C79FF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kern w:val="2"/>
                <w:sz w:val="18"/>
                <w:szCs w:val="18"/>
                <w:lang w:eastAsia="en-GB"/>
              </w:rPr>
            </w:pPr>
            <w:r w:rsidRPr="009C79FF">
              <w:rPr>
                <w:kern w:val="2"/>
                <w:sz w:val="18"/>
                <w:szCs w:val="18"/>
                <w:lang w:eastAsia="en-GB"/>
              </w:rPr>
              <w:t>103,7</w:t>
            </w:r>
          </w:p>
        </w:tc>
        <w:tc>
          <w:tcPr>
            <w:tcW w:w="101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79FF" w:rsidRPr="009C79FF" w:rsidRDefault="009C79FF" w:rsidP="009C79FF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kern w:val="2"/>
                <w:sz w:val="18"/>
                <w:szCs w:val="18"/>
                <w:lang w:eastAsia="en-GB"/>
              </w:rPr>
            </w:pPr>
            <w:r w:rsidRPr="009C79FF">
              <w:rPr>
                <w:kern w:val="2"/>
                <w:sz w:val="18"/>
                <w:szCs w:val="18"/>
                <w:lang w:eastAsia="en-GB"/>
              </w:rPr>
              <w:t>154,4</w:t>
            </w:r>
          </w:p>
        </w:tc>
        <w:tc>
          <w:tcPr>
            <w:tcW w:w="103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79FF" w:rsidRPr="009C79FF" w:rsidRDefault="009C79FF" w:rsidP="009C79FF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kern w:val="2"/>
                <w:sz w:val="18"/>
                <w:szCs w:val="18"/>
                <w:lang w:eastAsia="en-GB"/>
              </w:rPr>
            </w:pPr>
            <w:r w:rsidRPr="009C79FF">
              <w:rPr>
                <w:kern w:val="2"/>
                <w:sz w:val="18"/>
                <w:szCs w:val="18"/>
                <w:lang w:eastAsia="en-GB"/>
              </w:rPr>
              <w:t>157,4</w:t>
            </w:r>
          </w:p>
        </w:tc>
        <w:tc>
          <w:tcPr>
            <w:tcW w:w="98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79FF" w:rsidRPr="009C79FF" w:rsidRDefault="009C79FF" w:rsidP="009C79FF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kern w:val="2"/>
                <w:sz w:val="18"/>
                <w:szCs w:val="18"/>
                <w:lang w:eastAsia="en-GB"/>
              </w:rPr>
            </w:pPr>
            <w:r w:rsidRPr="009C79FF">
              <w:rPr>
                <w:kern w:val="2"/>
                <w:sz w:val="18"/>
                <w:szCs w:val="18"/>
                <w:lang w:eastAsia="en-GB"/>
              </w:rPr>
              <w:t>190,8</w:t>
            </w:r>
          </w:p>
        </w:tc>
      </w:tr>
    </w:tbl>
    <w:p w:rsidR="00695690" w:rsidRPr="00695690" w:rsidRDefault="00695690" w:rsidP="00695690">
      <w:pPr>
        <w:pStyle w:val="SingleTxtGR"/>
        <w:suppressAutoHyphens/>
        <w:spacing w:before="120" w:after="0" w:line="220" w:lineRule="exact"/>
        <w:ind w:firstLine="170"/>
        <w:jc w:val="left"/>
        <w:rPr>
          <w:sz w:val="18"/>
          <w:szCs w:val="18"/>
        </w:rPr>
      </w:pPr>
      <w:r w:rsidRPr="00695690">
        <w:rPr>
          <w:i/>
          <w:sz w:val="18"/>
          <w:szCs w:val="18"/>
        </w:rPr>
        <w:t>Источник</w:t>
      </w:r>
      <w:r w:rsidRPr="00695690">
        <w:rPr>
          <w:sz w:val="18"/>
          <w:szCs w:val="18"/>
        </w:rPr>
        <w:t xml:space="preserve">: </w:t>
      </w:r>
      <w:r w:rsidRPr="00695690">
        <w:rPr>
          <w:i/>
          <w:sz w:val="18"/>
          <w:szCs w:val="18"/>
        </w:rPr>
        <w:t>Национальный статистический ежегодник, 2010 год</w:t>
      </w:r>
      <w:r w:rsidRPr="00695690">
        <w:rPr>
          <w:sz w:val="18"/>
          <w:szCs w:val="18"/>
        </w:rPr>
        <w:t>, Национальное статистическое управл</w:t>
      </w:r>
      <w:r w:rsidRPr="00695690">
        <w:rPr>
          <w:sz w:val="18"/>
          <w:szCs w:val="18"/>
        </w:rPr>
        <w:t>е</w:t>
      </w:r>
      <w:r w:rsidRPr="00695690">
        <w:rPr>
          <w:sz w:val="18"/>
          <w:szCs w:val="18"/>
        </w:rPr>
        <w:t>ние Монголии, www.nso.mn.</w:t>
      </w:r>
    </w:p>
    <w:p w:rsidR="00BE0F6A" w:rsidRPr="00695690" w:rsidRDefault="00BE0F6A" w:rsidP="00695690">
      <w:pPr>
        <w:pStyle w:val="SingleTxtGR"/>
        <w:suppressAutoHyphens/>
        <w:spacing w:after="0" w:line="220" w:lineRule="exact"/>
        <w:ind w:firstLine="170"/>
        <w:jc w:val="left"/>
        <w:rPr>
          <w:sz w:val="18"/>
          <w:szCs w:val="18"/>
        </w:rPr>
      </w:pPr>
      <w:r w:rsidRPr="00695690">
        <w:rPr>
          <w:sz w:val="18"/>
          <w:szCs w:val="18"/>
        </w:rPr>
        <w:t xml:space="preserve">* </w:t>
      </w:r>
      <w:r w:rsidR="00695690" w:rsidRPr="00695690">
        <w:rPr>
          <w:sz w:val="18"/>
          <w:szCs w:val="18"/>
        </w:rPr>
        <w:t xml:space="preserve"> </w:t>
      </w:r>
      <w:r w:rsidRPr="00695690">
        <w:rPr>
          <w:sz w:val="18"/>
          <w:szCs w:val="18"/>
        </w:rPr>
        <w:t>Бюджетный пакет Министра образования, культуры и науки</w:t>
      </w:r>
      <w:r w:rsidR="00695690" w:rsidRPr="00695690">
        <w:rPr>
          <w:sz w:val="18"/>
          <w:szCs w:val="18"/>
        </w:rPr>
        <w:t>.</w:t>
      </w:r>
    </w:p>
    <w:p w:rsidR="00BE0F6A" w:rsidRPr="00695690" w:rsidRDefault="00BE0F6A" w:rsidP="00695690">
      <w:pPr>
        <w:pStyle w:val="SingleTxtGR"/>
        <w:suppressAutoHyphens/>
        <w:spacing w:after="0" w:line="220" w:lineRule="exact"/>
        <w:ind w:firstLine="170"/>
        <w:jc w:val="left"/>
        <w:rPr>
          <w:sz w:val="18"/>
          <w:szCs w:val="18"/>
          <w:lang w:val="en-US"/>
        </w:rPr>
      </w:pPr>
      <w:r w:rsidRPr="00695690">
        <w:rPr>
          <w:sz w:val="18"/>
          <w:szCs w:val="18"/>
        </w:rPr>
        <w:t xml:space="preserve">** </w:t>
      </w:r>
      <w:r w:rsidR="00695690" w:rsidRPr="00695690">
        <w:rPr>
          <w:sz w:val="18"/>
          <w:szCs w:val="18"/>
        </w:rPr>
        <w:t xml:space="preserve"> </w:t>
      </w:r>
      <w:r w:rsidRPr="00695690">
        <w:rPr>
          <w:sz w:val="18"/>
          <w:szCs w:val="18"/>
        </w:rPr>
        <w:t>Предварительные данные</w:t>
      </w:r>
      <w:r w:rsidR="00695690">
        <w:rPr>
          <w:sz w:val="18"/>
          <w:szCs w:val="18"/>
          <w:lang w:val="en-US"/>
        </w:rPr>
        <w:t>.</w:t>
      </w:r>
    </w:p>
    <w:p w:rsidR="00BE0F6A" w:rsidRPr="00BE0F6A" w:rsidRDefault="00BE0F6A" w:rsidP="00695690">
      <w:pPr>
        <w:pStyle w:val="SingleTxtGR"/>
        <w:spacing w:before="240"/>
      </w:pPr>
      <w:r w:rsidRPr="00BE0F6A">
        <w:t>212.</w:t>
      </w:r>
      <w:r w:rsidRPr="00BE0F6A">
        <w:tab/>
        <w:t>Расширение гендерного разрыва в сфере образования стало серьезной проблемой в Монголии. Процент женщин в Монголии, приобретающих образ</w:t>
      </w:r>
      <w:r w:rsidRPr="00BE0F6A">
        <w:t>о</w:t>
      </w:r>
      <w:r w:rsidRPr="00BE0F6A">
        <w:t>вание, выше процента мужчин, как и во многих других странах. Такой генде</w:t>
      </w:r>
      <w:r w:rsidRPr="00BE0F6A">
        <w:t>р</w:t>
      </w:r>
      <w:r w:rsidRPr="00BE0F6A">
        <w:t>ный разрыв является более широким в высших учебных заведениях. Согласно статистическим данным за 2010/11 учебный год 51,8% учащихся в школах и университетах Монголии – женщины. Поэтому в цели Монголии в рамках Де</w:t>
      </w:r>
      <w:r w:rsidRPr="00BE0F6A">
        <w:t>к</w:t>
      </w:r>
      <w:r w:rsidRPr="00BE0F6A">
        <w:t>ларации тысячелетия была включена з</w:t>
      </w:r>
      <w:r w:rsidRPr="00BE0F6A">
        <w:t>а</w:t>
      </w:r>
      <w:r w:rsidRPr="00BE0F6A">
        <w:t>дача сокращения гендерного разрыва до должного уровня к 2015 году.</w:t>
      </w:r>
    </w:p>
    <w:p w:rsidR="00BE0F6A" w:rsidRPr="00BE0F6A" w:rsidRDefault="00BE0F6A" w:rsidP="00BE0F6A">
      <w:pPr>
        <w:pStyle w:val="SingleTxtGR"/>
      </w:pPr>
      <w:r w:rsidRPr="00BE0F6A">
        <w:t>213.</w:t>
      </w:r>
      <w:r w:rsidRPr="00BE0F6A">
        <w:tab/>
        <w:t>Закон об образовании гласит, что каждый гражданин должен получить общее образование. Нас</w:t>
      </w:r>
      <w:r w:rsidRPr="00BE0F6A">
        <w:t>е</w:t>
      </w:r>
      <w:r w:rsidRPr="00BE0F6A">
        <w:t>ление получает образование в учебных заведениях формального и неформального обр</w:t>
      </w:r>
      <w:r w:rsidR="00C547CB">
        <w:t>азования в городах и аймаках. В</w:t>
      </w:r>
      <w:r w:rsidR="00C547CB">
        <w:rPr>
          <w:lang w:val="en-US"/>
        </w:rPr>
        <w:t> </w:t>
      </w:r>
      <w:r w:rsidRPr="00BE0F6A">
        <w:t>2008/</w:t>
      </w:r>
      <w:r w:rsidR="00C547CB">
        <w:t>09</w:t>
      </w:r>
      <w:r w:rsidR="00C547CB">
        <w:rPr>
          <w:lang w:val="en-US"/>
        </w:rPr>
        <w:t> </w:t>
      </w:r>
      <w:r w:rsidRPr="00BE0F6A">
        <w:t>учебном году система общего образования Монголии стала 12-летней (начальное образование – 6 лет, базовое образов</w:t>
      </w:r>
      <w:r w:rsidR="00C547CB">
        <w:t>ание – 9 лет, общее образов</w:t>
      </w:r>
      <w:r w:rsidR="00C547CB">
        <w:t>а</w:t>
      </w:r>
      <w:r w:rsidR="00C547CB">
        <w:t>ние</w:t>
      </w:r>
      <w:r w:rsidR="00C547CB">
        <w:rPr>
          <w:lang w:val="en-US"/>
        </w:rPr>
        <w:t> </w:t>
      </w:r>
      <w:r w:rsidRPr="00BE0F6A">
        <w:t>– 12 лет).</w:t>
      </w:r>
    </w:p>
    <w:p w:rsidR="00BE0F6A" w:rsidRPr="00BE0F6A" w:rsidRDefault="00BE0F6A" w:rsidP="00BE0F6A">
      <w:pPr>
        <w:pStyle w:val="SingleTxtGR"/>
      </w:pPr>
      <w:r w:rsidRPr="00BE0F6A">
        <w:t>214.</w:t>
      </w:r>
      <w:r w:rsidRPr="00BE0F6A">
        <w:tab/>
        <w:t xml:space="preserve">В 2009/10 году общее образование </w:t>
      </w:r>
      <w:r w:rsidR="00A54898">
        <w:t>можно было получить в</w:t>
      </w:r>
      <w:r w:rsidR="00A54898">
        <w:rPr>
          <w:lang w:val="en-US"/>
        </w:rPr>
        <w:t> </w:t>
      </w:r>
      <w:r w:rsidR="00A54898">
        <w:t>44,6%</w:t>
      </w:r>
      <w:r w:rsidR="00A54898" w:rsidRPr="00A54898">
        <w:t xml:space="preserve"> </w:t>
      </w:r>
      <w:r w:rsidR="00A54898">
        <w:t>755</w:t>
      </w:r>
      <w:r w:rsidR="00A54898">
        <w:rPr>
          <w:lang w:val="en-US"/>
        </w:rPr>
        <w:t> </w:t>
      </w:r>
      <w:r w:rsidRPr="00BE0F6A">
        <w:t>средних школ. Кроме того, в общей сложности 63 центра профе</w:t>
      </w:r>
      <w:r w:rsidRPr="00BE0F6A">
        <w:t>с</w:t>
      </w:r>
      <w:r w:rsidRPr="00BE0F6A">
        <w:t>сионально-технического образования закончили 13 900 учащихся. С 2008 года осущест</w:t>
      </w:r>
      <w:r w:rsidRPr="00BE0F6A">
        <w:t>в</w:t>
      </w:r>
      <w:r w:rsidRPr="00BE0F6A">
        <w:t xml:space="preserve">ляется программа </w:t>
      </w:r>
      <w:r w:rsidR="00C467DA">
        <w:t>"</w:t>
      </w:r>
      <w:r w:rsidRPr="00BE0F6A">
        <w:t>Компьютер каждому ученику начальной школы</w:t>
      </w:r>
      <w:r w:rsidR="00C467DA">
        <w:t>"</w:t>
      </w:r>
      <w:r w:rsidRPr="00BE0F6A">
        <w:t>. В рамках этой программы ученикам начальной школы предоставляются компь</w:t>
      </w:r>
      <w:r w:rsidRPr="00BE0F6A">
        <w:t>ю</w:t>
      </w:r>
      <w:r w:rsidRPr="00BE0F6A">
        <w:t>теры для использования информационных технологий в учебном процессе. К тому же Министерство образования, культуры и науки планирует подключить средние школы к высокоскоростному доступу в Интернет.</w:t>
      </w:r>
    </w:p>
    <w:p w:rsidR="00BE0F6A" w:rsidRPr="00BE0F6A" w:rsidRDefault="00BE0F6A" w:rsidP="00BE0F6A">
      <w:pPr>
        <w:pStyle w:val="SingleTxtGR"/>
      </w:pPr>
      <w:r w:rsidRPr="00BE0F6A">
        <w:t>215.</w:t>
      </w:r>
      <w:r w:rsidRPr="00BE0F6A">
        <w:tab/>
        <w:t>Правительство осуществляет следующие задачи для улучшения досту</w:t>
      </w:r>
      <w:r w:rsidRPr="00BE0F6A">
        <w:t>п</w:t>
      </w:r>
      <w:r w:rsidRPr="00BE0F6A">
        <w:t>ности общего образования и повышения качества образования:</w:t>
      </w:r>
    </w:p>
    <w:p w:rsidR="00BE0F6A" w:rsidRPr="00BE0F6A" w:rsidRDefault="00BE0F6A" w:rsidP="00A54898">
      <w:pPr>
        <w:pStyle w:val="Bullet1GR"/>
      </w:pPr>
      <w:r w:rsidRPr="00BE0F6A">
        <w:t>В целях подготовки учащихся средней школы к профессиональной де</w:t>
      </w:r>
      <w:r w:rsidRPr="00BE0F6A">
        <w:t>я</w:t>
      </w:r>
      <w:r w:rsidRPr="00BE0F6A">
        <w:t>тельности была разработана новая учебная программа, позволяющая учащимся выбирать занятия по профессиональной подготовке, посещая при этом уроки по обязательным дисциплинам. Кроме того, английский и русский языки являются обязательными предметами, и ученики могут также дополнительно выбрать еще один язык для изучения.</w:t>
      </w:r>
    </w:p>
    <w:p w:rsidR="00BE0F6A" w:rsidRPr="00BE0F6A" w:rsidRDefault="00BE0F6A" w:rsidP="00A54898">
      <w:pPr>
        <w:pStyle w:val="Bullet1GR"/>
      </w:pPr>
      <w:r w:rsidRPr="00BE0F6A">
        <w:t>Впервые дисциплины общеобразовательной школы изучались с помощью теле- и радиопередач. Всего было подготовлено 180 часов учебных тел</w:t>
      </w:r>
      <w:r w:rsidRPr="00BE0F6A">
        <w:t>е</w:t>
      </w:r>
      <w:r w:rsidRPr="00BE0F6A">
        <w:t>программ и 60 часов учебных радиопрограмм. С учебными программами можно также ознакомиться через Интернет, зайдя на веб-сайт www.khicheel.mn.</w:t>
      </w:r>
    </w:p>
    <w:p w:rsidR="00BE0F6A" w:rsidRPr="00BE0F6A" w:rsidRDefault="00BE0F6A" w:rsidP="00A54898">
      <w:pPr>
        <w:pStyle w:val="Bullet1GR"/>
      </w:pPr>
      <w:r w:rsidRPr="00BE0F6A">
        <w:t>Начиная с 2008/09 учебного года, в общеобразовательных школах испол</w:t>
      </w:r>
      <w:r w:rsidRPr="00BE0F6A">
        <w:t>ь</w:t>
      </w:r>
      <w:r w:rsidRPr="00BE0F6A">
        <w:t>зуются единообразные учебники по изучаемым там предметам. Госуда</w:t>
      </w:r>
      <w:r w:rsidRPr="00BE0F6A">
        <w:t>р</w:t>
      </w:r>
      <w:r w:rsidRPr="00BE0F6A">
        <w:t>ство выдает ученикам начальной школы бесплатные учебники и оплач</w:t>
      </w:r>
      <w:r w:rsidRPr="00BE0F6A">
        <w:t>и</w:t>
      </w:r>
      <w:r w:rsidRPr="00BE0F6A">
        <w:t>вает до 40% стоимости учебников ученикам средней школы. В этом году ученикам из уязвимых групп населения было выделено в общей сложн</w:t>
      </w:r>
      <w:r w:rsidRPr="00BE0F6A">
        <w:t>о</w:t>
      </w:r>
      <w:r w:rsidRPr="00BE0F6A">
        <w:t>сти 2 млн. учебников стоимостью 4,9 млрд. тугриков.</w:t>
      </w:r>
    </w:p>
    <w:p w:rsidR="00BE0F6A" w:rsidRPr="00BE0F6A" w:rsidRDefault="00BE0F6A" w:rsidP="00A54898">
      <w:pPr>
        <w:pStyle w:val="Bullet1GR"/>
      </w:pPr>
      <w:r w:rsidRPr="00BE0F6A">
        <w:t>В 2009 году было открыто в общей сложности 18 учебных завед</w:t>
      </w:r>
      <w:r w:rsidRPr="00BE0F6A">
        <w:t>е</w:t>
      </w:r>
      <w:r w:rsidRPr="00BE0F6A">
        <w:t>ний, появилось 5</w:t>
      </w:r>
      <w:r w:rsidR="00A54898">
        <w:rPr>
          <w:lang w:val="en-US"/>
        </w:rPr>
        <w:t> </w:t>
      </w:r>
      <w:r w:rsidRPr="00BE0F6A">
        <w:t>900 новых учебных мест, построено 11 общежитий, 22 де</w:t>
      </w:r>
      <w:r w:rsidRPr="00BE0F6A">
        <w:t>т</w:t>
      </w:r>
      <w:r w:rsidRPr="00BE0F6A">
        <w:t>ских сада, 17 культурных центров и 15 спортивных залов. Кроме того, были проведены строительные работы на 185 объектах в целях модерн</w:t>
      </w:r>
      <w:r w:rsidRPr="00BE0F6A">
        <w:t>и</w:t>
      </w:r>
      <w:r w:rsidRPr="00BE0F6A">
        <w:t>зации школьных зданий. В результате посещаемость детских садов и н</w:t>
      </w:r>
      <w:r w:rsidRPr="00BE0F6A">
        <w:t>а</w:t>
      </w:r>
      <w:r w:rsidRPr="00BE0F6A">
        <w:t>чальных школ увеличилась соо</w:t>
      </w:r>
      <w:r w:rsidRPr="00BE0F6A">
        <w:t>т</w:t>
      </w:r>
      <w:r w:rsidRPr="00BE0F6A">
        <w:t>ветственно на 1,6% и 2,0%.</w:t>
      </w:r>
    </w:p>
    <w:p w:rsidR="00BE0F6A" w:rsidRPr="00BE0F6A" w:rsidRDefault="00BE0F6A" w:rsidP="00BE0F6A">
      <w:pPr>
        <w:pStyle w:val="SingleTxtGR"/>
      </w:pPr>
      <w:r w:rsidRPr="00BE0F6A">
        <w:t>216.</w:t>
      </w:r>
      <w:r w:rsidRPr="00BE0F6A">
        <w:tab/>
        <w:t>В соответствии с Законом о высшем образовании частные учебные зав</w:t>
      </w:r>
      <w:r w:rsidRPr="00BE0F6A">
        <w:t>е</w:t>
      </w:r>
      <w:r w:rsidRPr="00BE0F6A">
        <w:t>дения и специальные школы при них могут создаваться с разрешения прав</w:t>
      </w:r>
      <w:r w:rsidRPr="00BE0F6A">
        <w:t>и</w:t>
      </w:r>
      <w:r w:rsidRPr="00BE0F6A">
        <w:t>тельства. Такое положение направлено на улучшение качества высшего образ</w:t>
      </w:r>
      <w:r w:rsidRPr="00BE0F6A">
        <w:t>о</w:t>
      </w:r>
      <w:r w:rsidRPr="00BE0F6A">
        <w:t>вания в Монголии.</w:t>
      </w:r>
    </w:p>
    <w:p w:rsidR="00BE0F6A" w:rsidRPr="00BE0F6A" w:rsidRDefault="00BE0F6A" w:rsidP="00BE0F6A">
      <w:pPr>
        <w:pStyle w:val="SingleTxtGR"/>
      </w:pPr>
      <w:r w:rsidRPr="00BE0F6A">
        <w:t>217.</w:t>
      </w:r>
      <w:r w:rsidRPr="00BE0F6A">
        <w:tab/>
        <w:t>Процедура приема в университеты и колледжи была утверждена Прик</w:t>
      </w:r>
      <w:r w:rsidRPr="00BE0F6A">
        <w:t>а</w:t>
      </w:r>
      <w:r w:rsidRPr="00BE0F6A">
        <w:t xml:space="preserve">зом № 69 Министра образования, культуры и науки в 2006 году. Была введена новая система проведения экзаменов под названием </w:t>
      </w:r>
      <w:r w:rsidR="00C467DA">
        <w:t>"</w:t>
      </w:r>
      <w:r w:rsidRPr="00BE0F6A">
        <w:t>Общая процедура пров</w:t>
      </w:r>
      <w:r w:rsidRPr="00BE0F6A">
        <w:t>е</w:t>
      </w:r>
      <w:r w:rsidRPr="00BE0F6A">
        <w:t>дения вступительных экзаменов в университеты</w:t>
      </w:r>
      <w:r w:rsidR="00C467DA">
        <w:t>"</w:t>
      </w:r>
      <w:r w:rsidRPr="00BE0F6A">
        <w:t>.</w:t>
      </w:r>
    </w:p>
    <w:p w:rsidR="00064E25" w:rsidRDefault="00BE0F6A" w:rsidP="00BE0F6A">
      <w:pPr>
        <w:pStyle w:val="SingleTxtGR"/>
        <w:rPr>
          <w:lang w:val="en-US"/>
        </w:rPr>
      </w:pPr>
      <w:r w:rsidRPr="00BE0F6A">
        <w:t>218.</w:t>
      </w:r>
      <w:r w:rsidRPr="00BE0F6A">
        <w:tab/>
        <w:t>В 2010/11 учебном году были получены предложения от 26 университ</w:t>
      </w:r>
      <w:r w:rsidRPr="00BE0F6A">
        <w:t>е</w:t>
      </w:r>
      <w:r w:rsidRPr="00BE0F6A">
        <w:t>тов в отношении 96 программ по получению степени бакалавра, 9 университ</w:t>
      </w:r>
      <w:r w:rsidRPr="00BE0F6A">
        <w:t>е</w:t>
      </w:r>
      <w:r w:rsidRPr="00BE0F6A">
        <w:t>тов в отношении 11 программ по получению степени магистра и 4 университ</w:t>
      </w:r>
      <w:r w:rsidRPr="00BE0F6A">
        <w:t>е</w:t>
      </w:r>
      <w:r w:rsidRPr="00BE0F6A">
        <w:t>тов в отношении программ по получению докторской степени. Правительство одобрило в общей сложности 19 программ в области инженерного дела, пр</w:t>
      </w:r>
      <w:r w:rsidRPr="00BE0F6A">
        <w:t>и</w:t>
      </w:r>
      <w:r w:rsidRPr="00BE0F6A">
        <w:t>кладных наук, сельского хозяйства и естественных наук. В 2009 году прав</w:t>
      </w:r>
      <w:r w:rsidRPr="00BE0F6A">
        <w:t>и</w:t>
      </w:r>
      <w:r w:rsidRPr="00BE0F6A">
        <w:t>тельственному фонду поддержки студентов программы бакалавриата было в общей сложности выделено 22,9 млрд. тугриков, тогда как 315 студентам пр</w:t>
      </w:r>
      <w:r w:rsidRPr="00BE0F6A">
        <w:t>о</w:t>
      </w:r>
      <w:r w:rsidRPr="00BE0F6A">
        <w:t>граммы магистратуры, обучающимся за границей, было выделено 2,8 млн. ту</w:t>
      </w:r>
      <w:r w:rsidRPr="00BE0F6A">
        <w:t>г</w:t>
      </w:r>
      <w:r w:rsidRPr="00BE0F6A">
        <w:t>риков. Кроме того, всего было израсходовано 550 млн. тугриков на покрытие путевых расходов студентов, приезжающих в Улан-Батор из отдаленных реги</w:t>
      </w:r>
      <w:r w:rsidRPr="00BE0F6A">
        <w:t>о</w:t>
      </w:r>
      <w:r w:rsidRPr="00BE0F6A">
        <w:t>нов.</w:t>
      </w:r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84"/>
        <w:gridCol w:w="2248"/>
        <w:gridCol w:w="2838"/>
      </w:tblGrid>
      <w:tr w:rsidR="00252A7A" w:rsidRPr="00A7190B" w:rsidTr="00965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tblHeader/>
        </w:trPr>
        <w:tc>
          <w:tcPr>
            <w:tcW w:w="2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2A7A" w:rsidRPr="00A7190B" w:rsidRDefault="00252A7A" w:rsidP="00252A7A">
            <w:pPr>
              <w:autoSpaceDE w:val="0"/>
              <w:autoSpaceDN w:val="0"/>
              <w:adjustRightInd w:val="0"/>
              <w:spacing w:before="80" w:after="80" w:line="200" w:lineRule="exact"/>
              <w:rPr>
                <w:i/>
                <w:sz w:val="16"/>
                <w:szCs w:val="24"/>
                <w:lang w:eastAsia="en-GB"/>
              </w:rPr>
            </w:pPr>
            <w:r w:rsidRPr="00A7190B">
              <w:rPr>
                <w:bCs/>
                <w:i/>
                <w:sz w:val="16"/>
                <w:szCs w:val="22"/>
                <w:lang w:eastAsia="en-GB"/>
              </w:rPr>
              <w:t>Год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2A7A" w:rsidRPr="00A7190B" w:rsidRDefault="00252A7A" w:rsidP="00252A7A">
            <w:pPr>
              <w:autoSpaceDE w:val="0"/>
              <w:autoSpaceDN w:val="0"/>
              <w:adjustRightInd w:val="0"/>
              <w:spacing w:before="80" w:after="80" w:line="200" w:lineRule="exact"/>
              <w:jc w:val="right"/>
              <w:rPr>
                <w:i/>
                <w:sz w:val="16"/>
                <w:szCs w:val="24"/>
                <w:lang w:eastAsia="en-GB"/>
              </w:rPr>
            </w:pPr>
            <w:r w:rsidRPr="00A7190B">
              <w:rPr>
                <w:bCs/>
                <w:i/>
                <w:sz w:val="16"/>
                <w:szCs w:val="22"/>
                <w:lang w:eastAsia="en-GB"/>
              </w:rPr>
              <w:t>Количество учащихся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2A7A" w:rsidRPr="00A7190B" w:rsidRDefault="00252A7A" w:rsidP="00252A7A">
            <w:pPr>
              <w:autoSpaceDE w:val="0"/>
              <w:autoSpaceDN w:val="0"/>
              <w:adjustRightInd w:val="0"/>
              <w:spacing w:before="80" w:after="80" w:line="200" w:lineRule="exact"/>
              <w:jc w:val="right"/>
              <w:rPr>
                <w:i/>
                <w:sz w:val="16"/>
                <w:szCs w:val="24"/>
                <w:lang w:eastAsia="en-GB"/>
              </w:rPr>
            </w:pPr>
            <w:r w:rsidRPr="00A7190B">
              <w:rPr>
                <w:bCs/>
                <w:i/>
                <w:sz w:val="16"/>
                <w:szCs w:val="22"/>
                <w:lang w:eastAsia="en-GB"/>
              </w:rPr>
              <w:t>Путевые расходы (млн. тугриков)</w:t>
            </w:r>
          </w:p>
        </w:tc>
      </w:tr>
      <w:tr w:rsidR="00252A7A" w:rsidRPr="00A7190B" w:rsidTr="00965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284" w:type="dxa"/>
            <w:tcBorders>
              <w:top w:val="single" w:sz="12" w:space="0" w:color="auto"/>
            </w:tcBorders>
            <w:shd w:val="clear" w:color="auto" w:fill="auto"/>
          </w:tcPr>
          <w:p w:rsidR="00252A7A" w:rsidRPr="00A7190B" w:rsidRDefault="00252A7A" w:rsidP="00252A7A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24"/>
                <w:lang w:eastAsia="en-GB"/>
              </w:rPr>
            </w:pPr>
            <w:r w:rsidRPr="00A7190B">
              <w:rPr>
                <w:sz w:val="18"/>
                <w:szCs w:val="22"/>
                <w:lang w:eastAsia="en-GB"/>
              </w:rPr>
              <w:t>2007</w:t>
            </w:r>
          </w:p>
        </w:tc>
        <w:tc>
          <w:tcPr>
            <w:tcW w:w="224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2A7A" w:rsidRPr="00A7190B" w:rsidRDefault="00252A7A" w:rsidP="00252A7A">
            <w:pPr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24"/>
                <w:lang w:eastAsia="en-GB"/>
              </w:rPr>
            </w:pPr>
            <w:r w:rsidRPr="00A7190B">
              <w:rPr>
                <w:sz w:val="18"/>
                <w:szCs w:val="22"/>
                <w:lang w:eastAsia="en-GB"/>
              </w:rPr>
              <w:t>11 302</w:t>
            </w:r>
          </w:p>
        </w:tc>
        <w:tc>
          <w:tcPr>
            <w:tcW w:w="283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2A7A" w:rsidRPr="00A7190B" w:rsidRDefault="00252A7A" w:rsidP="00252A7A">
            <w:pPr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24"/>
                <w:lang w:eastAsia="en-GB"/>
              </w:rPr>
            </w:pPr>
            <w:r w:rsidRPr="00A7190B">
              <w:rPr>
                <w:sz w:val="18"/>
                <w:szCs w:val="22"/>
                <w:lang w:eastAsia="en-GB"/>
              </w:rPr>
              <w:t>333,8</w:t>
            </w:r>
          </w:p>
        </w:tc>
      </w:tr>
      <w:tr w:rsidR="00252A7A" w:rsidRPr="00A7190B" w:rsidTr="00965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284" w:type="dxa"/>
            <w:shd w:val="clear" w:color="auto" w:fill="auto"/>
          </w:tcPr>
          <w:p w:rsidR="00252A7A" w:rsidRPr="00A7190B" w:rsidRDefault="00252A7A" w:rsidP="00252A7A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24"/>
                <w:lang w:eastAsia="en-GB"/>
              </w:rPr>
            </w:pPr>
            <w:r w:rsidRPr="00A7190B">
              <w:rPr>
                <w:sz w:val="18"/>
                <w:szCs w:val="22"/>
                <w:lang w:eastAsia="en-GB"/>
              </w:rPr>
              <w:t>2008</w:t>
            </w:r>
          </w:p>
        </w:tc>
        <w:tc>
          <w:tcPr>
            <w:tcW w:w="2248" w:type="dxa"/>
            <w:shd w:val="clear" w:color="auto" w:fill="auto"/>
            <w:vAlign w:val="bottom"/>
          </w:tcPr>
          <w:p w:rsidR="00252A7A" w:rsidRPr="00A7190B" w:rsidRDefault="00252A7A" w:rsidP="00252A7A">
            <w:pPr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24"/>
                <w:lang w:eastAsia="en-GB"/>
              </w:rPr>
            </w:pPr>
            <w:r w:rsidRPr="00A7190B">
              <w:rPr>
                <w:sz w:val="18"/>
                <w:szCs w:val="22"/>
                <w:lang w:eastAsia="en-GB"/>
              </w:rPr>
              <w:t>11 313</w:t>
            </w:r>
          </w:p>
        </w:tc>
        <w:tc>
          <w:tcPr>
            <w:tcW w:w="2838" w:type="dxa"/>
            <w:shd w:val="clear" w:color="auto" w:fill="auto"/>
            <w:vAlign w:val="bottom"/>
          </w:tcPr>
          <w:p w:rsidR="00252A7A" w:rsidRPr="00A7190B" w:rsidRDefault="00252A7A" w:rsidP="00252A7A">
            <w:pPr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24"/>
                <w:lang w:eastAsia="en-GB"/>
              </w:rPr>
            </w:pPr>
            <w:r w:rsidRPr="00A7190B">
              <w:rPr>
                <w:sz w:val="18"/>
                <w:szCs w:val="22"/>
                <w:lang w:eastAsia="en-GB"/>
              </w:rPr>
              <w:t>422,5</w:t>
            </w:r>
          </w:p>
        </w:tc>
      </w:tr>
      <w:tr w:rsidR="00252A7A" w:rsidRPr="00A7190B" w:rsidTr="00965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284" w:type="dxa"/>
            <w:shd w:val="clear" w:color="auto" w:fill="auto"/>
          </w:tcPr>
          <w:p w:rsidR="00252A7A" w:rsidRPr="00A7190B" w:rsidRDefault="00252A7A" w:rsidP="00252A7A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24"/>
                <w:lang w:eastAsia="en-GB"/>
              </w:rPr>
            </w:pPr>
            <w:r w:rsidRPr="00A7190B">
              <w:rPr>
                <w:sz w:val="18"/>
                <w:szCs w:val="22"/>
                <w:lang w:eastAsia="en-GB"/>
              </w:rPr>
              <w:t>2009</w:t>
            </w:r>
          </w:p>
        </w:tc>
        <w:tc>
          <w:tcPr>
            <w:tcW w:w="2248" w:type="dxa"/>
            <w:shd w:val="clear" w:color="auto" w:fill="auto"/>
            <w:vAlign w:val="bottom"/>
          </w:tcPr>
          <w:p w:rsidR="00252A7A" w:rsidRPr="00A7190B" w:rsidRDefault="00252A7A" w:rsidP="00252A7A">
            <w:pPr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24"/>
                <w:lang w:eastAsia="en-GB"/>
              </w:rPr>
            </w:pPr>
            <w:r w:rsidRPr="00A7190B">
              <w:rPr>
                <w:sz w:val="18"/>
                <w:szCs w:val="22"/>
                <w:lang w:eastAsia="en-GB"/>
              </w:rPr>
              <w:t>10 548</w:t>
            </w:r>
          </w:p>
        </w:tc>
        <w:tc>
          <w:tcPr>
            <w:tcW w:w="2838" w:type="dxa"/>
            <w:shd w:val="clear" w:color="auto" w:fill="auto"/>
            <w:vAlign w:val="bottom"/>
          </w:tcPr>
          <w:p w:rsidR="00252A7A" w:rsidRPr="00A7190B" w:rsidRDefault="00252A7A" w:rsidP="00252A7A">
            <w:pPr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24"/>
                <w:lang w:eastAsia="en-GB"/>
              </w:rPr>
            </w:pPr>
            <w:r w:rsidRPr="00A7190B">
              <w:rPr>
                <w:sz w:val="18"/>
                <w:szCs w:val="22"/>
                <w:lang w:eastAsia="en-GB"/>
              </w:rPr>
              <w:t>550,0</w:t>
            </w:r>
          </w:p>
        </w:tc>
      </w:tr>
      <w:tr w:rsidR="00252A7A" w:rsidRPr="00A7190B" w:rsidTr="00965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284" w:type="dxa"/>
            <w:tcBorders>
              <w:bottom w:val="single" w:sz="12" w:space="0" w:color="auto"/>
            </w:tcBorders>
            <w:shd w:val="clear" w:color="auto" w:fill="auto"/>
          </w:tcPr>
          <w:p w:rsidR="00252A7A" w:rsidRPr="00A7190B" w:rsidRDefault="00252A7A" w:rsidP="00252A7A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24"/>
                <w:lang w:eastAsia="en-GB"/>
              </w:rPr>
            </w:pPr>
            <w:r w:rsidRPr="00A7190B">
              <w:rPr>
                <w:sz w:val="18"/>
                <w:szCs w:val="22"/>
                <w:lang w:eastAsia="en-GB"/>
              </w:rPr>
              <w:t>2010</w:t>
            </w:r>
          </w:p>
        </w:tc>
        <w:tc>
          <w:tcPr>
            <w:tcW w:w="22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2A7A" w:rsidRPr="00A7190B" w:rsidRDefault="00252A7A" w:rsidP="00252A7A">
            <w:pPr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24"/>
                <w:lang w:eastAsia="en-GB"/>
              </w:rPr>
            </w:pPr>
            <w:r w:rsidRPr="00A7190B">
              <w:rPr>
                <w:sz w:val="18"/>
                <w:szCs w:val="22"/>
                <w:lang w:eastAsia="en-GB"/>
              </w:rPr>
              <w:t>11 313</w:t>
            </w:r>
          </w:p>
        </w:tc>
        <w:tc>
          <w:tcPr>
            <w:tcW w:w="283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2A7A" w:rsidRPr="00A7190B" w:rsidRDefault="00252A7A" w:rsidP="00252A7A">
            <w:pPr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24"/>
                <w:lang w:eastAsia="en-GB"/>
              </w:rPr>
            </w:pPr>
            <w:r w:rsidRPr="00A7190B">
              <w:rPr>
                <w:sz w:val="18"/>
                <w:szCs w:val="22"/>
                <w:lang w:eastAsia="en-GB"/>
              </w:rPr>
              <w:t>550,0</w:t>
            </w:r>
          </w:p>
        </w:tc>
      </w:tr>
    </w:tbl>
    <w:p w:rsidR="00965BA9" w:rsidRDefault="00965BA9" w:rsidP="00965BA9">
      <w:pPr>
        <w:pStyle w:val="SingleTxtGR"/>
        <w:spacing w:before="240"/>
      </w:pPr>
      <w:r>
        <w:t>219.</w:t>
      </w:r>
      <w:r>
        <w:tab/>
        <w:t>В январе 2009 года для улучшения условий жизни студентов и определ</w:t>
      </w:r>
      <w:r>
        <w:t>е</w:t>
      </w:r>
      <w:r>
        <w:t>ния единого стандарта Национальным центром по стандартизации и измерен</w:t>
      </w:r>
      <w:r>
        <w:t>и</w:t>
      </w:r>
      <w:r>
        <w:t xml:space="preserve">ям был принят </w:t>
      </w:r>
      <w:r w:rsidR="00C467DA">
        <w:t>"</w:t>
      </w:r>
      <w:r>
        <w:t>Стандарт уровня жизни для о</w:t>
      </w:r>
      <w:r>
        <w:t>б</w:t>
      </w:r>
      <w:r>
        <w:t>щежитий</w:t>
      </w:r>
      <w:r w:rsidR="00C467DA">
        <w:t>"</w:t>
      </w:r>
      <w:r>
        <w:t>.</w:t>
      </w:r>
    </w:p>
    <w:p w:rsidR="00965BA9" w:rsidRDefault="00965BA9" w:rsidP="00965BA9">
      <w:pPr>
        <w:pStyle w:val="SingleTxtGR"/>
      </w:pPr>
      <w:r>
        <w:t>220.</w:t>
      </w:r>
      <w:r>
        <w:tab/>
        <w:t xml:space="preserve">В 2008 году Правительственной резолюцией № 177 были утверждены </w:t>
      </w:r>
      <w:r w:rsidR="00C467DA">
        <w:t>"</w:t>
      </w:r>
      <w:r>
        <w:t>Положения о предоставлении кредитов на образование студентам программы бакалавриата и студентам программы магистратуры высших учебных заведений Монголии и об их погашении</w:t>
      </w:r>
      <w:r w:rsidR="00C467DA">
        <w:t>"</w:t>
      </w:r>
      <w:r>
        <w:t>. Каждому из 61 студента, получившего степень магистра в развитых странах и проработавшего пять и более лет в Монголии, была погашена плата за обучение. Также лучшим студентам были предоставл</w:t>
      </w:r>
      <w:r>
        <w:t>е</w:t>
      </w:r>
      <w:r>
        <w:t>ны стипендии Президента, Премьер-министра и другие виды стипендий.</w:t>
      </w:r>
    </w:p>
    <w:p w:rsidR="00965BA9" w:rsidRDefault="00965BA9" w:rsidP="00965BA9">
      <w:pPr>
        <w:pStyle w:val="SingleTxtGR"/>
      </w:pPr>
      <w:r>
        <w:t>221.</w:t>
      </w:r>
      <w:r>
        <w:tab/>
        <w:t>Всего в 2008/09 учебном году 33</w:t>
      </w:r>
      <w:r>
        <w:rPr>
          <w:lang w:val="en-US"/>
        </w:rPr>
        <w:t> </w:t>
      </w:r>
      <w:r>
        <w:t>007 студентов окончили колледжи и ун</w:t>
      </w:r>
      <w:r>
        <w:t>и</w:t>
      </w:r>
      <w:r>
        <w:t>верситеты. Согласно последним статистическим данным количество студе</w:t>
      </w:r>
      <w:r>
        <w:t>н</w:t>
      </w:r>
      <w:r>
        <w:t>тов программы бакалавриата постоянно растет, тогда как количество студентов пр</w:t>
      </w:r>
      <w:r>
        <w:t>о</w:t>
      </w:r>
      <w:r>
        <w:t>граммы магистратуры остается стабильным. Кроме того, на выпускников же</w:t>
      </w:r>
      <w:r>
        <w:t>н</w:t>
      </w:r>
      <w:r>
        <w:t>ского пола приходится 63,7% всех выпускников. Другими словами, двое из трех выпускников – женщины.</w:t>
      </w:r>
    </w:p>
    <w:p w:rsidR="00965BA9" w:rsidRDefault="00965BA9" w:rsidP="00965BA9">
      <w:pPr>
        <w:pStyle w:val="SingleTxtGR"/>
      </w:pPr>
      <w:r>
        <w:t>222.</w:t>
      </w:r>
      <w:r>
        <w:tab/>
        <w:t>В 2008/09 учебном году 13,7% студентов программы магистратуры сп</w:t>
      </w:r>
      <w:r>
        <w:t>е</w:t>
      </w:r>
      <w:r>
        <w:t>циализировались в области образования, 9,5% – в области гуманитарных н</w:t>
      </w:r>
      <w:r>
        <w:t>а</w:t>
      </w:r>
      <w:r>
        <w:t>ук, 44,4% – в области социальных наук, 5,4% – в области естественных наук, 11,4%</w:t>
      </w:r>
      <w:r>
        <w:rPr>
          <w:lang w:val="en-US"/>
        </w:rPr>
        <w:t> </w:t>
      </w:r>
      <w:r>
        <w:t>– в области прикладных наук, 2,4% – в области сельского хозяйства и 7,2% – в области медицинских наук. По сравнению с предыдущим годом кол</w:t>
      </w:r>
      <w:r>
        <w:t>и</w:t>
      </w:r>
      <w:r>
        <w:t>чество студентов, специализирующихся в области образования и прикладных наук, возросло на 0,5</w:t>
      </w:r>
      <w:r w:rsidRPr="00965BA9">
        <w:t>−</w:t>
      </w:r>
      <w:r>
        <w:t>1,1%. В настоящее время свыше 44</w:t>
      </w:r>
      <w:r>
        <w:rPr>
          <w:lang w:val="en-US"/>
        </w:rPr>
        <w:t> </w:t>
      </w:r>
      <w:r>
        <w:t>700 учащихся пол</w:t>
      </w:r>
      <w:r>
        <w:t>у</w:t>
      </w:r>
      <w:r>
        <w:t>чают образование в центрах профессионально-технического образования. В</w:t>
      </w:r>
      <w:r>
        <w:rPr>
          <w:lang w:val="en-US"/>
        </w:rPr>
        <w:t> </w:t>
      </w:r>
      <w:r w:rsidR="00C467DA">
        <w:t>эт</w:t>
      </w:r>
      <w:r>
        <w:t>ом году было открыто шесть центров профессионально-технического обр</w:t>
      </w:r>
      <w:r>
        <w:t>а</w:t>
      </w:r>
      <w:r>
        <w:t>зования, и в результате в них стали заниматься еще 6</w:t>
      </w:r>
      <w:r>
        <w:rPr>
          <w:lang w:val="en-US"/>
        </w:rPr>
        <w:t> </w:t>
      </w:r>
      <w:r>
        <w:t>800 учащихся.</w:t>
      </w:r>
    </w:p>
    <w:p w:rsidR="00965BA9" w:rsidRPr="00D507E7" w:rsidRDefault="00965BA9" w:rsidP="00965BA9">
      <w:pPr>
        <w:pStyle w:val="SingleTxtGR"/>
      </w:pPr>
      <w:r>
        <w:t>223.</w:t>
      </w:r>
      <w:r>
        <w:tab/>
        <w:t>В 2009/10 учебном году насчитывалось 10 государственных университ</w:t>
      </w:r>
      <w:r>
        <w:t>е</w:t>
      </w:r>
      <w:r>
        <w:t>тов, 10 государственных институтов и 22 государственных колледжа, тогда как 4 университета, 53 института и 42 колледжа были частными. Из 164</w:t>
      </w:r>
      <w:r>
        <w:rPr>
          <w:lang w:val="en-US"/>
        </w:rPr>
        <w:t> </w:t>
      </w:r>
      <w:r>
        <w:t>773 зарег</w:t>
      </w:r>
      <w:r>
        <w:t>и</w:t>
      </w:r>
      <w:r>
        <w:t>стрированных студентов 100</w:t>
      </w:r>
      <w:r>
        <w:rPr>
          <w:lang w:val="en-US"/>
        </w:rPr>
        <w:t> </w:t>
      </w:r>
      <w:r>
        <w:t>581 посещал государственные учебные зав</w:t>
      </w:r>
      <w:r>
        <w:t>е</w:t>
      </w:r>
      <w:r>
        <w:t>дения, 63 835</w:t>
      </w:r>
      <w:r>
        <w:rPr>
          <w:lang w:val="en-US"/>
        </w:rPr>
        <w:t> </w:t>
      </w:r>
      <w:r>
        <w:t>– частные, и остальные учились за границей.</w:t>
      </w:r>
    </w:p>
    <w:tbl>
      <w:tblPr>
        <w:tblW w:w="7312" w:type="dxa"/>
        <w:tblInd w:w="1134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93"/>
        <w:gridCol w:w="1525"/>
        <w:gridCol w:w="754"/>
        <w:gridCol w:w="1511"/>
        <w:gridCol w:w="1629"/>
      </w:tblGrid>
      <w:tr w:rsidR="00BC0D70" w:rsidRPr="00B23D91" w:rsidTr="00BC0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tblHeader/>
        </w:trPr>
        <w:tc>
          <w:tcPr>
            <w:tcW w:w="18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55125" w:rsidRPr="00B23D91" w:rsidRDefault="00455125" w:rsidP="00455125">
            <w:pPr>
              <w:keepNext/>
              <w:autoSpaceDE w:val="0"/>
              <w:autoSpaceDN w:val="0"/>
              <w:adjustRightInd w:val="0"/>
              <w:spacing w:before="80" w:after="80" w:line="200" w:lineRule="exact"/>
              <w:rPr>
                <w:i/>
                <w:sz w:val="16"/>
                <w:szCs w:val="24"/>
                <w:lang w:eastAsia="en-GB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55125" w:rsidRPr="00B23D91" w:rsidRDefault="00455125" w:rsidP="00BC0D70">
            <w:pPr>
              <w:keepNext/>
              <w:autoSpaceDE w:val="0"/>
              <w:autoSpaceDN w:val="0"/>
              <w:adjustRightInd w:val="0"/>
              <w:spacing w:before="80" w:after="80" w:line="200" w:lineRule="exact"/>
              <w:ind w:right="57"/>
              <w:jc w:val="right"/>
              <w:rPr>
                <w:i/>
                <w:sz w:val="16"/>
                <w:szCs w:val="24"/>
                <w:lang w:eastAsia="en-GB"/>
              </w:rPr>
            </w:pPr>
            <w:r w:rsidRPr="00B23D91">
              <w:rPr>
                <w:bCs/>
                <w:i/>
                <w:sz w:val="16"/>
                <w:szCs w:val="22"/>
                <w:lang w:eastAsia="en-GB"/>
              </w:rPr>
              <w:t>Степень бак</w:t>
            </w:r>
            <w:r w:rsidRPr="00B23D91">
              <w:rPr>
                <w:bCs/>
                <w:i/>
                <w:sz w:val="16"/>
                <w:szCs w:val="22"/>
                <w:lang w:eastAsia="en-GB"/>
              </w:rPr>
              <w:t>а</w:t>
            </w:r>
            <w:r w:rsidRPr="00B23D91">
              <w:rPr>
                <w:bCs/>
                <w:i/>
                <w:sz w:val="16"/>
                <w:szCs w:val="22"/>
                <w:lang w:eastAsia="en-GB"/>
              </w:rPr>
              <w:t>лавра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55125" w:rsidRPr="00B23D91" w:rsidRDefault="00455125" w:rsidP="00241D24">
            <w:pPr>
              <w:keepNext/>
              <w:autoSpaceDE w:val="0"/>
              <w:autoSpaceDN w:val="0"/>
              <w:adjustRightInd w:val="0"/>
              <w:spacing w:before="80" w:after="80" w:line="200" w:lineRule="exact"/>
              <w:ind w:right="57"/>
              <w:jc w:val="right"/>
              <w:rPr>
                <w:i/>
                <w:sz w:val="16"/>
                <w:szCs w:val="24"/>
                <w:lang w:eastAsia="en-GB"/>
              </w:rPr>
            </w:pPr>
            <w:r w:rsidRPr="00B23D91">
              <w:rPr>
                <w:bCs/>
                <w:i/>
                <w:sz w:val="16"/>
                <w:szCs w:val="22"/>
                <w:lang w:eastAsia="en-GB"/>
              </w:rPr>
              <w:t>Диплом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55125" w:rsidRPr="00B23D91" w:rsidRDefault="00455125" w:rsidP="00241D24">
            <w:pPr>
              <w:keepNext/>
              <w:autoSpaceDE w:val="0"/>
              <w:autoSpaceDN w:val="0"/>
              <w:adjustRightInd w:val="0"/>
              <w:spacing w:before="80" w:after="80" w:line="200" w:lineRule="exact"/>
              <w:ind w:right="57"/>
              <w:jc w:val="right"/>
              <w:rPr>
                <w:i/>
                <w:sz w:val="16"/>
                <w:szCs w:val="24"/>
                <w:lang w:eastAsia="en-GB"/>
              </w:rPr>
            </w:pPr>
            <w:r w:rsidRPr="00B23D91">
              <w:rPr>
                <w:bCs/>
                <w:i/>
                <w:sz w:val="16"/>
                <w:szCs w:val="22"/>
                <w:lang w:eastAsia="en-GB"/>
              </w:rPr>
              <w:t>Степень магис</w:t>
            </w:r>
            <w:r w:rsidRPr="00B23D91">
              <w:rPr>
                <w:bCs/>
                <w:i/>
                <w:sz w:val="16"/>
                <w:szCs w:val="22"/>
                <w:lang w:eastAsia="en-GB"/>
              </w:rPr>
              <w:t>т</w:t>
            </w:r>
            <w:r w:rsidRPr="00B23D91">
              <w:rPr>
                <w:bCs/>
                <w:i/>
                <w:sz w:val="16"/>
                <w:szCs w:val="22"/>
                <w:lang w:eastAsia="en-GB"/>
              </w:rPr>
              <w:t>ра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55125" w:rsidRPr="00B23D91" w:rsidRDefault="00455125" w:rsidP="00241D24">
            <w:pPr>
              <w:keepNext/>
              <w:autoSpaceDE w:val="0"/>
              <w:autoSpaceDN w:val="0"/>
              <w:adjustRightInd w:val="0"/>
              <w:spacing w:before="80" w:after="80" w:line="200" w:lineRule="exact"/>
              <w:ind w:right="57"/>
              <w:jc w:val="right"/>
              <w:rPr>
                <w:i/>
                <w:sz w:val="16"/>
                <w:szCs w:val="24"/>
                <w:lang w:eastAsia="en-GB"/>
              </w:rPr>
            </w:pPr>
            <w:r w:rsidRPr="00B23D91">
              <w:rPr>
                <w:bCs/>
                <w:i/>
                <w:sz w:val="16"/>
                <w:szCs w:val="22"/>
                <w:lang w:eastAsia="en-GB"/>
              </w:rPr>
              <w:t>Докторская</w:t>
            </w:r>
            <w:r w:rsidR="00BC0D70">
              <w:rPr>
                <w:bCs/>
                <w:i/>
                <w:sz w:val="16"/>
                <w:szCs w:val="22"/>
                <w:lang w:val="en-US" w:eastAsia="en-GB"/>
              </w:rPr>
              <w:t xml:space="preserve"> </w:t>
            </w:r>
            <w:r w:rsidRPr="00B23D91">
              <w:rPr>
                <w:bCs/>
                <w:i/>
                <w:sz w:val="16"/>
                <w:szCs w:val="22"/>
                <w:lang w:eastAsia="en-GB"/>
              </w:rPr>
              <w:t>ст</w:t>
            </w:r>
            <w:r w:rsidRPr="00B23D91">
              <w:rPr>
                <w:bCs/>
                <w:i/>
                <w:sz w:val="16"/>
                <w:szCs w:val="22"/>
                <w:lang w:eastAsia="en-GB"/>
              </w:rPr>
              <w:t>е</w:t>
            </w:r>
            <w:r w:rsidRPr="00B23D91">
              <w:rPr>
                <w:bCs/>
                <w:i/>
                <w:sz w:val="16"/>
                <w:szCs w:val="22"/>
                <w:lang w:eastAsia="en-GB"/>
              </w:rPr>
              <w:t>пень</w:t>
            </w:r>
          </w:p>
        </w:tc>
      </w:tr>
      <w:tr w:rsidR="00BC0D70" w:rsidRPr="00B23D91" w:rsidTr="00BC0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893" w:type="dxa"/>
            <w:tcBorders>
              <w:top w:val="single" w:sz="12" w:space="0" w:color="auto"/>
            </w:tcBorders>
            <w:shd w:val="clear" w:color="auto" w:fill="auto"/>
          </w:tcPr>
          <w:p w:rsidR="00455125" w:rsidRPr="00B23D91" w:rsidRDefault="00455125" w:rsidP="00455125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24"/>
                <w:lang w:eastAsia="en-GB"/>
              </w:rPr>
            </w:pPr>
            <w:r w:rsidRPr="00B23D91">
              <w:rPr>
                <w:sz w:val="18"/>
                <w:szCs w:val="24"/>
                <w:lang w:eastAsia="en-GB"/>
              </w:rPr>
              <w:t>Процент</w:t>
            </w:r>
          </w:p>
        </w:tc>
        <w:tc>
          <w:tcPr>
            <w:tcW w:w="152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55125" w:rsidRPr="00B23D91" w:rsidRDefault="00455125" w:rsidP="00BC0D70">
            <w:pPr>
              <w:autoSpaceDE w:val="0"/>
              <w:autoSpaceDN w:val="0"/>
              <w:adjustRightInd w:val="0"/>
              <w:spacing w:before="40" w:after="40" w:line="220" w:lineRule="exact"/>
              <w:ind w:right="57"/>
              <w:jc w:val="right"/>
              <w:rPr>
                <w:sz w:val="18"/>
                <w:szCs w:val="24"/>
                <w:lang w:eastAsia="en-GB"/>
              </w:rPr>
            </w:pPr>
            <w:r w:rsidRPr="00B23D91">
              <w:rPr>
                <w:sz w:val="18"/>
                <w:szCs w:val="22"/>
                <w:lang w:eastAsia="en-GB"/>
              </w:rPr>
              <w:t>89,5</w:t>
            </w:r>
          </w:p>
        </w:tc>
        <w:tc>
          <w:tcPr>
            <w:tcW w:w="75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55125" w:rsidRPr="00B23D91" w:rsidRDefault="00455125" w:rsidP="00241D24">
            <w:pPr>
              <w:autoSpaceDE w:val="0"/>
              <w:autoSpaceDN w:val="0"/>
              <w:adjustRightInd w:val="0"/>
              <w:spacing w:before="40" w:after="40" w:line="220" w:lineRule="exact"/>
              <w:ind w:right="57"/>
              <w:jc w:val="right"/>
              <w:rPr>
                <w:sz w:val="18"/>
                <w:szCs w:val="24"/>
                <w:lang w:eastAsia="en-GB"/>
              </w:rPr>
            </w:pPr>
            <w:r w:rsidRPr="00B23D91">
              <w:rPr>
                <w:sz w:val="18"/>
                <w:szCs w:val="22"/>
                <w:lang w:eastAsia="en-GB"/>
              </w:rPr>
              <w:t>2,7</w:t>
            </w:r>
          </w:p>
        </w:tc>
        <w:tc>
          <w:tcPr>
            <w:tcW w:w="151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55125" w:rsidRPr="00B23D91" w:rsidRDefault="00455125" w:rsidP="00241D24">
            <w:pPr>
              <w:autoSpaceDE w:val="0"/>
              <w:autoSpaceDN w:val="0"/>
              <w:adjustRightInd w:val="0"/>
              <w:spacing w:before="40" w:after="40" w:line="220" w:lineRule="exact"/>
              <w:ind w:right="57"/>
              <w:jc w:val="right"/>
              <w:rPr>
                <w:sz w:val="18"/>
                <w:szCs w:val="24"/>
                <w:lang w:eastAsia="en-GB"/>
              </w:rPr>
            </w:pPr>
            <w:r w:rsidRPr="00B23D91">
              <w:rPr>
                <w:sz w:val="18"/>
                <w:szCs w:val="22"/>
                <w:lang w:eastAsia="en-GB"/>
              </w:rPr>
              <w:t>6,4</w:t>
            </w:r>
          </w:p>
        </w:tc>
        <w:tc>
          <w:tcPr>
            <w:tcW w:w="162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55125" w:rsidRPr="00B23D91" w:rsidRDefault="00455125" w:rsidP="00241D24">
            <w:pPr>
              <w:autoSpaceDE w:val="0"/>
              <w:autoSpaceDN w:val="0"/>
              <w:adjustRightInd w:val="0"/>
              <w:spacing w:before="40" w:after="40" w:line="220" w:lineRule="exact"/>
              <w:ind w:right="57"/>
              <w:jc w:val="right"/>
              <w:rPr>
                <w:sz w:val="18"/>
                <w:szCs w:val="24"/>
                <w:lang w:eastAsia="en-GB"/>
              </w:rPr>
            </w:pPr>
            <w:r w:rsidRPr="00B23D91">
              <w:rPr>
                <w:sz w:val="18"/>
                <w:szCs w:val="22"/>
                <w:lang w:eastAsia="en-GB"/>
              </w:rPr>
              <w:t>1,3</w:t>
            </w:r>
          </w:p>
        </w:tc>
      </w:tr>
      <w:tr w:rsidR="00BC0D70" w:rsidRPr="00B23D91" w:rsidTr="00BC0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893" w:type="dxa"/>
            <w:tcBorders>
              <w:bottom w:val="single" w:sz="12" w:space="0" w:color="auto"/>
            </w:tcBorders>
            <w:shd w:val="clear" w:color="auto" w:fill="auto"/>
          </w:tcPr>
          <w:p w:rsidR="00455125" w:rsidRPr="00B23D91" w:rsidRDefault="00455125" w:rsidP="00455125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24"/>
                <w:lang w:eastAsia="en-GB"/>
              </w:rPr>
            </w:pPr>
            <w:r w:rsidRPr="00B23D91">
              <w:rPr>
                <w:sz w:val="18"/>
                <w:szCs w:val="22"/>
                <w:lang w:eastAsia="en-GB"/>
              </w:rPr>
              <w:t>Количество студе</w:t>
            </w:r>
            <w:r w:rsidRPr="00B23D91">
              <w:rPr>
                <w:sz w:val="18"/>
                <w:szCs w:val="22"/>
                <w:lang w:eastAsia="en-GB"/>
              </w:rPr>
              <w:t>н</w:t>
            </w:r>
            <w:r w:rsidRPr="00B23D91">
              <w:rPr>
                <w:sz w:val="18"/>
                <w:szCs w:val="22"/>
                <w:lang w:eastAsia="en-GB"/>
              </w:rPr>
              <w:t>тов</w:t>
            </w:r>
          </w:p>
        </w:tc>
        <w:tc>
          <w:tcPr>
            <w:tcW w:w="152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55125" w:rsidRPr="00B23D91" w:rsidRDefault="00455125" w:rsidP="00BC0D70">
            <w:pPr>
              <w:autoSpaceDE w:val="0"/>
              <w:autoSpaceDN w:val="0"/>
              <w:adjustRightInd w:val="0"/>
              <w:spacing w:before="40" w:after="40" w:line="220" w:lineRule="exact"/>
              <w:ind w:right="57"/>
              <w:jc w:val="right"/>
              <w:rPr>
                <w:sz w:val="18"/>
                <w:szCs w:val="24"/>
                <w:lang w:eastAsia="en-GB"/>
              </w:rPr>
            </w:pPr>
            <w:r w:rsidRPr="00B23D91">
              <w:rPr>
                <w:sz w:val="18"/>
                <w:szCs w:val="22"/>
                <w:lang w:eastAsia="en-GB"/>
              </w:rPr>
              <w:t>147 586</w:t>
            </w:r>
          </w:p>
        </w:tc>
        <w:tc>
          <w:tcPr>
            <w:tcW w:w="75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55125" w:rsidRPr="00B23D91" w:rsidRDefault="00455125" w:rsidP="00241D24">
            <w:pPr>
              <w:autoSpaceDE w:val="0"/>
              <w:autoSpaceDN w:val="0"/>
              <w:adjustRightInd w:val="0"/>
              <w:spacing w:before="40" w:after="40" w:line="220" w:lineRule="exact"/>
              <w:ind w:right="57"/>
              <w:jc w:val="right"/>
              <w:rPr>
                <w:sz w:val="18"/>
                <w:szCs w:val="24"/>
                <w:lang w:eastAsia="en-GB"/>
              </w:rPr>
            </w:pPr>
            <w:r w:rsidRPr="00B23D91">
              <w:rPr>
                <w:sz w:val="18"/>
                <w:szCs w:val="22"/>
                <w:lang w:eastAsia="en-GB"/>
              </w:rPr>
              <w:t>4 423</w:t>
            </w:r>
          </w:p>
        </w:tc>
        <w:tc>
          <w:tcPr>
            <w:tcW w:w="151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55125" w:rsidRPr="00B23D91" w:rsidRDefault="00455125" w:rsidP="00241D24">
            <w:pPr>
              <w:autoSpaceDE w:val="0"/>
              <w:autoSpaceDN w:val="0"/>
              <w:adjustRightInd w:val="0"/>
              <w:spacing w:before="40" w:after="40" w:line="220" w:lineRule="exact"/>
              <w:ind w:right="57"/>
              <w:jc w:val="right"/>
              <w:rPr>
                <w:sz w:val="18"/>
                <w:szCs w:val="24"/>
                <w:lang w:eastAsia="en-GB"/>
              </w:rPr>
            </w:pPr>
            <w:r w:rsidRPr="00B23D91">
              <w:rPr>
                <w:sz w:val="18"/>
                <w:szCs w:val="22"/>
                <w:lang w:eastAsia="en-GB"/>
              </w:rPr>
              <w:t>10 621</w:t>
            </w:r>
          </w:p>
        </w:tc>
        <w:tc>
          <w:tcPr>
            <w:tcW w:w="162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55125" w:rsidRPr="00B23D91" w:rsidRDefault="00455125" w:rsidP="00241D24">
            <w:pPr>
              <w:autoSpaceDE w:val="0"/>
              <w:autoSpaceDN w:val="0"/>
              <w:adjustRightInd w:val="0"/>
              <w:spacing w:before="40" w:after="40" w:line="220" w:lineRule="exact"/>
              <w:ind w:right="57"/>
              <w:jc w:val="right"/>
              <w:rPr>
                <w:sz w:val="18"/>
                <w:szCs w:val="24"/>
                <w:lang w:eastAsia="en-GB"/>
              </w:rPr>
            </w:pPr>
            <w:r w:rsidRPr="00B23D91">
              <w:rPr>
                <w:sz w:val="18"/>
                <w:szCs w:val="22"/>
                <w:lang w:eastAsia="en-GB"/>
              </w:rPr>
              <w:t>2 143</w:t>
            </w:r>
          </w:p>
        </w:tc>
      </w:tr>
    </w:tbl>
    <w:p w:rsidR="00A51099" w:rsidRDefault="00A51099" w:rsidP="00A51099">
      <w:pPr>
        <w:pStyle w:val="SingleTxtGR"/>
        <w:spacing w:before="240"/>
      </w:pPr>
      <w:r>
        <w:t>224.</w:t>
      </w:r>
      <w:r>
        <w:tab/>
        <w:t>Кроме того, в 2009/10 учебном году 60,4% всех студентов составляли л</w:t>
      </w:r>
      <w:r>
        <w:t>и</w:t>
      </w:r>
      <w:r>
        <w:t>ца женского пола. Из 43</w:t>
      </w:r>
      <w:r>
        <w:rPr>
          <w:lang w:val="en-US"/>
        </w:rPr>
        <w:t> </w:t>
      </w:r>
      <w:r>
        <w:t>829 первокурсников 32</w:t>
      </w:r>
      <w:r>
        <w:rPr>
          <w:lang w:val="en-US"/>
        </w:rPr>
        <w:t> </w:t>
      </w:r>
      <w:r>
        <w:t>569 являлись выпускниками средних школ этого года. По сравнению с предыдущим годом количество пе</w:t>
      </w:r>
      <w:r>
        <w:t>р</w:t>
      </w:r>
      <w:r>
        <w:t>вокурсников сократилось примерно на 2</w:t>
      </w:r>
      <w:r>
        <w:rPr>
          <w:lang w:val="en-US"/>
        </w:rPr>
        <w:t> </w:t>
      </w:r>
      <w:r>
        <w:t>900 человек. Однако общее количес</w:t>
      </w:r>
      <w:r>
        <w:t>т</w:t>
      </w:r>
      <w:r>
        <w:t>во студентов увеличилось примерно на 3</w:t>
      </w:r>
      <w:r>
        <w:rPr>
          <w:lang w:val="en-US"/>
        </w:rPr>
        <w:t> </w:t>
      </w:r>
      <w:r>
        <w:t>700 человек, что является небольшим числом по сравнению с предыдущим годом. Количество студентов по програ</w:t>
      </w:r>
      <w:r>
        <w:t>м</w:t>
      </w:r>
      <w:r>
        <w:t>ме бакалавриата увеличилось на 2</w:t>
      </w:r>
      <w:r>
        <w:rPr>
          <w:lang w:val="en-US"/>
        </w:rPr>
        <w:t> </w:t>
      </w:r>
      <w:r>
        <w:t>400 человек, тогда как количество аспира</w:t>
      </w:r>
      <w:r>
        <w:t>н</w:t>
      </w:r>
      <w:r>
        <w:t>тов, претендующих на докторскую степень, сократилось.</w:t>
      </w:r>
    </w:p>
    <w:p w:rsidR="00A51099" w:rsidRDefault="00A51099" w:rsidP="00A51099">
      <w:pPr>
        <w:pStyle w:val="SingleTxtGR"/>
      </w:pPr>
      <w:r>
        <w:t>225.</w:t>
      </w:r>
      <w:r>
        <w:tab/>
        <w:t>Согласно статистическим данным</w:t>
      </w:r>
      <w:r w:rsidR="00A82281">
        <w:t>,</w:t>
      </w:r>
      <w:r>
        <w:t xml:space="preserve"> 35,8% студентов программы магистр</w:t>
      </w:r>
      <w:r>
        <w:t>а</w:t>
      </w:r>
      <w:r>
        <w:t>туры получали высшее образование в области социальных наук, 13,3% – в о</w:t>
      </w:r>
      <w:r>
        <w:t>б</w:t>
      </w:r>
      <w:r>
        <w:t>ласти образования, 8,6% – в области гуманитарных наук, 7,0% – в области ест</w:t>
      </w:r>
      <w:r>
        <w:t>е</w:t>
      </w:r>
      <w:r>
        <w:t>ственных наук, 17,1% – в области прикладных наук, 2,8% – в области сел</w:t>
      </w:r>
      <w:r>
        <w:t>ь</w:t>
      </w:r>
      <w:r>
        <w:t>ского хозяйства и остальные – в других областях.</w:t>
      </w:r>
    </w:p>
    <w:p w:rsidR="00A51099" w:rsidRDefault="00A51099" w:rsidP="00A51099">
      <w:pPr>
        <w:pStyle w:val="SingleTxtGR"/>
      </w:pPr>
      <w:r>
        <w:t>226.</w:t>
      </w:r>
      <w:r>
        <w:tab/>
        <w:t>В настоящее время 7</w:t>
      </w:r>
      <w:r>
        <w:rPr>
          <w:lang w:val="en-US"/>
        </w:rPr>
        <w:t> </w:t>
      </w:r>
      <w:r>
        <w:t>219 из 12</w:t>
      </w:r>
      <w:r>
        <w:rPr>
          <w:lang w:val="en-US"/>
        </w:rPr>
        <w:t> </w:t>
      </w:r>
      <w:r>
        <w:t>849 человек, занятых в высших учебных заведениях, являются пр</w:t>
      </w:r>
      <w:r>
        <w:t>е</w:t>
      </w:r>
      <w:r>
        <w:t>подавателями, работающими на полную ставку, 67,8%</w:t>
      </w:r>
      <w:r>
        <w:rPr>
          <w:lang w:val="en-US"/>
        </w:rPr>
        <w:t> </w:t>
      </w:r>
      <w:r>
        <w:t>из которых имеют докторскую степень, а остал</w:t>
      </w:r>
      <w:r>
        <w:t>ь</w:t>
      </w:r>
      <w:r>
        <w:t>ные – степень магистра. Общее количество учителей, работающих на полную ставку, увеличилось на 199 чел</w:t>
      </w:r>
      <w:r>
        <w:t>о</w:t>
      </w:r>
      <w:r>
        <w:t>век по сравнению с предыдущим годом.</w:t>
      </w:r>
    </w:p>
    <w:p w:rsidR="00A51099" w:rsidRDefault="00A51099" w:rsidP="00A51099">
      <w:pPr>
        <w:pStyle w:val="SingleTxtGR"/>
      </w:pPr>
      <w:r>
        <w:t>227.</w:t>
      </w:r>
      <w:r>
        <w:tab/>
        <w:t>Планируется увеличить процент студентов, изучающих инженерное дело, прикладные науки, естественные науки, образование и сельское хозяйство с</w:t>
      </w:r>
      <w:r>
        <w:rPr>
          <w:lang w:val="en-US"/>
        </w:rPr>
        <w:t> </w:t>
      </w:r>
      <w:r>
        <w:t>32% до 41% и снизить процент студентов, изучающих гуманитарные науки, право и медицину с 30% до 29%.</w:t>
      </w:r>
    </w:p>
    <w:p w:rsidR="00A51099" w:rsidRDefault="00A51099" w:rsidP="00A51099">
      <w:pPr>
        <w:pStyle w:val="SingleTxtGR"/>
      </w:pPr>
      <w:r>
        <w:t>228.</w:t>
      </w:r>
      <w:r>
        <w:tab/>
        <w:t>С 2005 года проводится ряд реформ в области начального и среднего о</w:t>
      </w:r>
      <w:r>
        <w:t>б</w:t>
      </w:r>
      <w:r>
        <w:t>разования с тем, чтобы обеспечить каждого равными возможностями по пол</w:t>
      </w:r>
      <w:r>
        <w:t>у</w:t>
      </w:r>
      <w:r>
        <w:t>чению образования, заложить основу для 12-летней системы образования, вв</w:t>
      </w:r>
      <w:r>
        <w:t>е</w:t>
      </w:r>
      <w:r>
        <w:t>сти использование информационных технологий в учебный процесс и развить творческие способности учащихся.</w:t>
      </w:r>
    </w:p>
    <w:p w:rsidR="00A51099" w:rsidRDefault="00A51099" w:rsidP="00A51099">
      <w:pPr>
        <w:pStyle w:val="SingleTxtGR"/>
      </w:pPr>
      <w:r>
        <w:t>229.</w:t>
      </w:r>
      <w:r>
        <w:tab/>
        <w:t>В соответствии с проводимыми реформами в 2006 году была принята з</w:t>
      </w:r>
      <w:r>
        <w:t>а</w:t>
      </w:r>
      <w:r>
        <w:t>конодательная поправка для обеспечения финансовой поддержки учителей н</w:t>
      </w:r>
      <w:r>
        <w:t>а</w:t>
      </w:r>
      <w:r>
        <w:t>чальных и средних школ. В соответствии с законом раз в пять лет учителям школ и воспитателям детских садов выплачивается пособие, равное шестим</w:t>
      </w:r>
      <w:r>
        <w:t>е</w:t>
      </w:r>
      <w:r>
        <w:t>сячной зарплате. В общей сложности в 2007, 2008 и 2009 годах на пособия уч</w:t>
      </w:r>
      <w:r>
        <w:t>и</w:t>
      </w:r>
      <w:r>
        <w:t>телям было потрачено соответственно 8 млрд., 1,1 млрд. и 1,4 млрд. тугриков.</w:t>
      </w:r>
    </w:p>
    <w:p w:rsidR="00A51099" w:rsidRDefault="00A51099" w:rsidP="00A51099">
      <w:pPr>
        <w:pStyle w:val="SingleTxtGR"/>
      </w:pPr>
      <w:r>
        <w:t>230.</w:t>
      </w:r>
      <w:r>
        <w:tab/>
        <w:t xml:space="preserve">В соответствии с Правительственной резолюцией № 219/2007 зарплаты учителей, имеющих профессиональные категории </w:t>
      </w:r>
      <w:r w:rsidR="00C467DA">
        <w:t>"</w:t>
      </w:r>
      <w:r>
        <w:t>консультанта</w:t>
      </w:r>
      <w:r w:rsidR="00C467DA">
        <w:t>"</w:t>
      </w:r>
      <w:r>
        <w:t xml:space="preserve"> и </w:t>
      </w:r>
      <w:r w:rsidR="00C467DA">
        <w:t>"</w:t>
      </w:r>
      <w:r>
        <w:t>ведущ</w:t>
      </w:r>
      <w:r>
        <w:t>е</w:t>
      </w:r>
      <w:r>
        <w:t>го</w:t>
      </w:r>
      <w:r w:rsidR="00C467DA">
        <w:t>"</w:t>
      </w:r>
      <w:r>
        <w:t>,</w:t>
      </w:r>
      <w:r w:rsidRPr="00A51099">
        <w:t xml:space="preserve"> </w:t>
      </w:r>
      <w:r>
        <w:t>были увеличены на 10</w:t>
      </w:r>
      <w:r w:rsidRPr="00A51099">
        <w:t>−</w:t>
      </w:r>
      <w:r>
        <w:t>20%. Кроме того, с 2008/09 учебного года учителям г</w:t>
      </w:r>
      <w:r>
        <w:t>о</w:t>
      </w:r>
      <w:r>
        <w:t>сударственных школ и воспитателям государственных детских садов выплач</w:t>
      </w:r>
      <w:r>
        <w:t>и</w:t>
      </w:r>
      <w:r>
        <w:t>вается пособие в размере до 45% месячной зарплаты. В 2009 году учителям б</w:t>
      </w:r>
      <w:r>
        <w:t>ы</w:t>
      </w:r>
      <w:r>
        <w:t>ло выплач</w:t>
      </w:r>
      <w:r>
        <w:t>е</w:t>
      </w:r>
      <w:r>
        <w:t>но пособий на общую сумму 15,6 млрд. тугриков.</w:t>
      </w:r>
    </w:p>
    <w:p w:rsidR="00A51099" w:rsidRDefault="00A51099" w:rsidP="00A51099">
      <w:pPr>
        <w:pStyle w:val="SingleTxtGR"/>
      </w:pPr>
      <w:r>
        <w:t>231.</w:t>
      </w:r>
      <w:r>
        <w:tab/>
        <w:t>В статье 42 Закона об образовании указывается, что здания и оборудов</w:t>
      </w:r>
      <w:r>
        <w:t>а</w:t>
      </w:r>
      <w:r>
        <w:t>ние учебных заведений должны быть безопасными, удобными для пользоват</w:t>
      </w:r>
      <w:r>
        <w:t>е</w:t>
      </w:r>
      <w:r>
        <w:t>лей и удовлетворять профессиональным потребностям учителей и других р</w:t>
      </w:r>
      <w:r>
        <w:t>а</w:t>
      </w:r>
      <w:r>
        <w:t>ботников. Задача создания ориентированной на школу системы подготовки уч</w:t>
      </w:r>
      <w:r>
        <w:t>и</w:t>
      </w:r>
      <w:r>
        <w:t>телей была включена в Генеральный план развития системы образования на 2006</w:t>
      </w:r>
      <w:r w:rsidRPr="00A51099">
        <w:t>−</w:t>
      </w:r>
      <w:r>
        <w:t>2015 годы, и в рамках этого Генерального плана осуществляются задачи по созданию условий для учителей, позволяющих им развиваться професси</w:t>
      </w:r>
      <w:r>
        <w:t>о</w:t>
      </w:r>
      <w:r>
        <w:t>нально, и по использованию информационных технологий в школах. Кроме т</w:t>
      </w:r>
      <w:r>
        <w:t>о</w:t>
      </w:r>
      <w:r>
        <w:t xml:space="preserve">го, Правительственной резолюцией № 316 (2008) был утвержден </w:t>
      </w:r>
      <w:r w:rsidR="00C467DA">
        <w:t>"</w:t>
      </w:r>
      <w:r>
        <w:t>Национал</w:t>
      </w:r>
      <w:r>
        <w:t>ь</w:t>
      </w:r>
      <w:r>
        <w:t>ный план по по</w:t>
      </w:r>
      <w:r>
        <w:t>д</w:t>
      </w:r>
      <w:r>
        <w:t>готовке учителей начальной и средней школы и по повышению их квалификации</w:t>
      </w:r>
      <w:r w:rsidR="00C467DA">
        <w:t>"</w:t>
      </w:r>
      <w:r>
        <w:t xml:space="preserve"> в целях установки стандартов, необходимых для создания условий, позволяющих учителям совершенствоваться профе</w:t>
      </w:r>
      <w:r>
        <w:t>с</w:t>
      </w:r>
      <w:r>
        <w:t>сионально.</w:t>
      </w:r>
    </w:p>
    <w:p w:rsidR="00A51099" w:rsidRDefault="00A51099" w:rsidP="00A51099">
      <w:pPr>
        <w:pStyle w:val="SingleTxtGR"/>
      </w:pPr>
      <w:r>
        <w:t>232.</w:t>
      </w:r>
      <w:r>
        <w:tab/>
        <w:t>В 2008 году Приказом № 114 Министра образования, культуры и науки Монголии был принят список предоставления помещений и оборудования, н</w:t>
      </w:r>
      <w:r>
        <w:t>е</w:t>
      </w:r>
      <w:r>
        <w:t xml:space="preserve">обходимых учителям для повышения своей квалификации под названием </w:t>
      </w:r>
      <w:r w:rsidR="00C467DA">
        <w:t>"</w:t>
      </w:r>
      <w:r>
        <w:t>Ко</w:t>
      </w:r>
      <w:r>
        <w:t>м</w:t>
      </w:r>
      <w:r>
        <w:t>ната учительского мастерства</w:t>
      </w:r>
      <w:r w:rsidR="00C467DA">
        <w:t>"</w:t>
      </w:r>
      <w:r>
        <w:t>. В результате при содействии Всемирн</w:t>
      </w:r>
      <w:r>
        <w:t>о</w:t>
      </w:r>
      <w:r>
        <w:t>го банка в школах было создано 67 таких учительских комнат.</w:t>
      </w:r>
    </w:p>
    <w:p w:rsidR="00A51099" w:rsidRDefault="00A51099" w:rsidP="00A51099">
      <w:pPr>
        <w:pStyle w:val="SingleTxtGR"/>
      </w:pPr>
      <w:r>
        <w:t>233.</w:t>
      </w:r>
      <w:r>
        <w:tab/>
        <w:t>Раздел о правах и обязанностях родителей и опекунов Закона об образ</w:t>
      </w:r>
      <w:r>
        <w:t>о</w:t>
      </w:r>
      <w:r>
        <w:t xml:space="preserve">вании Монголии включает главу </w:t>
      </w:r>
      <w:r w:rsidR="00C467DA">
        <w:t>"</w:t>
      </w:r>
      <w:r>
        <w:t>О выборе школы для детей на основе руков</w:t>
      </w:r>
      <w:r>
        <w:t>о</w:t>
      </w:r>
      <w:r>
        <w:t>дящих принципов</w:t>
      </w:r>
      <w:r w:rsidR="00C467DA">
        <w:t>"</w:t>
      </w:r>
      <w:r>
        <w:t xml:space="preserve"> и </w:t>
      </w:r>
      <w:r w:rsidR="00C467DA">
        <w:t>"</w:t>
      </w:r>
      <w:r>
        <w:t>Получение детьми базового образования до достижения ими 16-летнего возраста и исключение нарушений их права на получение обр</w:t>
      </w:r>
      <w:r>
        <w:t>а</w:t>
      </w:r>
      <w:r>
        <w:t>зования</w:t>
      </w:r>
      <w:r w:rsidR="00C467DA">
        <w:t>"</w:t>
      </w:r>
      <w:r>
        <w:t>. В соответствии с этим Законом граждане Монголии имеют право о</w:t>
      </w:r>
      <w:r>
        <w:t>т</w:t>
      </w:r>
      <w:r>
        <w:t>давать своих детей в общеобразовательные школы в Монголии и за ее предел</w:t>
      </w:r>
      <w:r>
        <w:t>а</w:t>
      </w:r>
      <w:r>
        <w:t>ми.</w:t>
      </w:r>
    </w:p>
    <w:p w:rsidR="00A51099" w:rsidRDefault="00A51099" w:rsidP="00A51099">
      <w:pPr>
        <w:pStyle w:val="SingleTxtGR"/>
      </w:pPr>
      <w:r>
        <w:t>234.</w:t>
      </w:r>
      <w:r>
        <w:tab/>
        <w:t>В 2009/10 учебном году насчитывалось 755 общеобразовательных школ, из которых 80,1% были государственными и 19,9% – частными школами. Кроме того, 82,1% государственных школ располагались в сельских районах, а остал</w:t>
      </w:r>
      <w:r>
        <w:t>ь</w:t>
      </w:r>
      <w:r>
        <w:t>ные – в Улан-Баторе. В настоящее время общеобразовательные школы посещ</w:t>
      </w:r>
      <w:r>
        <w:t>а</w:t>
      </w:r>
      <w:r>
        <w:t>ют примерно 522</w:t>
      </w:r>
      <w:r w:rsidR="00ED7EC5">
        <w:rPr>
          <w:lang w:val="en-US"/>
        </w:rPr>
        <w:t> </w:t>
      </w:r>
      <w:r>
        <w:t>000 учащихся, из которых 94,7% учатся в государственных школах.</w:t>
      </w:r>
    </w:p>
    <w:p w:rsidR="00A51099" w:rsidRDefault="00A51099" w:rsidP="00A51099">
      <w:pPr>
        <w:pStyle w:val="SingleTxtGR"/>
      </w:pPr>
      <w:r>
        <w:t>235.</w:t>
      </w:r>
      <w:r>
        <w:tab/>
        <w:t>С 2004/05 учебного года в рамках таких предметов, как обществовед</w:t>
      </w:r>
      <w:r>
        <w:t>е</w:t>
      </w:r>
      <w:r>
        <w:t>ние, история и социология изучаются вопросы, связанные с этикой, правами челов</w:t>
      </w:r>
      <w:r>
        <w:t>е</w:t>
      </w:r>
      <w:r>
        <w:t>ка, свободой, правосудием, равенством и традициями. Например, уч</w:t>
      </w:r>
      <w:r>
        <w:t>а</w:t>
      </w:r>
      <w:r>
        <w:t>щиеся изучают понятия этики, ценностей и традиций во время занятий по обществ</w:t>
      </w:r>
      <w:r>
        <w:t>о</w:t>
      </w:r>
      <w:r>
        <w:t>ведению, а общественные отношения – во время занятий по социологии.</w:t>
      </w:r>
    </w:p>
    <w:p w:rsidR="00A51099" w:rsidRDefault="00A51099" w:rsidP="00A51099">
      <w:pPr>
        <w:pStyle w:val="SingleTxtGR"/>
      </w:pPr>
      <w:r>
        <w:t>236.</w:t>
      </w:r>
      <w:r>
        <w:tab/>
        <w:t>В 2009/10 учебном году функционировало три общеобразовательные школы, где велось преподавание религии в дополнение к обычной учебной пр</w:t>
      </w:r>
      <w:r>
        <w:t>о</w:t>
      </w:r>
      <w:r>
        <w:t>грамме, а именно: государственная шко</w:t>
      </w:r>
      <w:r w:rsidR="00626546">
        <w:t>ла Гандантэгченлин, созданная в</w:t>
      </w:r>
      <w:r w:rsidR="00626546">
        <w:rPr>
          <w:lang w:val="en-US"/>
        </w:rPr>
        <w:t> </w:t>
      </w:r>
      <w:r w:rsidR="00626546">
        <w:t>1991</w:t>
      </w:r>
      <w:r w:rsidR="00626546">
        <w:rPr>
          <w:lang w:val="en-US"/>
        </w:rPr>
        <w:t> </w:t>
      </w:r>
      <w:r>
        <w:t>году, школа имени Бакулы Ринпоче п</w:t>
      </w:r>
      <w:r w:rsidR="00626546">
        <w:t>ри монастыре Бетуб, созданная в</w:t>
      </w:r>
      <w:r w:rsidR="00626546">
        <w:rPr>
          <w:lang w:val="en-US"/>
        </w:rPr>
        <w:t> </w:t>
      </w:r>
      <w:r>
        <w:t>1992 году и мусульманская школа в провинц</w:t>
      </w:r>
      <w:r w:rsidR="00626546">
        <w:t>ии Баян-Улгий, созданная в</w:t>
      </w:r>
      <w:r w:rsidR="00626546">
        <w:rPr>
          <w:lang w:val="en-US"/>
        </w:rPr>
        <w:t> </w:t>
      </w:r>
      <w:r w:rsidR="00626546">
        <w:t>2000</w:t>
      </w:r>
      <w:r w:rsidR="00626546">
        <w:rPr>
          <w:lang w:val="en-US"/>
        </w:rPr>
        <w:t> </w:t>
      </w:r>
      <w:r>
        <w:t>году. В 2009/10 учебном году эти школы посещали в общ</w:t>
      </w:r>
      <w:r w:rsidR="00626546">
        <w:t>ей сложности 438</w:t>
      </w:r>
      <w:r w:rsidR="00626546">
        <w:rPr>
          <w:lang w:val="en-US"/>
        </w:rPr>
        <w:t> </w:t>
      </w:r>
      <w:r>
        <w:t>учащи</w:t>
      </w:r>
      <w:r>
        <w:t>х</w:t>
      </w:r>
      <w:r>
        <w:t>ся.</w:t>
      </w:r>
    </w:p>
    <w:p w:rsidR="00A51099" w:rsidRDefault="00A51099" w:rsidP="00A51099">
      <w:pPr>
        <w:pStyle w:val="SingleTxtGR"/>
      </w:pPr>
      <w:r>
        <w:t>237.</w:t>
      </w:r>
      <w:r>
        <w:tab/>
        <w:t>Несмотря на то, что по закону учеба и религия должны быть разделены, эти школы дают религиозное образование в дополнение к обычному образов</w:t>
      </w:r>
      <w:r>
        <w:t>а</w:t>
      </w:r>
      <w:r>
        <w:t>нию.</w:t>
      </w:r>
    </w:p>
    <w:p w:rsidR="00A51099" w:rsidRDefault="00A51099" w:rsidP="00A51099">
      <w:pPr>
        <w:pStyle w:val="SingleTxtGR"/>
      </w:pPr>
      <w:r>
        <w:t>238.</w:t>
      </w:r>
      <w:r>
        <w:tab/>
        <w:t>В соответствии со статьей 18 Закона об образовании организации могут создавать учебные зав</w:t>
      </w:r>
      <w:r>
        <w:t>е</w:t>
      </w:r>
      <w:r>
        <w:t>дения, следуя руководящим принципам, установленным законом. Более того, в 2009/10 учебном году 19,9% из 755 общеобразовател</w:t>
      </w:r>
      <w:r>
        <w:t>ь</w:t>
      </w:r>
      <w:r>
        <w:t>ных школ являлись частными школами. 6</w:t>
      </w:r>
      <w:r w:rsidR="001E3FB6">
        <w:t>7,3% частных школ расположены в У</w:t>
      </w:r>
      <w:r>
        <w:t>лан-Баторе, тогда как 32,6% находятся в сельской местности. При этом час</w:t>
      </w:r>
      <w:r>
        <w:t>т</w:t>
      </w:r>
      <w:r>
        <w:t>ные школы посещают примерно 27</w:t>
      </w:r>
      <w:r w:rsidR="00626546">
        <w:rPr>
          <w:lang w:val="en-US"/>
        </w:rPr>
        <w:t> </w:t>
      </w:r>
      <w:r>
        <w:t>800 учащихся. 48,6% учащихся частных школ получают начальное образование, 29,3% – общее среднее и 22,1% – по</w:t>
      </w:r>
      <w:r>
        <w:t>л</w:t>
      </w:r>
      <w:r>
        <w:t>ное среднее образование.</w:t>
      </w:r>
    </w:p>
    <w:p w:rsidR="00A51099" w:rsidRDefault="00A51099" w:rsidP="00A51099">
      <w:pPr>
        <w:pStyle w:val="SingleTxtGR"/>
      </w:pPr>
      <w:r>
        <w:t>239.</w:t>
      </w:r>
      <w:r>
        <w:tab/>
        <w:t>Государство субсидирует учащихся общеобразовательных школ незав</w:t>
      </w:r>
      <w:r>
        <w:t>и</w:t>
      </w:r>
      <w:r>
        <w:t>симо от принадлежности этих школ. В 2009 году на частные общеобразовател</w:t>
      </w:r>
      <w:r>
        <w:t>ь</w:t>
      </w:r>
      <w:r>
        <w:t>ные школы было потрачено 5</w:t>
      </w:r>
      <w:r w:rsidR="00626546">
        <w:rPr>
          <w:lang w:val="en-US"/>
        </w:rPr>
        <w:t> </w:t>
      </w:r>
      <w:r>
        <w:t>071</w:t>
      </w:r>
      <w:r w:rsidR="00626546">
        <w:rPr>
          <w:lang w:val="en-US"/>
        </w:rPr>
        <w:t> </w:t>
      </w:r>
      <w:r>
        <w:t>213 тугриков.</w:t>
      </w:r>
    </w:p>
    <w:p w:rsidR="00A51099" w:rsidRDefault="00A51099" w:rsidP="00A51099">
      <w:pPr>
        <w:pStyle w:val="SingleTxtGR"/>
      </w:pPr>
      <w:r>
        <w:t>240.</w:t>
      </w:r>
      <w:r>
        <w:tab/>
        <w:t>Министерство образования, культуры и науки сотрудничает с междун</w:t>
      </w:r>
      <w:r>
        <w:t>а</w:t>
      </w:r>
      <w:r>
        <w:t>родными организациями с целью реформирования системы образования, улу</w:t>
      </w:r>
      <w:r>
        <w:t>ч</w:t>
      </w:r>
      <w:r>
        <w:t>шения качества образования и повышения квалиф</w:t>
      </w:r>
      <w:r>
        <w:t>и</w:t>
      </w:r>
      <w:r>
        <w:t>кации учителей.</w:t>
      </w:r>
    </w:p>
    <w:p w:rsidR="00A51099" w:rsidRDefault="00A51099" w:rsidP="00626546">
      <w:pPr>
        <w:pStyle w:val="H1GR"/>
      </w:pPr>
      <w:r>
        <w:tab/>
      </w:r>
      <w:r>
        <w:tab/>
        <w:t>Статья 15</w:t>
      </w:r>
    </w:p>
    <w:p w:rsidR="00A51099" w:rsidRDefault="00A51099" w:rsidP="00A51099">
      <w:pPr>
        <w:pStyle w:val="SingleTxtGR"/>
      </w:pPr>
      <w:r>
        <w:t>241.</w:t>
      </w:r>
      <w:r>
        <w:tab/>
        <w:t xml:space="preserve">Статья 16 Конституции Монголии гласит: </w:t>
      </w:r>
      <w:r w:rsidR="00C467DA">
        <w:t>"</w:t>
      </w:r>
      <w:r>
        <w:t>Каждый гражданин имеет право заниматься творческой деятельностью в культурной, художественной и научной областях и пользоваться ее плодами. Авторские права и патенты охр</w:t>
      </w:r>
      <w:r>
        <w:t>а</w:t>
      </w:r>
      <w:r>
        <w:t>няются законом</w:t>
      </w:r>
      <w:r w:rsidR="00C467DA">
        <w:t>"</w:t>
      </w:r>
      <w:r>
        <w:t>. Закон также позволяет людям активно участвовать в культу</w:t>
      </w:r>
      <w:r>
        <w:t>р</w:t>
      </w:r>
      <w:r>
        <w:t>ной жизни и знакомиться с технологическими разработками.</w:t>
      </w:r>
    </w:p>
    <w:p w:rsidR="00A51099" w:rsidRDefault="00A51099" w:rsidP="00A51099">
      <w:pPr>
        <w:pStyle w:val="SingleTxtGR"/>
      </w:pPr>
      <w:r>
        <w:t>242.</w:t>
      </w:r>
      <w:r>
        <w:tab/>
        <w:t>В рамках государственной политики в области культуры были подгото</w:t>
      </w:r>
      <w:r>
        <w:t>в</w:t>
      </w:r>
      <w:r>
        <w:t>лены правовые акты и исполнительные документы. Был принят Закон о культ</w:t>
      </w:r>
      <w:r>
        <w:t>у</w:t>
      </w:r>
      <w:r>
        <w:t>ре (1996 год) и Закон об охране культурного наследия (2001 год). В целях защ</w:t>
      </w:r>
      <w:r>
        <w:t>и</w:t>
      </w:r>
      <w:r>
        <w:t>ты и сохранения культурного наследия Монголии правительством осуществл</w:t>
      </w:r>
      <w:r>
        <w:t>я</w:t>
      </w:r>
      <w:r>
        <w:t>ются программы по охране и реставрации недвижимых объектов культурного наследия, поддержке традиционных исполнительских видов искусства, класс</w:t>
      </w:r>
      <w:r>
        <w:t>и</w:t>
      </w:r>
      <w:r>
        <w:t>ческих видов искусства, монгольского традиционного фольклорного протяжн</w:t>
      </w:r>
      <w:r>
        <w:t>о</w:t>
      </w:r>
      <w:r>
        <w:t>го песнопения, игры на моринхуре, конец грифа которого выполнен в виде г</w:t>
      </w:r>
      <w:r>
        <w:t>о</w:t>
      </w:r>
      <w:r>
        <w:t>ловы лошади; по использованию систем оцифровки для сохранения культурн</w:t>
      </w:r>
      <w:r>
        <w:t>о</w:t>
      </w:r>
      <w:r>
        <w:t>го наследия и с</w:t>
      </w:r>
      <w:r>
        <w:t>о</w:t>
      </w:r>
      <w:r>
        <w:t>хранения записей монгольского горлового пения.</w:t>
      </w:r>
    </w:p>
    <w:p w:rsidR="00A51099" w:rsidRDefault="00A51099" w:rsidP="00A51099">
      <w:pPr>
        <w:pStyle w:val="SingleTxtGR"/>
      </w:pPr>
      <w:r>
        <w:t>243.</w:t>
      </w:r>
      <w:r>
        <w:tab/>
        <w:t>Открываются культурные центры, музеи, библиотеки в целях поощрения участия людей в кул</w:t>
      </w:r>
      <w:r>
        <w:t>ь</w:t>
      </w:r>
      <w:r>
        <w:t>турной деятельности независимо от местожительства.</w:t>
      </w:r>
    </w:p>
    <w:p w:rsidR="00A51099" w:rsidRDefault="00A51099" w:rsidP="00A51099">
      <w:pPr>
        <w:pStyle w:val="SingleTxtGR"/>
      </w:pPr>
      <w:r>
        <w:t>244.</w:t>
      </w:r>
      <w:r>
        <w:tab/>
        <w:t>В целях защиты и сохранения культуры кочевников и популяризации классического искусства правительством осуществляются программы по охр</w:t>
      </w:r>
      <w:r>
        <w:t>а</w:t>
      </w:r>
      <w:r>
        <w:t>не и реставрации недвижимых объектов культурного наследия, поддержке тр</w:t>
      </w:r>
      <w:r>
        <w:t>а</w:t>
      </w:r>
      <w:r>
        <w:t>диционных исполнительских видов искусства, классических видов искусства, монгольского традиционного фольклорного протяжного песнопения, игры на моринхуре, конец грифа которого выполнен в виде головы лошади; по испол</w:t>
      </w:r>
      <w:r>
        <w:t>ь</w:t>
      </w:r>
      <w:r>
        <w:t>зованию систем оцифровки для сохранения культурного наследия и сохранения записей монгольского горлового пения.</w:t>
      </w:r>
    </w:p>
    <w:p w:rsidR="00A51099" w:rsidRDefault="00A51099" w:rsidP="00A51099">
      <w:pPr>
        <w:pStyle w:val="SingleTxtGR"/>
      </w:pPr>
      <w:r>
        <w:t>245.</w:t>
      </w:r>
      <w:r>
        <w:tab/>
        <w:t>С момента осуществления демократич</w:t>
      </w:r>
      <w:r w:rsidR="00626546">
        <w:t>еских изменений и реформ в</w:t>
      </w:r>
      <w:r w:rsidR="00626546">
        <w:rPr>
          <w:lang w:val="en-US"/>
        </w:rPr>
        <w:t> </w:t>
      </w:r>
      <w:r w:rsidR="00626546">
        <w:t>1990</w:t>
      </w:r>
      <w:r w:rsidR="00626546">
        <w:rPr>
          <w:lang w:val="en-US"/>
        </w:rPr>
        <w:t> </w:t>
      </w:r>
      <w:r>
        <w:t>году Монголия проводит внешнюю политику многосторонней диплом</w:t>
      </w:r>
      <w:r>
        <w:t>а</w:t>
      </w:r>
      <w:r>
        <w:t>тии и сотрудничает со многими странами в области культуры и искусства. Им</w:t>
      </w:r>
      <w:r>
        <w:t>е</w:t>
      </w:r>
      <w:r>
        <w:t>ется большое количество проектов, предусматривающих сотрудничество прав</w:t>
      </w:r>
      <w:r>
        <w:t>и</w:t>
      </w:r>
      <w:r>
        <w:t>тельства Монголии с другими странами и</w:t>
      </w:r>
      <w:r w:rsidR="00913FF6">
        <w:t xml:space="preserve"> международными организациями в </w:t>
      </w:r>
      <w:r>
        <w:t>деле охраны и восстановления культурного наследия. Дни монгольской кул</w:t>
      </w:r>
      <w:r>
        <w:t>ь</w:t>
      </w:r>
      <w:r>
        <w:t>туры прошли во многих странах, так же как дни культуры других стран были организованы в Монголии.</w:t>
      </w:r>
    </w:p>
    <w:p w:rsidR="00A51099" w:rsidRDefault="00A51099" w:rsidP="00A51099">
      <w:pPr>
        <w:pStyle w:val="SingleTxtGR"/>
      </w:pPr>
      <w:r>
        <w:t>246.</w:t>
      </w:r>
      <w:r>
        <w:tab/>
        <w:t>Культурное сотрудничество с другими странами расширилось, а также растет участие неправительственных организаций и населения в культурных событиях. С 1990 года Монголия сотрудничает со многими странами, включая Соединенные Штаты, Германию, Японию, Францию, Южную Корею и Ту</w:t>
      </w:r>
      <w:r>
        <w:t>р</w:t>
      </w:r>
      <w:r>
        <w:t>цию.</w:t>
      </w:r>
    </w:p>
    <w:p w:rsidR="00A51099" w:rsidRDefault="00A51099" w:rsidP="00A51099">
      <w:pPr>
        <w:pStyle w:val="SingleTxtGR"/>
      </w:pPr>
      <w:r>
        <w:t>247.</w:t>
      </w:r>
      <w:r>
        <w:tab/>
        <w:t>С 1990 года произошло много важных событий в области монгольского искусства и культуры.</w:t>
      </w:r>
    </w:p>
    <w:p w:rsidR="00A51099" w:rsidRDefault="00A51099" w:rsidP="00A51099">
      <w:pPr>
        <w:pStyle w:val="SingleTxtGR"/>
      </w:pPr>
      <w:r>
        <w:t>248.</w:t>
      </w:r>
      <w:r>
        <w:tab/>
        <w:t>Монгольские музыкальные группы совершили гастрольные поездки б</w:t>
      </w:r>
      <w:r>
        <w:t>о</w:t>
      </w:r>
      <w:r>
        <w:t>лее чем в 20 стран, включая Японию, Россию, Китай, Индию, Южную Корею, Северную Корею, Германию и Соединенные Штаты. Выставки предметов мо</w:t>
      </w:r>
      <w:r>
        <w:t>н</w:t>
      </w:r>
      <w:r>
        <w:t>гольской культуры были организованы в Японии, Соединенных Штатах, Фра</w:t>
      </w:r>
      <w:r>
        <w:t>н</w:t>
      </w:r>
      <w:r>
        <w:t>ции, Южной Корее и Италии. Также с 1999 года деятели культуры Монголии участвуют в международных фестивалях, а те, кто добился успеха, были отм</w:t>
      </w:r>
      <w:r>
        <w:t>е</w:t>
      </w:r>
      <w:r>
        <w:t>чены правительственными наградами.</w:t>
      </w:r>
    </w:p>
    <w:p w:rsidR="00A51099" w:rsidRDefault="00A51099" w:rsidP="00A51099">
      <w:pPr>
        <w:pStyle w:val="SingleTxtGR"/>
      </w:pPr>
      <w:r>
        <w:t>249.</w:t>
      </w:r>
      <w:r>
        <w:tab/>
        <w:t>Закон о науке и технике Монголии регулирует применение технологич</w:t>
      </w:r>
      <w:r>
        <w:t>е</w:t>
      </w:r>
      <w:r>
        <w:t>ских разработок, авторские права на продукцию и внедрение технологий в пр</w:t>
      </w:r>
      <w:r>
        <w:t>о</w:t>
      </w:r>
      <w:r>
        <w:t xml:space="preserve">изводство. Кроме того, в рамках таких программ, как </w:t>
      </w:r>
      <w:r w:rsidR="00C467DA">
        <w:t>"</w:t>
      </w:r>
      <w:r>
        <w:t>Генеральный план разв</w:t>
      </w:r>
      <w:r>
        <w:t>и</w:t>
      </w:r>
      <w:r>
        <w:t>тия монгольской науки и техники на 2007</w:t>
      </w:r>
      <w:r w:rsidR="00626546" w:rsidRPr="00626546">
        <w:t>−</w:t>
      </w:r>
      <w:r>
        <w:t>2020 годы</w:t>
      </w:r>
      <w:r w:rsidR="00C467DA">
        <w:t>"</w:t>
      </w:r>
      <w:r>
        <w:t xml:space="preserve">, </w:t>
      </w:r>
      <w:r w:rsidR="00C467DA">
        <w:t>"</w:t>
      </w:r>
      <w:r>
        <w:t>Программа развития национальной системы инноваций (2008</w:t>
      </w:r>
      <w:r w:rsidR="00626546" w:rsidRPr="00626546">
        <w:t>−</w:t>
      </w:r>
      <w:r>
        <w:t>2015 годы)</w:t>
      </w:r>
      <w:r w:rsidR="00C467DA">
        <w:t>"</w:t>
      </w:r>
      <w:r>
        <w:t xml:space="preserve"> и </w:t>
      </w:r>
      <w:r w:rsidR="00C467DA">
        <w:t>"</w:t>
      </w:r>
      <w:r>
        <w:t>Программа по рефо</w:t>
      </w:r>
      <w:r>
        <w:t>р</w:t>
      </w:r>
      <w:r>
        <w:t>ме системы управления научно-техническим развитием</w:t>
      </w:r>
      <w:r w:rsidR="00C467DA">
        <w:t>"</w:t>
      </w:r>
      <w:r>
        <w:t>, проводились и проводя</w:t>
      </w:r>
      <w:r>
        <w:t>т</w:t>
      </w:r>
      <w:r>
        <w:t>ся следующие мероприятия:</w:t>
      </w:r>
    </w:p>
    <w:p w:rsidR="00A51099" w:rsidRDefault="00A51099" w:rsidP="00626546">
      <w:pPr>
        <w:pStyle w:val="Bullet1GR"/>
      </w:pPr>
      <w:r>
        <w:t>В ближайшем будущем будут внедрены 15 ключевых технологий в сфере развития человеческого потенциала, повышения качества жизни, охраны и использования природных ресурсов, интенсификации сельского хозя</w:t>
      </w:r>
      <w:r>
        <w:t>й</w:t>
      </w:r>
      <w:r>
        <w:t>ства и развития информационных технологий. Это позволит лучше и</w:t>
      </w:r>
      <w:r>
        <w:t>с</w:t>
      </w:r>
      <w:r>
        <w:t xml:space="preserve">пользовать преимущества </w:t>
      </w:r>
      <w:r w:rsidR="00626546">
        <w:t>технологий в жизни населения. В</w:t>
      </w:r>
      <w:r w:rsidR="00626546">
        <w:rPr>
          <w:lang w:val="en-US"/>
        </w:rPr>
        <w:t> </w:t>
      </w:r>
      <w:r>
        <w:t>2008</w:t>
      </w:r>
      <w:r w:rsidR="00626546">
        <w:rPr>
          <w:lang w:val="en-US"/>
        </w:rPr>
        <w:t>−</w:t>
      </w:r>
      <w:r w:rsidR="00626546">
        <w:t>2009</w:t>
      </w:r>
      <w:r w:rsidR="00626546">
        <w:rPr>
          <w:lang w:val="en-US"/>
        </w:rPr>
        <w:t> </w:t>
      </w:r>
      <w:r>
        <w:t>годах было реализовано в общей сложности 57 проектов. Было получено 589 конечных результатов, в числе которых 40 готовых изделий, 130 стандартов, 21 рабочий чертеж, 39 концепций, 105 рук</w:t>
      </w:r>
      <w:r>
        <w:t>о</w:t>
      </w:r>
      <w:r>
        <w:t>водств, 57 книг, 150 статей и 223 презентаций. К тому же 62,9% из пол</w:t>
      </w:r>
      <w:r>
        <w:t>у</w:t>
      </w:r>
      <w:r>
        <w:t>ченных результатов имели место в секторе образования, 21,9% – в нау</w:t>
      </w:r>
      <w:r>
        <w:t>ч</w:t>
      </w:r>
      <w:r>
        <w:t>ном секторе и 15,1% – в секторе культуры. Указанные проекты были н</w:t>
      </w:r>
      <w:r>
        <w:t>а</w:t>
      </w:r>
      <w:r>
        <w:t>правлены на выработку методологий и создание условий для осущест</w:t>
      </w:r>
      <w:r>
        <w:t>в</w:t>
      </w:r>
      <w:r>
        <w:t>ления правовых актов и проведения исследований, необходимых для эк</w:t>
      </w:r>
      <w:r>
        <w:t>о</w:t>
      </w:r>
      <w:r>
        <w:t>номических и с</w:t>
      </w:r>
      <w:r>
        <w:t>о</w:t>
      </w:r>
      <w:r>
        <w:t>циальных реформ. В целом реализация проектов в сфере образования прошла хорошо. Проекты в области науки и техники сыгр</w:t>
      </w:r>
      <w:r>
        <w:t>а</w:t>
      </w:r>
      <w:r>
        <w:t>ли важную роль в улучшении народного образования и увеличении числа книг, жу</w:t>
      </w:r>
      <w:r>
        <w:t>р</w:t>
      </w:r>
      <w:r>
        <w:t>налов, выставок и музеев.</w:t>
      </w:r>
    </w:p>
    <w:p w:rsidR="00A51099" w:rsidRDefault="00A51099" w:rsidP="00626546">
      <w:pPr>
        <w:pStyle w:val="Bullet1GR"/>
      </w:pPr>
      <w:r>
        <w:t>В 2009 году монгольские ученые разработали 107 технологий, 100 коне</w:t>
      </w:r>
      <w:r>
        <w:t>ч</w:t>
      </w:r>
      <w:r>
        <w:t>ных изделий и моделей продукции, подготовили 267 каталогов и рук</w:t>
      </w:r>
      <w:r>
        <w:t>о</w:t>
      </w:r>
      <w:r>
        <w:t>водств и 105 стандартов. Кроме того, было издано 890 книг, опублик</w:t>
      </w:r>
      <w:r>
        <w:t>о</w:t>
      </w:r>
      <w:r>
        <w:t>вано 3</w:t>
      </w:r>
      <w:r w:rsidR="00626546">
        <w:rPr>
          <w:lang w:val="en-US"/>
        </w:rPr>
        <w:t> </w:t>
      </w:r>
      <w:r>
        <w:t>300 научных статей, сделано 3</w:t>
      </w:r>
      <w:r w:rsidR="00626546">
        <w:rPr>
          <w:lang w:val="en-US"/>
        </w:rPr>
        <w:t> </w:t>
      </w:r>
      <w:r>
        <w:t>400 презентаций, был зарегистриро</w:t>
      </w:r>
      <w:r w:rsidR="00626546">
        <w:t>ван 41</w:t>
      </w:r>
      <w:r w:rsidR="00626546">
        <w:rPr>
          <w:lang w:val="en-US"/>
        </w:rPr>
        <w:t> </w:t>
      </w:r>
      <w:r>
        <w:t>патент и было выдано 89 сертификатов на эффективную продукцию и 76 авторских свидетельств. Монгольские ученые-географы подготовили Н</w:t>
      </w:r>
      <w:r>
        <w:t>а</w:t>
      </w:r>
      <w:r>
        <w:t>циональный атлас Монголии и было сделано более 40 археологических находок, имеющих важное значение для изучения культуры хунну.</w:t>
      </w:r>
    </w:p>
    <w:p w:rsidR="00A51099" w:rsidRDefault="00A51099" w:rsidP="00626546">
      <w:pPr>
        <w:pStyle w:val="Bullet1GR"/>
      </w:pPr>
      <w:r>
        <w:t>В 2001</w:t>
      </w:r>
      <w:r w:rsidR="00626546" w:rsidRPr="00626546">
        <w:t>−</w:t>
      </w:r>
      <w:r>
        <w:t>2010 годах в общей сложности было отобрано 85 подготовител</w:t>
      </w:r>
      <w:r>
        <w:t>ь</w:t>
      </w:r>
      <w:r>
        <w:t>ных работ, которые получили финансирование в размере 1,774 млн. ту</w:t>
      </w:r>
      <w:r>
        <w:t>г</w:t>
      </w:r>
      <w:r>
        <w:t>риков. В результате проведения подготовительных работ в 2001</w:t>
      </w:r>
      <w:r w:rsidR="00626546" w:rsidRPr="00626546">
        <w:t>−</w:t>
      </w:r>
      <w:r>
        <w:t>2008 г</w:t>
      </w:r>
      <w:r>
        <w:t>о</w:t>
      </w:r>
      <w:r>
        <w:t>дах было открыто 33 малых предприятия и мастерских и начато прои</w:t>
      </w:r>
      <w:r>
        <w:t>з</w:t>
      </w:r>
      <w:r>
        <w:t>водство примерно 100 новых видов продукции.</w:t>
      </w:r>
    </w:p>
    <w:p w:rsidR="00A51099" w:rsidRDefault="00A51099" w:rsidP="00626546">
      <w:pPr>
        <w:pStyle w:val="Bullet1GR"/>
      </w:pPr>
      <w:r>
        <w:t>В 2010 году в оборудование для сектора науки и техники было инвест</w:t>
      </w:r>
      <w:r>
        <w:t>и</w:t>
      </w:r>
      <w:r>
        <w:t>ровано 300 млн. тугриков. Монголия сотрудничает более чем с 30 стр</w:t>
      </w:r>
      <w:r>
        <w:t>а</w:t>
      </w:r>
      <w:r>
        <w:t>нами в области науки, техники и инноваций в целях поощрения междун</w:t>
      </w:r>
      <w:r>
        <w:t>а</w:t>
      </w:r>
      <w:r>
        <w:t>родного с</w:t>
      </w:r>
      <w:r>
        <w:t>о</w:t>
      </w:r>
      <w:r>
        <w:t>трудничества.</w:t>
      </w:r>
    </w:p>
    <w:p w:rsidR="00A51099" w:rsidRDefault="00A51099" w:rsidP="00626546">
      <w:pPr>
        <w:pStyle w:val="Bullet1GR"/>
      </w:pPr>
      <w:r>
        <w:t xml:space="preserve">Статья 16 Конституции Монголии гласит: </w:t>
      </w:r>
      <w:r w:rsidR="00C467DA">
        <w:t>"</w:t>
      </w:r>
      <w:r>
        <w:t>Каждый гражданин имеет право заниматься творческим трудом в области культуры, искусс</w:t>
      </w:r>
      <w:r>
        <w:t>т</w:t>
      </w:r>
      <w:r>
        <w:t>ва и науки и пользоваться его плодами. Авторские права и патенты охраняю</w:t>
      </w:r>
      <w:r>
        <w:t>т</w:t>
      </w:r>
      <w:r>
        <w:t>ся законом</w:t>
      </w:r>
      <w:r w:rsidR="00C467DA">
        <w:t>"</w:t>
      </w:r>
      <w:r>
        <w:t>.</w:t>
      </w:r>
    </w:p>
    <w:p w:rsidR="00A51099" w:rsidRPr="00E72172" w:rsidRDefault="00E72172" w:rsidP="00E72172">
      <w:pPr>
        <w:pStyle w:val="SingleTxtGR"/>
        <w:ind w:left="1701"/>
        <w:rPr>
          <w:i/>
        </w:rPr>
      </w:pPr>
      <w:r w:rsidRPr="00E72172">
        <w:rPr>
          <w:i/>
        </w:rPr>
        <w:t>1.</w:t>
      </w:r>
      <w:r w:rsidRPr="00E72172">
        <w:rPr>
          <w:i/>
        </w:rPr>
        <w:tab/>
      </w:r>
      <w:r w:rsidR="00A51099" w:rsidRPr="00E72172">
        <w:rPr>
          <w:i/>
        </w:rPr>
        <w:t>Следующие лица обладают авторскими правами:</w:t>
      </w:r>
    </w:p>
    <w:p w:rsidR="00A51099" w:rsidRPr="00E72172" w:rsidRDefault="00A51099" w:rsidP="00E72172">
      <w:pPr>
        <w:pStyle w:val="SingleTxtGR"/>
        <w:ind w:left="1701" w:firstLine="567"/>
        <w:rPr>
          <w:i/>
        </w:rPr>
      </w:pPr>
      <w:r w:rsidRPr="00E72172">
        <w:rPr>
          <w:i/>
        </w:rPr>
        <w:t>1)</w:t>
      </w:r>
      <w:r w:rsidR="00E72172" w:rsidRPr="00E72172">
        <w:rPr>
          <w:i/>
        </w:rPr>
        <w:tab/>
      </w:r>
      <w:r w:rsidRPr="00E72172">
        <w:rPr>
          <w:i/>
        </w:rPr>
        <w:t>граждане Монголии, иностранные граждане и лица без гражданства, постоянно проживающие в Монголии и занимающиеся творческим трудом;</w:t>
      </w:r>
    </w:p>
    <w:p w:rsidR="00A51099" w:rsidRPr="00E72172" w:rsidRDefault="00A51099" w:rsidP="006506D3">
      <w:pPr>
        <w:pStyle w:val="SingleTxtGR"/>
        <w:ind w:left="1701" w:firstLine="567"/>
        <w:rPr>
          <w:i/>
        </w:rPr>
      </w:pPr>
      <w:r w:rsidRPr="00E72172">
        <w:rPr>
          <w:i/>
        </w:rPr>
        <w:t>2)</w:t>
      </w:r>
      <w:r w:rsidR="00E72172" w:rsidRPr="00E72172">
        <w:rPr>
          <w:i/>
        </w:rPr>
        <w:tab/>
      </w:r>
      <w:r w:rsidRPr="00E72172">
        <w:rPr>
          <w:i/>
        </w:rPr>
        <w:t>иностранные граждане, чья работа впервые была предста</w:t>
      </w:r>
      <w:r w:rsidRPr="00E72172">
        <w:rPr>
          <w:i/>
        </w:rPr>
        <w:t>в</w:t>
      </w:r>
      <w:r w:rsidRPr="00E72172">
        <w:rPr>
          <w:i/>
        </w:rPr>
        <w:t>лена общественности в Монголии;</w:t>
      </w:r>
    </w:p>
    <w:p w:rsidR="00A51099" w:rsidRPr="00E72172" w:rsidRDefault="00A51099" w:rsidP="006506D3">
      <w:pPr>
        <w:pStyle w:val="SingleTxtGR"/>
        <w:ind w:left="1701" w:firstLine="567"/>
        <w:rPr>
          <w:i/>
        </w:rPr>
      </w:pPr>
      <w:r w:rsidRPr="00E72172">
        <w:rPr>
          <w:i/>
        </w:rPr>
        <w:t>3)</w:t>
      </w:r>
      <w:r w:rsidR="00E72172" w:rsidRPr="00E72172">
        <w:rPr>
          <w:i/>
        </w:rPr>
        <w:tab/>
      </w:r>
      <w:r w:rsidRPr="00E72172">
        <w:rPr>
          <w:i/>
        </w:rPr>
        <w:t>авторы графических работ, которые являются частью скульптур, архитектурных композиций или зданий, постоянно наход</w:t>
      </w:r>
      <w:r w:rsidRPr="00E72172">
        <w:rPr>
          <w:i/>
        </w:rPr>
        <w:t>я</w:t>
      </w:r>
      <w:r w:rsidRPr="00E72172">
        <w:rPr>
          <w:i/>
        </w:rPr>
        <w:t>щихся на территории Монг</w:t>
      </w:r>
      <w:r w:rsidRPr="00E72172">
        <w:rPr>
          <w:i/>
        </w:rPr>
        <w:t>о</w:t>
      </w:r>
      <w:r w:rsidRPr="00E72172">
        <w:rPr>
          <w:i/>
        </w:rPr>
        <w:t>лии;</w:t>
      </w:r>
    </w:p>
    <w:p w:rsidR="00A51099" w:rsidRPr="00E72172" w:rsidRDefault="00A51099" w:rsidP="006506D3">
      <w:pPr>
        <w:pStyle w:val="SingleTxtGR"/>
        <w:ind w:left="1701" w:firstLine="567"/>
        <w:rPr>
          <w:i/>
        </w:rPr>
      </w:pPr>
      <w:r w:rsidRPr="00E72172">
        <w:rPr>
          <w:i/>
        </w:rPr>
        <w:t>4)</w:t>
      </w:r>
      <w:r w:rsidR="00E72172" w:rsidRPr="00E72172">
        <w:rPr>
          <w:i/>
        </w:rPr>
        <w:tab/>
      </w:r>
      <w:r w:rsidRPr="00E72172">
        <w:rPr>
          <w:i/>
        </w:rPr>
        <w:t>юридические лица, на которых распространяется авторское право на условиях и в рамках, установленных законодательством об а</w:t>
      </w:r>
      <w:r w:rsidRPr="00E72172">
        <w:rPr>
          <w:i/>
        </w:rPr>
        <w:t>в</w:t>
      </w:r>
      <w:r w:rsidRPr="00E72172">
        <w:rPr>
          <w:i/>
        </w:rPr>
        <w:t>торском праве;</w:t>
      </w:r>
    </w:p>
    <w:p w:rsidR="00A51099" w:rsidRPr="00E72172" w:rsidRDefault="00A51099" w:rsidP="006506D3">
      <w:pPr>
        <w:pStyle w:val="SingleTxtGR"/>
        <w:ind w:left="1701" w:firstLine="567"/>
        <w:rPr>
          <w:i/>
        </w:rPr>
      </w:pPr>
      <w:r w:rsidRPr="00E72172">
        <w:rPr>
          <w:i/>
        </w:rPr>
        <w:t>5)</w:t>
      </w:r>
      <w:r w:rsidR="00E72172" w:rsidRPr="00E72172">
        <w:rPr>
          <w:i/>
        </w:rPr>
        <w:tab/>
      </w:r>
      <w:r w:rsidRPr="00E72172">
        <w:rPr>
          <w:i/>
        </w:rPr>
        <w:t>иностранные граждане, юридические лица и лица без гра</w:t>
      </w:r>
      <w:r w:rsidRPr="00E72172">
        <w:rPr>
          <w:i/>
        </w:rPr>
        <w:t>ж</w:t>
      </w:r>
      <w:r w:rsidRPr="00E72172">
        <w:rPr>
          <w:i/>
        </w:rPr>
        <w:t>данства, которые подлежат защите в рамках международных догов</w:t>
      </w:r>
      <w:r w:rsidRPr="00E72172">
        <w:rPr>
          <w:i/>
        </w:rPr>
        <w:t>о</w:t>
      </w:r>
      <w:r w:rsidRPr="00E72172">
        <w:rPr>
          <w:i/>
        </w:rPr>
        <w:t>ров, участником к</w:t>
      </w:r>
      <w:r w:rsidRPr="00E72172">
        <w:rPr>
          <w:i/>
        </w:rPr>
        <w:t>о</w:t>
      </w:r>
      <w:r w:rsidRPr="00E72172">
        <w:rPr>
          <w:i/>
        </w:rPr>
        <w:t>торых является Монголия.</w:t>
      </w:r>
    </w:p>
    <w:p w:rsidR="00A51099" w:rsidRDefault="00A51099" w:rsidP="00A51099">
      <w:pPr>
        <w:pStyle w:val="SingleTxtGR"/>
      </w:pPr>
      <w:r>
        <w:t>250.</w:t>
      </w:r>
      <w:r>
        <w:tab/>
        <w:t>Предметом авторского права являются следующие работы, независимо от их содержания, цели, формы, достоинства, способа создания или общественной доступности:</w:t>
      </w:r>
    </w:p>
    <w:p w:rsidR="00A51099" w:rsidRDefault="00A51099" w:rsidP="00902C18">
      <w:pPr>
        <w:pStyle w:val="Bullet1GR"/>
      </w:pPr>
      <w:r>
        <w:t>письменные или устные творческие работы в области науки или литер</w:t>
      </w:r>
      <w:r>
        <w:t>а</w:t>
      </w:r>
      <w:r>
        <w:t>туры;</w:t>
      </w:r>
    </w:p>
    <w:p w:rsidR="00A51099" w:rsidRDefault="00A51099" w:rsidP="00902C18">
      <w:pPr>
        <w:pStyle w:val="Bullet1GR"/>
      </w:pPr>
      <w:r>
        <w:t>музыкальные произведения;</w:t>
      </w:r>
    </w:p>
    <w:p w:rsidR="00A51099" w:rsidRDefault="00A51099" w:rsidP="00902C18">
      <w:pPr>
        <w:pStyle w:val="Bullet1GR"/>
      </w:pPr>
      <w:r>
        <w:t>графические работы и произведения прикладного искусства;</w:t>
      </w:r>
    </w:p>
    <w:p w:rsidR="00A51099" w:rsidRDefault="00A51099" w:rsidP="00902C18">
      <w:pPr>
        <w:pStyle w:val="Bullet1GR"/>
      </w:pPr>
      <w:r>
        <w:t>работы в области архитектуры и строительного проектирования;</w:t>
      </w:r>
    </w:p>
    <w:p w:rsidR="00A51099" w:rsidRDefault="00A51099" w:rsidP="00902C18">
      <w:pPr>
        <w:pStyle w:val="Bullet1GR"/>
      </w:pPr>
      <w:r>
        <w:t>работы в области хореографии, пластической акробатики и пант</w:t>
      </w:r>
      <w:r>
        <w:t>о</w:t>
      </w:r>
      <w:r>
        <w:t>мимы;</w:t>
      </w:r>
    </w:p>
    <w:p w:rsidR="00A51099" w:rsidRDefault="00A51099" w:rsidP="00902C18">
      <w:pPr>
        <w:pStyle w:val="Bullet1GR"/>
      </w:pPr>
      <w:r>
        <w:t>драматургические произведения;</w:t>
      </w:r>
    </w:p>
    <w:p w:rsidR="00A51099" w:rsidRDefault="00A51099" w:rsidP="00902C18">
      <w:pPr>
        <w:pStyle w:val="Bullet1GR"/>
      </w:pPr>
      <w:r>
        <w:t>работы в области кинематографии и все работы в области выраз</w:t>
      </w:r>
      <w:r>
        <w:t>и</w:t>
      </w:r>
      <w:r>
        <w:t>тельных искусств, аналогичные кинематографии;</w:t>
      </w:r>
    </w:p>
    <w:p w:rsidR="00A51099" w:rsidRDefault="00A51099" w:rsidP="00902C18">
      <w:pPr>
        <w:pStyle w:val="Bullet1GR"/>
      </w:pPr>
      <w:r>
        <w:t>фотоработы и все виды работ, аналогичные фотографии;</w:t>
      </w:r>
    </w:p>
    <w:p w:rsidR="00A51099" w:rsidRDefault="00A51099" w:rsidP="00902C18">
      <w:pPr>
        <w:pStyle w:val="Bullet1GR"/>
      </w:pPr>
      <w:r>
        <w:t>планы, эскизы, чертежи и модели в области науки и техники;</w:t>
      </w:r>
    </w:p>
    <w:p w:rsidR="00A51099" w:rsidRDefault="00A51099" w:rsidP="00902C18">
      <w:pPr>
        <w:pStyle w:val="Bullet1GR"/>
      </w:pPr>
      <w:r>
        <w:t>компьютерные программы;</w:t>
      </w:r>
    </w:p>
    <w:p w:rsidR="00A51099" w:rsidRDefault="00A51099" w:rsidP="00902C18">
      <w:pPr>
        <w:pStyle w:val="Bullet1GR"/>
      </w:pPr>
      <w:r>
        <w:t>энциклопедии, словари и другие сборные базы данных, которые по св</w:t>
      </w:r>
      <w:r>
        <w:t>о</w:t>
      </w:r>
      <w:r>
        <w:t>ему содержанию и назначению представляют собой продукт интеллект</w:t>
      </w:r>
      <w:r>
        <w:t>у</w:t>
      </w:r>
      <w:r>
        <w:t>альной деятельности. Однако авторские права на оригиналы не должны нарушаться;</w:t>
      </w:r>
    </w:p>
    <w:p w:rsidR="00A51099" w:rsidRDefault="00A51099" w:rsidP="00902C18">
      <w:pPr>
        <w:pStyle w:val="Bullet1GR"/>
      </w:pPr>
      <w:r>
        <w:t>дальнейшие работы, такие как адаптация, перевод и аранжировка муз</w:t>
      </w:r>
      <w:r>
        <w:t>ы</w:t>
      </w:r>
      <w:r>
        <w:t>кальных и иных художественных произведений на основе существующих р</w:t>
      </w:r>
      <w:r>
        <w:t>а</w:t>
      </w:r>
      <w:r>
        <w:t>бот;</w:t>
      </w:r>
    </w:p>
    <w:p w:rsidR="00A51099" w:rsidRPr="00D507E7" w:rsidRDefault="00A51099" w:rsidP="00902C18">
      <w:pPr>
        <w:pStyle w:val="Bullet1GR"/>
      </w:pPr>
      <w:r>
        <w:t>любые другие работы, являющиеся выражением интеллектуальной тво</w:t>
      </w:r>
      <w:r>
        <w:t>р</w:t>
      </w:r>
      <w:r>
        <w:t>ческой деятельности авт</w:t>
      </w:r>
      <w:r>
        <w:t>о</w:t>
      </w:r>
      <w:r>
        <w:t>ров.</w:t>
      </w:r>
    </w:p>
    <w:p w:rsidR="00A54898" w:rsidRPr="00902C18" w:rsidRDefault="00902C18" w:rsidP="00902C1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54898" w:rsidRPr="00902C18" w:rsidSect="00A10348">
      <w:headerReference w:type="even" r:id="rId23"/>
      <w:headerReference w:type="default" r:id="rId24"/>
      <w:footerReference w:type="even" r:id="rId25"/>
      <w:footerReference w:type="default" r:id="rId26"/>
      <w:footerReference w:type="first" r:id="rId27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064" w:rsidRDefault="00CD6064">
      <w:r>
        <w:rPr>
          <w:lang w:val="en-US"/>
        </w:rPr>
        <w:tab/>
      </w:r>
      <w:r>
        <w:separator/>
      </w:r>
    </w:p>
  </w:endnote>
  <w:endnote w:type="continuationSeparator" w:id="0">
    <w:p w:rsidR="00CD6064" w:rsidRDefault="00CD6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99" w:rsidRPr="009A6F4A" w:rsidRDefault="00033699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5A7B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  <w:t>GE.13-49275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99" w:rsidRPr="009A6F4A" w:rsidRDefault="00033699">
    <w:pPr>
      <w:pStyle w:val="Footer"/>
      <w:rPr>
        <w:lang w:val="en-US"/>
      </w:rPr>
    </w:pPr>
    <w:r>
      <w:rPr>
        <w:lang w:val="en-US"/>
      </w:rPr>
      <w:t>GE.13-49275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5A7B">
      <w:rPr>
        <w:rStyle w:val="PageNumber"/>
        <w:noProof/>
      </w:rPr>
      <w:t>63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033699" w:rsidTr="000B3266">
      <w:trPr>
        <w:trHeight w:val="438"/>
      </w:trPr>
      <w:tc>
        <w:tcPr>
          <w:tcW w:w="4068" w:type="dxa"/>
          <w:vAlign w:val="bottom"/>
        </w:tcPr>
        <w:p w:rsidR="00033699" w:rsidRDefault="00033699" w:rsidP="000B3266">
          <w:r>
            <w:rPr>
              <w:lang w:val="en-US"/>
            </w:rPr>
            <w:t>GE.13-49275  (R)  260514  270514</w:t>
          </w:r>
        </w:p>
      </w:tc>
      <w:tc>
        <w:tcPr>
          <w:tcW w:w="4663" w:type="dxa"/>
          <w:vMerge w:val="restart"/>
          <w:vAlign w:val="bottom"/>
        </w:tcPr>
        <w:p w:rsidR="00033699" w:rsidRDefault="00033699" w:rsidP="000B3266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0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033699" w:rsidRDefault="00033699" w:rsidP="000B3266">
          <w:pPr>
            <w:jc w:val="right"/>
          </w:pPr>
          <w:r>
            <w:pict>
              <v:shape id="_x0000_i1041" type="#_x0000_t75" style="width:50.25pt;height:50.25pt">
                <v:imagedata r:id="rId2" o:title="4&amp;Size=2&amp;Lang=R"/>
              </v:shape>
            </w:pict>
          </w:r>
        </w:p>
      </w:tc>
    </w:tr>
    <w:tr w:rsidR="00033699" w:rsidTr="000B3266">
      <w:tc>
        <w:tcPr>
          <w:tcW w:w="4068" w:type="dxa"/>
          <w:vAlign w:val="bottom"/>
        </w:tcPr>
        <w:p w:rsidR="00033699" w:rsidRPr="000C1CC1" w:rsidRDefault="00033699" w:rsidP="000B326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0C1CC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0C1CC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C1CC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0C1CC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0C1CC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0C1CC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0C1CC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0C1CC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0C1CC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033699" w:rsidRDefault="00033699" w:rsidP="000B3266"/>
      </w:tc>
      <w:tc>
        <w:tcPr>
          <w:tcW w:w="1124" w:type="dxa"/>
          <w:vMerge/>
        </w:tcPr>
        <w:p w:rsidR="00033699" w:rsidRDefault="00033699" w:rsidP="000B3266"/>
      </w:tc>
    </w:tr>
  </w:tbl>
  <w:p w:rsidR="00033699" w:rsidRPr="007A36B5" w:rsidRDefault="00033699" w:rsidP="007A36B5">
    <w:pPr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064" w:rsidRPr="00F71F63" w:rsidRDefault="00CD6064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CD6064" w:rsidRPr="00F71F63" w:rsidRDefault="00CD6064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CD6064" w:rsidRPr="00635E86" w:rsidRDefault="00CD6064" w:rsidP="00635E86">
      <w:pPr>
        <w:pStyle w:val="Footer"/>
      </w:pPr>
    </w:p>
  </w:footnote>
  <w:footnote w:id="1">
    <w:p w:rsidR="00033699" w:rsidRPr="00D86F68" w:rsidRDefault="00033699">
      <w:pPr>
        <w:pStyle w:val="FootnoteText"/>
        <w:rPr>
          <w:sz w:val="20"/>
          <w:lang w:val="ru-RU"/>
        </w:rPr>
      </w:pPr>
      <w:r>
        <w:tab/>
      </w:r>
      <w:r w:rsidRPr="00D86F68">
        <w:rPr>
          <w:rStyle w:val="FootnoteReference"/>
          <w:sz w:val="20"/>
          <w:vertAlign w:val="baseline"/>
          <w:lang w:val="ru-RU"/>
        </w:rPr>
        <w:t>*</w:t>
      </w:r>
      <w:r w:rsidRPr="00D86F68">
        <w:rPr>
          <w:lang w:val="ru-RU"/>
        </w:rPr>
        <w:tab/>
        <w:t>Настоящий документ выпускается без официального редактирования.</w:t>
      </w:r>
    </w:p>
  </w:footnote>
  <w:footnote w:id="2">
    <w:p w:rsidR="00033699" w:rsidRPr="00252E96" w:rsidRDefault="00033699">
      <w:pPr>
        <w:pStyle w:val="FootnoteText"/>
        <w:rPr>
          <w:sz w:val="20"/>
          <w:lang w:val="ru-RU"/>
        </w:rPr>
      </w:pPr>
      <w:r>
        <w:tab/>
      </w:r>
      <w:r w:rsidRPr="00252E96">
        <w:rPr>
          <w:rStyle w:val="FootnoteReference"/>
          <w:sz w:val="20"/>
          <w:vertAlign w:val="baseline"/>
          <w:lang w:val="ru-RU"/>
        </w:rPr>
        <w:t>**</w:t>
      </w:r>
      <w:r w:rsidRPr="00252E96">
        <w:rPr>
          <w:lang w:val="ru-RU"/>
        </w:rPr>
        <w:tab/>
        <w:t>С приложением можно ознакомиться в архиве Секретариата.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99" w:rsidRPr="00E71A0F" w:rsidRDefault="00033699">
    <w:pPr>
      <w:pStyle w:val="Header"/>
      <w:rPr>
        <w:lang w:val="en-US"/>
      </w:rPr>
    </w:pPr>
    <w:r>
      <w:rPr>
        <w:lang w:val="en-US"/>
      </w:rPr>
      <w:t>E/C.12/MNG/4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99" w:rsidRPr="009A6F4A" w:rsidRDefault="00033699">
    <w:pPr>
      <w:pStyle w:val="Header"/>
      <w:rPr>
        <w:lang w:val="en-US"/>
      </w:rPr>
    </w:pPr>
    <w:r>
      <w:rPr>
        <w:lang w:val="en-US"/>
      </w:rPr>
      <w:tab/>
      <w:t>E/C.12/MNG/4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9B3ECB"/>
    <w:multiLevelType w:val="hybridMultilevel"/>
    <w:tmpl w:val="887223A6"/>
    <w:lvl w:ilvl="0" w:tplc="F44462D2">
      <w:start w:val="1"/>
      <w:numFmt w:val="decimal"/>
      <w:lvlText w:val="%1."/>
      <w:lvlJc w:val="left"/>
      <w:pPr>
        <w:tabs>
          <w:tab w:val="num" w:pos="2988"/>
        </w:tabs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6">
    <w:nsid w:val="2B495D67"/>
    <w:multiLevelType w:val="hybridMultilevel"/>
    <w:tmpl w:val="E810323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E6934DF"/>
    <w:multiLevelType w:val="hybridMultilevel"/>
    <w:tmpl w:val="22CAE1A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84A3B69"/>
    <w:multiLevelType w:val="hybridMultilevel"/>
    <w:tmpl w:val="C5C6D22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39F370E3"/>
    <w:multiLevelType w:val="hybridMultilevel"/>
    <w:tmpl w:val="E4AC4900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925DC1"/>
    <w:multiLevelType w:val="hybridMultilevel"/>
    <w:tmpl w:val="223CC7C0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2E463CD"/>
    <w:multiLevelType w:val="hybridMultilevel"/>
    <w:tmpl w:val="A8565AA6"/>
    <w:lvl w:ilvl="0" w:tplc="3F52961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4"/>
  </w:num>
  <w:num w:numId="4">
    <w:abstractNumId w:val="27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26"/>
  </w:num>
  <w:num w:numId="18">
    <w:abstractNumId w:val="22"/>
  </w:num>
  <w:num w:numId="19">
    <w:abstractNumId w:val="22"/>
  </w:num>
  <w:num w:numId="20">
    <w:abstractNumId w:val="26"/>
  </w:num>
  <w:num w:numId="21">
    <w:abstractNumId w:val="22"/>
  </w:num>
  <w:num w:numId="22">
    <w:abstractNumId w:val="24"/>
  </w:num>
  <w:num w:numId="23">
    <w:abstractNumId w:val="24"/>
  </w:num>
  <w:num w:numId="24">
    <w:abstractNumId w:val="15"/>
  </w:num>
  <w:num w:numId="25">
    <w:abstractNumId w:val="18"/>
  </w:num>
  <w:num w:numId="26">
    <w:abstractNumId w:val="14"/>
  </w:num>
  <w:num w:numId="27">
    <w:abstractNumId w:val="10"/>
  </w:num>
  <w:num w:numId="28">
    <w:abstractNumId w:val="12"/>
  </w:num>
  <w:num w:numId="29">
    <w:abstractNumId w:val="19"/>
  </w:num>
  <w:num w:numId="30">
    <w:abstractNumId w:val="13"/>
  </w:num>
  <w:num w:numId="31">
    <w:abstractNumId w:val="25"/>
  </w:num>
  <w:num w:numId="32">
    <w:abstractNumId w:val="29"/>
  </w:num>
  <w:num w:numId="33">
    <w:abstractNumId w:val="21"/>
  </w:num>
  <w:num w:numId="34">
    <w:abstractNumId w:val="20"/>
  </w:num>
  <w:num w:numId="35">
    <w:abstractNumId w:val="17"/>
  </w:num>
  <w:num w:numId="36">
    <w:abstractNumId w:val="16"/>
  </w:num>
  <w:num w:numId="37">
    <w:abstractNumId w:val="2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E35"/>
    <w:rsid w:val="000028CD"/>
    <w:rsid w:val="000033D8"/>
    <w:rsid w:val="00005C1C"/>
    <w:rsid w:val="00016553"/>
    <w:rsid w:val="0002100D"/>
    <w:rsid w:val="000233B3"/>
    <w:rsid w:val="00023E9E"/>
    <w:rsid w:val="00026B0C"/>
    <w:rsid w:val="00033653"/>
    <w:rsid w:val="00033699"/>
    <w:rsid w:val="0003638E"/>
    <w:rsid w:val="00036FF2"/>
    <w:rsid w:val="0004010A"/>
    <w:rsid w:val="000408DF"/>
    <w:rsid w:val="00043D88"/>
    <w:rsid w:val="00046E4D"/>
    <w:rsid w:val="0006401A"/>
    <w:rsid w:val="00064E25"/>
    <w:rsid w:val="00072C27"/>
    <w:rsid w:val="0008406B"/>
    <w:rsid w:val="00086182"/>
    <w:rsid w:val="00090891"/>
    <w:rsid w:val="00092E62"/>
    <w:rsid w:val="00093C68"/>
    <w:rsid w:val="00097227"/>
    <w:rsid w:val="00097975"/>
    <w:rsid w:val="000A3DDF"/>
    <w:rsid w:val="000A60A0"/>
    <w:rsid w:val="000A67F1"/>
    <w:rsid w:val="000A7DB5"/>
    <w:rsid w:val="000B17C7"/>
    <w:rsid w:val="000B3266"/>
    <w:rsid w:val="000C0C70"/>
    <w:rsid w:val="000C1CC1"/>
    <w:rsid w:val="000C3688"/>
    <w:rsid w:val="000D4A0B"/>
    <w:rsid w:val="000D6863"/>
    <w:rsid w:val="000D7616"/>
    <w:rsid w:val="000E3CCA"/>
    <w:rsid w:val="000E546C"/>
    <w:rsid w:val="000E7408"/>
    <w:rsid w:val="000F42E7"/>
    <w:rsid w:val="00101EC1"/>
    <w:rsid w:val="00111256"/>
    <w:rsid w:val="0011170C"/>
    <w:rsid w:val="00117AEE"/>
    <w:rsid w:val="001463F7"/>
    <w:rsid w:val="0015769C"/>
    <w:rsid w:val="001662FA"/>
    <w:rsid w:val="00180752"/>
    <w:rsid w:val="00185076"/>
    <w:rsid w:val="0018543C"/>
    <w:rsid w:val="00186028"/>
    <w:rsid w:val="00190231"/>
    <w:rsid w:val="00192056"/>
    <w:rsid w:val="00192ABD"/>
    <w:rsid w:val="001A75D5"/>
    <w:rsid w:val="001A7D40"/>
    <w:rsid w:val="001C2DCD"/>
    <w:rsid w:val="001C5B0F"/>
    <w:rsid w:val="001D00F2"/>
    <w:rsid w:val="001D07F7"/>
    <w:rsid w:val="001D7B8F"/>
    <w:rsid w:val="001E12DC"/>
    <w:rsid w:val="001E3FB6"/>
    <w:rsid w:val="001E48EE"/>
    <w:rsid w:val="001F2D04"/>
    <w:rsid w:val="001F6EE4"/>
    <w:rsid w:val="0020059C"/>
    <w:rsid w:val="002019BD"/>
    <w:rsid w:val="00223115"/>
    <w:rsid w:val="00223E8B"/>
    <w:rsid w:val="00232D42"/>
    <w:rsid w:val="00237334"/>
    <w:rsid w:val="00241D24"/>
    <w:rsid w:val="002444F4"/>
    <w:rsid w:val="00252A7A"/>
    <w:rsid w:val="00252E96"/>
    <w:rsid w:val="002629A0"/>
    <w:rsid w:val="00265969"/>
    <w:rsid w:val="0028492B"/>
    <w:rsid w:val="00291C8F"/>
    <w:rsid w:val="00297597"/>
    <w:rsid w:val="002B706C"/>
    <w:rsid w:val="002C0375"/>
    <w:rsid w:val="002C0BB5"/>
    <w:rsid w:val="002C5036"/>
    <w:rsid w:val="002C6A71"/>
    <w:rsid w:val="002C6D5F"/>
    <w:rsid w:val="002D15EA"/>
    <w:rsid w:val="002D6C07"/>
    <w:rsid w:val="002E0CE6"/>
    <w:rsid w:val="002E1163"/>
    <w:rsid w:val="002E43F3"/>
    <w:rsid w:val="002F72E2"/>
    <w:rsid w:val="00306D2D"/>
    <w:rsid w:val="003151ED"/>
    <w:rsid w:val="003215F5"/>
    <w:rsid w:val="00326250"/>
    <w:rsid w:val="00332891"/>
    <w:rsid w:val="003356B6"/>
    <w:rsid w:val="00356BB2"/>
    <w:rsid w:val="00360477"/>
    <w:rsid w:val="0036614D"/>
    <w:rsid w:val="00367FC9"/>
    <w:rsid w:val="003711A1"/>
    <w:rsid w:val="00372123"/>
    <w:rsid w:val="00372BCE"/>
    <w:rsid w:val="00382B38"/>
    <w:rsid w:val="00386581"/>
    <w:rsid w:val="00387100"/>
    <w:rsid w:val="003951D3"/>
    <w:rsid w:val="003978C6"/>
    <w:rsid w:val="003A1E35"/>
    <w:rsid w:val="003A3F16"/>
    <w:rsid w:val="003B40A9"/>
    <w:rsid w:val="003C016E"/>
    <w:rsid w:val="003C09B4"/>
    <w:rsid w:val="003D5EBD"/>
    <w:rsid w:val="003E21CB"/>
    <w:rsid w:val="003E40E4"/>
    <w:rsid w:val="003F5D42"/>
    <w:rsid w:val="00401CE0"/>
    <w:rsid w:val="00403234"/>
    <w:rsid w:val="00407AC3"/>
    <w:rsid w:val="00411E41"/>
    <w:rsid w:val="00414586"/>
    <w:rsid w:val="00415059"/>
    <w:rsid w:val="00420CC4"/>
    <w:rsid w:val="00424FDD"/>
    <w:rsid w:val="0043033D"/>
    <w:rsid w:val="00435FE4"/>
    <w:rsid w:val="00443F12"/>
    <w:rsid w:val="00450CF2"/>
    <w:rsid w:val="00455125"/>
    <w:rsid w:val="00457634"/>
    <w:rsid w:val="00457C63"/>
    <w:rsid w:val="00462D50"/>
    <w:rsid w:val="00474F42"/>
    <w:rsid w:val="0048244D"/>
    <w:rsid w:val="00484329"/>
    <w:rsid w:val="00491D03"/>
    <w:rsid w:val="00497CD4"/>
    <w:rsid w:val="004A0DE8"/>
    <w:rsid w:val="004A4CB7"/>
    <w:rsid w:val="004A57B5"/>
    <w:rsid w:val="004A78A4"/>
    <w:rsid w:val="004B19DA"/>
    <w:rsid w:val="004B1D22"/>
    <w:rsid w:val="004B33F2"/>
    <w:rsid w:val="004C0EAC"/>
    <w:rsid w:val="004C112E"/>
    <w:rsid w:val="004C1D39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30243"/>
    <w:rsid w:val="00531408"/>
    <w:rsid w:val="00533538"/>
    <w:rsid w:val="00540A9A"/>
    <w:rsid w:val="00542CE2"/>
    <w:rsid w:val="00543522"/>
    <w:rsid w:val="00545680"/>
    <w:rsid w:val="00564B88"/>
    <w:rsid w:val="0056618E"/>
    <w:rsid w:val="005736BD"/>
    <w:rsid w:val="00576F59"/>
    <w:rsid w:val="00577A34"/>
    <w:rsid w:val="00580AAD"/>
    <w:rsid w:val="00592250"/>
    <w:rsid w:val="00593A04"/>
    <w:rsid w:val="005A6D5A"/>
    <w:rsid w:val="005B1B28"/>
    <w:rsid w:val="005B45AA"/>
    <w:rsid w:val="005B7D51"/>
    <w:rsid w:val="005B7F35"/>
    <w:rsid w:val="005C2081"/>
    <w:rsid w:val="005C678A"/>
    <w:rsid w:val="005D346D"/>
    <w:rsid w:val="005D6801"/>
    <w:rsid w:val="005E68D8"/>
    <w:rsid w:val="005E74AB"/>
    <w:rsid w:val="00606A3E"/>
    <w:rsid w:val="006115AA"/>
    <w:rsid w:val="006120AE"/>
    <w:rsid w:val="006171E0"/>
    <w:rsid w:val="00626546"/>
    <w:rsid w:val="00631346"/>
    <w:rsid w:val="00635E86"/>
    <w:rsid w:val="00636A37"/>
    <w:rsid w:val="0063776D"/>
    <w:rsid w:val="006417CA"/>
    <w:rsid w:val="0064793D"/>
    <w:rsid w:val="006501A5"/>
    <w:rsid w:val="006506D3"/>
    <w:rsid w:val="006567B2"/>
    <w:rsid w:val="00662ADE"/>
    <w:rsid w:val="00664106"/>
    <w:rsid w:val="0066488E"/>
    <w:rsid w:val="00674F3D"/>
    <w:rsid w:val="00675480"/>
    <w:rsid w:val="006756F1"/>
    <w:rsid w:val="00677773"/>
    <w:rsid w:val="006805FC"/>
    <w:rsid w:val="006926C7"/>
    <w:rsid w:val="00694C37"/>
    <w:rsid w:val="00695690"/>
    <w:rsid w:val="006A113E"/>
    <w:rsid w:val="006A1BEB"/>
    <w:rsid w:val="006A401C"/>
    <w:rsid w:val="006A7C6E"/>
    <w:rsid w:val="006B23D9"/>
    <w:rsid w:val="006B69C5"/>
    <w:rsid w:val="006C1814"/>
    <w:rsid w:val="006C2F45"/>
    <w:rsid w:val="006C361A"/>
    <w:rsid w:val="006C5657"/>
    <w:rsid w:val="006C782D"/>
    <w:rsid w:val="006D5E4E"/>
    <w:rsid w:val="006D6DAB"/>
    <w:rsid w:val="006E40DB"/>
    <w:rsid w:val="006E6860"/>
    <w:rsid w:val="006E7183"/>
    <w:rsid w:val="006F5FBF"/>
    <w:rsid w:val="0070327E"/>
    <w:rsid w:val="00707B5F"/>
    <w:rsid w:val="007236AF"/>
    <w:rsid w:val="00730EF3"/>
    <w:rsid w:val="00735602"/>
    <w:rsid w:val="0074394E"/>
    <w:rsid w:val="007443F8"/>
    <w:rsid w:val="0075279B"/>
    <w:rsid w:val="00753748"/>
    <w:rsid w:val="00756542"/>
    <w:rsid w:val="00762446"/>
    <w:rsid w:val="00781ACB"/>
    <w:rsid w:val="007825FF"/>
    <w:rsid w:val="007A36B5"/>
    <w:rsid w:val="007A79EB"/>
    <w:rsid w:val="007D4571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4820"/>
    <w:rsid w:val="00830402"/>
    <w:rsid w:val="008305D7"/>
    <w:rsid w:val="00834887"/>
    <w:rsid w:val="00842FED"/>
    <w:rsid w:val="00843094"/>
    <w:rsid w:val="00843DE3"/>
    <w:rsid w:val="008455CF"/>
    <w:rsid w:val="00847689"/>
    <w:rsid w:val="008521A7"/>
    <w:rsid w:val="00861C52"/>
    <w:rsid w:val="00872427"/>
    <w:rsid w:val="008727A1"/>
    <w:rsid w:val="00872A3E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D7AC0"/>
    <w:rsid w:val="008E3E87"/>
    <w:rsid w:val="008E7F13"/>
    <w:rsid w:val="008F07B4"/>
    <w:rsid w:val="008F2FAC"/>
    <w:rsid w:val="008F3185"/>
    <w:rsid w:val="008F357D"/>
    <w:rsid w:val="00902C18"/>
    <w:rsid w:val="00913FF6"/>
    <w:rsid w:val="00915B0A"/>
    <w:rsid w:val="00916176"/>
    <w:rsid w:val="009176B7"/>
    <w:rsid w:val="00926904"/>
    <w:rsid w:val="00927FD8"/>
    <w:rsid w:val="00933623"/>
    <w:rsid w:val="009372F0"/>
    <w:rsid w:val="00937A17"/>
    <w:rsid w:val="00937FBD"/>
    <w:rsid w:val="00950B37"/>
    <w:rsid w:val="00955022"/>
    <w:rsid w:val="00955763"/>
    <w:rsid w:val="00957145"/>
    <w:rsid w:val="00957B4D"/>
    <w:rsid w:val="00964EEA"/>
    <w:rsid w:val="00965BA9"/>
    <w:rsid w:val="009730EF"/>
    <w:rsid w:val="00980C86"/>
    <w:rsid w:val="00983D48"/>
    <w:rsid w:val="009851BE"/>
    <w:rsid w:val="00996F47"/>
    <w:rsid w:val="009B1D9B"/>
    <w:rsid w:val="009B4074"/>
    <w:rsid w:val="009C30BB"/>
    <w:rsid w:val="009C60BE"/>
    <w:rsid w:val="009C79FF"/>
    <w:rsid w:val="009E4B18"/>
    <w:rsid w:val="009E6279"/>
    <w:rsid w:val="009F00A6"/>
    <w:rsid w:val="009F56A7"/>
    <w:rsid w:val="009F5B05"/>
    <w:rsid w:val="00A026CA"/>
    <w:rsid w:val="00A07232"/>
    <w:rsid w:val="00A10348"/>
    <w:rsid w:val="00A12237"/>
    <w:rsid w:val="00A14800"/>
    <w:rsid w:val="00A156DE"/>
    <w:rsid w:val="00A157ED"/>
    <w:rsid w:val="00A2446A"/>
    <w:rsid w:val="00A4025D"/>
    <w:rsid w:val="00A42081"/>
    <w:rsid w:val="00A45B4B"/>
    <w:rsid w:val="00A51099"/>
    <w:rsid w:val="00A54898"/>
    <w:rsid w:val="00A72025"/>
    <w:rsid w:val="00A74B36"/>
    <w:rsid w:val="00A75FA4"/>
    <w:rsid w:val="00A800D1"/>
    <w:rsid w:val="00A82281"/>
    <w:rsid w:val="00A92699"/>
    <w:rsid w:val="00AA2CEB"/>
    <w:rsid w:val="00AB1D7A"/>
    <w:rsid w:val="00AB5BF0"/>
    <w:rsid w:val="00AC1C95"/>
    <w:rsid w:val="00AC2CCB"/>
    <w:rsid w:val="00AC443A"/>
    <w:rsid w:val="00AE60E2"/>
    <w:rsid w:val="00AF4DE9"/>
    <w:rsid w:val="00B0169F"/>
    <w:rsid w:val="00B05F21"/>
    <w:rsid w:val="00B107A6"/>
    <w:rsid w:val="00B10C44"/>
    <w:rsid w:val="00B1122E"/>
    <w:rsid w:val="00B130FC"/>
    <w:rsid w:val="00B138AB"/>
    <w:rsid w:val="00B14EA9"/>
    <w:rsid w:val="00B26718"/>
    <w:rsid w:val="00B30A3C"/>
    <w:rsid w:val="00B63108"/>
    <w:rsid w:val="00B6372F"/>
    <w:rsid w:val="00B80829"/>
    <w:rsid w:val="00B81305"/>
    <w:rsid w:val="00B84942"/>
    <w:rsid w:val="00B84A8F"/>
    <w:rsid w:val="00B906AD"/>
    <w:rsid w:val="00B90D9C"/>
    <w:rsid w:val="00B921C1"/>
    <w:rsid w:val="00B965F5"/>
    <w:rsid w:val="00BA26BD"/>
    <w:rsid w:val="00BB17DC"/>
    <w:rsid w:val="00BB1AF9"/>
    <w:rsid w:val="00BB4C4A"/>
    <w:rsid w:val="00BC0D70"/>
    <w:rsid w:val="00BD3CAE"/>
    <w:rsid w:val="00BD5F3C"/>
    <w:rsid w:val="00BE0F6A"/>
    <w:rsid w:val="00C005FD"/>
    <w:rsid w:val="00C07C0F"/>
    <w:rsid w:val="00C14125"/>
    <w:rsid w:val="00C145C4"/>
    <w:rsid w:val="00C20D2F"/>
    <w:rsid w:val="00C20DC2"/>
    <w:rsid w:val="00C2131B"/>
    <w:rsid w:val="00C25C8A"/>
    <w:rsid w:val="00C268CC"/>
    <w:rsid w:val="00C37AF8"/>
    <w:rsid w:val="00C37C79"/>
    <w:rsid w:val="00C41BBC"/>
    <w:rsid w:val="00C467DA"/>
    <w:rsid w:val="00C51419"/>
    <w:rsid w:val="00C54056"/>
    <w:rsid w:val="00C547CB"/>
    <w:rsid w:val="00C663A3"/>
    <w:rsid w:val="00C733D3"/>
    <w:rsid w:val="00C75CB2"/>
    <w:rsid w:val="00C90723"/>
    <w:rsid w:val="00C90D5C"/>
    <w:rsid w:val="00C93B29"/>
    <w:rsid w:val="00CA609E"/>
    <w:rsid w:val="00CA7DA4"/>
    <w:rsid w:val="00CB31FB"/>
    <w:rsid w:val="00CD3BFC"/>
    <w:rsid w:val="00CD6064"/>
    <w:rsid w:val="00CE3D6F"/>
    <w:rsid w:val="00CE79A5"/>
    <w:rsid w:val="00CF0042"/>
    <w:rsid w:val="00CF262F"/>
    <w:rsid w:val="00CF2D6E"/>
    <w:rsid w:val="00D025D5"/>
    <w:rsid w:val="00D14A2A"/>
    <w:rsid w:val="00D26B13"/>
    <w:rsid w:val="00D26CC1"/>
    <w:rsid w:val="00D30662"/>
    <w:rsid w:val="00D32A0B"/>
    <w:rsid w:val="00D46AA6"/>
    <w:rsid w:val="00D51377"/>
    <w:rsid w:val="00D6236B"/>
    <w:rsid w:val="00D809D1"/>
    <w:rsid w:val="00D84ECF"/>
    <w:rsid w:val="00D86F68"/>
    <w:rsid w:val="00D92F90"/>
    <w:rsid w:val="00D976E0"/>
    <w:rsid w:val="00DA2851"/>
    <w:rsid w:val="00DA2B7C"/>
    <w:rsid w:val="00DA5686"/>
    <w:rsid w:val="00DA7105"/>
    <w:rsid w:val="00DB1497"/>
    <w:rsid w:val="00DB2FC0"/>
    <w:rsid w:val="00DC16A3"/>
    <w:rsid w:val="00DF074F"/>
    <w:rsid w:val="00DF18FA"/>
    <w:rsid w:val="00DF49CA"/>
    <w:rsid w:val="00DF60E3"/>
    <w:rsid w:val="00DF775B"/>
    <w:rsid w:val="00E007F3"/>
    <w:rsid w:val="00E00DEA"/>
    <w:rsid w:val="00E03721"/>
    <w:rsid w:val="00E06EF0"/>
    <w:rsid w:val="00E11679"/>
    <w:rsid w:val="00E1638B"/>
    <w:rsid w:val="00E212C9"/>
    <w:rsid w:val="00E307D1"/>
    <w:rsid w:val="00E46A04"/>
    <w:rsid w:val="00E57D39"/>
    <w:rsid w:val="00E717F3"/>
    <w:rsid w:val="00E72172"/>
    <w:rsid w:val="00E72C5E"/>
    <w:rsid w:val="00E73451"/>
    <w:rsid w:val="00E7489F"/>
    <w:rsid w:val="00E75147"/>
    <w:rsid w:val="00E7701A"/>
    <w:rsid w:val="00E775CC"/>
    <w:rsid w:val="00E8167D"/>
    <w:rsid w:val="00E83A38"/>
    <w:rsid w:val="00E84ABB"/>
    <w:rsid w:val="00E907E9"/>
    <w:rsid w:val="00E96BE7"/>
    <w:rsid w:val="00EA2CD0"/>
    <w:rsid w:val="00EB3533"/>
    <w:rsid w:val="00EC0044"/>
    <w:rsid w:val="00EC6B9F"/>
    <w:rsid w:val="00ED7EC5"/>
    <w:rsid w:val="00EE516D"/>
    <w:rsid w:val="00EF4D1B"/>
    <w:rsid w:val="00EF7295"/>
    <w:rsid w:val="00F0273C"/>
    <w:rsid w:val="00F05A7B"/>
    <w:rsid w:val="00F069D1"/>
    <w:rsid w:val="00F06A27"/>
    <w:rsid w:val="00F1503D"/>
    <w:rsid w:val="00F22712"/>
    <w:rsid w:val="00F275F5"/>
    <w:rsid w:val="00F33188"/>
    <w:rsid w:val="00F35BDE"/>
    <w:rsid w:val="00F52A0E"/>
    <w:rsid w:val="00F71F63"/>
    <w:rsid w:val="00F87506"/>
    <w:rsid w:val="00F90BFF"/>
    <w:rsid w:val="00F92C41"/>
    <w:rsid w:val="00FA5522"/>
    <w:rsid w:val="00FA6E4A"/>
    <w:rsid w:val="00FB2B35"/>
    <w:rsid w:val="00FC4AE1"/>
    <w:rsid w:val="00FD22B8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,Table_G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rsid w:val="008120D4"/>
  </w:style>
  <w:style w:type="paragraph" w:styleId="Footer">
    <w:name w:val="footer"/>
    <w:aliases w:val="3_GR,3_G"/>
    <w:basedOn w:val="Normal"/>
    <w:link w:val="FooterChar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rsid w:val="00D84ECF"/>
  </w:style>
  <w:style w:type="paragraph" w:styleId="FootnoteText">
    <w:name w:val="footnote text"/>
    <w:aliases w:val="5_GR,5_G,Point 3 Char,Footnote text,Κείμενο υποσημείωσης Char,ESPON Footnote Text,Schriftart: 9 pt,Schriftart: 10 pt,Schriftart: 8 pt,Κείμενο υποσημείωσης-KATERINA,Char,Κείμενο υποσημείωσης-KATERINA Char,Κείμενο υποσημείωσης Char1 Char Ch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Footnote symbol,Footnote,Footnote reference number,note TESI,Footnote Reference Number,E FNZ,-E Fußnotenzeichen,Footnote#,Times 10 Point,Exposant 3 Point,Ref,de nota al pie,SUPERS,EN Footnote Reference,-E Fuίnotenzeichen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G">
    <w:name w:val="_ Single Txt_G"/>
    <w:basedOn w:val="Normal"/>
    <w:rsid w:val="00F0273C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MG">
    <w:name w:val="_ H __M_G"/>
    <w:basedOn w:val="Normal"/>
    <w:next w:val="Normal"/>
    <w:rsid w:val="00F0273C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paragraph" w:customStyle="1" w:styleId="HChG">
    <w:name w:val="_ H _Ch_G"/>
    <w:basedOn w:val="Normal"/>
    <w:next w:val="Normal"/>
    <w:rsid w:val="00F0273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MG">
    <w:name w:val="__S_M_G"/>
    <w:basedOn w:val="Normal"/>
    <w:next w:val="Normal"/>
    <w:rsid w:val="00F0273C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F0273C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F0273C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F0273C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F0273C"/>
    <w:pPr>
      <w:numPr>
        <w:numId w:val="31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Normal"/>
    <w:rsid w:val="00F0273C"/>
    <w:pPr>
      <w:numPr>
        <w:numId w:val="32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rsid w:val="00F0273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rsid w:val="00F0273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F0273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F0273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character" w:customStyle="1" w:styleId="FootnoteTextChar">
    <w:name w:val="Footnote Text Char"/>
    <w:aliases w:val="5_GR Char,5_G Char,Point 3 Char Char,Footnote text Char,Κείμενο υποσημείωσης Char Char,ESPON Footnote Text Char,Schriftart: 9 pt Char,Schriftart: 10 pt Char,Schriftart: 8 pt Char,Κείμενο υποσημείωσης-KATERINA Char1,Char Char"/>
    <w:link w:val="FootnoteText"/>
    <w:locked/>
    <w:rsid w:val="00F0273C"/>
    <w:rPr>
      <w:spacing w:val="5"/>
      <w:w w:val="104"/>
      <w:kern w:val="14"/>
      <w:sz w:val="18"/>
      <w:lang w:val="en-GB" w:eastAsia="ru-RU" w:bidi="ar-SA"/>
    </w:rPr>
  </w:style>
  <w:style w:type="numbering" w:customStyle="1" w:styleId="NoList1">
    <w:name w:val="No List1"/>
    <w:next w:val="NoList"/>
    <w:semiHidden/>
    <w:unhideWhenUsed/>
    <w:rsid w:val="00F0273C"/>
  </w:style>
  <w:style w:type="paragraph" w:styleId="BalloonText">
    <w:name w:val="Balloon Text"/>
    <w:basedOn w:val="Normal"/>
    <w:semiHidden/>
    <w:rsid w:val="00F0273C"/>
    <w:pPr>
      <w:suppressAutoHyphens/>
    </w:pPr>
    <w:rPr>
      <w:rFonts w:ascii="Tahoma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FooterChar">
    <w:name w:val="Footer Char"/>
    <w:aliases w:val="3_GR Char,3_G Char"/>
    <w:link w:val="Footer"/>
    <w:rsid w:val="00F0273C"/>
    <w:rPr>
      <w:sz w:val="16"/>
      <w:lang w:val="en-GB" w:eastAsia="ru-RU" w:bidi="ar-SA"/>
    </w:rPr>
  </w:style>
  <w:style w:type="numbering" w:customStyle="1" w:styleId="1">
    <w:name w:val="Нет списка1"/>
    <w:next w:val="NoList"/>
    <w:semiHidden/>
    <w:unhideWhenUsed/>
    <w:rsid w:val="00A74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nso.mn" TargetMode="External"/><Relationship Id="rId22" Type="http://schemas.openxmlformats.org/officeDocument/2006/relationships/image" Target="media/image15.emf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</Template>
  <TotalTime>2</TotalTime>
  <Pages>1</Pages>
  <Words>22774</Words>
  <Characters>150541</Characters>
  <Application>Microsoft Office Outlook</Application>
  <DocSecurity>4</DocSecurity>
  <Lines>3072</Lines>
  <Paragraphs>921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E/C.12/MNG/4</vt:lpstr>
    </vt:vector>
  </TitlesOfParts>
  <Manager>Contractuel/Dratchov</Manager>
  <Company>CSD</Company>
  <LinksUpToDate>false</LinksUpToDate>
  <CharactersWithSpaces>172394</CharactersWithSpaces>
  <SharedDoc>false</SharedDoc>
  <HLinks>
    <vt:vector size="6" baseType="variant">
      <vt:variant>
        <vt:i4>6815843</vt:i4>
      </vt:variant>
      <vt:variant>
        <vt:i4>25</vt:i4>
      </vt:variant>
      <vt:variant>
        <vt:i4>0</vt:i4>
      </vt:variant>
      <vt:variant>
        <vt:i4>5</vt:i4>
      </vt:variant>
      <vt:variant>
        <vt:lpwstr>http://www.nso.mn/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E/C.12/MNG/4</dc:title>
  <dc:subject>13-49275</dc:subject>
  <dc:creator>Ioulia Goussarova</dc:creator>
  <cp:keywords/>
  <dc:description/>
  <cp:lastModifiedBy>Ioulia Goussarova</cp:lastModifiedBy>
  <cp:revision>3</cp:revision>
  <cp:lastPrinted>2014-05-27T14:01:00Z</cp:lastPrinted>
  <dcterms:created xsi:type="dcterms:W3CDTF">2014-05-27T14:01:00Z</dcterms:created>
  <dcterms:modified xsi:type="dcterms:W3CDTF">2014-05-27T14:03:00Z</dcterms:modified>
</cp:coreProperties>
</file>