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1DCC3085" w14:textId="77777777" w:rsidTr="0002432E">
        <w:trPr>
          <w:trHeight w:hRule="exact" w:val="851"/>
        </w:trPr>
        <w:tc>
          <w:tcPr>
            <w:tcW w:w="1276" w:type="dxa"/>
            <w:tcBorders>
              <w:bottom w:val="single" w:sz="4" w:space="0" w:color="auto"/>
            </w:tcBorders>
          </w:tcPr>
          <w:p w14:paraId="62103359" w14:textId="77777777" w:rsidR="0080236C" w:rsidRPr="00DB58B5" w:rsidRDefault="0080236C" w:rsidP="007750B7"/>
        </w:tc>
        <w:tc>
          <w:tcPr>
            <w:tcW w:w="2268" w:type="dxa"/>
            <w:tcBorders>
              <w:bottom w:val="single" w:sz="4" w:space="0" w:color="auto"/>
            </w:tcBorders>
            <w:vAlign w:val="bottom"/>
          </w:tcPr>
          <w:p w14:paraId="228EBB38"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8B11DAC" w14:textId="70752BB9" w:rsidR="0080236C" w:rsidRPr="00DB58B5" w:rsidRDefault="007750B7" w:rsidP="007750B7">
            <w:pPr>
              <w:jc w:val="right"/>
            </w:pPr>
            <w:r w:rsidRPr="007750B7">
              <w:rPr>
                <w:sz w:val="40"/>
              </w:rPr>
              <w:t>E</w:t>
            </w:r>
            <w:r>
              <w:t>/C.12/MNG/5</w:t>
            </w:r>
          </w:p>
        </w:tc>
      </w:tr>
      <w:tr w:rsidR="0080236C" w:rsidRPr="00DB58B5" w14:paraId="30D333E2" w14:textId="77777777" w:rsidTr="0002432E">
        <w:trPr>
          <w:trHeight w:hRule="exact" w:val="2835"/>
        </w:trPr>
        <w:tc>
          <w:tcPr>
            <w:tcW w:w="1276" w:type="dxa"/>
            <w:tcBorders>
              <w:top w:val="single" w:sz="4" w:space="0" w:color="auto"/>
              <w:bottom w:val="single" w:sz="12" w:space="0" w:color="auto"/>
            </w:tcBorders>
          </w:tcPr>
          <w:p w14:paraId="3D6E1A69" w14:textId="77777777" w:rsidR="0080236C" w:rsidRPr="00DB58B5" w:rsidRDefault="0080236C" w:rsidP="0002432E">
            <w:pPr>
              <w:spacing w:before="120"/>
              <w:jc w:val="center"/>
            </w:pPr>
            <w:r>
              <w:rPr>
                <w:noProof/>
                <w:lang w:eastAsia="fr-CH"/>
              </w:rPr>
              <w:drawing>
                <wp:inline distT="0" distB="0" distL="0" distR="0" wp14:anchorId="3A3D902E" wp14:editId="66D106D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F7FB8C"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292EC24" w14:textId="77777777" w:rsidR="0080236C" w:rsidRDefault="007750B7" w:rsidP="0002432E">
            <w:pPr>
              <w:spacing w:before="240"/>
            </w:pPr>
            <w:proofErr w:type="spellStart"/>
            <w:r>
              <w:t>Distr</w:t>
            </w:r>
            <w:proofErr w:type="spellEnd"/>
            <w:r>
              <w:t>. générale</w:t>
            </w:r>
          </w:p>
          <w:p w14:paraId="602AB018" w14:textId="77777777" w:rsidR="007750B7" w:rsidRDefault="007750B7" w:rsidP="007750B7">
            <w:pPr>
              <w:spacing w:line="240" w:lineRule="exact"/>
            </w:pPr>
            <w:r>
              <w:t>21 mars 2022</w:t>
            </w:r>
          </w:p>
          <w:p w14:paraId="3E599968" w14:textId="77777777" w:rsidR="007750B7" w:rsidRDefault="007750B7" w:rsidP="007750B7">
            <w:pPr>
              <w:spacing w:line="240" w:lineRule="exact"/>
            </w:pPr>
            <w:r>
              <w:t>Français</w:t>
            </w:r>
          </w:p>
          <w:p w14:paraId="3FFD1CCD" w14:textId="77777777" w:rsidR="007750B7" w:rsidRDefault="007750B7" w:rsidP="007750B7">
            <w:pPr>
              <w:spacing w:line="240" w:lineRule="exact"/>
            </w:pPr>
            <w:r>
              <w:t>Original : anglais</w:t>
            </w:r>
          </w:p>
          <w:p w14:paraId="1B79F5B0" w14:textId="1017D699" w:rsidR="007750B7" w:rsidRPr="00DB58B5" w:rsidRDefault="007750B7" w:rsidP="007750B7">
            <w:pPr>
              <w:spacing w:line="240" w:lineRule="exact"/>
            </w:pPr>
            <w:r>
              <w:t>Anglais, espagnol et français seulement</w:t>
            </w:r>
          </w:p>
        </w:tc>
      </w:tr>
    </w:tbl>
    <w:p w14:paraId="2677D0DD" w14:textId="77777777" w:rsidR="007750B7" w:rsidRPr="00E4666C" w:rsidRDefault="007750B7" w:rsidP="00CF56FB">
      <w:pPr>
        <w:spacing w:before="120"/>
        <w:rPr>
          <w:b/>
          <w:sz w:val="24"/>
          <w:szCs w:val="24"/>
        </w:rPr>
      </w:pPr>
      <w:r w:rsidRPr="00E4666C">
        <w:rPr>
          <w:b/>
          <w:sz w:val="24"/>
          <w:szCs w:val="24"/>
        </w:rPr>
        <w:t>Comité des droits économiques, sociaux et culturels</w:t>
      </w:r>
    </w:p>
    <w:p w14:paraId="3D02FDCA" w14:textId="62CC4217" w:rsidR="00560776" w:rsidRPr="008D553A" w:rsidRDefault="005563F7" w:rsidP="005563F7">
      <w:pPr>
        <w:pStyle w:val="HMG"/>
        <w:rPr>
          <w:bCs/>
          <w:lang w:val="fr-FR"/>
        </w:rPr>
      </w:pPr>
      <w:r>
        <w:rPr>
          <w:lang w:val="fr-FR"/>
        </w:rPr>
        <w:tab/>
      </w:r>
      <w:r>
        <w:rPr>
          <w:lang w:val="fr-FR"/>
        </w:rPr>
        <w:tab/>
      </w:r>
      <w:r w:rsidR="00560776">
        <w:rPr>
          <w:lang w:val="fr-FR"/>
        </w:rPr>
        <w:t>Cinquième rapport périodique soumis par la</w:t>
      </w:r>
      <w:r w:rsidR="00E544FF">
        <w:rPr>
          <w:lang w:val="fr-FR"/>
        </w:rPr>
        <w:t> </w:t>
      </w:r>
      <w:r w:rsidR="00560776">
        <w:rPr>
          <w:lang w:val="fr-FR"/>
        </w:rPr>
        <w:t>Mongolie en application des articles 16 et 17 du</w:t>
      </w:r>
      <w:r>
        <w:rPr>
          <w:lang w:val="fr-FR"/>
        </w:rPr>
        <w:t> </w:t>
      </w:r>
      <w:r w:rsidR="00560776">
        <w:rPr>
          <w:lang w:val="fr-FR"/>
        </w:rPr>
        <w:t>Pacte, attendu en 2020</w:t>
      </w:r>
      <w:r w:rsidRPr="005563F7">
        <w:rPr>
          <w:rStyle w:val="Appelnotedebasdep"/>
          <w:b w:val="0"/>
          <w:bCs/>
          <w:sz w:val="20"/>
          <w:vertAlign w:val="baseline"/>
        </w:rPr>
        <w:footnoteReference w:customMarkFollows="1" w:id="2"/>
        <w:t>*</w:t>
      </w:r>
      <w:r w:rsidR="00560776" w:rsidRPr="005563F7">
        <w:rPr>
          <w:b w:val="0"/>
          <w:sz w:val="20"/>
          <w:vertAlign w:val="superscript"/>
          <w:lang w:val="fr-FR"/>
        </w:rPr>
        <w:t>,</w:t>
      </w:r>
      <w:r w:rsidR="00560776" w:rsidRPr="005563F7">
        <w:rPr>
          <w:rStyle w:val="Appelnotedebasdep"/>
          <w:sz w:val="20"/>
          <w:vertAlign w:val="baseline"/>
        </w:rPr>
        <w:t xml:space="preserve"> </w:t>
      </w:r>
      <w:r w:rsidRPr="005563F7">
        <w:rPr>
          <w:rStyle w:val="Appelnotedebasdep"/>
          <w:b w:val="0"/>
          <w:sz w:val="20"/>
          <w:vertAlign w:val="baseline"/>
        </w:rPr>
        <w:footnoteReference w:customMarkFollows="1" w:id="3"/>
        <w:t>**</w:t>
      </w:r>
    </w:p>
    <w:p w14:paraId="67F1583D" w14:textId="0949B3AB" w:rsidR="00446FE5" w:rsidRDefault="00560776" w:rsidP="005563F7">
      <w:pPr>
        <w:pStyle w:val="SingleTxtG"/>
        <w:jc w:val="right"/>
        <w:rPr>
          <w:lang w:val="fr-FR"/>
        </w:rPr>
      </w:pPr>
      <w:r>
        <w:rPr>
          <w:lang w:val="fr-FR"/>
        </w:rPr>
        <w:t>[Date de réception</w:t>
      </w:r>
      <w:r w:rsidR="005563F7">
        <w:rPr>
          <w:lang w:val="fr-FR"/>
        </w:rPr>
        <w:t> </w:t>
      </w:r>
      <w:r>
        <w:rPr>
          <w:lang w:val="fr-FR"/>
        </w:rPr>
        <w:t>: 9 juillet 2021]</w:t>
      </w:r>
    </w:p>
    <w:p w14:paraId="66780AE4" w14:textId="0306D6AC" w:rsidR="00560776" w:rsidRDefault="00560776" w:rsidP="00560776">
      <w:pPr>
        <w:rPr>
          <w:lang w:val="fr-FR"/>
        </w:rPr>
      </w:pPr>
      <w:r>
        <w:rPr>
          <w:lang w:val="fr-FR"/>
        </w:rPr>
        <w:br w:type="page"/>
      </w:r>
    </w:p>
    <w:p w14:paraId="33285EB4" w14:textId="77777777" w:rsidR="00560776" w:rsidRPr="008D553A" w:rsidRDefault="00560776" w:rsidP="00560776">
      <w:pPr>
        <w:pStyle w:val="SingleTxtG"/>
        <w:rPr>
          <w:lang w:val="fr-FR"/>
        </w:rPr>
      </w:pPr>
      <w:r>
        <w:rPr>
          <w:lang w:val="fr-FR"/>
        </w:rPr>
        <w:lastRenderedPageBreak/>
        <w:t>1.</w:t>
      </w:r>
      <w:r>
        <w:rPr>
          <w:lang w:val="fr-FR"/>
        </w:rPr>
        <w:tab/>
        <w:t>En réponse à la liste de points (E/C.12/MNG/QPR/5) du 25 octobre 2019, la Mongolie communique les informations suivantes.</w:t>
      </w:r>
    </w:p>
    <w:p w14:paraId="2EC5FBA1" w14:textId="77777777" w:rsidR="00560776" w:rsidRPr="008D553A" w:rsidRDefault="00560776" w:rsidP="005563F7">
      <w:pPr>
        <w:pStyle w:val="H1G"/>
        <w:rPr>
          <w:lang w:val="fr-FR"/>
        </w:rPr>
      </w:pPr>
      <w:r>
        <w:rPr>
          <w:lang w:val="fr-FR"/>
        </w:rPr>
        <w:tab/>
      </w:r>
      <w:r>
        <w:rPr>
          <w:lang w:val="fr-FR"/>
        </w:rPr>
        <w:tab/>
        <w:t>Paragraphe 2 a) de la liste de points (E/C.12/MNG/QPR/5)</w:t>
      </w:r>
    </w:p>
    <w:p w14:paraId="7C5319F7" w14:textId="37FF6D1F" w:rsidR="00560776" w:rsidRPr="008D553A" w:rsidRDefault="00560776" w:rsidP="00560776">
      <w:pPr>
        <w:pStyle w:val="SingleTxtG"/>
        <w:rPr>
          <w:lang w:val="fr-FR"/>
        </w:rPr>
      </w:pPr>
      <w:r>
        <w:rPr>
          <w:lang w:val="fr-FR"/>
        </w:rPr>
        <w:t>2.</w:t>
      </w:r>
      <w:r>
        <w:rPr>
          <w:lang w:val="fr-FR"/>
        </w:rPr>
        <w:tab/>
        <w:t>Afin d</w:t>
      </w:r>
      <w:r w:rsidR="009C7759">
        <w:rPr>
          <w:lang w:val="fr-FR"/>
        </w:rPr>
        <w:t>’</w:t>
      </w:r>
      <w:r>
        <w:rPr>
          <w:lang w:val="fr-FR"/>
        </w:rPr>
        <w:t>assurer à ses citoyens un emploi et un revenu et de garantir des rémunérations et salaires équitables correspondant à la qualité du travail effectué, la Mongolie a pris des mesures visant à relever le salaire minimum, à augmenter les salaires des fonctionnaires et à établir un système de rémunération des médecins et des enseignants fondé sur leur charge de travail, leurs compétences et responsabilités professionnelles et la qualité de leur travail.</w:t>
      </w:r>
    </w:p>
    <w:p w14:paraId="1B1807B4" w14:textId="77777777" w:rsidR="00560776" w:rsidRPr="008D553A" w:rsidRDefault="00560776" w:rsidP="00560776">
      <w:pPr>
        <w:pStyle w:val="SingleTxtG"/>
        <w:rPr>
          <w:lang w:val="fr-FR"/>
        </w:rPr>
      </w:pPr>
      <w:r>
        <w:rPr>
          <w:lang w:val="fr-FR"/>
        </w:rPr>
        <w:t>3.</w:t>
      </w:r>
      <w:r>
        <w:rPr>
          <w:lang w:val="fr-FR"/>
        </w:rPr>
        <w:tab/>
        <w:t>Les mesures suivantes ont été prises en application de la loi révisée sur la fonction publique, adoptée en 2017 :</w:t>
      </w:r>
    </w:p>
    <w:p w14:paraId="03EC3852" w14:textId="65043DDA" w:rsidR="00560776" w:rsidRPr="008D553A" w:rsidRDefault="00560776" w:rsidP="005563F7">
      <w:pPr>
        <w:pStyle w:val="Bullet1G"/>
        <w:rPr>
          <w:lang w:val="fr-FR"/>
        </w:rPr>
      </w:pPr>
      <w:r>
        <w:rPr>
          <w:lang w:val="fr-FR"/>
        </w:rPr>
        <w:t>L</w:t>
      </w:r>
      <w:r w:rsidR="009C7759">
        <w:rPr>
          <w:lang w:val="fr-FR"/>
        </w:rPr>
        <w:t>’</w:t>
      </w:r>
      <w:r>
        <w:rPr>
          <w:lang w:val="fr-FR"/>
        </w:rPr>
        <w:t>octroi d</w:t>
      </w:r>
      <w:r w:rsidR="009C7759">
        <w:rPr>
          <w:lang w:val="fr-FR"/>
        </w:rPr>
        <w:t>’</w:t>
      </w:r>
      <w:r>
        <w:rPr>
          <w:lang w:val="fr-FR"/>
        </w:rPr>
        <w:t>une rémunération égale pour un travail de valeur égale grâce à la réalisation d</w:t>
      </w:r>
      <w:r w:rsidR="009C7759">
        <w:rPr>
          <w:lang w:val="fr-FR"/>
        </w:rPr>
        <w:t>’</w:t>
      </w:r>
      <w:r>
        <w:rPr>
          <w:lang w:val="fr-FR"/>
        </w:rPr>
        <w:t>une analyse du lieu de travail lors de l</w:t>
      </w:r>
      <w:r w:rsidR="009C7759">
        <w:rPr>
          <w:lang w:val="fr-FR"/>
        </w:rPr>
        <w:t>’</w:t>
      </w:r>
      <w:r>
        <w:rPr>
          <w:lang w:val="fr-FR"/>
        </w:rPr>
        <w:t>établissement du montant d</w:t>
      </w:r>
      <w:r w:rsidR="009C7759">
        <w:rPr>
          <w:lang w:val="fr-FR"/>
        </w:rPr>
        <w:t>’</w:t>
      </w:r>
      <w:r>
        <w:rPr>
          <w:lang w:val="fr-FR"/>
        </w:rPr>
        <w:t xml:space="preserve">un salaire ; </w:t>
      </w:r>
    </w:p>
    <w:p w14:paraId="1839508C" w14:textId="355B4B46" w:rsidR="00560776" w:rsidRPr="008D553A" w:rsidRDefault="00560776" w:rsidP="005563F7">
      <w:pPr>
        <w:pStyle w:val="Bullet1G"/>
        <w:rPr>
          <w:lang w:val="fr-FR"/>
        </w:rPr>
      </w:pPr>
      <w:r>
        <w:rPr>
          <w:lang w:val="fr-FR"/>
        </w:rPr>
        <w:t>L</w:t>
      </w:r>
      <w:r w:rsidR="009C7759">
        <w:rPr>
          <w:lang w:val="fr-FR"/>
        </w:rPr>
        <w:t>’</w:t>
      </w:r>
      <w:r>
        <w:rPr>
          <w:lang w:val="fr-FR"/>
        </w:rPr>
        <w:t xml:space="preserve">analyse de la répartition des tâches entre les postes disponibles ; </w:t>
      </w:r>
    </w:p>
    <w:p w14:paraId="69D3CB85" w14:textId="4B66616D" w:rsidR="00560776" w:rsidRPr="008D553A" w:rsidRDefault="00560776" w:rsidP="005563F7">
      <w:pPr>
        <w:pStyle w:val="Bullet1G"/>
        <w:rPr>
          <w:lang w:val="fr-FR"/>
        </w:rPr>
      </w:pPr>
      <w:r>
        <w:rPr>
          <w:lang w:val="fr-FR"/>
        </w:rPr>
        <w:t xml:space="preserve">La refonte de la classification et des grades des postes de la fonction publique ; </w:t>
      </w:r>
    </w:p>
    <w:p w14:paraId="7D33A426" w14:textId="31FCD439" w:rsidR="00560776" w:rsidRPr="008D553A" w:rsidRDefault="00560776" w:rsidP="005563F7">
      <w:pPr>
        <w:pStyle w:val="Bullet1G"/>
        <w:rPr>
          <w:lang w:val="fr-FR"/>
        </w:rPr>
      </w:pPr>
      <w:r>
        <w:rPr>
          <w:lang w:val="fr-FR"/>
        </w:rPr>
        <w:t xml:space="preserve">La révision et la rédaction de nouvelles dispositions réglementaires sur les majorations de salaire et la rémunération supplémentaire à verser aux fonctionnaires ; </w:t>
      </w:r>
    </w:p>
    <w:p w14:paraId="412D4927" w14:textId="5D2BD123" w:rsidR="00560776" w:rsidRPr="008D553A" w:rsidRDefault="00560776" w:rsidP="005563F7">
      <w:pPr>
        <w:pStyle w:val="Bullet1G"/>
        <w:rPr>
          <w:lang w:val="fr-FR"/>
        </w:rPr>
      </w:pPr>
      <w:r>
        <w:rPr>
          <w:lang w:val="fr-FR"/>
        </w:rPr>
        <w:t>L</w:t>
      </w:r>
      <w:r w:rsidR="009C7759">
        <w:rPr>
          <w:lang w:val="fr-FR"/>
        </w:rPr>
        <w:t>’</w:t>
      </w:r>
      <w:r>
        <w:rPr>
          <w:lang w:val="fr-FR"/>
        </w:rPr>
        <w:t>octroi aux fonctionnaires occupant des postes du secteur des services, à compter de 2020, de primes d</w:t>
      </w:r>
      <w:r w:rsidR="009C7759">
        <w:rPr>
          <w:lang w:val="fr-FR"/>
        </w:rPr>
        <w:t>’</w:t>
      </w:r>
      <w:r>
        <w:rPr>
          <w:lang w:val="fr-FR"/>
        </w:rPr>
        <w:t>ancienneté visant à assurer à ces fonctionnaires et à ceux qui occupent des postes administratifs des conditions non discriminatoires et égales en matière de rémunération et d</w:t>
      </w:r>
      <w:r w:rsidR="009C7759">
        <w:rPr>
          <w:lang w:val="fr-FR"/>
        </w:rPr>
        <w:t>’</w:t>
      </w:r>
      <w:r>
        <w:rPr>
          <w:lang w:val="fr-FR"/>
        </w:rPr>
        <w:t>aide supplémentaires.</w:t>
      </w:r>
    </w:p>
    <w:p w14:paraId="015C470C" w14:textId="7BA605AF" w:rsidR="00560776" w:rsidRPr="008D553A" w:rsidRDefault="00560776" w:rsidP="00560776">
      <w:pPr>
        <w:pStyle w:val="SingleTxtG"/>
        <w:rPr>
          <w:lang w:val="fr-FR"/>
        </w:rPr>
      </w:pPr>
      <w:r>
        <w:rPr>
          <w:lang w:val="fr-FR"/>
        </w:rPr>
        <w:t>4.</w:t>
      </w:r>
      <w:r>
        <w:rPr>
          <w:lang w:val="fr-FR"/>
        </w:rPr>
        <w:tab/>
        <w:t>Dans le cadre de la mise en place d</w:t>
      </w:r>
      <w:r w:rsidR="009C7759">
        <w:rPr>
          <w:lang w:val="fr-FR"/>
        </w:rPr>
        <w:t>’</w:t>
      </w:r>
      <w:r>
        <w:rPr>
          <w:lang w:val="fr-FR"/>
        </w:rPr>
        <w:t>un régime de salaires et de rémunérations adéquat des enseignants et des médecins et autres membres du personnel médical, fondé sur la charge de travail, les compétences professionnelles, la qualité du travail effectué et l</w:t>
      </w:r>
      <w:r w:rsidR="009C7759">
        <w:rPr>
          <w:lang w:val="fr-FR"/>
        </w:rPr>
        <w:t>’</w:t>
      </w:r>
      <w:r>
        <w:rPr>
          <w:lang w:val="fr-FR"/>
        </w:rPr>
        <w:t>ancienneté, des évaluations des lieux de travail ont été menées, les niveaux de salaire ont été révisés à la hausse et les salaires de base ont été augmentés dans les lieux de travail suivants</w:t>
      </w:r>
      <w:r w:rsidR="00255530">
        <w:rPr>
          <w:lang w:val="fr-FR"/>
        </w:rPr>
        <w:t> </w:t>
      </w:r>
      <w:r>
        <w:rPr>
          <w:lang w:val="fr-FR"/>
        </w:rPr>
        <w:t>:</w:t>
      </w:r>
    </w:p>
    <w:p w14:paraId="4C1E3DB9" w14:textId="72571D58" w:rsidR="00560776" w:rsidRPr="008D553A" w:rsidRDefault="00560776" w:rsidP="005563F7">
      <w:pPr>
        <w:pStyle w:val="Bullet1G"/>
        <w:rPr>
          <w:lang w:val="fr-FR"/>
        </w:rPr>
      </w:pPr>
      <w:r>
        <w:rPr>
          <w:lang w:val="fr-FR"/>
        </w:rPr>
        <w:t>Les établissements médicaux publics ;</w:t>
      </w:r>
    </w:p>
    <w:p w14:paraId="3F32BC0C" w14:textId="1DD38CEB" w:rsidR="00560776" w:rsidRPr="008D553A" w:rsidRDefault="00560776" w:rsidP="005563F7">
      <w:pPr>
        <w:pStyle w:val="Bullet1G"/>
        <w:rPr>
          <w:lang w:val="fr-FR"/>
        </w:rPr>
      </w:pPr>
      <w:r>
        <w:rPr>
          <w:lang w:val="fr-FR"/>
        </w:rPr>
        <w:t>Les écoles maternelles et les établissements scolaires d</w:t>
      </w:r>
      <w:r w:rsidR="009C7759">
        <w:rPr>
          <w:lang w:val="fr-FR"/>
        </w:rPr>
        <w:t>’</w:t>
      </w:r>
      <w:r>
        <w:rPr>
          <w:lang w:val="fr-FR"/>
        </w:rPr>
        <w:t>enseignement général ;</w:t>
      </w:r>
    </w:p>
    <w:p w14:paraId="1864F57F" w14:textId="1FA027F4" w:rsidR="00560776" w:rsidRPr="008D553A" w:rsidRDefault="00560776" w:rsidP="005563F7">
      <w:pPr>
        <w:pStyle w:val="Bullet1G"/>
        <w:rPr>
          <w:lang w:val="fr-FR"/>
        </w:rPr>
      </w:pPr>
      <w:r>
        <w:rPr>
          <w:lang w:val="fr-FR"/>
        </w:rPr>
        <w:t>Les centres et écoles publics de formation professionnelle et de production.</w:t>
      </w:r>
    </w:p>
    <w:p w14:paraId="742ADA82" w14:textId="44421742" w:rsidR="00560776" w:rsidRPr="008D553A" w:rsidRDefault="00560776" w:rsidP="00560776">
      <w:pPr>
        <w:pStyle w:val="SingleTxtG"/>
        <w:rPr>
          <w:lang w:val="fr-FR"/>
        </w:rPr>
      </w:pPr>
      <w:r>
        <w:rPr>
          <w:lang w:val="fr-FR"/>
        </w:rPr>
        <w:t>5.</w:t>
      </w:r>
      <w:r>
        <w:rPr>
          <w:lang w:val="fr-FR"/>
        </w:rPr>
        <w:tab/>
        <w:t>En 2019, la révision à la hausse des grades des postes d</w:t>
      </w:r>
      <w:r w:rsidR="009C7759">
        <w:rPr>
          <w:lang w:val="fr-FR"/>
        </w:rPr>
        <w:t>’</w:t>
      </w:r>
      <w:r>
        <w:rPr>
          <w:lang w:val="fr-FR"/>
        </w:rPr>
        <w:t>assistant dans les domaines scientifique, culturel et artistique ainsi que dans d</w:t>
      </w:r>
      <w:r w:rsidR="009C7759">
        <w:rPr>
          <w:lang w:val="fr-FR"/>
        </w:rPr>
        <w:t>’</w:t>
      </w:r>
      <w:r>
        <w:rPr>
          <w:lang w:val="fr-FR"/>
        </w:rPr>
        <w:t>autres secteurs de la fonction publique a entraîné l</w:t>
      </w:r>
      <w:r w:rsidR="009C7759">
        <w:rPr>
          <w:lang w:val="fr-FR"/>
        </w:rPr>
        <w:t>’</w:t>
      </w:r>
      <w:r>
        <w:rPr>
          <w:lang w:val="fr-FR"/>
        </w:rPr>
        <w:t>augmentation des salaires de base. Le barème des salaires et le salaire minimum de 173</w:t>
      </w:r>
      <w:r w:rsidR="009C7759">
        <w:rPr>
          <w:lang w:val="fr-FR"/>
        </w:rPr>
        <w:t> </w:t>
      </w:r>
      <w:r>
        <w:rPr>
          <w:lang w:val="fr-FR"/>
        </w:rPr>
        <w:t>100</w:t>
      </w:r>
      <w:r w:rsidR="009C7759">
        <w:rPr>
          <w:lang w:val="fr-FR"/>
        </w:rPr>
        <w:t> </w:t>
      </w:r>
      <w:r>
        <w:rPr>
          <w:lang w:val="fr-FR"/>
        </w:rPr>
        <w:t>fonctionnaires dont le salaire de base était inférieur ou égal à celui des enseignants et des médecins ont ainsi été augmentés de 8</w:t>
      </w:r>
      <w:r w:rsidR="00776979">
        <w:rPr>
          <w:lang w:val="fr-FR"/>
        </w:rPr>
        <w:t> </w:t>
      </w:r>
      <w:r>
        <w:rPr>
          <w:lang w:val="fr-FR"/>
        </w:rPr>
        <w:t>% à compter du 1</w:t>
      </w:r>
      <w:r w:rsidRPr="00776979">
        <w:rPr>
          <w:vertAlign w:val="superscript"/>
          <w:lang w:val="fr-FR"/>
        </w:rPr>
        <w:t>er</w:t>
      </w:r>
      <w:r w:rsidR="00776979">
        <w:rPr>
          <w:lang w:val="fr-FR"/>
        </w:rPr>
        <w:t> </w:t>
      </w:r>
      <w:r>
        <w:rPr>
          <w:lang w:val="fr-FR"/>
        </w:rPr>
        <w:t>septembre 2018 ; les salaires du personnel infirmier, des enseignants d</w:t>
      </w:r>
      <w:r w:rsidR="009C7759">
        <w:rPr>
          <w:lang w:val="fr-FR"/>
        </w:rPr>
        <w:t>’</w:t>
      </w:r>
      <w:r>
        <w:rPr>
          <w:lang w:val="fr-FR"/>
        </w:rPr>
        <w:t xml:space="preserve">école maternelle et du primaire ainsi que des travailleurs occupant des postes du secteur des services dans le domaine artistique ont été révisés et les grades des postes </w:t>
      </w:r>
      <w:proofErr w:type="spellStart"/>
      <w:r>
        <w:rPr>
          <w:lang w:val="fr-FR"/>
        </w:rPr>
        <w:t>revalisorisés</w:t>
      </w:r>
      <w:proofErr w:type="spellEnd"/>
      <w:r>
        <w:rPr>
          <w:lang w:val="fr-FR"/>
        </w:rPr>
        <w:t>, ce qui a entraîné une hausse de ces salaires de 12,3 à 32,0</w:t>
      </w:r>
      <w:r w:rsidR="009C7759">
        <w:rPr>
          <w:lang w:val="fr-FR"/>
        </w:rPr>
        <w:t> </w:t>
      </w:r>
      <w:r>
        <w:rPr>
          <w:lang w:val="fr-FR"/>
        </w:rPr>
        <w:t>% en 2018. Le barème et le montant des salaires des 173</w:t>
      </w:r>
      <w:r w:rsidR="009C7759">
        <w:rPr>
          <w:lang w:val="fr-FR"/>
        </w:rPr>
        <w:t> </w:t>
      </w:r>
      <w:r>
        <w:rPr>
          <w:lang w:val="fr-FR"/>
        </w:rPr>
        <w:t>100</w:t>
      </w:r>
      <w:r w:rsidR="009C7759">
        <w:rPr>
          <w:lang w:val="fr-FR"/>
        </w:rPr>
        <w:t> </w:t>
      </w:r>
      <w:r>
        <w:rPr>
          <w:lang w:val="fr-FR"/>
        </w:rPr>
        <w:t>fonctionnaires susmentionnés ont de nouveau été augmentés de 8</w:t>
      </w:r>
      <w:r w:rsidR="00776979">
        <w:rPr>
          <w:lang w:val="fr-FR"/>
        </w:rPr>
        <w:t> </w:t>
      </w:r>
      <w:r>
        <w:rPr>
          <w:lang w:val="fr-FR"/>
        </w:rPr>
        <w:t>% à compter du 1</w:t>
      </w:r>
      <w:r w:rsidRPr="00776979">
        <w:rPr>
          <w:vertAlign w:val="superscript"/>
          <w:lang w:val="fr-FR"/>
        </w:rPr>
        <w:t>er</w:t>
      </w:r>
      <w:r w:rsidR="00776979">
        <w:rPr>
          <w:lang w:val="fr-FR"/>
        </w:rPr>
        <w:t> </w:t>
      </w:r>
      <w:r>
        <w:rPr>
          <w:lang w:val="fr-FR"/>
        </w:rPr>
        <w:t>janvier 2019 et les salaires de base de 17</w:t>
      </w:r>
      <w:r w:rsidR="00776979">
        <w:rPr>
          <w:lang w:val="fr-FR"/>
        </w:rPr>
        <w:t> </w:t>
      </w:r>
      <w:r>
        <w:rPr>
          <w:lang w:val="fr-FR"/>
        </w:rPr>
        <w:t>200</w:t>
      </w:r>
      <w:r w:rsidR="00776979">
        <w:rPr>
          <w:lang w:val="fr-FR"/>
        </w:rPr>
        <w:t> </w:t>
      </w:r>
      <w:r>
        <w:rPr>
          <w:lang w:val="fr-FR"/>
        </w:rPr>
        <w:t>travailleurs qui n</w:t>
      </w:r>
      <w:r w:rsidR="009C7759">
        <w:rPr>
          <w:lang w:val="fr-FR"/>
        </w:rPr>
        <w:t>’</w:t>
      </w:r>
      <w:r>
        <w:rPr>
          <w:lang w:val="fr-FR"/>
        </w:rPr>
        <w:t>avaient pas bénéficié de hausse de salaire en septembre 2018 ont été relevés de 16,6</w:t>
      </w:r>
      <w:r w:rsidR="00776979">
        <w:rPr>
          <w:lang w:val="fr-FR"/>
        </w:rPr>
        <w:t> </w:t>
      </w:r>
      <w:r>
        <w:rPr>
          <w:lang w:val="fr-FR"/>
        </w:rPr>
        <w:t>%. Les salaires des médecins et des enseignants ont été augmentés de 20</w:t>
      </w:r>
      <w:r w:rsidR="00776979">
        <w:rPr>
          <w:lang w:val="fr-FR"/>
        </w:rPr>
        <w:t> </w:t>
      </w:r>
      <w:r>
        <w:rPr>
          <w:lang w:val="fr-FR"/>
        </w:rPr>
        <w:t>% en moyenne grâce à la refonte de la classification des postes du secteur des services dans les domaines de la santé et de l</w:t>
      </w:r>
      <w:r w:rsidR="009C7759">
        <w:rPr>
          <w:lang w:val="fr-FR"/>
        </w:rPr>
        <w:t>’</w:t>
      </w:r>
      <w:r>
        <w:rPr>
          <w:lang w:val="fr-FR"/>
        </w:rPr>
        <w:t>éducation. Il a été décidé d</w:t>
      </w:r>
      <w:r w:rsidR="009C7759">
        <w:rPr>
          <w:lang w:val="fr-FR"/>
        </w:rPr>
        <w:t>’</w:t>
      </w:r>
      <w:r>
        <w:rPr>
          <w:lang w:val="fr-FR"/>
        </w:rPr>
        <w:t>allouer 159,8</w:t>
      </w:r>
      <w:r w:rsidR="0094288E">
        <w:rPr>
          <w:lang w:val="fr-FR"/>
        </w:rPr>
        <w:t> </w:t>
      </w:r>
      <w:r>
        <w:rPr>
          <w:lang w:val="fr-FR"/>
        </w:rPr>
        <w:t xml:space="preserve">milliards de </w:t>
      </w:r>
      <w:proofErr w:type="spellStart"/>
      <w:r>
        <w:rPr>
          <w:lang w:val="fr-FR"/>
        </w:rPr>
        <w:t>togrogs</w:t>
      </w:r>
      <w:proofErr w:type="spellEnd"/>
      <w:r>
        <w:rPr>
          <w:lang w:val="fr-FR"/>
        </w:rPr>
        <w:t xml:space="preserve"> à l</w:t>
      </w:r>
      <w:r w:rsidR="009C7759">
        <w:rPr>
          <w:lang w:val="fr-FR"/>
        </w:rPr>
        <w:t>’</w:t>
      </w:r>
      <w:r>
        <w:rPr>
          <w:lang w:val="fr-FR"/>
        </w:rPr>
        <w:t>augmentation de 8</w:t>
      </w:r>
      <w:r w:rsidR="0094288E">
        <w:rPr>
          <w:lang w:val="fr-FR"/>
        </w:rPr>
        <w:t> </w:t>
      </w:r>
      <w:r>
        <w:rPr>
          <w:lang w:val="fr-FR"/>
        </w:rPr>
        <w:t>% du barème et du montant des salaires des fonctionnaires à compter du 1</w:t>
      </w:r>
      <w:r w:rsidRPr="0094288E">
        <w:rPr>
          <w:vertAlign w:val="superscript"/>
          <w:lang w:val="fr-FR"/>
        </w:rPr>
        <w:t>er</w:t>
      </w:r>
      <w:r w:rsidR="0094288E">
        <w:rPr>
          <w:lang w:val="fr-FR"/>
        </w:rPr>
        <w:t> </w:t>
      </w:r>
      <w:r>
        <w:rPr>
          <w:lang w:val="fr-FR"/>
        </w:rPr>
        <w:t>janvier 2020 et 302,5</w:t>
      </w:r>
      <w:r w:rsidR="0094288E">
        <w:rPr>
          <w:lang w:val="fr-FR"/>
        </w:rPr>
        <w:t> </w:t>
      </w:r>
      <w:r>
        <w:rPr>
          <w:lang w:val="fr-FR"/>
        </w:rPr>
        <w:t>milliards au versement de primes d</w:t>
      </w:r>
      <w:r w:rsidR="009C7759">
        <w:rPr>
          <w:lang w:val="fr-FR"/>
        </w:rPr>
        <w:t>’</w:t>
      </w:r>
      <w:r>
        <w:rPr>
          <w:lang w:val="fr-FR"/>
        </w:rPr>
        <w:t xml:space="preserve">ancienneté aux travailleurs occupant des postes du secteur des services. </w:t>
      </w:r>
    </w:p>
    <w:p w14:paraId="2B0D911C" w14:textId="41536543" w:rsidR="00560776" w:rsidRPr="008D553A" w:rsidRDefault="00560776" w:rsidP="00560776">
      <w:pPr>
        <w:pStyle w:val="SingleTxtG"/>
        <w:rPr>
          <w:lang w:val="fr-FR"/>
        </w:rPr>
      </w:pPr>
      <w:r>
        <w:rPr>
          <w:lang w:val="fr-FR"/>
        </w:rPr>
        <w:t>6.</w:t>
      </w:r>
      <w:r>
        <w:rPr>
          <w:lang w:val="fr-FR"/>
        </w:rPr>
        <w:tab/>
        <w:t>Depuis 2016, l</w:t>
      </w:r>
      <w:r w:rsidR="009C7759">
        <w:rPr>
          <w:lang w:val="fr-FR"/>
        </w:rPr>
        <w:t>’</w:t>
      </w:r>
      <w:r>
        <w:rPr>
          <w:lang w:val="fr-FR"/>
        </w:rPr>
        <w:t>État a augmenté les salaires des enseignants de 45 à 58</w:t>
      </w:r>
      <w:r w:rsidR="009C7759">
        <w:rPr>
          <w:lang w:val="fr-FR"/>
        </w:rPr>
        <w:t> </w:t>
      </w:r>
      <w:r>
        <w:rPr>
          <w:lang w:val="fr-FR"/>
        </w:rPr>
        <w:t>%, ceux des médecins et du personnel infirmier de 66 à 76</w:t>
      </w:r>
      <w:r w:rsidR="0094288E">
        <w:rPr>
          <w:lang w:val="fr-FR"/>
        </w:rPr>
        <w:t> </w:t>
      </w:r>
      <w:r>
        <w:rPr>
          <w:lang w:val="fr-FR"/>
        </w:rPr>
        <w:t>%, ceux du personnel de la culture et des arts de 38 à 48</w:t>
      </w:r>
      <w:r w:rsidR="009C7759">
        <w:rPr>
          <w:lang w:val="fr-FR"/>
        </w:rPr>
        <w:t> </w:t>
      </w:r>
      <w:r>
        <w:rPr>
          <w:lang w:val="fr-FR"/>
        </w:rPr>
        <w:t>%, ceux du personnel du secteur scientifique de 30 à 42</w:t>
      </w:r>
      <w:r w:rsidR="0094288E">
        <w:rPr>
          <w:lang w:val="fr-FR"/>
        </w:rPr>
        <w:t> </w:t>
      </w:r>
      <w:r>
        <w:rPr>
          <w:lang w:val="fr-FR"/>
        </w:rPr>
        <w:t>% et ceux des fonctionnaires des autres secteurs de 26 à 36</w:t>
      </w:r>
      <w:r w:rsidR="0094288E">
        <w:rPr>
          <w:lang w:val="fr-FR"/>
        </w:rPr>
        <w:t> </w:t>
      </w:r>
      <w:r>
        <w:rPr>
          <w:lang w:val="fr-FR"/>
        </w:rPr>
        <w:t>%. L</w:t>
      </w:r>
      <w:r w:rsidR="009C7759">
        <w:rPr>
          <w:lang w:val="fr-FR"/>
        </w:rPr>
        <w:t>’</w:t>
      </w:r>
      <w:r>
        <w:rPr>
          <w:lang w:val="fr-FR"/>
        </w:rPr>
        <w:t xml:space="preserve">augmentation régulière des salaires des </w:t>
      </w:r>
      <w:r>
        <w:rPr>
          <w:lang w:val="fr-FR"/>
        </w:rPr>
        <w:lastRenderedPageBreak/>
        <w:t xml:space="preserve">fonctionnaires a eu des répercussions positives sur les salaires du secteur privé et sur le niveau de vie général des citoyens. </w:t>
      </w:r>
    </w:p>
    <w:p w14:paraId="42849798" w14:textId="42AC7EA5" w:rsidR="00560776" w:rsidRPr="008D553A" w:rsidRDefault="00560776" w:rsidP="00560776">
      <w:pPr>
        <w:pStyle w:val="SingleTxtG"/>
        <w:rPr>
          <w:lang w:val="fr-FR"/>
        </w:rPr>
      </w:pPr>
      <w:r>
        <w:rPr>
          <w:lang w:val="fr-FR"/>
        </w:rPr>
        <w:t>7.</w:t>
      </w:r>
      <w:r>
        <w:rPr>
          <w:lang w:val="fr-FR"/>
        </w:rPr>
        <w:tab/>
        <w:t>Auparavant, les fonctionnaires occupant des postes administratifs percevaient une prime correspondant à leur ancienneté, contrairement à ceux qui occupaient des postes dans le secteur des services. Depuis le 1</w:t>
      </w:r>
      <w:r w:rsidRPr="0094288E">
        <w:rPr>
          <w:vertAlign w:val="superscript"/>
          <w:lang w:val="fr-FR"/>
        </w:rPr>
        <w:t>er</w:t>
      </w:r>
      <w:r w:rsidR="0094288E">
        <w:rPr>
          <w:lang w:val="fr-FR"/>
        </w:rPr>
        <w:t> </w:t>
      </w:r>
      <w:r>
        <w:rPr>
          <w:lang w:val="fr-FR"/>
        </w:rPr>
        <w:t>janvier 2020, 128</w:t>
      </w:r>
      <w:r w:rsidR="0094288E">
        <w:rPr>
          <w:lang w:val="fr-FR"/>
        </w:rPr>
        <w:t> </w:t>
      </w:r>
      <w:r>
        <w:rPr>
          <w:lang w:val="fr-FR"/>
        </w:rPr>
        <w:t>000</w:t>
      </w:r>
      <w:r w:rsidR="0094288E">
        <w:rPr>
          <w:lang w:val="fr-FR"/>
        </w:rPr>
        <w:t> </w:t>
      </w:r>
      <w:r>
        <w:rPr>
          <w:lang w:val="fr-FR"/>
        </w:rPr>
        <w:t>fonctionnaires de cette dernière catégorie ont droit à une prime d</w:t>
      </w:r>
      <w:r w:rsidR="009C7759">
        <w:rPr>
          <w:lang w:val="fr-FR"/>
        </w:rPr>
        <w:t>’</w:t>
      </w:r>
      <w:r>
        <w:rPr>
          <w:lang w:val="fr-FR"/>
        </w:rPr>
        <w:t>ancienneté équivalente à 5 à 25</w:t>
      </w:r>
      <w:r w:rsidR="0094288E">
        <w:rPr>
          <w:lang w:val="fr-FR"/>
        </w:rPr>
        <w:t> </w:t>
      </w:r>
      <w:r>
        <w:rPr>
          <w:lang w:val="fr-FR"/>
        </w:rPr>
        <w:t xml:space="preserve">% de leur salaire de base. </w:t>
      </w:r>
    </w:p>
    <w:p w14:paraId="73B87370" w14:textId="1F3187D6" w:rsidR="00560776" w:rsidRPr="008D553A" w:rsidRDefault="00560776" w:rsidP="00560776">
      <w:pPr>
        <w:pStyle w:val="SingleTxtG"/>
        <w:rPr>
          <w:lang w:val="fr-FR"/>
        </w:rPr>
      </w:pPr>
      <w:r>
        <w:rPr>
          <w:lang w:val="fr-FR"/>
        </w:rPr>
        <w:t>8.</w:t>
      </w:r>
      <w:r>
        <w:rPr>
          <w:lang w:val="fr-FR"/>
        </w:rPr>
        <w:tab/>
        <w:t>Pour augmenter les revenus et protéger les citoyens qui vivent sous le seuil de pauvreté malgré leur travail régulier, le salaire minimum, qui s</w:t>
      </w:r>
      <w:r w:rsidR="009C7759">
        <w:rPr>
          <w:lang w:val="fr-FR"/>
        </w:rPr>
        <w:t>’</w:t>
      </w:r>
      <w:r>
        <w:rPr>
          <w:lang w:val="fr-FR"/>
        </w:rPr>
        <w:t>élevait à 240</w:t>
      </w:r>
      <w:r w:rsidR="0094288E">
        <w:rPr>
          <w:lang w:val="fr-FR"/>
        </w:rPr>
        <w:t> </w:t>
      </w:r>
      <w:r>
        <w:rPr>
          <w:lang w:val="fr-FR"/>
        </w:rPr>
        <w:t>000</w:t>
      </w:r>
      <w:r w:rsidR="0094288E">
        <w:rPr>
          <w:lang w:val="fr-FR"/>
        </w:rPr>
        <w:t> </w:t>
      </w:r>
      <w:proofErr w:type="spellStart"/>
      <w:r>
        <w:rPr>
          <w:lang w:val="fr-FR"/>
        </w:rPr>
        <w:t>togrogs</w:t>
      </w:r>
      <w:proofErr w:type="spellEnd"/>
      <w:r>
        <w:rPr>
          <w:lang w:val="fr-FR"/>
        </w:rPr>
        <w:t xml:space="preserve"> en 2016, a été porté à 320</w:t>
      </w:r>
      <w:r w:rsidR="0094288E">
        <w:rPr>
          <w:lang w:val="fr-FR"/>
        </w:rPr>
        <w:t> </w:t>
      </w:r>
      <w:r>
        <w:rPr>
          <w:lang w:val="fr-FR"/>
        </w:rPr>
        <w:t>000</w:t>
      </w:r>
      <w:r w:rsidR="0094288E">
        <w:rPr>
          <w:lang w:val="fr-FR"/>
        </w:rPr>
        <w:t> </w:t>
      </w:r>
      <w:proofErr w:type="spellStart"/>
      <w:r>
        <w:rPr>
          <w:lang w:val="fr-FR"/>
        </w:rPr>
        <w:t>togrogs</w:t>
      </w:r>
      <w:proofErr w:type="spellEnd"/>
      <w:r>
        <w:rPr>
          <w:lang w:val="fr-FR"/>
        </w:rPr>
        <w:t xml:space="preserve"> en 2019 et à 420</w:t>
      </w:r>
      <w:r w:rsidR="0094288E">
        <w:rPr>
          <w:lang w:val="fr-FR"/>
        </w:rPr>
        <w:t> </w:t>
      </w:r>
      <w:r>
        <w:rPr>
          <w:lang w:val="fr-FR"/>
        </w:rPr>
        <w:t>000</w:t>
      </w:r>
      <w:r w:rsidR="0094288E">
        <w:rPr>
          <w:lang w:val="fr-FR"/>
        </w:rPr>
        <w:t> </w:t>
      </w:r>
      <w:proofErr w:type="spellStart"/>
      <w:r>
        <w:rPr>
          <w:lang w:val="fr-FR"/>
        </w:rPr>
        <w:t>togrogs</w:t>
      </w:r>
      <w:proofErr w:type="spellEnd"/>
      <w:r>
        <w:rPr>
          <w:lang w:val="fr-FR"/>
        </w:rPr>
        <w:t xml:space="preserve"> en 2020 par le Comité national tripartite du travail et du consensus social. La rémunération de 80</w:t>
      </w:r>
      <w:r w:rsidR="0094288E">
        <w:rPr>
          <w:lang w:val="fr-FR"/>
        </w:rPr>
        <w:t> </w:t>
      </w:r>
      <w:r>
        <w:rPr>
          <w:lang w:val="fr-FR"/>
        </w:rPr>
        <w:t>000 à 100</w:t>
      </w:r>
      <w:r w:rsidR="0094288E">
        <w:rPr>
          <w:lang w:val="fr-FR"/>
        </w:rPr>
        <w:t> </w:t>
      </w:r>
      <w:r>
        <w:rPr>
          <w:lang w:val="fr-FR"/>
        </w:rPr>
        <w:t>000</w:t>
      </w:r>
      <w:r w:rsidR="0094288E">
        <w:rPr>
          <w:lang w:val="fr-FR"/>
        </w:rPr>
        <w:t> </w:t>
      </w:r>
      <w:r>
        <w:rPr>
          <w:lang w:val="fr-FR"/>
        </w:rPr>
        <w:t>personnes qui perçoivent le salaire minimum a ainsi été augmentée de 33,3</w:t>
      </w:r>
      <w:r w:rsidR="0094288E">
        <w:rPr>
          <w:lang w:val="fr-FR"/>
        </w:rPr>
        <w:t> </w:t>
      </w:r>
      <w:r>
        <w:rPr>
          <w:lang w:val="fr-FR"/>
        </w:rPr>
        <w:t>% en 2019 et de 31,2</w:t>
      </w:r>
      <w:r w:rsidR="0094288E">
        <w:rPr>
          <w:lang w:val="fr-FR"/>
        </w:rPr>
        <w:t> </w:t>
      </w:r>
      <w:r>
        <w:rPr>
          <w:lang w:val="fr-FR"/>
        </w:rPr>
        <w:t>% en</w:t>
      </w:r>
      <w:r w:rsidR="0094288E">
        <w:rPr>
          <w:lang w:val="fr-FR"/>
        </w:rPr>
        <w:t> </w:t>
      </w:r>
      <w:r>
        <w:rPr>
          <w:lang w:val="fr-FR"/>
        </w:rPr>
        <w:t xml:space="preserve">2020. </w:t>
      </w:r>
    </w:p>
    <w:p w14:paraId="06318BFF" w14:textId="77777777" w:rsidR="00560776" w:rsidRPr="008D553A" w:rsidRDefault="00560776" w:rsidP="00C374EF">
      <w:pPr>
        <w:pStyle w:val="H1G"/>
        <w:rPr>
          <w:lang w:val="fr-FR"/>
        </w:rPr>
      </w:pPr>
      <w:r>
        <w:rPr>
          <w:lang w:val="fr-FR"/>
        </w:rPr>
        <w:tab/>
      </w:r>
      <w:r>
        <w:rPr>
          <w:lang w:val="fr-FR"/>
        </w:rPr>
        <w:tab/>
        <w:t xml:space="preserve">Paragraphe 2 b) de la liste de points </w:t>
      </w:r>
    </w:p>
    <w:p w14:paraId="35D4764D" w14:textId="77777777" w:rsidR="00560776" w:rsidRPr="008D553A" w:rsidRDefault="00560776" w:rsidP="00560776">
      <w:pPr>
        <w:pStyle w:val="SingleTxtG"/>
        <w:rPr>
          <w:lang w:val="fr-FR"/>
        </w:rPr>
      </w:pPr>
      <w:r>
        <w:rPr>
          <w:lang w:val="fr-FR"/>
        </w:rPr>
        <w:t>9.</w:t>
      </w:r>
      <w:r>
        <w:rPr>
          <w:lang w:val="fr-FR"/>
        </w:rPr>
        <w:tab/>
        <w:t xml:space="preserve">La Mongolie exécute plusieurs programmes visant à aider des catégories vulnérables de la population dans le cadre de sa politique de protection sociale et de ses dispositifs juridiques connexes. </w:t>
      </w:r>
    </w:p>
    <w:p w14:paraId="32CB3872" w14:textId="4A34EE57" w:rsidR="00560776" w:rsidRPr="008D553A" w:rsidRDefault="00560776" w:rsidP="00C374EF">
      <w:pPr>
        <w:pStyle w:val="H23G"/>
        <w:rPr>
          <w:lang w:val="fr-FR"/>
        </w:rPr>
      </w:pPr>
      <w:r>
        <w:rPr>
          <w:lang w:val="fr-FR"/>
        </w:rPr>
        <w:tab/>
      </w:r>
      <w:r>
        <w:rPr>
          <w:lang w:val="fr-FR"/>
        </w:rPr>
        <w:tab/>
        <w:t>Programme d</w:t>
      </w:r>
      <w:r w:rsidR="009C7759">
        <w:rPr>
          <w:lang w:val="fr-FR"/>
        </w:rPr>
        <w:t>’</w:t>
      </w:r>
      <w:r>
        <w:rPr>
          <w:lang w:val="fr-FR"/>
        </w:rPr>
        <w:t>alimentation et de nutrition pour les familles les plus pauvres</w:t>
      </w:r>
    </w:p>
    <w:p w14:paraId="39414A67" w14:textId="335FA8E4" w:rsidR="00560776" w:rsidRPr="008D553A" w:rsidRDefault="00560776" w:rsidP="00560776">
      <w:pPr>
        <w:pStyle w:val="SingleTxtG"/>
        <w:rPr>
          <w:lang w:val="fr-FR"/>
        </w:rPr>
      </w:pPr>
      <w:r>
        <w:rPr>
          <w:lang w:val="fr-FR"/>
        </w:rPr>
        <w:t>10.</w:t>
      </w:r>
      <w:r>
        <w:rPr>
          <w:lang w:val="fr-FR"/>
        </w:rPr>
        <w:tab/>
        <w:t>Pour protéger les groupes sociaux vulnérables et aider les ménages et les citoyens en proie à de mauvaises conditions de vie, les pouvoirs publics accordent depuis 2013, en</w:t>
      </w:r>
      <w:r w:rsidR="0094288E">
        <w:rPr>
          <w:lang w:val="fr-FR"/>
        </w:rPr>
        <w:t> </w:t>
      </w:r>
      <w:r>
        <w:rPr>
          <w:lang w:val="fr-FR"/>
        </w:rPr>
        <w:t>application de l</w:t>
      </w:r>
      <w:r w:rsidR="009C7759">
        <w:rPr>
          <w:lang w:val="fr-FR"/>
        </w:rPr>
        <w:t>’</w:t>
      </w:r>
      <w:r>
        <w:rPr>
          <w:lang w:val="fr-FR"/>
        </w:rPr>
        <w:t>article 22 de la loi sur la protection sociale, des aides alimentaires et nutritionnelles financées au moyen du budget de l</w:t>
      </w:r>
      <w:r w:rsidR="009C7759">
        <w:rPr>
          <w:lang w:val="fr-FR"/>
        </w:rPr>
        <w:t>’</w:t>
      </w:r>
      <w:r>
        <w:rPr>
          <w:lang w:val="fr-FR"/>
        </w:rPr>
        <w:t>État. Ces aides sont octroyées sur la base des résultats d</w:t>
      </w:r>
      <w:r w:rsidR="009C7759">
        <w:rPr>
          <w:lang w:val="fr-FR"/>
        </w:rPr>
        <w:t>’</w:t>
      </w:r>
      <w:r>
        <w:rPr>
          <w:lang w:val="fr-FR"/>
        </w:rPr>
        <w:t>une enquête nationale sur les ménages, qui a permis d</w:t>
      </w:r>
      <w:r w:rsidR="009C7759">
        <w:rPr>
          <w:lang w:val="fr-FR"/>
        </w:rPr>
        <w:t>’</w:t>
      </w:r>
      <w:r>
        <w:rPr>
          <w:lang w:val="fr-FR"/>
        </w:rPr>
        <w:t>évaluer le niveau de vie par l</w:t>
      </w:r>
      <w:r w:rsidR="009C7759">
        <w:rPr>
          <w:lang w:val="fr-FR"/>
        </w:rPr>
        <w:t>’</w:t>
      </w:r>
      <w:r>
        <w:rPr>
          <w:lang w:val="fr-FR"/>
        </w:rPr>
        <w:t>attribution de scores.</w:t>
      </w:r>
    </w:p>
    <w:p w14:paraId="18D014DB" w14:textId="6B28ABBF" w:rsidR="00560776" w:rsidRPr="008D553A" w:rsidRDefault="00560776" w:rsidP="00560776">
      <w:pPr>
        <w:pStyle w:val="SingleTxtG"/>
        <w:rPr>
          <w:lang w:val="fr-FR"/>
        </w:rPr>
      </w:pPr>
      <w:r>
        <w:rPr>
          <w:lang w:val="fr-FR"/>
        </w:rPr>
        <w:t>11.</w:t>
      </w:r>
      <w:r>
        <w:rPr>
          <w:lang w:val="fr-FR"/>
        </w:rPr>
        <w:tab/>
        <w:t>Le doublement du nombre de bénéficiaires du programme d</w:t>
      </w:r>
      <w:r w:rsidR="009C7759">
        <w:rPr>
          <w:lang w:val="fr-FR"/>
        </w:rPr>
        <w:t>’</w:t>
      </w:r>
      <w:r>
        <w:rPr>
          <w:lang w:val="fr-FR"/>
        </w:rPr>
        <w:t>aide alimentaire entre 2016 et 2018 et l</w:t>
      </w:r>
      <w:r w:rsidR="009C7759">
        <w:rPr>
          <w:lang w:val="fr-FR"/>
        </w:rPr>
        <w:t>’</w:t>
      </w:r>
      <w:r>
        <w:rPr>
          <w:lang w:val="fr-FR"/>
        </w:rPr>
        <w:t>augmentation de 20</w:t>
      </w:r>
      <w:r w:rsidR="0094288E">
        <w:rPr>
          <w:lang w:val="fr-FR"/>
        </w:rPr>
        <w:t> </w:t>
      </w:r>
      <w:r>
        <w:rPr>
          <w:lang w:val="fr-FR"/>
        </w:rPr>
        <w:t>% du montant des bons d</w:t>
      </w:r>
      <w:r w:rsidR="009C7759">
        <w:rPr>
          <w:lang w:val="fr-FR"/>
        </w:rPr>
        <w:t>’</w:t>
      </w:r>
      <w:r>
        <w:rPr>
          <w:lang w:val="fr-FR"/>
        </w:rPr>
        <w:t>alimentation accordés ont contribué à la réduction de la pauvreté dans les zones urbaines et les zones rurales, ce qui s</w:t>
      </w:r>
      <w:r w:rsidR="009C7759">
        <w:rPr>
          <w:lang w:val="fr-FR"/>
        </w:rPr>
        <w:t>’</w:t>
      </w:r>
      <w:r>
        <w:rPr>
          <w:lang w:val="fr-FR"/>
        </w:rPr>
        <w:t>est traduit par une baisse de 1,2</w:t>
      </w:r>
      <w:r w:rsidR="0094288E">
        <w:rPr>
          <w:lang w:val="fr-FR"/>
        </w:rPr>
        <w:t> </w:t>
      </w:r>
      <w:r>
        <w:rPr>
          <w:lang w:val="fr-FR"/>
        </w:rPr>
        <w:t>point du taux de pauvreté à l</w:t>
      </w:r>
      <w:r w:rsidR="009C7759">
        <w:rPr>
          <w:lang w:val="fr-FR"/>
        </w:rPr>
        <w:t>’</w:t>
      </w:r>
      <w:r>
        <w:rPr>
          <w:lang w:val="fr-FR"/>
        </w:rPr>
        <w:t xml:space="preserve">échelle nationale. </w:t>
      </w:r>
    </w:p>
    <w:p w14:paraId="45369063" w14:textId="5EA83517" w:rsidR="00560776" w:rsidRPr="008D553A" w:rsidRDefault="00560776" w:rsidP="004135D4">
      <w:pPr>
        <w:pStyle w:val="Titre1"/>
        <w:spacing w:after="120"/>
        <w:rPr>
          <w:b/>
          <w:bCs/>
          <w:lang w:val="fr-FR"/>
        </w:rPr>
      </w:pPr>
      <w:r>
        <w:rPr>
          <w:lang w:val="fr-FR"/>
        </w:rPr>
        <w:t>Tableau 1</w:t>
      </w:r>
      <w:r w:rsidR="004135D4">
        <w:rPr>
          <w:lang w:val="fr-FR"/>
        </w:rPr>
        <w:t xml:space="preserve"> </w:t>
      </w:r>
      <w:r w:rsidR="004135D4">
        <w:rPr>
          <w:lang w:val="fr-FR"/>
        </w:rPr>
        <w:br/>
      </w:r>
      <w:r>
        <w:rPr>
          <w:b/>
          <w:bCs/>
          <w:lang w:val="fr-FR"/>
        </w:rPr>
        <w:t>Résultats du programme de bons d</w:t>
      </w:r>
      <w:r w:rsidR="009C7759">
        <w:rPr>
          <w:b/>
          <w:bCs/>
          <w:lang w:val="fr-FR"/>
        </w:rPr>
        <w:t>’</w:t>
      </w:r>
      <w:r>
        <w:rPr>
          <w:b/>
          <w:bCs/>
          <w:lang w:val="fr-FR"/>
        </w:rPr>
        <w:t xml:space="preserve">alimentation </w:t>
      </w:r>
      <w:r w:rsidR="004135D4">
        <w:rPr>
          <w:b/>
          <w:bCs/>
          <w:lang w:val="fr-FR"/>
        </w:rPr>
        <w:br/>
      </w:r>
      <w:r>
        <w:rPr>
          <w:b/>
          <w:bCs/>
          <w:lang w:val="fr-FR"/>
        </w:rPr>
        <w:t>(score minimum requis pour y avoir droit)</w:t>
      </w:r>
    </w:p>
    <w:tbl>
      <w:tblPr>
        <w:tblW w:w="7370" w:type="dxa"/>
        <w:tblInd w:w="1134" w:type="dxa"/>
        <w:tblLayout w:type="fixed"/>
        <w:tblCellMar>
          <w:left w:w="0" w:type="dxa"/>
          <w:right w:w="0" w:type="dxa"/>
        </w:tblCellMar>
        <w:tblLook w:val="04A0" w:firstRow="1" w:lastRow="0" w:firstColumn="1" w:lastColumn="0" w:noHBand="0" w:noVBand="1"/>
      </w:tblPr>
      <w:tblGrid>
        <w:gridCol w:w="1276"/>
        <w:gridCol w:w="1418"/>
        <w:gridCol w:w="768"/>
        <w:gridCol w:w="977"/>
        <w:gridCol w:w="977"/>
        <w:gridCol w:w="977"/>
        <w:gridCol w:w="977"/>
      </w:tblGrid>
      <w:tr w:rsidR="004135D4" w:rsidRPr="004135D4" w14:paraId="55B30E08" w14:textId="77777777" w:rsidTr="004135D4">
        <w:trPr>
          <w:tblHeader/>
        </w:trPr>
        <w:tc>
          <w:tcPr>
            <w:tcW w:w="2694" w:type="dxa"/>
            <w:gridSpan w:val="2"/>
            <w:tcBorders>
              <w:top w:val="single" w:sz="4" w:space="0" w:color="auto"/>
              <w:bottom w:val="single" w:sz="12" w:space="0" w:color="auto"/>
            </w:tcBorders>
            <w:shd w:val="clear" w:color="auto" w:fill="auto"/>
            <w:vAlign w:val="bottom"/>
          </w:tcPr>
          <w:p w14:paraId="594DF743" w14:textId="77777777" w:rsidR="00560776" w:rsidRPr="004135D4" w:rsidRDefault="00560776" w:rsidP="004135D4">
            <w:pPr>
              <w:suppressAutoHyphens w:val="0"/>
              <w:spacing w:before="80" w:after="80" w:line="200" w:lineRule="exact"/>
              <w:rPr>
                <w:i/>
                <w:sz w:val="16"/>
                <w:lang w:val="fr-FR"/>
              </w:rPr>
            </w:pPr>
          </w:p>
        </w:tc>
        <w:tc>
          <w:tcPr>
            <w:tcW w:w="768" w:type="dxa"/>
            <w:tcBorders>
              <w:top w:val="single" w:sz="4" w:space="0" w:color="auto"/>
              <w:bottom w:val="single" w:sz="12" w:space="0" w:color="auto"/>
            </w:tcBorders>
            <w:shd w:val="clear" w:color="auto" w:fill="auto"/>
            <w:vAlign w:val="bottom"/>
          </w:tcPr>
          <w:p w14:paraId="1F13B942" w14:textId="77777777" w:rsidR="00560776" w:rsidRPr="004135D4" w:rsidRDefault="00560776" w:rsidP="004135D4">
            <w:pPr>
              <w:suppressAutoHyphens w:val="0"/>
              <w:spacing w:before="80" w:after="80" w:line="200" w:lineRule="exact"/>
              <w:jc w:val="right"/>
              <w:rPr>
                <w:i/>
                <w:sz w:val="16"/>
              </w:rPr>
            </w:pPr>
            <w:r w:rsidRPr="004135D4">
              <w:rPr>
                <w:i/>
                <w:iCs/>
                <w:sz w:val="16"/>
                <w:lang w:val="fr-FR"/>
              </w:rPr>
              <w:t>2015</w:t>
            </w:r>
          </w:p>
        </w:tc>
        <w:tc>
          <w:tcPr>
            <w:tcW w:w="977" w:type="dxa"/>
            <w:tcBorders>
              <w:top w:val="single" w:sz="4" w:space="0" w:color="auto"/>
              <w:bottom w:val="single" w:sz="12" w:space="0" w:color="auto"/>
            </w:tcBorders>
            <w:shd w:val="clear" w:color="auto" w:fill="auto"/>
            <w:vAlign w:val="bottom"/>
          </w:tcPr>
          <w:p w14:paraId="52B6CC60" w14:textId="77777777" w:rsidR="00560776" w:rsidRPr="004135D4" w:rsidRDefault="00560776" w:rsidP="004135D4">
            <w:pPr>
              <w:suppressAutoHyphens w:val="0"/>
              <w:spacing w:before="80" w:after="80" w:line="200" w:lineRule="exact"/>
              <w:jc w:val="right"/>
              <w:rPr>
                <w:i/>
                <w:sz w:val="16"/>
              </w:rPr>
            </w:pPr>
            <w:r w:rsidRPr="004135D4">
              <w:rPr>
                <w:i/>
                <w:iCs/>
                <w:sz w:val="16"/>
                <w:lang w:val="fr-FR"/>
              </w:rPr>
              <w:t>2016</w:t>
            </w:r>
          </w:p>
        </w:tc>
        <w:tc>
          <w:tcPr>
            <w:tcW w:w="977" w:type="dxa"/>
            <w:tcBorders>
              <w:top w:val="single" w:sz="4" w:space="0" w:color="auto"/>
              <w:bottom w:val="single" w:sz="12" w:space="0" w:color="auto"/>
            </w:tcBorders>
            <w:shd w:val="clear" w:color="auto" w:fill="auto"/>
            <w:vAlign w:val="bottom"/>
          </w:tcPr>
          <w:p w14:paraId="49CB6FF1" w14:textId="77777777" w:rsidR="00560776" w:rsidRPr="004135D4" w:rsidRDefault="00560776" w:rsidP="004135D4">
            <w:pPr>
              <w:suppressAutoHyphens w:val="0"/>
              <w:spacing w:before="80" w:after="80" w:line="200" w:lineRule="exact"/>
              <w:jc w:val="right"/>
              <w:rPr>
                <w:i/>
                <w:sz w:val="16"/>
              </w:rPr>
            </w:pPr>
            <w:r w:rsidRPr="004135D4">
              <w:rPr>
                <w:i/>
                <w:iCs/>
                <w:sz w:val="16"/>
                <w:lang w:val="fr-FR"/>
              </w:rPr>
              <w:t>2017</w:t>
            </w:r>
          </w:p>
        </w:tc>
        <w:tc>
          <w:tcPr>
            <w:tcW w:w="977" w:type="dxa"/>
            <w:tcBorders>
              <w:top w:val="single" w:sz="4" w:space="0" w:color="auto"/>
              <w:bottom w:val="single" w:sz="12" w:space="0" w:color="auto"/>
            </w:tcBorders>
            <w:shd w:val="clear" w:color="auto" w:fill="auto"/>
            <w:vAlign w:val="bottom"/>
          </w:tcPr>
          <w:p w14:paraId="1C924E10" w14:textId="77777777" w:rsidR="00560776" w:rsidRPr="004135D4" w:rsidRDefault="00560776" w:rsidP="004135D4">
            <w:pPr>
              <w:suppressAutoHyphens w:val="0"/>
              <w:spacing w:before="80" w:after="80" w:line="200" w:lineRule="exact"/>
              <w:jc w:val="right"/>
              <w:rPr>
                <w:i/>
                <w:sz w:val="16"/>
              </w:rPr>
            </w:pPr>
            <w:r w:rsidRPr="004135D4">
              <w:rPr>
                <w:i/>
                <w:iCs/>
                <w:sz w:val="16"/>
                <w:lang w:val="fr-FR"/>
              </w:rPr>
              <w:t>2018</w:t>
            </w:r>
          </w:p>
        </w:tc>
        <w:tc>
          <w:tcPr>
            <w:tcW w:w="977" w:type="dxa"/>
            <w:tcBorders>
              <w:top w:val="single" w:sz="4" w:space="0" w:color="auto"/>
              <w:bottom w:val="single" w:sz="12" w:space="0" w:color="auto"/>
            </w:tcBorders>
            <w:shd w:val="clear" w:color="auto" w:fill="auto"/>
            <w:vAlign w:val="bottom"/>
          </w:tcPr>
          <w:p w14:paraId="33C989AA" w14:textId="77777777" w:rsidR="00560776" w:rsidRPr="004135D4" w:rsidRDefault="00560776" w:rsidP="004135D4">
            <w:pPr>
              <w:suppressAutoHyphens w:val="0"/>
              <w:spacing w:before="80" w:after="80" w:line="200" w:lineRule="exact"/>
              <w:jc w:val="right"/>
              <w:rPr>
                <w:i/>
                <w:sz w:val="16"/>
              </w:rPr>
            </w:pPr>
            <w:r w:rsidRPr="004135D4">
              <w:rPr>
                <w:i/>
                <w:iCs/>
                <w:sz w:val="16"/>
                <w:lang w:val="fr-FR"/>
              </w:rPr>
              <w:t>2019</w:t>
            </w:r>
          </w:p>
        </w:tc>
      </w:tr>
      <w:tr w:rsidR="004135D4" w:rsidRPr="004135D4" w14:paraId="6AE81CB6" w14:textId="77777777" w:rsidTr="0094288E">
        <w:tc>
          <w:tcPr>
            <w:tcW w:w="1276" w:type="dxa"/>
            <w:vMerge w:val="restart"/>
            <w:tcBorders>
              <w:top w:val="single" w:sz="12" w:space="0" w:color="auto"/>
            </w:tcBorders>
            <w:shd w:val="clear" w:color="auto" w:fill="auto"/>
          </w:tcPr>
          <w:p w14:paraId="512E297D" w14:textId="77777777" w:rsidR="00560776" w:rsidRPr="004135D4" w:rsidRDefault="00560776" w:rsidP="004135D4">
            <w:pPr>
              <w:suppressAutoHyphens w:val="0"/>
              <w:spacing w:before="40" w:after="40" w:line="220" w:lineRule="exact"/>
              <w:rPr>
                <w:sz w:val="18"/>
                <w:szCs w:val="16"/>
              </w:rPr>
            </w:pPr>
            <w:r w:rsidRPr="004135D4">
              <w:rPr>
                <w:sz w:val="18"/>
                <w:szCs w:val="16"/>
                <w:lang w:val="fr-FR"/>
              </w:rPr>
              <w:t>Score minimal</w:t>
            </w:r>
          </w:p>
        </w:tc>
        <w:tc>
          <w:tcPr>
            <w:tcW w:w="1418" w:type="dxa"/>
            <w:tcBorders>
              <w:top w:val="single" w:sz="12" w:space="0" w:color="auto"/>
            </w:tcBorders>
            <w:shd w:val="clear" w:color="auto" w:fill="auto"/>
          </w:tcPr>
          <w:p w14:paraId="72FA7F6B" w14:textId="77777777" w:rsidR="00560776" w:rsidRPr="004135D4" w:rsidRDefault="00560776" w:rsidP="004135D4">
            <w:pPr>
              <w:suppressAutoHyphens w:val="0"/>
              <w:spacing w:before="40" w:after="40" w:line="220" w:lineRule="exact"/>
              <w:rPr>
                <w:sz w:val="18"/>
                <w:szCs w:val="16"/>
              </w:rPr>
            </w:pPr>
            <w:r w:rsidRPr="004135D4">
              <w:rPr>
                <w:sz w:val="18"/>
                <w:szCs w:val="16"/>
                <w:lang w:val="fr-FR"/>
              </w:rPr>
              <w:t xml:space="preserve">Capitale </w:t>
            </w:r>
          </w:p>
        </w:tc>
        <w:tc>
          <w:tcPr>
            <w:tcW w:w="2722" w:type="dxa"/>
            <w:gridSpan w:val="3"/>
            <w:vMerge w:val="restart"/>
            <w:tcBorders>
              <w:top w:val="single" w:sz="12" w:space="0" w:color="auto"/>
            </w:tcBorders>
            <w:shd w:val="clear" w:color="auto" w:fill="auto"/>
            <w:vAlign w:val="bottom"/>
          </w:tcPr>
          <w:p w14:paraId="0EF71200" w14:textId="77777777" w:rsidR="00560776" w:rsidRPr="004135D4" w:rsidRDefault="00560776" w:rsidP="004135D4">
            <w:pPr>
              <w:suppressAutoHyphens w:val="0"/>
              <w:spacing w:before="40" w:after="40" w:line="220" w:lineRule="exact"/>
              <w:jc w:val="right"/>
              <w:rPr>
                <w:sz w:val="18"/>
              </w:rPr>
            </w:pPr>
            <w:r w:rsidRPr="004135D4">
              <w:rPr>
                <w:sz w:val="18"/>
                <w:lang w:val="fr-FR"/>
              </w:rPr>
              <w:t>240,3</w:t>
            </w:r>
          </w:p>
        </w:tc>
        <w:tc>
          <w:tcPr>
            <w:tcW w:w="1954" w:type="dxa"/>
            <w:gridSpan w:val="2"/>
            <w:tcBorders>
              <w:top w:val="single" w:sz="12" w:space="0" w:color="auto"/>
            </w:tcBorders>
            <w:shd w:val="clear" w:color="auto" w:fill="auto"/>
            <w:vAlign w:val="bottom"/>
          </w:tcPr>
          <w:p w14:paraId="377A53A8" w14:textId="77777777" w:rsidR="00560776" w:rsidRPr="004135D4" w:rsidRDefault="00560776" w:rsidP="004135D4">
            <w:pPr>
              <w:suppressAutoHyphens w:val="0"/>
              <w:spacing w:before="40" w:after="40" w:line="220" w:lineRule="exact"/>
              <w:jc w:val="right"/>
              <w:rPr>
                <w:sz w:val="18"/>
              </w:rPr>
            </w:pPr>
            <w:r w:rsidRPr="004135D4">
              <w:rPr>
                <w:sz w:val="18"/>
                <w:lang w:val="fr-FR"/>
              </w:rPr>
              <w:t>292,5</w:t>
            </w:r>
          </w:p>
        </w:tc>
      </w:tr>
      <w:tr w:rsidR="004135D4" w:rsidRPr="004135D4" w14:paraId="6462A714" w14:textId="77777777" w:rsidTr="0094288E">
        <w:tc>
          <w:tcPr>
            <w:tcW w:w="1276" w:type="dxa"/>
            <w:vMerge/>
            <w:shd w:val="clear" w:color="auto" w:fill="auto"/>
          </w:tcPr>
          <w:p w14:paraId="65A2534C" w14:textId="77777777" w:rsidR="00560776" w:rsidRPr="004135D4" w:rsidRDefault="00560776" w:rsidP="004135D4">
            <w:pPr>
              <w:suppressAutoHyphens w:val="0"/>
              <w:spacing w:before="40" w:after="40" w:line="220" w:lineRule="exact"/>
              <w:rPr>
                <w:sz w:val="18"/>
                <w:szCs w:val="16"/>
              </w:rPr>
            </w:pPr>
          </w:p>
        </w:tc>
        <w:tc>
          <w:tcPr>
            <w:tcW w:w="1418" w:type="dxa"/>
            <w:shd w:val="clear" w:color="auto" w:fill="auto"/>
          </w:tcPr>
          <w:p w14:paraId="1F627B14" w14:textId="77777777" w:rsidR="00560776" w:rsidRPr="004135D4" w:rsidRDefault="00560776" w:rsidP="004135D4">
            <w:pPr>
              <w:suppressAutoHyphens w:val="0"/>
              <w:spacing w:before="40" w:after="40" w:line="220" w:lineRule="exact"/>
              <w:rPr>
                <w:sz w:val="18"/>
                <w:szCs w:val="16"/>
              </w:rPr>
            </w:pPr>
            <w:r w:rsidRPr="004135D4">
              <w:rPr>
                <w:sz w:val="18"/>
                <w:szCs w:val="16"/>
                <w:lang w:val="fr-FR"/>
              </w:rPr>
              <w:t>Provinces/aïmags</w:t>
            </w:r>
          </w:p>
        </w:tc>
        <w:tc>
          <w:tcPr>
            <w:tcW w:w="2722" w:type="dxa"/>
            <w:gridSpan w:val="3"/>
            <w:vMerge/>
            <w:shd w:val="clear" w:color="auto" w:fill="auto"/>
            <w:vAlign w:val="bottom"/>
          </w:tcPr>
          <w:p w14:paraId="20187A65" w14:textId="77777777" w:rsidR="00560776" w:rsidRPr="004135D4" w:rsidRDefault="00560776" w:rsidP="004135D4">
            <w:pPr>
              <w:suppressAutoHyphens w:val="0"/>
              <w:spacing w:before="40" w:after="40" w:line="220" w:lineRule="exact"/>
              <w:jc w:val="right"/>
              <w:rPr>
                <w:sz w:val="18"/>
              </w:rPr>
            </w:pPr>
          </w:p>
        </w:tc>
        <w:tc>
          <w:tcPr>
            <w:tcW w:w="1954" w:type="dxa"/>
            <w:gridSpan w:val="2"/>
            <w:shd w:val="clear" w:color="auto" w:fill="auto"/>
            <w:vAlign w:val="bottom"/>
          </w:tcPr>
          <w:p w14:paraId="661C3D25" w14:textId="77777777" w:rsidR="00560776" w:rsidRPr="004135D4" w:rsidRDefault="00560776" w:rsidP="004135D4">
            <w:pPr>
              <w:suppressAutoHyphens w:val="0"/>
              <w:spacing w:before="40" w:after="40" w:line="220" w:lineRule="exact"/>
              <w:jc w:val="right"/>
              <w:rPr>
                <w:sz w:val="18"/>
              </w:rPr>
            </w:pPr>
            <w:r w:rsidRPr="004135D4">
              <w:rPr>
                <w:sz w:val="18"/>
                <w:lang w:val="fr-FR"/>
              </w:rPr>
              <w:t>310,0</w:t>
            </w:r>
          </w:p>
        </w:tc>
      </w:tr>
      <w:tr w:rsidR="004135D4" w:rsidRPr="004135D4" w14:paraId="463F0FB1" w14:textId="77777777" w:rsidTr="0094288E">
        <w:tc>
          <w:tcPr>
            <w:tcW w:w="1276" w:type="dxa"/>
            <w:vMerge w:val="restart"/>
            <w:shd w:val="clear" w:color="auto" w:fill="auto"/>
          </w:tcPr>
          <w:p w14:paraId="37B0A706" w14:textId="6B1AFF10" w:rsidR="00560776" w:rsidRPr="004135D4" w:rsidRDefault="00560776" w:rsidP="004135D4">
            <w:pPr>
              <w:suppressAutoHyphens w:val="0"/>
              <w:spacing w:before="40" w:after="40" w:line="220" w:lineRule="exact"/>
              <w:rPr>
                <w:sz w:val="18"/>
                <w:szCs w:val="16"/>
              </w:rPr>
            </w:pPr>
            <w:r w:rsidRPr="004135D4">
              <w:rPr>
                <w:sz w:val="18"/>
                <w:szCs w:val="16"/>
                <w:lang w:val="fr-FR"/>
              </w:rPr>
              <w:t>Montant des bons d</w:t>
            </w:r>
            <w:r w:rsidR="009C7759">
              <w:rPr>
                <w:sz w:val="18"/>
                <w:szCs w:val="16"/>
                <w:lang w:val="fr-FR"/>
              </w:rPr>
              <w:t>’</w:t>
            </w:r>
            <w:r w:rsidRPr="004135D4">
              <w:rPr>
                <w:sz w:val="18"/>
                <w:szCs w:val="16"/>
                <w:lang w:val="fr-FR"/>
              </w:rPr>
              <w:t xml:space="preserve">alimentation </w:t>
            </w:r>
          </w:p>
        </w:tc>
        <w:tc>
          <w:tcPr>
            <w:tcW w:w="1418" w:type="dxa"/>
            <w:shd w:val="clear" w:color="auto" w:fill="auto"/>
          </w:tcPr>
          <w:p w14:paraId="0F045538" w14:textId="77777777" w:rsidR="00560776" w:rsidRPr="004135D4" w:rsidRDefault="00560776" w:rsidP="004135D4">
            <w:pPr>
              <w:suppressAutoHyphens w:val="0"/>
              <w:spacing w:before="40" w:after="40" w:line="220" w:lineRule="exact"/>
              <w:rPr>
                <w:sz w:val="18"/>
                <w:szCs w:val="16"/>
              </w:rPr>
            </w:pPr>
            <w:r w:rsidRPr="004135D4">
              <w:rPr>
                <w:sz w:val="18"/>
                <w:szCs w:val="16"/>
                <w:lang w:val="fr-FR"/>
              </w:rPr>
              <w:t>Adultes</w:t>
            </w:r>
          </w:p>
        </w:tc>
        <w:tc>
          <w:tcPr>
            <w:tcW w:w="1745" w:type="dxa"/>
            <w:gridSpan w:val="2"/>
            <w:shd w:val="clear" w:color="auto" w:fill="auto"/>
            <w:vAlign w:val="bottom"/>
          </w:tcPr>
          <w:p w14:paraId="3445F620" w14:textId="77777777" w:rsidR="00560776" w:rsidRPr="004135D4" w:rsidRDefault="00560776" w:rsidP="004135D4">
            <w:pPr>
              <w:suppressAutoHyphens w:val="0"/>
              <w:spacing w:before="40" w:after="40" w:line="220" w:lineRule="exact"/>
              <w:jc w:val="right"/>
              <w:rPr>
                <w:sz w:val="18"/>
              </w:rPr>
            </w:pPr>
            <w:r w:rsidRPr="004135D4">
              <w:rPr>
                <w:sz w:val="18"/>
                <w:lang w:val="fr-FR"/>
              </w:rPr>
              <w:t>13 000</w:t>
            </w:r>
          </w:p>
        </w:tc>
        <w:tc>
          <w:tcPr>
            <w:tcW w:w="2931" w:type="dxa"/>
            <w:gridSpan w:val="3"/>
            <w:shd w:val="clear" w:color="auto" w:fill="auto"/>
            <w:vAlign w:val="bottom"/>
          </w:tcPr>
          <w:p w14:paraId="7AFFE69D" w14:textId="77777777" w:rsidR="00560776" w:rsidRPr="004135D4" w:rsidRDefault="00560776" w:rsidP="004135D4">
            <w:pPr>
              <w:suppressAutoHyphens w:val="0"/>
              <w:spacing w:before="40" w:after="40" w:line="220" w:lineRule="exact"/>
              <w:jc w:val="right"/>
              <w:rPr>
                <w:sz w:val="18"/>
              </w:rPr>
            </w:pPr>
            <w:r w:rsidRPr="004135D4">
              <w:rPr>
                <w:sz w:val="18"/>
                <w:lang w:val="fr-FR"/>
              </w:rPr>
              <w:t>16 000</w:t>
            </w:r>
          </w:p>
        </w:tc>
      </w:tr>
      <w:tr w:rsidR="004135D4" w:rsidRPr="004135D4" w14:paraId="3EE2EAC5" w14:textId="77777777" w:rsidTr="0094288E">
        <w:tc>
          <w:tcPr>
            <w:tcW w:w="1276" w:type="dxa"/>
            <w:vMerge/>
            <w:shd w:val="clear" w:color="auto" w:fill="auto"/>
          </w:tcPr>
          <w:p w14:paraId="7C49E079" w14:textId="77777777" w:rsidR="00560776" w:rsidRPr="004135D4" w:rsidRDefault="00560776" w:rsidP="004135D4">
            <w:pPr>
              <w:suppressAutoHyphens w:val="0"/>
              <w:spacing w:before="40" w:after="40" w:line="220" w:lineRule="exact"/>
              <w:rPr>
                <w:sz w:val="18"/>
                <w:szCs w:val="16"/>
              </w:rPr>
            </w:pPr>
          </w:p>
        </w:tc>
        <w:tc>
          <w:tcPr>
            <w:tcW w:w="1418" w:type="dxa"/>
            <w:shd w:val="clear" w:color="auto" w:fill="auto"/>
          </w:tcPr>
          <w:p w14:paraId="393586BB" w14:textId="77777777" w:rsidR="00560776" w:rsidRPr="004135D4" w:rsidRDefault="00560776" w:rsidP="004135D4">
            <w:pPr>
              <w:suppressAutoHyphens w:val="0"/>
              <w:spacing w:before="40" w:after="40" w:line="220" w:lineRule="exact"/>
              <w:rPr>
                <w:sz w:val="18"/>
                <w:szCs w:val="16"/>
              </w:rPr>
            </w:pPr>
            <w:r w:rsidRPr="004135D4">
              <w:rPr>
                <w:sz w:val="18"/>
                <w:szCs w:val="16"/>
                <w:lang w:val="fr-FR"/>
              </w:rPr>
              <w:t>Enfants</w:t>
            </w:r>
          </w:p>
        </w:tc>
        <w:tc>
          <w:tcPr>
            <w:tcW w:w="1745" w:type="dxa"/>
            <w:gridSpan w:val="2"/>
            <w:shd w:val="clear" w:color="auto" w:fill="auto"/>
            <w:vAlign w:val="bottom"/>
          </w:tcPr>
          <w:p w14:paraId="557E88AD" w14:textId="77777777" w:rsidR="00560776" w:rsidRPr="004135D4" w:rsidRDefault="00560776" w:rsidP="004135D4">
            <w:pPr>
              <w:suppressAutoHyphens w:val="0"/>
              <w:spacing w:before="40" w:after="40" w:line="220" w:lineRule="exact"/>
              <w:jc w:val="right"/>
              <w:rPr>
                <w:sz w:val="18"/>
              </w:rPr>
            </w:pPr>
            <w:r w:rsidRPr="004135D4">
              <w:rPr>
                <w:sz w:val="18"/>
                <w:lang w:val="fr-FR"/>
              </w:rPr>
              <w:t>6 500</w:t>
            </w:r>
          </w:p>
        </w:tc>
        <w:tc>
          <w:tcPr>
            <w:tcW w:w="2931" w:type="dxa"/>
            <w:gridSpan w:val="3"/>
            <w:shd w:val="clear" w:color="auto" w:fill="auto"/>
            <w:vAlign w:val="bottom"/>
          </w:tcPr>
          <w:p w14:paraId="724E3F65" w14:textId="77777777" w:rsidR="00560776" w:rsidRPr="004135D4" w:rsidRDefault="00560776" w:rsidP="004135D4">
            <w:pPr>
              <w:suppressAutoHyphens w:val="0"/>
              <w:spacing w:before="40" w:after="40" w:line="220" w:lineRule="exact"/>
              <w:jc w:val="right"/>
              <w:rPr>
                <w:sz w:val="18"/>
              </w:rPr>
            </w:pPr>
            <w:r w:rsidRPr="004135D4">
              <w:rPr>
                <w:sz w:val="18"/>
                <w:lang w:val="fr-FR"/>
              </w:rPr>
              <w:t>8 000</w:t>
            </w:r>
          </w:p>
        </w:tc>
      </w:tr>
      <w:tr w:rsidR="004135D4" w:rsidRPr="004135D4" w14:paraId="07CB8E30" w14:textId="77777777" w:rsidTr="004135D4">
        <w:tc>
          <w:tcPr>
            <w:tcW w:w="2694" w:type="dxa"/>
            <w:gridSpan w:val="2"/>
            <w:tcBorders>
              <w:bottom w:val="single" w:sz="12" w:space="0" w:color="auto"/>
            </w:tcBorders>
            <w:shd w:val="clear" w:color="auto" w:fill="auto"/>
          </w:tcPr>
          <w:p w14:paraId="225562C2" w14:textId="616BD602" w:rsidR="00560776" w:rsidRPr="004135D4" w:rsidRDefault="00560776" w:rsidP="0094288E">
            <w:pPr>
              <w:suppressAutoHyphens w:val="0"/>
              <w:spacing w:before="40" w:after="40" w:line="220" w:lineRule="exact"/>
              <w:ind w:left="284"/>
              <w:rPr>
                <w:b/>
                <w:sz w:val="18"/>
                <w:lang w:val="fr-FR"/>
              </w:rPr>
            </w:pPr>
            <w:r w:rsidRPr="004135D4">
              <w:rPr>
                <w:b/>
                <w:bCs/>
                <w:sz w:val="18"/>
                <w:lang w:val="fr-FR"/>
              </w:rPr>
              <w:t xml:space="preserve">Montant total des dépenses engagées à ce titre </w:t>
            </w:r>
            <w:r w:rsidR="0094288E">
              <w:rPr>
                <w:b/>
                <w:bCs/>
                <w:sz w:val="18"/>
                <w:lang w:val="fr-FR"/>
              </w:rPr>
              <w:br/>
            </w:r>
            <w:r w:rsidRPr="004135D4">
              <w:rPr>
                <w:b/>
                <w:bCs/>
                <w:sz w:val="18"/>
                <w:lang w:val="fr-FR"/>
              </w:rPr>
              <w:t xml:space="preserve">(en milliards de </w:t>
            </w:r>
            <w:proofErr w:type="spellStart"/>
            <w:r w:rsidRPr="004135D4">
              <w:rPr>
                <w:b/>
                <w:bCs/>
                <w:sz w:val="18"/>
                <w:lang w:val="fr-FR"/>
              </w:rPr>
              <w:t>togrogs</w:t>
            </w:r>
            <w:proofErr w:type="spellEnd"/>
            <w:r w:rsidRPr="004135D4">
              <w:rPr>
                <w:b/>
                <w:bCs/>
                <w:sz w:val="18"/>
                <w:lang w:val="fr-FR"/>
              </w:rPr>
              <w:t>)</w:t>
            </w:r>
          </w:p>
        </w:tc>
        <w:tc>
          <w:tcPr>
            <w:tcW w:w="768" w:type="dxa"/>
            <w:tcBorders>
              <w:bottom w:val="single" w:sz="12" w:space="0" w:color="auto"/>
            </w:tcBorders>
            <w:shd w:val="clear" w:color="auto" w:fill="auto"/>
            <w:vAlign w:val="bottom"/>
          </w:tcPr>
          <w:p w14:paraId="40BA6220" w14:textId="77777777" w:rsidR="00560776" w:rsidRPr="004135D4" w:rsidRDefault="00560776" w:rsidP="004135D4">
            <w:pPr>
              <w:suppressAutoHyphens w:val="0"/>
              <w:spacing w:before="40" w:after="40" w:line="220" w:lineRule="exact"/>
              <w:jc w:val="right"/>
              <w:rPr>
                <w:b/>
                <w:bCs/>
                <w:sz w:val="18"/>
              </w:rPr>
            </w:pPr>
            <w:r w:rsidRPr="004135D4">
              <w:rPr>
                <w:b/>
                <w:bCs/>
                <w:sz w:val="18"/>
                <w:lang w:val="fr-FR"/>
              </w:rPr>
              <w:t>17,9</w:t>
            </w:r>
          </w:p>
        </w:tc>
        <w:tc>
          <w:tcPr>
            <w:tcW w:w="977" w:type="dxa"/>
            <w:tcBorders>
              <w:bottom w:val="single" w:sz="12" w:space="0" w:color="auto"/>
            </w:tcBorders>
            <w:shd w:val="clear" w:color="auto" w:fill="auto"/>
            <w:vAlign w:val="bottom"/>
          </w:tcPr>
          <w:p w14:paraId="49534190" w14:textId="77777777" w:rsidR="00560776" w:rsidRPr="004135D4" w:rsidRDefault="00560776" w:rsidP="004135D4">
            <w:pPr>
              <w:suppressAutoHyphens w:val="0"/>
              <w:spacing w:before="40" w:after="40" w:line="220" w:lineRule="exact"/>
              <w:jc w:val="right"/>
              <w:rPr>
                <w:b/>
                <w:bCs/>
                <w:sz w:val="18"/>
              </w:rPr>
            </w:pPr>
            <w:r w:rsidRPr="004135D4">
              <w:rPr>
                <w:b/>
                <w:bCs/>
                <w:sz w:val="18"/>
                <w:lang w:val="fr-FR"/>
              </w:rPr>
              <w:t>16,6</w:t>
            </w:r>
          </w:p>
        </w:tc>
        <w:tc>
          <w:tcPr>
            <w:tcW w:w="977" w:type="dxa"/>
            <w:tcBorders>
              <w:bottom w:val="single" w:sz="12" w:space="0" w:color="auto"/>
            </w:tcBorders>
            <w:shd w:val="clear" w:color="auto" w:fill="auto"/>
            <w:vAlign w:val="bottom"/>
          </w:tcPr>
          <w:p w14:paraId="1A070649" w14:textId="77777777" w:rsidR="00560776" w:rsidRPr="004135D4" w:rsidRDefault="00560776" w:rsidP="004135D4">
            <w:pPr>
              <w:suppressAutoHyphens w:val="0"/>
              <w:spacing w:before="40" w:after="40" w:line="220" w:lineRule="exact"/>
              <w:jc w:val="right"/>
              <w:rPr>
                <w:b/>
                <w:bCs/>
                <w:sz w:val="18"/>
              </w:rPr>
            </w:pPr>
            <w:r w:rsidRPr="004135D4">
              <w:rPr>
                <w:b/>
                <w:bCs/>
                <w:sz w:val="18"/>
                <w:lang w:val="fr-FR"/>
              </w:rPr>
              <w:t>20,4</w:t>
            </w:r>
          </w:p>
        </w:tc>
        <w:tc>
          <w:tcPr>
            <w:tcW w:w="977" w:type="dxa"/>
            <w:tcBorders>
              <w:bottom w:val="single" w:sz="12" w:space="0" w:color="auto"/>
            </w:tcBorders>
            <w:shd w:val="clear" w:color="auto" w:fill="auto"/>
            <w:vAlign w:val="bottom"/>
          </w:tcPr>
          <w:p w14:paraId="1A88D140" w14:textId="77777777" w:rsidR="00560776" w:rsidRPr="004135D4" w:rsidRDefault="00560776" w:rsidP="004135D4">
            <w:pPr>
              <w:suppressAutoHyphens w:val="0"/>
              <w:spacing w:before="40" w:after="40" w:line="220" w:lineRule="exact"/>
              <w:jc w:val="right"/>
              <w:rPr>
                <w:b/>
                <w:bCs/>
                <w:sz w:val="18"/>
              </w:rPr>
            </w:pPr>
            <w:r w:rsidRPr="004135D4">
              <w:rPr>
                <w:b/>
                <w:bCs/>
                <w:sz w:val="18"/>
                <w:lang w:val="fr-FR"/>
              </w:rPr>
              <w:t>36,2</w:t>
            </w:r>
          </w:p>
        </w:tc>
        <w:tc>
          <w:tcPr>
            <w:tcW w:w="977" w:type="dxa"/>
            <w:tcBorders>
              <w:bottom w:val="single" w:sz="12" w:space="0" w:color="auto"/>
            </w:tcBorders>
            <w:shd w:val="clear" w:color="auto" w:fill="auto"/>
            <w:vAlign w:val="bottom"/>
          </w:tcPr>
          <w:p w14:paraId="0DD0369B" w14:textId="77777777" w:rsidR="00560776" w:rsidRPr="004135D4" w:rsidRDefault="00560776" w:rsidP="004135D4">
            <w:pPr>
              <w:suppressAutoHyphens w:val="0"/>
              <w:spacing w:before="40" w:after="40" w:line="220" w:lineRule="exact"/>
              <w:jc w:val="right"/>
              <w:rPr>
                <w:b/>
                <w:bCs/>
                <w:sz w:val="18"/>
              </w:rPr>
            </w:pPr>
            <w:r w:rsidRPr="004135D4">
              <w:rPr>
                <w:b/>
                <w:bCs/>
                <w:sz w:val="18"/>
                <w:lang w:val="fr-FR"/>
              </w:rPr>
              <w:t>35,7</w:t>
            </w:r>
          </w:p>
        </w:tc>
      </w:tr>
    </w:tbl>
    <w:p w14:paraId="271A6B8E" w14:textId="1269F79A" w:rsidR="00560776" w:rsidRPr="004135D4" w:rsidRDefault="00560776" w:rsidP="004135D4">
      <w:pPr>
        <w:pStyle w:val="SingleTxtG"/>
        <w:spacing w:before="120"/>
        <w:ind w:firstLine="170"/>
        <w:rPr>
          <w:sz w:val="18"/>
          <w:szCs w:val="18"/>
        </w:rPr>
      </w:pPr>
      <w:r w:rsidRPr="00255530">
        <w:rPr>
          <w:i/>
          <w:iCs/>
          <w:sz w:val="18"/>
          <w:szCs w:val="18"/>
        </w:rPr>
        <w:t>Source</w:t>
      </w:r>
      <w:r w:rsidR="004135D4">
        <w:rPr>
          <w:sz w:val="18"/>
          <w:szCs w:val="18"/>
        </w:rPr>
        <w:t> </w:t>
      </w:r>
      <w:r w:rsidRPr="004135D4">
        <w:rPr>
          <w:sz w:val="18"/>
          <w:szCs w:val="18"/>
        </w:rPr>
        <w:t>: Rapport de la caisse de protection sociale pour 2015-2019.</w:t>
      </w:r>
    </w:p>
    <w:p w14:paraId="0E910505" w14:textId="7C2E1F03" w:rsidR="00560776" w:rsidRDefault="00560776" w:rsidP="00D40589">
      <w:pPr>
        <w:pStyle w:val="Titre1"/>
        <w:suppressAutoHyphens w:val="0"/>
        <w:spacing w:after="120"/>
        <w:rPr>
          <w:b/>
          <w:bCs/>
          <w:lang w:val="fr-FR"/>
        </w:rPr>
      </w:pPr>
      <w:r>
        <w:rPr>
          <w:lang w:val="fr-FR"/>
        </w:rPr>
        <w:lastRenderedPageBreak/>
        <w:t>Tableau 2</w:t>
      </w:r>
      <w:r w:rsidR="004135D4">
        <w:rPr>
          <w:lang w:val="fr-FR"/>
        </w:rPr>
        <w:t xml:space="preserve"> </w:t>
      </w:r>
      <w:r w:rsidR="004135D4">
        <w:rPr>
          <w:lang w:val="fr-FR"/>
        </w:rPr>
        <w:br/>
      </w:r>
      <w:r>
        <w:rPr>
          <w:b/>
          <w:bCs/>
          <w:lang w:val="fr-FR"/>
        </w:rPr>
        <w:t xml:space="preserve">Nombre de ménages et de citoyens (en milliers et en pourcentage) </w:t>
      </w:r>
      <w:r w:rsidR="004135D4">
        <w:rPr>
          <w:b/>
          <w:bCs/>
          <w:lang w:val="fr-FR"/>
        </w:rPr>
        <w:br/>
      </w:r>
      <w:r>
        <w:rPr>
          <w:b/>
          <w:bCs/>
          <w:lang w:val="fr-FR"/>
        </w:rPr>
        <w:t>bénéficiant des services d</w:t>
      </w:r>
      <w:r w:rsidR="009C7759">
        <w:rPr>
          <w:b/>
          <w:bCs/>
          <w:lang w:val="fr-FR"/>
        </w:rPr>
        <w:t>’</w:t>
      </w:r>
      <w:r>
        <w:rPr>
          <w:b/>
          <w:bCs/>
          <w:lang w:val="fr-FR"/>
        </w:rPr>
        <w:t>aide alimentaire et nutritionnelle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708"/>
        <w:gridCol w:w="446"/>
        <w:gridCol w:w="664"/>
        <w:gridCol w:w="641"/>
        <w:gridCol w:w="665"/>
        <w:gridCol w:w="641"/>
        <w:gridCol w:w="665"/>
        <w:gridCol w:w="641"/>
        <w:gridCol w:w="665"/>
        <w:gridCol w:w="641"/>
      </w:tblGrid>
      <w:tr w:rsidR="004135D4" w:rsidRPr="00DF0A94" w14:paraId="3B40AF56" w14:textId="77777777" w:rsidTr="004C0B14">
        <w:trPr>
          <w:tblHeader/>
        </w:trPr>
        <w:tc>
          <w:tcPr>
            <w:tcW w:w="993" w:type="dxa"/>
            <w:vMerge w:val="restart"/>
            <w:tcBorders>
              <w:top w:val="single" w:sz="4" w:space="0" w:color="auto"/>
              <w:bottom w:val="single" w:sz="12" w:space="0" w:color="auto"/>
            </w:tcBorders>
            <w:shd w:val="clear" w:color="auto" w:fill="auto"/>
            <w:vAlign w:val="bottom"/>
          </w:tcPr>
          <w:p w14:paraId="24A69923" w14:textId="77777777" w:rsidR="004135D4" w:rsidRPr="00DF0A94" w:rsidRDefault="004135D4" w:rsidP="00D40589">
            <w:pPr>
              <w:keepNext/>
              <w:keepLines/>
              <w:suppressAutoHyphens w:val="0"/>
              <w:spacing w:before="80" w:after="80" w:line="200" w:lineRule="exact"/>
              <w:ind w:right="113"/>
              <w:rPr>
                <w:i/>
                <w:sz w:val="16"/>
              </w:rPr>
            </w:pPr>
          </w:p>
        </w:tc>
        <w:tc>
          <w:tcPr>
            <w:tcW w:w="1154" w:type="dxa"/>
            <w:gridSpan w:val="2"/>
            <w:tcBorders>
              <w:top w:val="single" w:sz="4" w:space="0" w:color="auto"/>
              <w:bottom w:val="single" w:sz="4" w:space="0" w:color="auto"/>
              <w:right w:val="single" w:sz="24" w:space="0" w:color="FFFFFF" w:themeColor="background1"/>
            </w:tcBorders>
            <w:shd w:val="clear" w:color="auto" w:fill="auto"/>
            <w:vAlign w:val="bottom"/>
          </w:tcPr>
          <w:p w14:paraId="264DAC0F" w14:textId="77777777" w:rsidR="004135D4" w:rsidRPr="00DF0A94" w:rsidRDefault="004135D4" w:rsidP="00D40589">
            <w:pPr>
              <w:keepNext/>
              <w:keepLines/>
              <w:suppressAutoHyphens w:val="0"/>
              <w:spacing w:before="80" w:after="80" w:line="200" w:lineRule="exact"/>
              <w:ind w:right="113"/>
              <w:jc w:val="center"/>
              <w:rPr>
                <w:i/>
                <w:sz w:val="16"/>
              </w:rPr>
            </w:pPr>
            <w:r w:rsidRPr="00DF0A94">
              <w:rPr>
                <w:i/>
                <w:sz w:val="16"/>
              </w:rPr>
              <w:t>2015</w:t>
            </w:r>
          </w:p>
        </w:tc>
        <w:tc>
          <w:tcPr>
            <w:tcW w:w="130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CCE74D9" w14:textId="77777777" w:rsidR="004135D4" w:rsidRPr="00DF0A94" w:rsidRDefault="004135D4" w:rsidP="00D40589">
            <w:pPr>
              <w:keepNext/>
              <w:keepLines/>
              <w:suppressAutoHyphens w:val="0"/>
              <w:spacing w:before="80" w:after="80" w:line="200" w:lineRule="exact"/>
              <w:ind w:right="113"/>
              <w:jc w:val="center"/>
              <w:rPr>
                <w:i/>
                <w:sz w:val="16"/>
              </w:rPr>
            </w:pPr>
            <w:r w:rsidRPr="00DF0A94">
              <w:rPr>
                <w:i/>
                <w:sz w:val="16"/>
              </w:rPr>
              <w:t>2016</w:t>
            </w:r>
          </w:p>
        </w:tc>
        <w:tc>
          <w:tcPr>
            <w:tcW w:w="130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765618D" w14:textId="77777777" w:rsidR="004135D4" w:rsidRPr="00DF0A94" w:rsidRDefault="004135D4" w:rsidP="00D40589">
            <w:pPr>
              <w:keepNext/>
              <w:keepLines/>
              <w:suppressAutoHyphens w:val="0"/>
              <w:spacing w:before="80" w:after="80" w:line="200" w:lineRule="exact"/>
              <w:ind w:right="113"/>
              <w:jc w:val="center"/>
              <w:rPr>
                <w:i/>
                <w:sz w:val="16"/>
              </w:rPr>
            </w:pPr>
            <w:r w:rsidRPr="00DF0A94">
              <w:rPr>
                <w:i/>
                <w:sz w:val="16"/>
              </w:rPr>
              <w:t>2017</w:t>
            </w:r>
          </w:p>
        </w:tc>
        <w:tc>
          <w:tcPr>
            <w:tcW w:w="130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75C4B52" w14:textId="77777777" w:rsidR="004135D4" w:rsidRPr="00DF0A94" w:rsidRDefault="004135D4" w:rsidP="00D40589">
            <w:pPr>
              <w:keepNext/>
              <w:keepLines/>
              <w:suppressAutoHyphens w:val="0"/>
              <w:spacing w:before="80" w:after="80" w:line="200" w:lineRule="exact"/>
              <w:ind w:right="113"/>
              <w:jc w:val="center"/>
              <w:rPr>
                <w:i/>
                <w:sz w:val="16"/>
              </w:rPr>
            </w:pPr>
            <w:r w:rsidRPr="00DF0A94">
              <w:rPr>
                <w:i/>
                <w:sz w:val="16"/>
              </w:rPr>
              <w:t>2018</w:t>
            </w:r>
          </w:p>
        </w:tc>
        <w:tc>
          <w:tcPr>
            <w:tcW w:w="1306" w:type="dxa"/>
            <w:gridSpan w:val="2"/>
            <w:tcBorders>
              <w:top w:val="single" w:sz="4" w:space="0" w:color="auto"/>
              <w:left w:val="single" w:sz="24" w:space="0" w:color="FFFFFF" w:themeColor="background1"/>
              <w:bottom w:val="single" w:sz="4" w:space="0" w:color="auto"/>
            </w:tcBorders>
            <w:shd w:val="clear" w:color="auto" w:fill="auto"/>
            <w:vAlign w:val="bottom"/>
          </w:tcPr>
          <w:p w14:paraId="6AC24E3F" w14:textId="77777777" w:rsidR="004135D4" w:rsidRPr="00DF0A94" w:rsidRDefault="004135D4" w:rsidP="00D40589">
            <w:pPr>
              <w:keepNext/>
              <w:keepLines/>
              <w:suppressAutoHyphens w:val="0"/>
              <w:spacing w:before="80" w:after="80" w:line="200" w:lineRule="exact"/>
              <w:ind w:right="113"/>
              <w:jc w:val="center"/>
              <w:rPr>
                <w:i/>
                <w:sz w:val="16"/>
              </w:rPr>
            </w:pPr>
            <w:r w:rsidRPr="00DF0A94">
              <w:rPr>
                <w:i/>
                <w:sz w:val="16"/>
              </w:rPr>
              <w:t>2019</w:t>
            </w:r>
          </w:p>
        </w:tc>
      </w:tr>
      <w:tr w:rsidR="004135D4" w:rsidRPr="00DF0A94" w14:paraId="546EE15F" w14:textId="77777777" w:rsidTr="004135D4">
        <w:trPr>
          <w:tblHeader/>
        </w:trPr>
        <w:tc>
          <w:tcPr>
            <w:tcW w:w="993" w:type="dxa"/>
            <w:vMerge/>
            <w:tcBorders>
              <w:top w:val="single" w:sz="12" w:space="0" w:color="auto"/>
            </w:tcBorders>
            <w:shd w:val="clear" w:color="auto" w:fill="auto"/>
            <w:vAlign w:val="bottom"/>
          </w:tcPr>
          <w:p w14:paraId="3B935806" w14:textId="77777777" w:rsidR="004135D4" w:rsidRPr="00DF0A94" w:rsidRDefault="004135D4" w:rsidP="00D40589">
            <w:pPr>
              <w:keepNext/>
              <w:keepLines/>
              <w:suppressAutoHyphens w:val="0"/>
              <w:spacing w:before="40" w:after="40" w:line="220" w:lineRule="exact"/>
              <w:ind w:right="113"/>
              <w:rPr>
                <w:sz w:val="18"/>
              </w:rPr>
            </w:pPr>
          </w:p>
        </w:tc>
        <w:tc>
          <w:tcPr>
            <w:tcW w:w="708" w:type="dxa"/>
            <w:tcBorders>
              <w:top w:val="single" w:sz="4" w:space="0" w:color="auto"/>
              <w:bottom w:val="single" w:sz="12" w:space="0" w:color="auto"/>
            </w:tcBorders>
            <w:shd w:val="clear" w:color="auto" w:fill="auto"/>
            <w:vAlign w:val="bottom"/>
          </w:tcPr>
          <w:p w14:paraId="1EA4B998" w14:textId="03AB5BF3" w:rsidR="004135D4" w:rsidRPr="00CE17E1" w:rsidRDefault="004135D4" w:rsidP="00D40589">
            <w:pPr>
              <w:keepNext/>
              <w:keepLines/>
              <w:suppressAutoHyphens w:val="0"/>
              <w:spacing w:before="80" w:after="80" w:line="200" w:lineRule="exact"/>
              <w:ind w:right="113"/>
              <w:jc w:val="right"/>
              <w:rPr>
                <w:i/>
                <w:iCs/>
                <w:sz w:val="16"/>
                <w:szCs w:val="16"/>
              </w:rPr>
            </w:pPr>
            <w:r>
              <w:rPr>
                <w:i/>
                <w:iCs/>
                <w:sz w:val="16"/>
                <w:szCs w:val="16"/>
              </w:rPr>
              <w:t>Nombre</w:t>
            </w:r>
          </w:p>
        </w:tc>
        <w:tc>
          <w:tcPr>
            <w:tcW w:w="446" w:type="dxa"/>
            <w:tcBorders>
              <w:top w:val="single" w:sz="4" w:space="0" w:color="auto"/>
              <w:bottom w:val="single" w:sz="12" w:space="0" w:color="auto"/>
              <w:right w:val="single" w:sz="24" w:space="0" w:color="FFFFFF" w:themeColor="background1"/>
            </w:tcBorders>
            <w:shd w:val="clear" w:color="auto" w:fill="auto"/>
            <w:vAlign w:val="bottom"/>
          </w:tcPr>
          <w:p w14:paraId="3070C6C6" w14:textId="77777777" w:rsidR="004135D4" w:rsidRPr="00CE17E1" w:rsidRDefault="004135D4" w:rsidP="00D40589">
            <w:pPr>
              <w:keepNext/>
              <w:keepLines/>
              <w:suppressAutoHyphens w:val="0"/>
              <w:spacing w:before="80" w:after="80" w:line="200" w:lineRule="exact"/>
              <w:ind w:right="113"/>
              <w:jc w:val="right"/>
              <w:rPr>
                <w:i/>
                <w:iCs/>
                <w:sz w:val="16"/>
                <w:szCs w:val="16"/>
              </w:rPr>
            </w:pPr>
            <w:r w:rsidRPr="00CE17E1">
              <w:rPr>
                <w:i/>
                <w:iCs/>
                <w:sz w:val="16"/>
                <w:szCs w:val="16"/>
              </w:rPr>
              <w:t>%</w:t>
            </w:r>
          </w:p>
        </w:tc>
        <w:tc>
          <w:tcPr>
            <w:tcW w:w="664" w:type="dxa"/>
            <w:tcBorders>
              <w:top w:val="single" w:sz="4" w:space="0" w:color="auto"/>
              <w:left w:val="single" w:sz="24" w:space="0" w:color="FFFFFF" w:themeColor="background1"/>
              <w:bottom w:val="single" w:sz="12" w:space="0" w:color="auto"/>
            </w:tcBorders>
            <w:shd w:val="clear" w:color="auto" w:fill="auto"/>
            <w:vAlign w:val="bottom"/>
          </w:tcPr>
          <w:p w14:paraId="71866980" w14:textId="7052B36D" w:rsidR="004135D4" w:rsidRPr="00CE17E1" w:rsidRDefault="004135D4" w:rsidP="00D40589">
            <w:pPr>
              <w:keepNext/>
              <w:keepLines/>
              <w:suppressAutoHyphens w:val="0"/>
              <w:spacing w:before="80" w:after="80" w:line="200" w:lineRule="exact"/>
              <w:ind w:right="113"/>
              <w:jc w:val="right"/>
              <w:rPr>
                <w:i/>
                <w:iCs/>
                <w:sz w:val="16"/>
                <w:szCs w:val="16"/>
              </w:rPr>
            </w:pPr>
            <w:r>
              <w:rPr>
                <w:i/>
                <w:iCs/>
                <w:sz w:val="16"/>
                <w:szCs w:val="16"/>
              </w:rPr>
              <w:t>Nombre</w:t>
            </w:r>
          </w:p>
        </w:tc>
        <w:tc>
          <w:tcPr>
            <w:tcW w:w="641" w:type="dxa"/>
            <w:tcBorders>
              <w:top w:val="single" w:sz="4" w:space="0" w:color="auto"/>
              <w:bottom w:val="single" w:sz="12" w:space="0" w:color="auto"/>
              <w:right w:val="single" w:sz="24" w:space="0" w:color="FFFFFF" w:themeColor="background1"/>
            </w:tcBorders>
            <w:shd w:val="clear" w:color="auto" w:fill="auto"/>
            <w:vAlign w:val="bottom"/>
          </w:tcPr>
          <w:p w14:paraId="4C8A4FF5" w14:textId="77777777" w:rsidR="004135D4" w:rsidRPr="00CE17E1" w:rsidRDefault="004135D4" w:rsidP="00D40589">
            <w:pPr>
              <w:keepNext/>
              <w:keepLines/>
              <w:suppressAutoHyphens w:val="0"/>
              <w:spacing w:before="80" w:after="80" w:line="200" w:lineRule="exact"/>
              <w:ind w:right="113"/>
              <w:jc w:val="right"/>
              <w:rPr>
                <w:i/>
                <w:iCs/>
                <w:sz w:val="16"/>
                <w:szCs w:val="16"/>
              </w:rPr>
            </w:pPr>
            <w:r w:rsidRPr="00CE17E1">
              <w:rPr>
                <w:i/>
                <w:iCs/>
                <w:sz w:val="16"/>
                <w:szCs w:val="16"/>
              </w:rPr>
              <w:t>%</w:t>
            </w:r>
          </w:p>
        </w:tc>
        <w:tc>
          <w:tcPr>
            <w:tcW w:w="665" w:type="dxa"/>
            <w:tcBorders>
              <w:top w:val="single" w:sz="4" w:space="0" w:color="auto"/>
              <w:left w:val="single" w:sz="24" w:space="0" w:color="FFFFFF" w:themeColor="background1"/>
              <w:bottom w:val="single" w:sz="12" w:space="0" w:color="auto"/>
            </w:tcBorders>
            <w:shd w:val="clear" w:color="auto" w:fill="auto"/>
            <w:vAlign w:val="bottom"/>
          </w:tcPr>
          <w:p w14:paraId="712A389A" w14:textId="3A8C7112" w:rsidR="004135D4" w:rsidRPr="00CE17E1" w:rsidRDefault="004135D4" w:rsidP="00D40589">
            <w:pPr>
              <w:keepNext/>
              <w:keepLines/>
              <w:suppressAutoHyphens w:val="0"/>
              <w:spacing w:before="80" w:after="80" w:line="200" w:lineRule="exact"/>
              <w:ind w:right="113"/>
              <w:jc w:val="right"/>
              <w:rPr>
                <w:i/>
                <w:iCs/>
                <w:sz w:val="16"/>
                <w:szCs w:val="16"/>
              </w:rPr>
            </w:pPr>
            <w:r>
              <w:rPr>
                <w:i/>
                <w:iCs/>
                <w:sz w:val="16"/>
                <w:szCs w:val="16"/>
              </w:rPr>
              <w:t>Nombre</w:t>
            </w:r>
          </w:p>
        </w:tc>
        <w:tc>
          <w:tcPr>
            <w:tcW w:w="641" w:type="dxa"/>
            <w:tcBorders>
              <w:top w:val="single" w:sz="4" w:space="0" w:color="auto"/>
              <w:bottom w:val="single" w:sz="12" w:space="0" w:color="auto"/>
              <w:right w:val="single" w:sz="24" w:space="0" w:color="FFFFFF" w:themeColor="background1"/>
            </w:tcBorders>
            <w:shd w:val="clear" w:color="auto" w:fill="auto"/>
            <w:vAlign w:val="bottom"/>
          </w:tcPr>
          <w:p w14:paraId="7BCA5A89" w14:textId="77777777" w:rsidR="004135D4" w:rsidRPr="00CE17E1" w:rsidRDefault="004135D4" w:rsidP="00D40589">
            <w:pPr>
              <w:keepNext/>
              <w:keepLines/>
              <w:suppressAutoHyphens w:val="0"/>
              <w:spacing w:before="80" w:after="80" w:line="200" w:lineRule="exact"/>
              <w:ind w:right="113"/>
              <w:jc w:val="right"/>
              <w:rPr>
                <w:i/>
                <w:iCs/>
                <w:sz w:val="16"/>
                <w:szCs w:val="16"/>
              </w:rPr>
            </w:pPr>
            <w:r w:rsidRPr="00CE17E1">
              <w:rPr>
                <w:i/>
                <w:iCs/>
                <w:sz w:val="16"/>
                <w:szCs w:val="16"/>
              </w:rPr>
              <w:t>%</w:t>
            </w:r>
          </w:p>
        </w:tc>
        <w:tc>
          <w:tcPr>
            <w:tcW w:w="665" w:type="dxa"/>
            <w:tcBorders>
              <w:top w:val="single" w:sz="4" w:space="0" w:color="auto"/>
              <w:left w:val="single" w:sz="24" w:space="0" w:color="FFFFFF" w:themeColor="background1"/>
              <w:bottom w:val="single" w:sz="12" w:space="0" w:color="auto"/>
            </w:tcBorders>
            <w:shd w:val="clear" w:color="auto" w:fill="auto"/>
            <w:vAlign w:val="bottom"/>
          </w:tcPr>
          <w:p w14:paraId="1D003DDF" w14:textId="46B43AEF" w:rsidR="004135D4" w:rsidRPr="00CE17E1" w:rsidRDefault="004135D4" w:rsidP="00D40589">
            <w:pPr>
              <w:keepNext/>
              <w:keepLines/>
              <w:suppressAutoHyphens w:val="0"/>
              <w:spacing w:before="80" w:after="80" w:line="200" w:lineRule="exact"/>
              <w:ind w:right="113"/>
              <w:jc w:val="right"/>
              <w:rPr>
                <w:i/>
                <w:iCs/>
                <w:sz w:val="16"/>
                <w:szCs w:val="16"/>
              </w:rPr>
            </w:pPr>
            <w:r>
              <w:rPr>
                <w:i/>
                <w:iCs/>
                <w:sz w:val="16"/>
                <w:szCs w:val="16"/>
              </w:rPr>
              <w:t>Nombre</w:t>
            </w:r>
          </w:p>
        </w:tc>
        <w:tc>
          <w:tcPr>
            <w:tcW w:w="641" w:type="dxa"/>
            <w:tcBorders>
              <w:top w:val="single" w:sz="4" w:space="0" w:color="auto"/>
              <w:bottom w:val="single" w:sz="12" w:space="0" w:color="auto"/>
              <w:right w:val="single" w:sz="24" w:space="0" w:color="FFFFFF" w:themeColor="background1"/>
            </w:tcBorders>
            <w:shd w:val="clear" w:color="auto" w:fill="auto"/>
            <w:vAlign w:val="bottom"/>
          </w:tcPr>
          <w:p w14:paraId="2D52507B" w14:textId="77777777" w:rsidR="004135D4" w:rsidRPr="00CE17E1" w:rsidRDefault="004135D4" w:rsidP="00D40589">
            <w:pPr>
              <w:keepNext/>
              <w:keepLines/>
              <w:suppressAutoHyphens w:val="0"/>
              <w:spacing w:before="80" w:after="80" w:line="200" w:lineRule="exact"/>
              <w:ind w:right="113"/>
              <w:jc w:val="right"/>
              <w:rPr>
                <w:i/>
                <w:iCs/>
                <w:sz w:val="16"/>
                <w:szCs w:val="16"/>
              </w:rPr>
            </w:pPr>
            <w:r w:rsidRPr="00CE17E1">
              <w:rPr>
                <w:i/>
                <w:iCs/>
                <w:sz w:val="16"/>
                <w:szCs w:val="16"/>
              </w:rPr>
              <w:t>%</w:t>
            </w:r>
          </w:p>
        </w:tc>
        <w:tc>
          <w:tcPr>
            <w:tcW w:w="665" w:type="dxa"/>
            <w:tcBorders>
              <w:top w:val="single" w:sz="4" w:space="0" w:color="auto"/>
              <w:left w:val="single" w:sz="24" w:space="0" w:color="FFFFFF" w:themeColor="background1"/>
              <w:bottom w:val="single" w:sz="12" w:space="0" w:color="auto"/>
            </w:tcBorders>
            <w:shd w:val="clear" w:color="auto" w:fill="auto"/>
            <w:vAlign w:val="bottom"/>
          </w:tcPr>
          <w:p w14:paraId="49E64890" w14:textId="655BBC5C" w:rsidR="004135D4" w:rsidRPr="00CE17E1" w:rsidRDefault="004135D4" w:rsidP="00D40589">
            <w:pPr>
              <w:keepNext/>
              <w:keepLines/>
              <w:suppressAutoHyphens w:val="0"/>
              <w:spacing w:before="80" w:after="80" w:line="200" w:lineRule="exact"/>
              <w:ind w:right="113"/>
              <w:jc w:val="right"/>
              <w:rPr>
                <w:i/>
                <w:iCs/>
                <w:sz w:val="16"/>
                <w:szCs w:val="16"/>
              </w:rPr>
            </w:pPr>
            <w:r>
              <w:rPr>
                <w:i/>
                <w:iCs/>
                <w:sz w:val="16"/>
                <w:szCs w:val="16"/>
              </w:rPr>
              <w:t>Nombre</w:t>
            </w:r>
          </w:p>
        </w:tc>
        <w:tc>
          <w:tcPr>
            <w:tcW w:w="641" w:type="dxa"/>
            <w:tcBorders>
              <w:top w:val="single" w:sz="4" w:space="0" w:color="auto"/>
              <w:bottom w:val="single" w:sz="12" w:space="0" w:color="auto"/>
            </w:tcBorders>
            <w:shd w:val="clear" w:color="auto" w:fill="auto"/>
            <w:vAlign w:val="bottom"/>
          </w:tcPr>
          <w:p w14:paraId="227A99E6" w14:textId="77777777" w:rsidR="004135D4" w:rsidRPr="00CE17E1" w:rsidRDefault="004135D4" w:rsidP="00D40589">
            <w:pPr>
              <w:keepNext/>
              <w:keepLines/>
              <w:suppressAutoHyphens w:val="0"/>
              <w:spacing w:before="80" w:after="80" w:line="200" w:lineRule="exact"/>
              <w:ind w:right="113"/>
              <w:jc w:val="right"/>
              <w:rPr>
                <w:i/>
                <w:iCs/>
                <w:sz w:val="16"/>
                <w:szCs w:val="16"/>
              </w:rPr>
            </w:pPr>
            <w:r w:rsidRPr="00CE17E1">
              <w:rPr>
                <w:i/>
                <w:iCs/>
                <w:sz w:val="16"/>
                <w:szCs w:val="16"/>
              </w:rPr>
              <w:t>%</w:t>
            </w:r>
          </w:p>
        </w:tc>
      </w:tr>
      <w:tr w:rsidR="004135D4" w:rsidRPr="00DF0A94" w14:paraId="1B81FB44" w14:textId="77777777" w:rsidTr="004135D4">
        <w:tc>
          <w:tcPr>
            <w:tcW w:w="993" w:type="dxa"/>
            <w:shd w:val="clear" w:color="auto" w:fill="auto"/>
          </w:tcPr>
          <w:p w14:paraId="3CC8EB07" w14:textId="2DD6C002" w:rsidR="004135D4" w:rsidRPr="00DF0A94" w:rsidRDefault="004135D4" w:rsidP="00D40589">
            <w:pPr>
              <w:keepNext/>
              <w:keepLines/>
              <w:suppressAutoHyphens w:val="0"/>
              <w:spacing w:before="40" w:after="40" w:line="220" w:lineRule="exact"/>
              <w:ind w:right="113"/>
              <w:rPr>
                <w:sz w:val="18"/>
              </w:rPr>
            </w:pPr>
            <w:r>
              <w:rPr>
                <w:sz w:val="18"/>
              </w:rPr>
              <w:t>Ménages</w:t>
            </w:r>
          </w:p>
        </w:tc>
        <w:tc>
          <w:tcPr>
            <w:tcW w:w="708" w:type="dxa"/>
            <w:tcBorders>
              <w:top w:val="single" w:sz="12" w:space="0" w:color="auto"/>
            </w:tcBorders>
            <w:shd w:val="clear" w:color="auto" w:fill="auto"/>
            <w:vAlign w:val="bottom"/>
          </w:tcPr>
          <w:p w14:paraId="02ED4C81" w14:textId="5CAF358B" w:rsidR="004135D4" w:rsidRPr="00DF0A94" w:rsidRDefault="004135D4" w:rsidP="00D40589">
            <w:pPr>
              <w:keepNext/>
              <w:keepLines/>
              <w:suppressAutoHyphens w:val="0"/>
              <w:spacing w:before="40" w:after="40" w:line="220" w:lineRule="exact"/>
              <w:ind w:right="113"/>
              <w:jc w:val="right"/>
              <w:rPr>
                <w:sz w:val="18"/>
              </w:rPr>
            </w:pPr>
            <w:r w:rsidRPr="00DF0A94">
              <w:rPr>
                <w:sz w:val="18"/>
              </w:rPr>
              <w:t>26</w:t>
            </w:r>
            <w:r w:rsidR="00D40589">
              <w:rPr>
                <w:sz w:val="18"/>
              </w:rPr>
              <w:t>,</w:t>
            </w:r>
            <w:r w:rsidRPr="00DF0A94">
              <w:rPr>
                <w:sz w:val="18"/>
              </w:rPr>
              <w:t>5</w:t>
            </w:r>
          </w:p>
        </w:tc>
        <w:tc>
          <w:tcPr>
            <w:tcW w:w="446" w:type="dxa"/>
            <w:tcBorders>
              <w:top w:val="single" w:sz="12" w:space="0" w:color="auto"/>
            </w:tcBorders>
            <w:shd w:val="clear" w:color="auto" w:fill="auto"/>
            <w:vAlign w:val="bottom"/>
          </w:tcPr>
          <w:p w14:paraId="649CA5FC" w14:textId="35A47252" w:rsidR="004135D4" w:rsidRPr="00DF0A94" w:rsidRDefault="004135D4" w:rsidP="00D40589">
            <w:pPr>
              <w:keepNext/>
              <w:keepLines/>
              <w:suppressAutoHyphens w:val="0"/>
              <w:spacing w:before="40" w:after="40" w:line="220" w:lineRule="exact"/>
              <w:ind w:right="113"/>
              <w:jc w:val="right"/>
              <w:rPr>
                <w:sz w:val="18"/>
              </w:rPr>
            </w:pPr>
            <w:r w:rsidRPr="00DF0A94">
              <w:rPr>
                <w:sz w:val="18"/>
              </w:rPr>
              <w:t>3</w:t>
            </w:r>
            <w:r w:rsidR="00D40589">
              <w:rPr>
                <w:sz w:val="18"/>
              </w:rPr>
              <w:t>,</w:t>
            </w:r>
            <w:r w:rsidRPr="00DF0A94">
              <w:rPr>
                <w:sz w:val="18"/>
              </w:rPr>
              <w:t>1</w:t>
            </w:r>
          </w:p>
        </w:tc>
        <w:tc>
          <w:tcPr>
            <w:tcW w:w="664" w:type="dxa"/>
            <w:tcBorders>
              <w:top w:val="single" w:sz="12" w:space="0" w:color="auto"/>
            </w:tcBorders>
            <w:shd w:val="clear" w:color="auto" w:fill="auto"/>
            <w:vAlign w:val="bottom"/>
          </w:tcPr>
          <w:p w14:paraId="6898AC6F" w14:textId="3EBDF954" w:rsidR="004135D4" w:rsidRPr="00DF0A94" w:rsidRDefault="004135D4" w:rsidP="00D40589">
            <w:pPr>
              <w:keepNext/>
              <w:keepLines/>
              <w:suppressAutoHyphens w:val="0"/>
              <w:spacing w:before="40" w:after="40" w:line="220" w:lineRule="exact"/>
              <w:ind w:right="113"/>
              <w:jc w:val="right"/>
              <w:rPr>
                <w:sz w:val="18"/>
              </w:rPr>
            </w:pPr>
            <w:r w:rsidRPr="00DF0A94">
              <w:rPr>
                <w:sz w:val="18"/>
              </w:rPr>
              <w:t>26</w:t>
            </w:r>
            <w:r w:rsidR="00D40589">
              <w:rPr>
                <w:sz w:val="18"/>
              </w:rPr>
              <w:t>,</w:t>
            </w:r>
            <w:r w:rsidRPr="00DF0A94">
              <w:rPr>
                <w:sz w:val="18"/>
              </w:rPr>
              <w:t>5</w:t>
            </w:r>
          </w:p>
        </w:tc>
        <w:tc>
          <w:tcPr>
            <w:tcW w:w="641" w:type="dxa"/>
            <w:tcBorders>
              <w:top w:val="single" w:sz="12" w:space="0" w:color="auto"/>
            </w:tcBorders>
            <w:shd w:val="clear" w:color="auto" w:fill="auto"/>
            <w:vAlign w:val="bottom"/>
          </w:tcPr>
          <w:p w14:paraId="441C00C8" w14:textId="565F0C85" w:rsidR="004135D4" w:rsidRPr="00DF0A94" w:rsidRDefault="004135D4" w:rsidP="00D40589">
            <w:pPr>
              <w:keepNext/>
              <w:keepLines/>
              <w:suppressAutoHyphens w:val="0"/>
              <w:spacing w:before="40" w:after="40" w:line="220" w:lineRule="exact"/>
              <w:ind w:right="113"/>
              <w:jc w:val="right"/>
              <w:rPr>
                <w:sz w:val="18"/>
              </w:rPr>
            </w:pPr>
            <w:r w:rsidRPr="00DF0A94">
              <w:rPr>
                <w:sz w:val="18"/>
              </w:rPr>
              <w:t>3</w:t>
            </w:r>
            <w:r w:rsidR="00D40589">
              <w:rPr>
                <w:sz w:val="18"/>
              </w:rPr>
              <w:t>,</w:t>
            </w:r>
            <w:r w:rsidRPr="00DF0A94">
              <w:rPr>
                <w:sz w:val="18"/>
              </w:rPr>
              <w:t>1</w:t>
            </w:r>
          </w:p>
        </w:tc>
        <w:tc>
          <w:tcPr>
            <w:tcW w:w="665" w:type="dxa"/>
            <w:tcBorders>
              <w:top w:val="single" w:sz="12" w:space="0" w:color="auto"/>
            </w:tcBorders>
            <w:shd w:val="clear" w:color="auto" w:fill="auto"/>
            <w:vAlign w:val="bottom"/>
          </w:tcPr>
          <w:p w14:paraId="0156C610" w14:textId="42977055" w:rsidR="004135D4" w:rsidRPr="00DF0A94" w:rsidRDefault="004135D4" w:rsidP="00D40589">
            <w:pPr>
              <w:keepNext/>
              <w:keepLines/>
              <w:suppressAutoHyphens w:val="0"/>
              <w:spacing w:before="40" w:after="40" w:line="220" w:lineRule="exact"/>
              <w:ind w:right="113"/>
              <w:jc w:val="right"/>
              <w:rPr>
                <w:sz w:val="18"/>
              </w:rPr>
            </w:pPr>
            <w:r w:rsidRPr="00DF0A94">
              <w:rPr>
                <w:sz w:val="18"/>
              </w:rPr>
              <w:t>46</w:t>
            </w:r>
            <w:r w:rsidR="00D40589">
              <w:rPr>
                <w:sz w:val="18"/>
              </w:rPr>
              <w:t>,</w:t>
            </w:r>
            <w:r w:rsidRPr="00DF0A94">
              <w:rPr>
                <w:sz w:val="18"/>
              </w:rPr>
              <w:t>4</w:t>
            </w:r>
          </w:p>
        </w:tc>
        <w:tc>
          <w:tcPr>
            <w:tcW w:w="641" w:type="dxa"/>
            <w:tcBorders>
              <w:top w:val="single" w:sz="12" w:space="0" w:color="auto"/>
            </w:tcBorders>
            <w:shd w:val="clear" w:color="auto" w:fill="auto"/>
            <w:vAlign w:val="bottom"/>
          </w:tcPr>
          <w:p w14:paraId="78F8F946" w14:textId="6FB836BC" w:rsidR="004135D4" w:rsidRPr="00DF0A94" w:rsidRDefault="004135D4" w:rsidP="00D40589">
            <w:pPr>
              <w:keepNext/>
              <w:keepLines/>
              <w:suppressAutoHyphens w:val="0"/>
              <w:spacing w:before="40" w:after="40" w:line="220" w:lineRule="exact"/>
              <w:ind w:right="113"/>
              <w:jc w:val="right"/>
              <w:rPr>
                <w:sz w:val="18"/>
              </w:rPr>
            </w:pPr>
            <w:r w:rsidRPr="00DF0A94">
              <w:rPr>
                <w:sz w:val="18"/>
              </w:rPr>
              <w:t>5</w:t>
            </w:r>
            <w:r w:rsidR="00D40589">
              <w:rPr>
                <w:sz w:val="18"/>
              </w:rPr>
              <w:t>,</w:t>
            </w:r>
            <w:r w:rsidRPr="00DF0A94">
              <w:rPr>
                <w:sz w:val="18"/>
              </w:rPr>
              <w:t>2</w:t>
            </w:r>
          </w:p>
        </w:tc>
        <w:tc>
          <w:tcPr>
            <w:tcW w:w="665" w:type="dxa"/>
            <w:tcBorders>
              <w:top w:val="single" w:sz="12" w:space="0" w:color="auto"/>
            </w:tcBorders>
            <w:shd w:val="clear" w:color="auto" w:fill="auto"/>
            <w:vAlign w:val="bottom"/>
          </w:tcPr>
          <w:p w14:paraId="027FEBBE" w14:textId="74121346" w:rsidR="004135D4" w:rsidRPr="00DF0A94" w:rsidRDefault="004135D4" w:rsidP="00D40589">
            <w:pPr>
              <w:keepNext/>
              <w:keepLines/>
              <w:suppressAutoHyphens w:val="0"/>
              <w:spacing w:before="40" w:after="40" w:line="220" w:lineRule="exact"/>
              <w:ind w:right="113"/>
              <w:jc w:val="right"/>
              <w:rPr>
                <w:sz w:val="18"/>
              </w:rPr>
            </w:pPr>
            <w:r w:rsidRPr="00DF0A94">
              <w:rPr>
                <w:sz w:val="18"/>
              </w:rPr>
              <w:t>47</w:t>
            </w:r>
            <w:r w:rsidR="00D40589">
              <w:rPr>
                <w:sz w:val="18"/>
              </w:rPr>
              <w:t>,</w:t>
            </w:r>
            <w:r w:rsidRPr="00DF0A94">
              <w:rPr>
                <w:sz w:val="18"/>
              </w:rPr>
              <w:t>3</w:t>
            </w:r>
          </w:p>
        </w:tc>
        <w:tc>
          <w:tcPr>
            <w:tcW w:w="641" w:type="dxa"/>
            <w:tcBorders>
              <w:top w:val="single" w:sz="12" w:space="0" w:color="auto"/>
            </w:tcBorders>
            <w:shd w:val="clear" w:color="auto" w:fill="auto"/>
            <w:vAlign w:val="bottom"/>
          </w:tcPr>
          <w:p w14:paraId="00839A0A" w14:textId="12ECD536" w:rsidR="004135D4" w:rsidRPr="00DF0A94" w:rsidRDefault="004135D4" w:rsidP="00D40589">
            <w:pPr>
              <w:keepNext/>
              <w:keepLines/>
              <w:suppressAutoHyphens w:val="0"/>
              <w:spacing w:before="40" w:after="40" w:line="220" w:lineRule="exact"/>
              <w:ind w:right="113"/>
              <w:jc w:val="right"/>
              <w:rPr>
                <w:sz w:val="18"/>
              </w:rPr>
            </w:pPr>
            <w:r w:rsidRPr="00DF0A94">
              <w:rPr>
                <w:sz w:val="18"/>
              </w:rPr>
              <w:t>5</w:t>
            </w:r>
            <w:r w:rsidR="00D40589">
              <w:rPr>
                <w:sz w:val="18"/>
              </w:rPr>
              <w:t>,</w:t>
            </w:r>
            <w:r w:rsidRPr="00DF0A94">
              <w:rPr>
                <w:sz w:val="18"/>
              </w:rPr>
              <w:t>3</w:t>
            </w:r>
          </w:p>
        </w:tc>
        <w:tc>
          <w:tcPr>
            <w:tcW w:w="665" w:type="dxa"/>
            <w:tcBorders>
              <w:top w:val="single" w:sz="12" w:space="0" w:color="auto"/>
            </w:tcBorders>
            <w:shd w:val="clear" w:color="auto" w:fill="auto"/>
            <w:vAlign w:val="bottom"/>
          </w:tcPr>
          <w:p w14:paraId="53B92616" w14:textId="2C4DEC71" w:rsidR="004135D4" w:rsidRPr="00DF0A94" w:rsidRDefault="004135D4" w:rsidP="00D40589">
            <w:pPr>
              <w:keepNext/>
              <w:keepLines/>
              <w:suppressAutoHyphens w:val="0"/>
              <w:spacing w:before="40" w:after="40" w:line="220" w:lineRule="exact"/>
              <w:ind w:right="113"/>
              <w:jc w:val="right"/>
              <w:rPr>
                <w:sz w:val="18"/>
              </w:rPr>
            </w:pPr>
            <w:r w:rsidRPr="00DF0A94">
              <w:rPr>
                <w:sz w:val="18"/>
              </w:rPr>
              <w:t>44</w:t>
            </w:r>
            <w:r w:rsidR="00D40589">
              <w:rPr>
                <w:sz w:val="18"/>
              </w:rPr>
              <w:t>,</w:t>
            </w:r>
            <w:r w:rsidRPr="00DF0A94">
              <w:rPr>
                <w:sz w:val="18"/>
              </w:rPr>
              <w:t>8</w:t>
            </w:r>
          </w:p>
        </w:tc>
        <w:tc>
          <w:tcPr>
            <w:tcW w:w="641" w:type="dxa"/>
            <w:tcBorders>
              <w:top w:val="single" w:sz="12" w:space="0" w:color="auto"/>
            </w:tcBorders>
            <w:shd w:val="clear" w:color="auto" w:fill="auto"/>
            <w:vAlign w:val="bottom"/>
          </w:tcPr>
          <w:p w14:paraId="00F6EA2A" w14:textId="437A2341" w:rsidR="004135D4" w:rsidRPr="00DF0A94" w:rsidRDefault="004135D4" w:rsidP="00D40589">
            <w:pPr>
              <w:keepNext/>
              <w:keepLines/>
              <w:suppressAutoHyphens w:val="0"/>
              <w:spacing w:before="40" w:after="40" w:line="220" w:lineRule="exact"/>
              <w:ind w:right="113"/>
              <w:jc w:val="right"/>
              <w:rPr>
                <w:sz w:val="18"/>
              </w:rPr>
            </w:pPr>
            <w:r w:rsidRPr="00DF0A94">
              <w:rPr>
                <w:sz w:val="18"/>
              </w:rPr>
              <w:t>5</w:t>
            </w:r>
            <w:r w:rsidR="00D40589">
              <w:rPr>
                <w:sz w:val="18"/>
              </w:rPr>
              <w:t>,</w:t>
            </w:r>
            <w:r w:rsidRPr="00DF0A94">
              <w:rPr>
                <w:sz w:val="18"/>
              </w:rPr>
              <w:t>0</w:t>
            </w:r>
          </w:p>
        </w:tc>
      </w:tr>
      <w:tr w:rsidR="004135D4" w:rsidRPr="00DF0A94" w14:paraId="51C30BCA" w14:textId="77777777" w:rsidTr="004135D4">
        <w:tc>
          <w:tcPr>
            <w:tcW w:w="993" w:type="dxa"/>
            <w:shd w:val="clear" w:color="auto" w:fill="auto"/>
          </w:tcPr>
          <w:p w14:paraId="64912769" w14:textId="47B5F491" w:rsidR="004135D4" w:rsidRPr="00DF0A94" w:rsidRDefault="004135D4" w:rsidP="00D40589">
            <w:pPr>
              <w:keepNext/>
              <w:keepLines/>
              <w:suppressAutoHyphens w:val="0"/>
              <w:spacing w:before="40" w:after="40" w:line="220" w:lineRule="exact"/>
              <w:ind w:right="113"/>
              <w:rPr>
                <w:sz w:val="18"/>
              </w:rPr>
            </w:pPr>
            <w:r w:rsidRPr="00DF0A94">
              <w:rPr>
                <w:sz w:val="18"/>
              </w:rPr>
              <w:t>Cit</w:t>
            </w:r>
            <w:r>
              <w:rPr>
                <w:sz w:val="18"/>
              </w:rPr>
              <w:t>oyens</w:t>
            </w:r>
            <w:r w:rsidRPr="00DF0A94">
              <w:rPr>
                <w:sz w:val="18"/>
              </w:rPr>
              <w:t xml:space="preserve"> </w:t>
            </w:r>
          </w:p>
        </w:tc>
        <w:tc>
          <w:tcPr>
            <w:tcW w:w="708" w:type="dxa"/>
            <w:shd w:val="clear" w:color="auto" w:fill="auto"/>
            <w:vAlign w:val="bottom"/>
          </w:tcPr>
          <w:p w14:paraId="2FA1C5F8" w14:textId="219C1F40" w:rsidR="004135D4" w:rsidRPr="00DF0A94" w:rsidRDefault="004135D4" w:rsidP="00D40589">
            <w:pPr>
              <w:keepNext/>
              <w:keepLines/>
              <w:suppressAutoHyphens w:val="0"/>
              <w:spacing w:before="40" w:after="40" w:line="220" w:lineRule="exact"/>
              <w:ind w:right="113"/>
              <w:jc w:val="right"/>
              <w:rPr>
                <w:sz w:val="18"/>
              </w:rPr>
            </w:pPr>
            <w:r w:rsidRPr="00DF0A94">
              <w:rPr>
                <w:sz w:val="18"/>
              </w:rPr>
              <w:t>137</w:t>
            </w:r>
            <w:r w:rsidR="00D40589">
              <w:rPr>
                <w:sz w:val="18"/>
              </w:rPr>
              <w:t>,</w:t>
            </w:r>
            <w:r w:rsidRPr="00DF0A94">
              <w:rPr>
                <w:sz w:val="18"/>
              </w:rPr>
              <w:t>8</w:t>
            </w:r>
          </w:p>
        </w:tc>
        <w:tc>
          <w:tcPr>
            <w:tcW w:w="446" w:type="dxa"/>
            <w:shd w:val="clear" w:color="auto" w:fill="auto"/>
            <w:vAlign w:val="bottom"/>
          </w:tcPr>
          <w:p w14:paraId="6C347C94" w14:textId="1DCEEB97" w:rsidR="004135D4" w:rsidRPr="00DF0A94" w:rsidRDefault="004135D4" w:rsidP="00D40589">
            <w:pPr>
              <w:keepNext/>
              <w:keepLines/>
              <w:suppressAutoHyphens w:val="0"/>
              <w:spacing w:before="40" w:after="40" w:line="220" w:lineRule="exact"/>
              <w:ind w:right="113"/>
              <w:jc w:val="right"/>
              <w:rPr>
                <w:sz w:val="18"/>
              </w:rPr>
            </w:pPr>
            <w:r w:rsidRPr="00DF0A94">
              <w:rPr>
                <w:sz w:val="18"/>
              </w:rPr>
              <w:t>4</w:t>
            </w:r>
            <w:r w:rsidR="00D40589">
              <w:rPr>
                <w:sz w:val="18"/>
              </w:rPr>
              <w:t>,</w:t>
            </w:r>
            <w:r w:rsidRPr="00DF0A94">
              <w:rPr>
                <w:sz w:val="18"/>
              </w:rPr>
              <w:t>5</w:t>
            </w:r>
          </w:p>
        </w:tc>
        <w:tc>
          <w:tcPr>
            <w:tcW w:w="664" w:type="dxa"/>
            <w:shd w:val="clear" w:color="auto" w:fill="auto"/>
            <w:vAlign w:val="bottom"/>
          </w:tcPr>
          <w:p w14:paraId="349C3087" w14:textId="06E6FAD3" w:rsidR="004135D4" w:rsidRPr="00DF0A94" w:rsidRDefault="004135D4" w:rsidP="00D40589">
            <w:pPr>
              <w:keepNext/>
              <w:keepLines/>
              <w:suppressAutoHyphens w:val="0"/>
              <w:spacing w:before="40" w:after="40" w:line="220" w:lineRule="exact"/>
              <w:ind w:right="113"/>
              <w:jc w:val="right"/>
              <w:rPr>
                <w:sz w:val="18"/>
              </w:rPr>
            </w:pPr>
            <w:r w:rsidRPr="00DF0A94">
              <w:rPr>
                <w:sz w:val="18"/>
              </w:rPr>
              <w:t>143</w:t>
            </w:r>
            <w:r w:rsidR="00D40589">
              <w:rPr>
                <w:sz w:val="18"/>
              </w:rPr>
              <w:t>,</w:t>
            </w:r>
            <w:r w:rsidRPr="00DF0A94">
              <w:rPr>
                <w:sz w:val="18"/>
              </w:rPr>
              <w:t>3</w:t>
            </w:r>
          </w:p>
        </w:tc>
        <w:tc>
          <w:tcPr>
            <w:tcW w:w="641" w:type="dxa"/>
            <w:shd w:val="clear" w:color="auto" w:fill="auto"/>
            <w:vAlign w:val="bottom"/>
          </w:tcPr>
          <w:p w14:paraId="66FE8122" w14:textId="46C2C633" w:rsidR="004135D4" w:rsidRPr="00DF0A94" w:rsidRDefault="004135D4" w:rsidP="00D40589">
            <w:pPr>
              <w:keepNext/>
              <w:keepLines/>
              <w:suppressAutoHyphens w:val="0"/>
              <w:spacing w:before="40" w:after="40" w:line="220" w:lineRule="exact"/>
              <w:ind w:right="113"/>
              <w:jc w:val="right"/>
              <w:rPr>
                <w:sz w:val="18"/>
              </w:rPr>
            </w:pPr>
            <w:r w:rsidRPr="00DF0A94">
              <w:rPr>
                <w:sz w:val="18"/>
              </w:rPr>
              <w:t>4</w:t>
            </w:r>
            <w:r w:rsidR="00D40589">
              <w:rPr>
                <w:sz w:val="18"/>
              </w:rPr>
              <w:t>,</w:t>
            </w:r>
            <w:r w:rsidRPr="00DF0A94">
              <w:rPr>
                <w:sz w:val="18"/>
              </w:rPr>
              <w:t>6</w:t>
            </w:r>
          </w:p>
        </w:tc>
        <w:tc>
          <w:tcPr>
            <w:tcW w:w="665" w:type="dxa"/>
            <w:shd w:val="clear" w:color="auto" w:fill="auto"/>
            <w:vAlign w:val="bottom"/>
          </w:tcPr>
          <w:p w14:paraId="4CACEA3D" w14:textId="638032D8" w:rsidR="004135D4" w:rsidRPr="00DF0A94" w:rsidRDefault="004135D4" w:rsidP="00D40589">
            <w:pPr>
              <w:keepNext/>
              <w:keepLines/>
              <w:suppressAutoHyphens w:val="0"/>
              <w:spacing w:before="40" w:after="40" w:line="220" w:lineRule="exact"/>
              <w:ind w:right="113"/>
              <w:jc w:val="right"/>
              <w:rPr>
                <w:sz w:val="18"/>
              </w:rPr>
            </w:pPr>
            <w:r w:rsidRPr="00DF0A94">
              <w:rPr>
                <w:sz w:val="18"/>
              </w:rPr>
              <w:t>250</w:t>
            </w:r>
            <w:r w:rsidR="00D40589">
              <w:rPr>
                <w:sz w:val="18"/>
              </w:rPr>
              <w:t>,</w:t>
            </w:r>
            <w:r w:rsidRPr="00DF0A94">
              <w:rPr>
                <w:sz w:val="18"/>
              </w:rPr>
              <w:t>3</w:t>
            </w:r>
          </w:p>
        </w:tc>
        <w:tc>
          <w:tcPr>
            <w:tcW w:w="641" w:type="dxa"/>
            <w:shd w:val="clear" w:color="auto" w:fill="auto"/>
            <w:vAlign w:val="bottom"/>
          </w:tcPr>
          <w:p w14:paraId="20A30DCA" w14:textId="16FAFABB" w:rsidR="004135D4" w:rsidRPr="00DF0A94" w:rsidRDefault="004135D4" w:rsidP="00D40589">
            <w:pPr>
              <w:keepNext/>
              <w:keepLines/>
              <w:suppressAutoHyphens w:val="0"/>
              <w:spacing w:before="40" w:after="40" w:line="220" w:lineRule="exact"/>
              <w:ind w:right="113"/>
              <w:jc w:val="right"/>
              <w:rPr>
                <w:sz w:val="18"/>
              </w:rPr>
            </w:pPr>
            <w:r w:rsidRPr="00DF0A94">
              <w:rPr>
                <w:sz w:val="18"/>
              </w:rPr>
              <w:t>7</w:t>
            </w:r>
            <w:r w:rsidR="00D40589">
              <w:rPr>
                <w:sz w:val="18"/>
              </w:rPr>
              <w:t>,</w:t>
            </w:r>
            <w:r w:rsidRPr="00DF0A94">
              <w:rPr>
                <w:sz w:val="18"/>
              </w:rPr>
              <w:t>9</w:t>
            </w:r>
          </w:p>
        </w:tc>
        <w:tc>
          <w:tcPr>
            <w:tcW w:w="665" w:type="dxa"/>
            <w:shd w:val="clear" w:color="auto" w:fill="auto"/>
            <w:vAlign w:val="bottom"/>
          </w:tcPr>
          <w:p w14:paraId="2A54B9E1" w14:textId="149C9E40" w:rsidR="004135D4" w:rsidRPr="00DF0A94" w:rsidRDefault="004135D4" w:rsidP="00D40589">
            <w:pPr>
              <w:keepNext/>
              <w:keepLines/>
              <w:suppressAutoHyphens w:val="0"/>
              <w:spacing w:before="40" w:after="40" w:line="220" w:lineRule="exact"/>
              <w:ind w:right="113"/>
              <w:jc w:val="right"/>
              <w:rPr>
                <w:sz w:val="18"/>
              </w:rPr>
            </w:pPr>
            <w:r w:rsidRPr="00DF0A94">
              <w:rPr>
                <w:sz w:val="18"/>
              </w:rPr>
              <w:t>263</w:t>
            </w:r>
            <w:r w:rsidR="00D40589">
              <w:rPr>
                <w:sz w:val="18"/>
              </w:rPr>
              <w:t>,</w:t>
            </w:r>
            <w:r w:rsidRPr="00DF0A94">
              <w:rPr>
                <w:sz w:val="18"/>
              </w:rPr>
              <w:t>3</w:t>
            </w:r>
          </w:p>
        </w:tc>
        <w:tc>
          <w:tcPr>
            <w:tcW w:w="641" w:type="dxa"/>
            <w:shd w:val="clear" w:color="auto" w:fill="auto"/>
            <w:vAlign w:val="bottom"/>
          </w:tcPr>
          <w:p w14:paraId="0F6BA8C2" w14:textId="2764ACDC" w:rsidR="004135D4" w:rsidRPr="00DF0A94" w:rsidRDefault="004135D4" w:rsidP="00D40589">
            <w:pPr>
              <w:keepNext/>
              <w:keepLines/>
              <w:suppressAutoHyphens w:val="0"/>
              <w:spacing w:before="40" w:after="40" w:line="220" w:lineRule="exact"/>
              <w:ind w:right="113"/>
              <w:jc w:val="right"/>
              <w:rPr>
                <w:sz w:val="18"/>
              </w:rPr>
            </w:pPr>
            <w:r w:rsidRPr="00DF0A94">
              <w:rPr>
                <w:sz w:val="18"/>
              </w:rPr>
              <w:t>8</w:t>
            </w:r>
            <w:r w:rsidR="00D40589">
              <w:rPr>
                <w:sz w:val="18"/>
              </w:rPr>
              <w:t>,</w:t>
            </w:r>
            <w:r w:rsidRPr="00DF0A94">
              <w:rPr>
                <w:sz w:val="18"/>
              </w:rPr>
              <w:t>1</w:t>
            </w:r>
          </w:p>
        </w:tc>
        <w:tc>
          <w:tcPr>
            <w:tcW w:w="665" w:type="dxa"/>
            <w:shd w:val="clear" w:color="auto" w:fill="auto"/>
            <w:vAlign w:val="bottom"/>
          </w:tcPr>
          <w:p w14:paraId="3035E0E9" w14:textId="7FEB6D37" w:rsidR="004135D4" w:rsidRPr="00DF0A94" w:rsidRDefault="004135D4" w:rsidP="00D40589">
            <w:pPr>
              <w:keepNext/>
              <w:keepLines/>
              <w:suppressAutoHyphens w:val="0"/>
              <w:spacing w:before="40" w:after="40" w:line="220" w:lineRule="exact"/>
              <w:ind w:right="113"/>
              <w:jc w:val="right"/>
              <w:rPr>
                <w:sz w:val="18"/>
              </w:rPr>
            </w:pPr>
            <w:r w:rsidRPr="00DF0A94">
              <w:rPr>
                <w:sz w:val="18"/>
              </w:rPr>
              <w:t>242</w:t>
            </w:r>
            <w:r w:rsidR="00D40589">
              <w:rPr>
                <w:sz w:val="18"/>
              </w:rPr>
              <w:t>,</w:t>
            </w:r>
            <w:r w:rsidRPr="00DF0A94">
              <w:rPr>
                <w:sz w:val="18"/>
              </w:rPr>
              <w:t>4</w:t>
            </w:r>
          </w:p>
        </w:tc>
        <w:tc>
          <w:tcPr>
            <w:tcW w:w="641" w:type="dxa"/>
            <w:shd w:val="clear" w:color="auto" w:fill="auto"/>
            <w:vAlign w:val="bottom"/>
          </w:tcPr>
          <w:p w14:paraId="1E021A98" w14:textId="0DF886A8" w:rsidR="004135D4" w:rsidRPr="00DF0A94" w:rsidRDefault="004135D4" w:rsidP="00D40589">
            <w:pPr>
              <w:keepNext/>
              <w:keepLines/>
              <w:suppressAutoHyphens w:val="0"/>
              <w:spacing w:before="40" w:after="40" w:line="220" w:lineRule="exact"/>
              <w:ind w:right="113"/>
              <w:jc w:val="right"/>
              <w:rPr>
                <w:sz w:val="18"/>
              </w:rPr>
            </w:pPr>
            <w:r w:rsidRPr="00DF0A94">
              <w:rPr>
                <w:sz w:val="18"/>
              </w:rPr>
              <w:t>7</w:t>
            </w:r>
            <w:r w:rsidR="00D40589">
              <w:rPr>
                <w:sz w:val="18"/>
              </w:rPr>
              <w:t>,</w:t>
            </w:r>
            <w:r w:rsidRPr="00DF0A94">
              <w:rPr>
                <w:sz w:val="18"/>
              </w:rPr>
              <w:t>4</w:t>
            </w:r>
          </w:p>
        </w:tc>
      </w:tr>
      <w:tr w:rsidR="004135D4" w:rsidRPr="00DF0A94" w14:paraId="1C5207B9" w14:textId="77777777" w:rsidTr="004135D4">
        <w:tc>
          <w:tcPr>
            <w:tcW w:w="993" w:type="dxa"/>
            <w:shd w:val="clear" w:color="auto" w:fill="auto"/>
          </w:tcPr>
          <w:p w14:paraId="42A824AA" w14:textId="491DC43C" w:rsidR="004135D4" w:rsidRPr="00DF0A94" w:rsidRDefault="004135D4" w:rsidP="00D40589">
            <w:pPr>
              <w:keepNext/>
              <w:keepLines/>
              <w:suppressAutoHyphens w:val="0"/>
              <w:spacing w:before="40" w:after="40" w:line="220" w:lineRule="exact"/>
              <w:ind w:right="113"/>
              <w:rPr>
                <w:sz w:val="18"/>
              </w:rPr>
            </w:pPr>
            <w:r>
              <w:rPr>
                <w:sz w:val="18"/>
              </w:rPr>
              <w:t>Enfants</w:t>
            </w:r>
          </w:p>
        </w:tc>
        <w:tc>
          <w:tcPr>
            <w:tcW w:w="708" w:type="dxa"/>
            <w:shd w:val="clear" w:color="auto" w:fill="auto"/>
            <w:vAlign w:val="bottom"/>
          </w:tcPr>
          <w:p w14:paraId="47937742" w14:textId="0D4115DE" w:rsidR="004135D4" w:rsidRPr="00DF0A94" w:rsidRDefault="004135D4" w:rsidP="00D40589">
            <w:pPr>
              <w:keepNext/>
              <w:keepLines/>
              <w:suppressAutoHyphens w:val="0"/>
              <w:spacing w:before="40" w:after="40" w:line="220" w:lineRule="exact"/>
              <w:ind w:right="113"/>
              <w:jc w:val="right"/>
              <w:rPr>
                <w:sz w:val="18"/>
              </w:rPr>
            </w:pPr>
            <w:r w:rsidRPr="00DF0A94">
              <w:rPr>
                <w:sz w:val="18"/>
              </w:rPr>
              <w:t>59</w:t>
            </w:r>
            <w:r w:rsidR="00D40589">
              <w:rPr>
                <w:sz w:val="18"/>
              </w:rPr>
              <w:t>,</w:t>
            </w:r>
            <w:r w:rsidRPr="00DF0A94">
              <w:rPr>
                <w:sz w:val="18"/>
              </w:rPr>
              <w:t>5</w:t>
            </w:r>
          </w:p>
        </w:tc>
        <w:tc>
          <w:tcPr>
            <w:tcW w:w="446" w:type="dxa"/>
            <w:shd w:val="clear" w:color="auto" w:fill="auto"/>
            <w:vAlign w:val="bottom"/>
          </w:tcPr>
          <w:p w14:paraId="7F52EF39" w14:textId="6FF81239" w:rsidR="004135D4" w:rsidRPr="00DF0A94" w:rsidRDefault="004135D4" w:rsidP="00D40589">
            <w:pPr>
              <w:keepNext/>
              <w:keepLines/>
              <w:suppressAutoHyphens w:val="0"/>
              <w:spacing w:before="40" w:after="40" w:line="220" w:lineRule="exact"/>
              <w:ind w:right="113"/>
              <w:jc w:val="right"/>
              <w:rPr>
                <w:sz w:val="18"/>
              </w:rPr>
            </w:pPr>
            <w:r w:rsidRPr="00DF0A94">
              <w:rPr>
                <w:sz w:val="18"/>
              </w:rPr>
              <w:t>43</w:t>
            </w:r>
            <w:r w:rsidR="00D40589">
              <w:rPr>
                <w:sz w:val="18"/>
              </w:rPr>
              <w:t>,</w:t>
            </w:r>
            <w:r w:rsidRPr="00DF0A94">
              <w:rPr>
                <w:sz w:val="18"/>
              </w:rPr>
              <w:t>2</w:t>
            </w:r>
          </w:p>
        </w:tc>
        <w:tc>
          <w:tcPr>
            <w:tcW w:w="664" w:type="dxa"/>
            <w:shd w:val="clear" w:color="auto" w:fill="auto"/>
            <w:vAlign w:val="bottom"/>
          </w:tcPr>
          <w:p w14:paraId="2BB04C27" w14:textId="07634ABB" w:rsidR="004135D4" w:rsidRPr="00DF0A94" w:rsidRDefault="004135D4" w:rsidP="00D40589">
            <w:pPr>
              <w:keepNext/>
              <w:keepLines/>
              <w:suppressAutoHyphens w:val="0"/>
              <w:spacing w:before="40" w:after="40" w:line="220" w:lineRule="exact"/>
              <w:ind w:right="113"/>
              <w:jc w:val="right"/>
              <w:rPr>
                <w:sz w:val="18"/>
              </w:rPr>
            </w:pPr>
            <w:r w:rsidRPr="00DF0A94">
              <w:rPr>
                <w:sz w:val="18"/>
              </w:rPr>
              <w:t>60</w:t>
            </w:r>
            <w:r w:rsidR="00D40589">
              <w:rPr>
                <w:sz w:val="18"/>
              </w:rPr>
              <w:t>,</w:t>
            </w:r>
            <w:r w:rsidRPr="00DF0A94">
              <w:rPr>
                <w:sz w:val="18"/>
              </w:rPr>
              <w:t>3</w:t>
            </w:r>
          </w:p>
        </w:tc>
        <w:tc>
          <w:tcPr>
            <w:tcW w:w="641" w:type="dxa"/>
            <w:shd w:val="clear" w:color="auto" w:fill="auto"/>
            <w:vAlign w:val="bottom"/>
          </w:tcPr>
          <w:p w14:paraId="2566441E" w14:textId="11BDDF6D" w:rsidR="004135D4" w:rsidRPr="00DF0A94" w:rsidRDefault="004135D4" w:rsidP="00D40589">
            <w:pPr>
              <w:keepNext/>
              <w:keepLines/>
              <w:suppressAutoHyphens w:val="0"/>
              <w:spacing w:before="40" w:after="40" w:line="220" w:lineRule="exact"/>
              <w:ind w:right="113"/>
              <w:jc w:val="right"/>
              <w:rPr>
                <w:sz w:val="18"/>
              </w:rPr>
            </w:pPr>
            <w:r w:rsidRPr="00DF0A94">
              <w:rPr>
                <w:sz w:val="18"/>
              </w:rPr>
              <w:t>42</w:t>
            </w:r>
            <w:r w:rsidR="00D40589">
              <w:rPr>
                <w:sz w:val="18"/>
              </w:rPr>
              <w:t>,</w:t>
            </w:r>
            <w:r w:rsidRPr="00DF0A94">
              <w:rPr>
                <w:sz w:val="18"/>
              </w:rPr>
              <w:t>1</w:t>
            </w:r>
          </w:p>
        </w:tc>
        <w:tc>
          <w:tcPr>
            <w:tcW w:w="665" w:type="dxa"/>
            <w:shd w:val="clear" w:color="auto" w:fill="auto"/>
            <w:vAlign w:val="bottom"/>
          </w:tcPr>
          <w:p w14:paraId="5F500578" w14:textId="48410A81" w:rsidR="004135D4" w:rsidRPr="00DF0A94" w:rsidRDefault="004135D4" w:rsidP="00D40589">
            <w:pPr>
              <w:keepNext/>
              <w:keepLines/>
              <w:suppressAutoHyphens w:val="0"/>
              <w:spacing w:before="40" w:after="40" w:line="220" w:lineRule="exact"/>
              <w:ind w:right="113"/>
              <w:jc w:val="right"/>
              <w:rPr>
                <w:sz w:val="18"/>
              </w:rPr>
            </w:pPr>
            <w:r w:rsidRPr="00DF0A94">
              <w:rPr>
                <w:sz w:val="18"/>
              </w:rPr>
              <w:t>126</w:t>
            </w:r>
            <w:r w:rsidR="00D40589">
              <w:rPr>
                <w:sz w:val="18"/>
              </w:rPr>
              <w:t>,</w:t>
            </w:r>
            <w:r w:rsidRPr="00DF0A94">
              <w:rPr>
                <w:sz w:val="18"/>
              </w:rPr>
              <w:t>3</w:t>
            </w:r>
          </w:p>
        </w:tc>
        <w:tc>
          <w:tcPr>
            <w:tcW w:w="641" w:type="dxa"/>
            <w:shd w:val="clear" w:color="auto" w:fill="auto"/>
            <w:vAlign w:val="bottom"/>
          </w:tcPr>
          <w:p w14:paraId="1BEEACE1" w14:textId="603A6A19" w:rsidR="004135D4" w:rsidRPr="00DF0A94" w:rsidRDefault="004135D4" w:rsidP="00D40589">
            <w:pPr>
              <w:keepNext/>
              <w:keepLines/>
              <w:suppressAutoHyphens w:val="0"/>
              <w:spacing w:before="40" w:after="40" w:line="220" w:lineRule="exact"/>
              <w:ind w:right="113"/>
              <w:jc w:val="right"/>
              <w:rPr>
                <w:sz w:val="18"/>
              </w:rPr>
            </w:pPr>
            <w:r w:rsidRPr="00DF0A94">
              <w:rPr>
                <w:sz w:val="18"/>
              </w:rPr>
              <w:t>50</w:t>
            </w:r>
            <w:r w:rsidR="00D40589">
              <w:rPr>
                <w:sz w:val="18"/>
              </w:rPr>
              <w:t>,</w:t>
            </w:r>
            <w:r w:rsidRPr="00DF0A94">
              <w:rPr>
                <w:sz w:val="18"/>
              </w:rPr>
              <w:t>5</w:t>
            </w:r>
          </w:p>
        </w:tc>
        <w:tc>
          <w:tcPr>
            <w:tcW w:w="665" w:type="dxa"/>
            <w:shd w:val="clear" w:color="auto" w:fill="auto"/>
            <w:vAlign w:val="bottom"/>
          </w:tcPr>
          <w:p w14:paraId="2E6AF6E0" w14:textId="2F1C90E9" w:rsidR="004135D4" w:rsidRPr="00DF0A94" w:rsidRDefault="004135D4" w:rsidP="00D40589">
            <w:pPr>
              <w:keepNext/>
              <w:keepLines/>
              <w:suppressAutoHyphens w:val="0"/>
              <w:spacing w:before="40" w:after="40" w:line="220" w:lineRule="exact"/>
              <w:ind w:right="113"/>
              <w:jc w:val="right"/>
              <w:rPr>
                <w:sz w:val="18"/>
              </w:rPr>
            </w:pPr>
            <w:r w:rsidRPr="00DF0A94">
              <w:rPr>
                <w:sz w:val="18"/>
              </w:rPr>
              <w:t>123</w:t>
            </w:r>
            <w:r w:rsidR="00D40589">
              <w:rPr>
                <w:sz w:val="18"/>
              </w:rPr>
              <w:t>,</w:t>
            </w:r>
            <w:r w:rsidRPr="00DF0A94">
              <w:rPr>
                <w:sz w:val="18"/>
              </w:rPr>
              <w:t>8</w:t>
            </w:r>
          </w:p>
        </w:tc>
        <w:tc>
          <w:tcPr>
            <w:tcW w:w="641" w:type="dxa"/>
            <w:shd w:val="clear" w:color="auto" w:fill="auto"/>
            <w:vAlign w:val="bottom"/>
          </w:tcPr>
          <w:p w14:paraId="588DBF9F" w14:textId="592D2DEE" w:rsidR="004135D4" w:rsidRPr="00DF0A94" w:rsidRDefault="004135D4" w:rsidP="00D40589">
            <w:pPr>
              <w:keepNext/>
              <w:keepLines/>
              <w:suppressAutoHyphens w:val="0"/>
              <w:spacing w:before="40" w:after="40" w:line="220" w:lineRule="exact"/>
              <w:ind w:right="113"/>
              <w:jc w:val="right"/>
              <w:rPr>
                <w:sz w:val="18"/>
              </w:rPr>
            </w:pPr>
            <w:r w:rsidRPr="00DF0A94">
              <w:rPr>
                <w:sz w:val="18"/>
              </w:rPr>
              <w:t>47</w:t>
            </w:r>
            <w:r w:rsidR="00D40589">
              <w:rPr>
                <w:sz w:val="18"/>
              </w:rPr>
              <w:t>,</w:t>
            </w:r>
            <w:r w:rsidRPr="00DF0A94">
              <w:rPr>
                <w:sz w:val="18"/>
              </w:rPr>
              <w:t>0</w:t>
            </w:r>
          </w:p>
        </w:tc>
        <w:tc>
          <w:tcPr>
            <w:tcW w:w="665" w:type="dxa"/>
            <w:shd w:val="clear" w:color="auto" w:fill="auto"/>
            <w:vAlign w:val="bottom"/>
          </w:tcPr>
          <w:p w14:paraId="50FD2535" w14:textId="224955E7" w:rsidR="004135D4" w:rsidRPr="00DF0A94" w:rsidRDefault="004135D4" w:rsidP="00D40589">
            <w:pPr>
              <w:keepNext/>
              <w:keepLines/>
              <w:suppressAutoHyphens w:val="0"/>
              <w:spacing w:before="40" w:after="40" w:line="220" w:lineRule="exact"/>
              <w:ind w:right="113"/>
              <w:jc w:val="right"/>
              <w:rPr>
                <w:sz w:val="18"/>
              </w:rPr>
            </w:pPr>
            <w:r w:rsidRPr="00DF0A94">
              <w:rPr>
                <w:sz w:val="18"/>
              </w:rPr>
              <w:t>119</w:t>
            </w:r>
            <w:r w:rsidR="00D40589">
              <w:rPr>
                <w:sz w:val="18"/>
              </w:rPr>
              <w:t>,</w:t>
            </w:r>
            <w:r w:rsidRPr="00DF0A94">
              <w:rPr>
                <w:sz w:val="18"/>
              </w:rPr>
              <w:t>1</w:t>
            </w:r>
          </w:p>
        </w:tc>
        <w:tc>
          <w:tcPr>
            <w:tcW w:w="641" w:type="dxa"/>
            <w:shd w:val="clear" w:color="auto" w:fill="auto"/>
            <w:vAlign w:val="bottom"/>
          </w:tcPr>
          <w:p w14:paraId="1A89320E" w14:textId="03DE86A7" w:rsidR="004135D4" w:rsidRPr="00DF0A94" w:rsidRDefault="004135D4" w:rsidP="00D40589">
            <w:pPr>
              <w:keepNext/>
              <w:keepLines/>
              <w:suppressAutoHyphens w:val="0"/>
              <w:spacing w:before="40" w:after="40" w:line="220" w:lineRule="exact"/>
              <w:ind w:right="113"/>
              <w:jc w:val="right"/>
              <w:rPr>
                <w:sz w:val="18"/>
              </w:rPr>
            </w:pPr>
            <w:r w:rsidRPr="00DF0A94">
              <w:rPr>
                <w:sz w:val="18"/>
              </w:rPr>
              <w:t>49</w:t>
            </w:r>
            <w:r w:rsidR="00D40589">
              <w:rPr>
                <w:sz w:val="18"/>
              </w:rPr>
              <w:t>,</w:t>
            </w:r>
            <w:r w:rsidRPr="00DF0A94">
              <w:rPr>
                <w:sz w:val="18"/>
              </w:rPr>
              <w:t>1</w:t>
            </w:r>
          </w:p>
        </w:tc>
      </w:tr>
    </w:tbl>
    <w:p w14:paraId="2B17EE77" w14:textId="4292BF9E" w:rsidR="00560776" w:rsidRPr="008D553A" w:rsidRDefault="00560776" w:rsidP="00D40589">
      <w:pPr>
        <w:pStyle w:val="SingleTxtG"/>
        <w:keepNext/>
        <w:keepLines/>
        <w:suppressAutoHyphens w:val="0"/>
        <w:spacing w:before="120"/>
        <w:ind w:firstLine="170"/>
        <w:rPr>
          <w:sz w:val="18"/>
          <w:lang w:val="fr-FR"/>
        </w:rPr>
      </w:pPr>
      <w:r w:rsidRPr="004135D4">
        <w:rPr>
          <w:i/>
          <w:iCs/>
          <w:sz w:val="18"/>
          <w:szCs w:val="18"/>
          <w:lang w:val="fr-FR"/>
        </w:rPr>
        <w:t>Source</w:t>
      </w:r>
      <w:r w:rsidR="004135D4">
        <w:rPr>
          <w:i/>
          <w:iCs/>
          <w:sz w:val="18"/>
          <w:szCs w:val="18"/>
          <w:lang w:val="fr-FR"/>
        </w:rPr>
        <w:t> </w:t>
      </w:r>
      <w:r w:rsidRPr="004135D4">
        <w:rPr>
          <w:sz w:val="18"/>
          <w:szCs w:val="18"/>
          <w:lang w:val="fr-FR"/>
        </w:rPr>
        <w:t>:</w:t>
      </w:r>
      <w:r>
        <w:rPr>
          <w:lang w:val="fr-FR"/>
        </w:rPr>
        <w:t xml:space="preserve"> </w:t>
      </w:r>
      <w:r w:rsidRPr="004135D4">
        <w:rPr>
          <w:sz w:val="18"/>
          <w:szCs w:val="18"/>
        </w:rPr>
        <w:t>Rapport de la caisse de protection sociale pour 2015-2019.</w:t>
      </w:r>
    </w:p>
    <w:p w14:paraId="50241269" w14:textId="56664468" w:rsidR="00560776" w:rsidRPr="008D553A" w:rsidRDefault="00560776" w:rsidP="00E916C8">
      <w:pPr>
        <w:pStyle w:val="SingleTxtG"/>
        <w:spacing w:before="240"/>
        <w:rPr>
          <w:lang w:val="fr-FR"/>
        </w:rPr>
      </w:pPr>
      <w:r>
        <w:rPr>
          <w:lang w:val="fr-FR"/>
        </w:rPr>
        <w:t>12.</w:t>
      </w:r>
      <w:r>
        <w:rPr>
          <w:lang w:val="fr-FR"/>
        </w:rPr>
        <w:tab/>
        <w:t>L</w:t>
      </w:r>
      <w:r w:rsidR="009C7759">
        <w:rPr>
          <w:lang w:val="fr-FR"/>
        </w:rPr>
        <w:t>’</w:t>
      </w:r>
      <w:r>
        <w:rPr>
          <w:lang w:val="fr-FR"/>
        </w:rPr>
        <w:t>aide alimentaire et nutritionnelle permet aux citoyens les plus pauvres, dont la consommation calorique est la plus faible, de recevoir l</w:t>
      </w:r>
      <w:r w:rsidR="009C7759">
        <w:rPr>
          <w:lang w:val="fr-FR"/>
        </w:rPr>
        <w:t>’</w:t>
      </w:r>
      <w:r>
        <w:rPr>
          <w:lang w:val="fr-FR"/>
        </w:rPr>
        <w:t>équivalent de 2</w:t>
      </w:r>
      <w:r w:rsidR="00690E8B">
        <w:rPr>
          <w:lang w:val="fr-FR"/>
        </w:rPr>
        <w:t> </w:t>
      </w:r>
      <w:r>
        <w:rPr>
          <w:lang w:val="fr-FR"/>
        </w:rPr>
        <w:t>500</w:t>
      </w:r>
      <w:r w:rsidR="00690E8B">
        <w:rPr>
          <w:lang w:val="fr-FR"/>
        </w:rPr>
        <w:t> </w:t>
      </w:r>
      <w:r>
        <w:rPr>
          <w:lang w:val="fr-FR"/>
        </w:rPr>
        <w:t>calories par jour.</w:t>
      </w:r>
    </w:p>
    <w:p w14:paraId="12E3356B" w14:textId="2A79AC3C" w:rsidR="00560776" w:rsidRPr="008D553A" w:rsidRDefault="00560776" w:rsidP="00560776">
      <w:pPr>
        <w:pStyle w:val="SingleTxtG"/>
        <w:rPr>
          <w:lang w:val="fr-FR"/>
        </w:rPr>
      </w:pPr>
      <w:r>
        <w:rPr>
          <w:lang w:val="fr-FR"/>
        </w:rPr>
        <w:t>13.</w:t>
      </w:r>
      <w:r>
        <w:rPr>
          <w:lang w:val="fr-FR"/>
        </w:rPr>
        <w:tab/>
        <w:t>Les citoyens qui bénéficient des services d</w:t>
      </w:r>
      <w:r w:rsidR="009C7759">
        <w:rPr>
          <w:lang w:val="fr-FR"/>
        </w:rPr>
        <w:t>’</w:t>
      </w:r>
      <w:r>
        <w:rPr>
          <w:lang w:val="fr-FR"/>
        </w:rPr>
        <w:t>aide alimentaire et nutritionnelle ont également droit à des services de défense juridique gratuits et l</w:t>
      </w:r>
      <w:r w:rsidR="009C7759">
        <w:rPr>
          <w:lang w:val="fr-FR"/>
        </w:rPr>
        <w:t>’</w:t>
      </w:r>
      <w:r>
        <w:rPr>
          <w:lang w:val="fr-FR"/>
        </w:rPr>
        <w:t>État prend en charge les primes d</w:t>
      </w:r>
      <w:r w:rsidR="009C7759">
        <w:rPr>
          <w:lang w:val="fr-FR"/>
        </w:rPr>
        <w:t>’</w:t>
      </w:r>
      <w:r>
        <w:rPr>
          <w:lang w:val="fr-FR"/>
        </w:rPr>
        <w:t>assurance maladie de 112</w:t>
      </w:r>
      <w:r w:rsidR="00690E8B">
        <w:rPr>
          <w:lang w:val="fr-FR"/>
        </w:rPr>
        <w:t> </w:t>
      </w:r>
      <w:r>
        <w:rPr>
          <w:lang w:val="fr-FR"/>
        </w:rPr>
        <w:t>400</w:t>
      </w:r>
      <w:r w:rsidR="00690E8B">
        <w:rPr>
          <w:lang w:val="fr-FR"/>
        </w:rPr>
        <w:t> </w:t>
      </w:r>
      <w:r>
        <w:rPr>
          <w:lang w:val="fr-FR"/>
        </w:rPr>
        <w:t xml:space="preserve">personnes en âge de travailler. </w:t>
      </w:r>
    </w:p>
    <w:p w14:paraId="3184F33C" w14:textId="21C9194D" w:rsidR="00560776" w:rsidRPr="008D553A" w:rsidRDefault="00560776" w:rsidP="00560776">
      <w:pPr>
        <w:pStyle w:val="SingleTxtG"/>
        <w:rPr>
          <w:lang w:val="fr-FR"/>
        </w:rPr>
      </w:pPr>
      <w:r>
        <w:rPr>
          <w:lang w:val="fr-FR"/>
        </w:rPr>
        <w:t>14.</w:t>
      </w:r>
      <w:r>
        <w:rPr>
          <w:lang w:val="fr-FR"/>
        </w:rPr>
        <w:tab/>
        <w:t>Afin de venir en aide aux citoyens les plus pauvres pendant la période de confinement due au coronavirus, le Gouvernement a, par sa résolution n</w:t>
      </w:r>
      <w:r w:rsidR="00690E8B" w:rsidRPr="00690E8B">
        <w:rPr>
          <w:vertAlign w:val="superscript"/>
          <w:lang w:val="fr-FR"/>
        </w:rPr>
        <w:t>o</w:t>
      </w:r>
      <w:r w:rsidR="00690E8B">
        <w:rPr>
          <w:lang w:val="fr-FR"/>
        </w:rPr>
        <w:t> </w:t>
      </w:r>
      <w:r>
        <w:rPr>
          <w:lang w:val="fr-FR"/>
        </w:rPr>
        <w:t>167 de 2020, multiplié par deux, pour la période allant du 1</w:t>
      </w:r>
      <w:r w:rsidRPr="00690E8B">
        <w:rPr>
          <w:vertAlign w:val="superscript"/>
          <w:lang w:val="fr-FR"/>
        </w:rPr>
        <w:t>er</w:t>
      </w:r>
      <w:r w:rsidR="00690E8B">
        <w:rPr>
          <w:lang w:val="fr-FR"/>
        </w:rPr>
        <w:t> </w:t>
      </w:r>
      <w:r>
        <w:rPr>
          <w:lang w:val="fr-FR"/>
        </w:rPr>
        <w:t>mai au 1</w:t>
      </w:r>
      <w:r w:rsidRPr="00690E8B">
        <w:rPr>
          <w:vertAlign w:val="superscript"/>
          <w:lang w:val="fr-FR"/>
        </w:rPr>
        <w:t>er</w:t>
      </w:r>
      <w:r w:rsidR="00690E8B">
        <w:rPr>
          <w:lang w:val="fr-FR"/>
        </w:rPr>
        <w:t> </w:t>
      </w:r>
      <w:r>
        <w:rPr>
          <w:lang w:val="fr-FR"/>
        </w:rPr>
        <w:t>octobre 2020, le montant total de la valeur des bons alimentaires accordés, qui a ainsi été porté à 16</w:t>
      </w:r>
      <w:r w:rsidR="00690E8B">
        <w:rPr>
          <w:lang w:val="fr-FR"/>
        </w:rPr>
        <w:t> </w:t>
      </w:r>
      <w:r>
        <w:rPr>
          <w:lang w:val="fr-FR"/>
        </w:rPr>
        <w:t>000</w:t>
      </w:r>
      <w:r w:rsidR="00690E8B">
        <w:rPr>
          <w:lang w:val="fr-FR"/>
        </w:rPr>
        <w:t> </w:t>
      </w:r>
      <w:proofErr w:type="spellStart"/>
      <w:r>
        <w:rPr>
          <w:lang w:val="fr-FR"/>
        </w:rPr>
        <w:t>togrogs</w:t>
      </w:r>
      <w:proofErr w:type="spellEnd"/>
      <w:r>
        <w:rPr>
          <w:lang w:val="fr-FR"/>
        </w:rPr>
        <w:t xml:space="preserve"> pour les enfants et à 32</w:t>
      </w:r>
      <w:r w:rsidR="00690E8B">
        <w:rPr>
          <w:lang w:val="fr-FR"/>
        </w:rPr>
        <w:t> </w:t>
      </w:r>
      <w:r>
        <w:rPr>
          <w:lang w:val="fr-FR"/>
        </w:rPr>
        <w:t>000</w:t>
      </w:r>
      <w:r w:rsidR="00690E8B">
        <w:rPr>
          <w:lang w:val="fr-FR"/>
        </w:rPr>
        <w:t> </w:t>
      </w:r>
      <w:proofErr w:type="spellStart"/>
      <w:r>
        <w:rPr>
          <w:lang w:val="fr-FR"/>
        </w:rPr>
        <w:t>togrogs</w:t>
      </w:r>
      <w:proofErr w:type="spellEnd"/>
      <w:r>
        <w:rPr>
          <w:lang w:val="fr-FR"/>
        </w:rPr>
        <w:t xml:space="preserve"> pour les adultes. Cette décision a été maintenue en vigueur jusqu</w:t>
      </w:r>
      <w:r w:rsidR="009C7759">
        <w:rPr>
          <w:lang w:val="fr-FR"/>
        </w:rPr>
        <w:t>’</w:t>
      </w:r>
      <w:r>
        <w:rPr>
          <w:lang w:val="fr-FR"/>
        </w:rPr>
        <w:t>au 31</w:t>
      </w:r>
      <w:r w:rsidR="00690E8B">
        <w:rPr>
          <w:lang w:val="fr-FR"/>
        </w:rPr>
        <w:t> </w:t>
      </w:r>
      <w:r>
        <w:rPr>
          <w:lang w:val="fr-FR"/>
        </w:rPr>
        <w:t>décembre 2020 par la résolution gouvernementale n</w:t>
      </w:r>
      <w:r w:rsidR="00690E8B" w:rsidRPr="00690E8B">
        <w:rPr>
          <w:vertAlign w:val="superscript"/>
          <w:lang w:val="fr-FR"/>
        </w:rPr>
        <w:t>o</w:t>
      </w:r>
      <w:r w:rsidR="00690E8B">
        <w:rPr>
          <w:lang w:val="fr-FR"/>
        </w:rPr>
        <w:t> </w:t>
      </w:r>
      <w:r>
        <w:rPr>
          <w:lang w:val="fr-FR"/>
        </w:rPr>
        <w:t>126 du 30</w:t>
      </w:r>
      <w:r w:rsidR="00690E8B">
        <w:rPr>
          <w:lang w:val="fr-FR"/>
        </w:rPr>
        <w:t> </w:t>
      </w:r>
      <w:r>
        <w:rPr>
          <w:lang w:val="fr-FR"/>
        </w:rPr>
        <w:t>septembre 2020 et un montant supplémentaire total de 15,5</w:t>
      </w:r>
      <w:r w:rsidR="00690E8B">
        <w:rPr>
          <w:lang w:val="fr-FR"/>
        </w:rPr>
        <w:t> </w:t>
      </w:r>
      <w:r>
        <w:rPr>
          <w:lang w:val="fr-FR"/>
        </w:rPr>
        <w:t xml:space="preserve">milliards de </w:t>
      </w:r>
      <w:proofErr w:type="spellStart"/>
      <w:r>
        <w:rPr>
          <w:lang w:val="fr-FR"/>
        </w:rPr>
        <w:t>togrogs</w:t>
      </w:r>
      <w:proofErr w:type="spellEnd"/>
      <w:r>
        <w:rPr>
          <w:lang w:val="fr-FR"/>
        </w:rPr>
        <w:t xml:space="preserve"> a été affecté à cette fin. </w:t>
      </w:r>
    </w:p>
    <w:p w14:paraId="54740276" w14:textId="496AE726" w:rsidR="00560776" w:rsidRPr="008D553A" w:rsidRDefault="00560776" w:rsidP="00D40589">
      <w:pPr>
        <w:pStyle w:val="H23G"/>
        <w:rPr>
          <w:lang w:val="fr-FR"/>
        </w:rPr>
      </w:pPr>
      <w:r>
        <w:rPr>
          <w:lang w:val="fr-FR"/>
        </w:rPr>
        <w:tab/>
      </w:r>
      <w:r>
        <w:rPr>
          <w:lang w:val="fr-FR"/>
        </w:rPr>
        <w:tab/>
        <w:t>Programme d</w:t>
      </w:r>
      <w:r w:rsidR="009C7759">
        <w:rPr>
          <w:lang w:val="fr-FR"/>
        </w:rPr>
        <w:t>’</w:t>
      </w:r>
      <w:r>
        <w:rPr>
          <w:lang w:val="fr-FR"/>
        </w:rPr>
        <w:t>aide aux personnes âgées</w:t>
      </w:r>
    </w:p>
    <w:p w14:paraId="018F5584" w14:textId="5F8CC7B2" w:rsidR="00560776" w:rsidRPr="008D553A" w:rsidRDefault="00560776" w:rsidP="00560776">
      <w:pPr>
        <w:pStyle w:val="SingleTxtG"/>
        <w:rPr>
          <w:lang w:val="fr-FR"/>
        </w:rPr>
      </w:pPr>
      <w:r>
        <w:rPr>
          <w:lang w:val="fr-FR"/>
        </w:rPr>
        <w:t>15.</w:t>
      </w:r>
      <w:r>
        <w:rPr>
          <w:lang w:val="fr-FR"/>
        </w:rPr>
        <w:tab/>
        <w:t xml:space="preserve">Le Grand </w:t>
      </w:r>
      <w:proofErr w:type="spellStart"/>
      <w:r>
        <w:rPr>
          <w:lang w:val="fr-FR"/>
        </w:rPr>
        <w:t>Khoural</w:t>
      </w:r>
      <w:proofErr w:type="spellEnd"/>
      <w:r>
        <w:rPr>
          <w:lang w:val="fr-FR"/>
        </w:rPr>
        <w:t xml:space="preserve"> d</w:t>
      </w:r>
      <w:r w:rsidR="009C7759">
        <w:rPr>
          <w:lang w:val="fr-FR"/>
        </w:rPr>
        <w:t>’</w:t>
      </w:r>
      <w:r>
        <w:rPr>
          <w:lang w:val="fr-FR"/>
        </w:rPr>
        <w:t>État (Parlement) a adopté le 26 janvier 2017 la loi sur les personnes âgées, qui est entrée en vigueur le 1</w:t>
      </w:r>
      <w:r w:rsidRPr="00690E8B">
        <w:rPr>
          <w:vertAlign w:val="superscript"/>
          <w:lang w:val="fr-FR"/>
        </w:rPr>
        <w:t>er</w:t>
      </w:r>
      <w:r w:rsidR="00690E8B">
        <w:rPr>
          <w:lang w:val="fr-FR"/>
        </w:rPr>
        <w:t> </w:t>
      </w:r>
      <w:r>
        <w:rPr>
          <w:lang w:val="fr-FR"/>
        </w:rPr>
        <w:t>juillet de la même année. Cette loi dispose que les personnes de plus de 65</w:t>
      </w:r>
      <w:r w:rsidR="00690E8B">
        <w:rPr>
          <w:lang w:val="fr-FR"/>
        </w:rPr>
        <w:t> </w:t>
      </w:r>
      <w:r>
        <w:rPr>
          <w:lang w:val="fr-FR"/>
        </w:rPr>
        <w:t>ans ont droit à des allocations (allocations vieillesse) de 50 000 à 250</w:t>
      </w:r>
      <w:r w:rsidR="00690E8B">
        <w:rPr>
          <w:lang w:val="fr-FR"/>
        </w:rPr>
        <w:t> </w:t>
      </w:r>
      <w:r>
        <w:rPr>
          <w:lang w:val="fr-FR"/>
        </w:rPr>
        <w:t>000</w:t>
      </w:r>
      <w:r w:rsidR="00690E8B">
        <w:rPr>
          <w:lang w:val="fr-FR"/>
        </w:rPr>
        <w:t> </w:t>
      </w:r>
      <w:proofErr w:type="spellStart"/>
      <w:r>
        <w:rPr>
          <w:lang w:val="fr-FR"/>
        </w:rPr>
        <w:t>togrogs</w:t>
      </w:r>
      <w:proofErr w:type="spellEnd"/>
      <w:r>
        <w:rPr>
          <w:lang w:val="fr-FR"/>
        </w:rPr>
        <w:t xml:space="preserve"> selon leur groupe d</w:t>
      </w:r>
      <w:r w:rsidR="009C7759">
        <w:rPr>
          <w:lang w:val="fr-FR"/>
        </w:rPr>
        <w:t>’</w:t>
      </w:r>
      <w:r>
        <w:rPr>
          <w:lang w:val="fr-FR"/>
        </w:rPr>
        <w:t xml:space="preserve">âge, qui leur sont versées deux fois par an, pour contribuer à leur sécurité de revenu. </w:t>
      </w:r>
    </w:p>
    <w:p w14:paraId="40A4608C" w14:textId="0A86EBE1" w:rsidR="00560776" w:rsidRPr="008D553A" w:rsidRDefault="00560776" w:rsidP="00D40589">
      <w:pPr>
        <w:pStyle w:val="Titre1"/>
        <w:suppressAutoHyphens w:val="0"/>
        <w:spacing w:after="120"/>
        <w:rPr>
          <w:b/>
          <w:bCs/>
          <w:lang w:val="fr-FR"/>
        </w:rPr>
      </w:pPr>
      <w:r>
        <w:rPr>
          <w:lang w:val="fr-FR"/>
        </w:rPr>
        <w:t>Tableau 3</w:t>
      </w:r>
      <w:r w:rsidR="00D40589">
        <w:rPr>
          <w:lang w:val="fr-FR"/>
        </w:rPr>
        <w:t xml:space="preserve"> </w:t>
      </w:r>
      <w:r w:rsidR="00D40589">
        <w:rPr>
          <w:lang w:val="fr-FR"/>
        </w:rPr>
        <w:br/>
      </w:r>
      <w:r>
        <w:rPr>
          <w:b/>
          <w:bCs/>
          <w:lang w:val="fr-FR"/>
        </w:rPr>
        <w:t>Nombre de personnes (en milliers) bénéficiant du programme d</w:t>
      </w:r>
      <w:r w:rsidR="009C7759">
        <w:rPr>
          <w:b/>
          <w:bCs/>
          <w:lang w:val="fr-FR"/>
        </w:rPr>
        <w:t>’</w:t>
      </w:r>
      <w:r>
        <w:rPr>
          <w:b/>
          <w:bCs/>
          <w:lang w:val="fr-FR"/>
        </w:rPr>
        <w:t xml:space="preserve">allocation vieillesse </w:t>
      </w:r>
      <w:r w:rsidR="00D40589">
        <w:rPr>
          <w:b/>
          <w:bCs/>
          <w:lang w:val="fr-FR"/>
        </w:rPr>
        <w:br/>
      </w:r>
      <w:r>
        <w:rPr>
          <w:b/>
          <w:bCs/>
          <w:lang w:val="fr-FR"/>
        </w:rPr>
        <w:t xml:space="preserve">et dépenses engagées à ce titre (en milliards de </w:t>
      </w:r>
      <w:proofErr w:type="spellStart"/>
      <w:r>
        <w:rPr>
          <w:b/>
          <w:bCs/>
          <w:lang w:val="fr-FR"/>
        </w:rPr>
        <w:t>togrogs</w:t>
      </w:r>
      <w:proofErr w:type="spellEnd"/>
      <w:r>
        <w:rPr>
          <w:b/>
          <w:bCs/>
          <w:lang w:val="fr-FR"/>
        </w:rPr>
        <w:t>)</w:t>
      </w:r>
      <w:r>
        <w:rPr>
          <w:lang w:val="fr-FR"/>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1651"/>
        <w:gridCol w:w="1890"/>
        <w:gridCol w:w="1847"/>
        <w:gridCol w:w="1982"/>
      </w:tblGrid>
      <w:tr w:rsidR="00D84DAC" w:rsidRPr="00D84DAC" w14:paraId="1CE69BC8" w14:textId="77777777" w:rsidTr="00D84DAC">
        <w:trPr>
          <w:tblHeader/>
        </w:trPr>
        <w:tc>
          <w:tcPr>
            <w:tcW w:w="2156" w:type="dxa"/>
            <w:tcBorders>
              <w:top w:val="single" w:sz="4" w:space="0" w:color="auto"/>
              <w:bottom w:val="single" w:sz="12" w:space="0" w:color="auto"/>
            </w:tcBorders>
            <w:shd w:val="clear" w:color="auto" w:fill="auto"/>
            <w:vAlign w:val="bottom"/>
          </w:tcPr>
          <w:p w14:paraId="7D189F91" w14:textId="77777777" w:rsidR="00560776" w:rsidRPr="00D84DAC" w:rsidRDefault="00560776" w:rsidP="00D84DAC">
            <w:pPr>
              <w:suppressAutoHyphens w:val="0"/>
              <w:spacing w:before="80" w:after="80" w:line="200" w:lineRule="exact"/>
              <w:rPr>
                <w:i/>
                <w:sz w:val="16"/>
              </w:rPr>
            </w:pPr>
            <w:r w:rsidRPr="00D84DAC">
              <w:rPr>
                <w:i/>
                <w:sz w:val="16"/>
                <w:lang w:val="fr-FR"/>
              </w:rPr>
              <w:t>Année</w:t>
            </w:r>
          </w:p>
        </w:tc>
        <w:tc>
          <w:tcPr>
            <w:tcW w:w="2469" w:type="dxa"/>
            <w:tcBorders>
              <w:top w:val="single" w:sz="4" w:space="0" w:color="auto"/>
              <w:bottom w:val="single" w:sz="12" w:space="0" w:color="auto"/>
            </w:tcBorders>
            <w:shd w:val="clear" w:color="auto" w:fill="auto"/>
            <w:vAlign w:val="bottom"/>
          </w:tcPr>
          <w:p w14:paraId="34AE6D2C" w14:textId="77777777" w:rsidR="00560776" w:rsidRPr="00D84DAC" w:rsidRDefault="00560776" w:rsidP="00D84DAC">
            <w:pPr>
              <w:suppressAutoHyphens w:val="0"/>
              <w:spacing w:before="80" w:after="80" w:line="200" w:lineRule="exact"/>
              <w:jc w:val="right"/>
              <w:rPr>
                <w:i/>
                <w:sz w:val="16"/>
              </w:rPr>
            </w:pPr>
            <w:r w:rsidRPr="00D84DAC">
              <w:rPr>
                <w:i/>
                <w:sz w:val="16"/>
                <w:lang w:val="fr-FR"/>
              </w:rPr>
              <w:t xml:space="preserve">Budget approuvé </w:t>
            </w:r>
          </w:p>
        </w:tc>
        <w:tc>
          <w:tcPr>
            <w:tcW w:w="2413" w:type="dxa"/>
            <w:tcBorders>
              <w:top w:val="single" w:sz="4" w:space="0" w:color="auto"/>
              <w:bottom w:val="single" w:sz="12" w:space="0" w:color="auto"/>
            </w:tcBorders>
            <w:shd w:val="clear" w:color="auto" w:fill="auto"/>
            <w:vAlign w:val="bottom"/>
          </w:tcPr>
          <w:p w14:paraId="229EEF40" w14:textId="123BDD6D" w:rsidR="00560776" w:rsidRPr="00D84DAC" w:rsidRDefault="00560776" w:rsidP="00D84DAC">
            <w:pPr>
              <w:suppressAutoHyphens w:val="0"/>
              <w:spacing w:before="80" w:after="80" w:line="200" w:lineRule="exact"/>
              <w:jc w:val="right"/>
              <w:rPr>
                <w:i/>
                <w:sz w:val="16"/>
                <w:lang w:val="fr-FR"/>
              </w:rPr>
            </w:pPr>
            <w:r w:rsidRPr="00D84DAC">
              <w:rPr>
                <w:i/>
                <w:sz w:val="16"/>
                <w:lang w:val="fr-FR"/>
              </w:rPr>
              <w:t>Nombre de personnes âgées bénéficiant de l</w:t>
            </w:r>
            <w:r w:rsidR="009C7759">
              <w:rPr>
                <w:i/>
                <w:sz w:val="16"/>
                <w:lang w:val="fr-FR"/>
              </w:rPr>
              <w:t>’</w:t>
            </w:r>
            <w:r w:rsidRPr="00D84DAC">
              <w:rPr>
                <w:i/>
                <w:sz w:val="16"/>
                <w:lang w:val="fr-FR"/>
              </w:rPr>
              <w:t>allocation vieillesse</w:t>
            </w:r>
          </w:p>
        </w:tc>
        <w:tc>
          <w:tcPr>
            <w:tcW w:w="2590" w:type="dxa"/>
            <w:tcBorders>
              <w:top w:val="single" w:sz="4" w:space="0" w:color="auto"/>
              <w:bottom w:val="single" w:sz="12" w:space="0" w:color="auto"/>
            </w:tcBorders>
            <w:shd w:val="clear" w:color="auto" w:fill="auto"/>
            <w:vAlign w:val="bottom"/>
          </w:tcPr>
          <w:p w14:paraId="464D41EB" w14:textId="77777777" w:rsidR="00560776" w:rsidRPr="00D84DAC" w:rsidRDefault="00560776" w:rsidP="00D84DAC">
            <w:pPr>
              <w:suppressAutoHyphens w:val="0"/>
              <w:spacing w:before="80" w:after="80" w:line="200" w:lineRule="exact"/>
              <w:jc w:val="right"/>
              <w:rPr>
                <w:i/>
                <w:sz w:val="16"/>
              </w:rPr>
            </w:pPr>
            <w:r w:rsidRPr="00D84DAC">
              <w:rPr>
                <w:i/>
                <w:sz w:val="16"/>
                <w:lang w:val="fr-FR"/>
              </w:rPr>
              <w:t>Dépenses effectives</w:t>
            </w:r>
          </w:p>
        </w:tc>
      </w:tr>
      <w:tr w:rsidR="00D84DAC" w:rsidRPr="00D84DAC" w14:paraId="134A9A04" w14:textId="77777777" w:rsidTr="00D84DAC">
        <w:tc>
          <w:tcPr>
            <w:tcW w:w="2156" w:type="dxa"/>
            <w:tcBorders>
              <w:top w:val="single" w:sz="12" w:space="0" w:color="auto"/>
            </w:tcBorders>
            <w:shd w:val="clear" w:color="auto" w:fill="auto"/>
          </w:tcPr>
          <w:p w14:paraId="55F2FF1A" w14:textId="77777777" w:rsidR="00560776" w:rsidRPr="00D84DAC" w:rsidRDefault="00560776" w:rsidP="00D84DAC">
            <w:pPr>
              <w:suppressAutoHyphens w:val="0"/>
              <w:spacing w:before="40" w:after="40" w:line="220" w:lineRule="exact"/>
              <w:rPr>
                <w:sz w:val="18"/>
              </w:rPr>
            </w:pPr>
            <w:r w:rsidRPr="00D84DAC">
              <w:rPr>
                <w:sz w:val="18"/>
                <w:lang w:val="fr-FR"/>
              </w:rPr>
              <w:t>2017</w:t>
            </w:r>
          </w:p>
        </w:tc>
        <w:tc>
          <w:tcPr>
            <w:tcW w:w="2469" w:type="dxa"/>
            <w:tcBorders>
              <w:top w:val="single" w:sz="12" w:space="0" w:color="auto"/>
            </w:tcBorders>
            <w:shd w:val="clear" w:color="auto" w:fill="auto"/>
            <w:vAlign w:val="bottom"/>
          </w:tcPr>
          <w:p w14:paraId="6631722B" w14:textId="77777777" w:rsidR="00560776" w:rsidRPr="00D84DAC" w:rsidRDefault="00560776" w:rsidP="00D84DAC">
            <w:pPr>
              <w:suppressAutoHyphens w:val="0"/>
              <w:spacing w:before="40" w:after="40" w:line="220" w:lineRule="exact"/>
              <w:jc w:val="right"/>
              <w:rPr>
                <w:sz w:val="18"/>
              </w:rPr>
            </w:pPr>
            <w:r w:rsidRPr="00D84DAC">
              <w:rPr>
                <w:sz w:val="18"/>
                <w:lang w:val="fr-FR"/>
              </w:rPr>
              <w:t>20,5</w:t>
            </w:r>
          </w:p>
        </w:tc>
        <w:tc>
          <w:tcPr>
            <w:tcW w:w="2413" w:type="dxa"/>
            <w:tcBorders>
              <w:top w:val="single" w:sz="12" w:space="0" w:color="auto"/>
            </w:tcBorders>
            <w:shd w:val="clear" w:color="auto" w:fill="auto"/>
            <w:vAlign w:val="bottom"/>
          </w:tcPr>
          <w:p w14:paraId="11F5C0C7" w14:textId="77777777" w:rsidR="00560776" w:rsidRPr="00D84DAC" w:rsidRDefault="00560776" w:rsidP="00D84DAC">
            <w:pPr>
              <w:suppressAutoHyphens w:val="0"/>
              <w:spacing w:before="40" w:after="40" w:line="220" w:lineRule="exact"/>
              <w:jc w:val="right"/>
              <w:rPr>
                <w:sz w:val="18"/>
              </w:rPr>
            </w:pPr>
            <w:r w:rsidRPr="00D84DAC">
              <w:rPr>
                <w:sz w:val="18"/>
                <w:lang w:val="fr-FR"/>
              </w:rPr>
              <w:t>128,6</w:t>
            </w:r>
          </w:p>
        </w:tc>
        <w:tc>
          <w:tcPr>
            <w:tcW w:w="2590" w:type="dxa"/>
            <w:tcBorders>
              <w:top w:val="single" w:sz="12" w:space="0" w:color="auto"/>
            </w:tcBorders>
            <w:shd w:val="clear" w:color="auto" w:fill="auto"/>
            <w:vAlign w:val="bottom"/>
          </w:tcPr>
          <w:p w14:paraId="1BF14E03" w14:textId="77777777" w:rsidR="00560776" w:rsidRPr="00D84DAC" w:rsidRDefault="00560776" w:rsidP="00D84DAC">
            <w:pPr>
              <w:suppressAutoHyphens w:val="0"/>
              <w:spacing w:before="40" w:after="40" w:line="220" w:lineRule="exact"/>
              <w:jc w:val="right"/>
              <w:rPr>
                <w:sz w:val="18"/>
              </w:rPr>
            </w:pPr>
            <w:r w:rsidRPr="00D84DAC">
              <w:rPr>
                <w:sz w:val="18"/>
                <w:lang w:val="fr-FR"/>
              </w:rPr>
              <w:t>19,8</w:t>
            </w:r>
          </w:p>
        </w:tc>
      </w:tr>
      <w:tr w:rsidR="00D84DAC" w:rsidRPr="00D84DAC" w14:paraId="0D56797A" w14:textId="77777777" w:rsidTr="00D84DAC">
        <w:tc>
          <w:tcPr>
            <w:tcW w:w="2156" w:type="dxa"/>
            <w:shd w:val="clear" w:color="auto" w:fill="auto"/>
          </w:tcPr>
          <w:p w14:paraId="30034586" w14:textId="77777777" w:rsidR="00560776" w:rsidRPr="00D84DAC" w:rsidRDefault="00560776" w:rsidP="00D84DAC">
            <w:pPr>
              <w:suppressAutoHyphens w:val="0"/>
              <w:spacing w:before="40" w:after="40" w:line="220" w:lineRule="exact"/>
              <w:rPr>
                <w:sz w:val="18"/>
              </w:rPr>
            </w:pPr>
            <w:r w:rsidRPr="00D84DAC">
              <w:rPr>
                <w:sz w:val="18"/>
                <w:lang w:val="fr-FR"/>
              </w:rPr>
              <w:t>2018</w:t>
            </w:r>
          </w:p>
        </w:tc>
        <w:tc>
          <w:tcPr>
            <w:tcW w:w="2469" w:type="dxa"/>
            <w:shd w:val="clear" w:color="auto" w:fill="auto"/>
            <w:vAlign w:val="bottom"/>
          </w:tcPr>
          <w:p w14:paraId="088EF6C1" w14:textId="77777777" w:rsidR="00560776" w:rsidRPr="00D84DAC" w:rsidRDefault="00560776" w:rsidP="00D84DAC">
            <w:pPr>
              <w:suppressAutoHyphens w:val="0"/>
              <w:spacing w:before="40" w:after="40" w:line="220" w:lineRule="exact"/>
              <w:jc w:val="right"/>
              <w:rPr>
                <w:sz w:val="18"/>
              </w:rPr>
            </w:pPr>
            <w:r w:rsidRPr="00D84DAC">
              <w:rPr>
                <w:sz w:val="18"/>
                <w:lang w:val="fr-FR"/>
              </w:rPr>
              <w:t>20,5</w:t>
            </w:r>
          </w:p>
        </w:tc>
        <w:tc>
          <w:tcPr>
            <w:tcW w:w="2413" w:type="dxa"/>
            <w:shd w:val="clear" w:color="auto" w:fill="auto"/>
            <w:vAlign w:val="bottom"/>
          </w:tcPr>
          <w:p w14:paraId="6F9D121E" w14:textId="77777777" w:rsidR="00560776" w:rsidRPr="00D84DAC" w:rsidRDefault="00560776" w:rsidP="00D84DAC">
            <w:pPr>
              <w:suppressAutoHyphens w:val="0"/>
              <w:spacing w:before="40" w:after="40" w:line="220" w:lineRule="exact"/>
              <w:jc w:val="right"/>
              <w:rPr>
                <w:sz w:val="18"/>
              </w:rPr>
            </w:pPr>
            <w:r w:rsidRPr="00D84DAC">
              <w:rPr>
                <w:sz w:val="18"/>
                <w:lang w:val="fr-FR"/>
              </w:rPr>
              <w:t>135,2</w:t>
            </w:r>
          </w:p>
        </w:tc>
        <w:tc>
          <w:tcPr>
            <w:tcW w:w="2590" w:type="dxa"/>
            <w:shd w:val="clear" w:color="auto" w:fill="auto"/>
            <w:vAlign w:val="bottom"/>
          </w:tcPr>
          <w:p w14:paraId="77CCF817" w14:textId="77777777" w:rsidR="00560776" w:rsidRPr="00D84DAC" w:rsidRDefault="00560776" w:rsidP="00D84DAC">
            <w:pPr>
              <w:suppressAutoHyphens w:val="0"/>
              <w:spacing w:before="40" w:after="40" w:line="220" w:lineRule="exact"/>
              <w:jc w:val="right"/>
              <w:rPr>
                <w:sz w:val="18"/>
              </w:rPr>
            </w:pPr>
            <w:r w:rsidRPr="00D84DAC">
              <w:rPr>
                <w:sz w:val="18"/>
                <w:lang w:val="fr-FR"/>
              </w:rPr>
              <w:t>20,5</w:t>
            </w:r>
          </w:p>
        </w:tc>
      </w:tr>
      <w:tr w:rsidR="00D84DAC" w:rsidRPr="00D84DAC" w14:paraId="4BFA8017" w14:textId="77777777" w:rsidTr="00D84DAC">
        <w:tc>
          <w:tcPr>
            <w:tcW w:w="2156" w:type="dxa"/>
            <w:shd w:val="clear" w:color="auto" w:fill="auto"/>
          </w:tcPr>
          <w:p w14:paraId="497EFF2F" w14:textId="77777777" w:rsidR="00560776" w:rsidRPr="00D84DAC" w:rsidRDefault="00560776" w:rsidP="00D84DAC">
            <w:pPr>
              <w:suppressAutoHyphens w:val="0"/>
              <w:spacing w:before="40" w:after="40" w:line="220" w:lineRule="exact"/>
              <w:rPr>
                <w:sz w:val="18"/>
              </w:rPr>
            </w:pPr>
            <w:r w:rsidRPr="00D84DAC">
              <w:rPr>
                <w:sz w:val="18"/>
                <w:lang w:val="fr-FR"/>
              </w:rPr>
              <w:t xml:space="preserve">2019 </w:t>
            </w:r>
          </w:p>
        </w:tc>
        <w:tc>
          <w:tcPr>
            <w:tcW w:w="2469" w:type="dxa"/>
            <w:shd w:val="clear" w:color="auto" w:fill="auto"/>
            <w:vAlign w:val="bottom"/>
          </w:tcPr>
          <w:p w14:paraId="28107AF4" w14:textId="77777777" w:rsidR="00560776" w:rsidRPr="00D84DAC" w:rsidRDefault="00560776" w:rsidP="00D84DAC">
            <w:pPr>
              <w:suppressAutoHyphens w:val="0"/>
              <w:spacing w:before="40" w:after="40" w:line="220" w:lineRule="exact"/>
              <w:jc w:val="right"/>
              <w:rPr>
                <w:sz w:val="18"/>
              </w:rPr>
            </w:pPr>
            <w:r w:rsidRPr="00D84DAC">
              <w:rPr>
                <w:sz w:val="18"/>
                <w:lang w:val="fr-FR"/>
              </w:rPr>
              <w:t>22,2</w:t>
            </w:r>
          </w:p>
        </w:tc>
        <w:tc>
          <w:tcPr>
            <w:tcW w:w="2413" w:type="dxa"/>
            <w:shd w:val="clear" w:color="auto" w:fill="auto"/>
            <w:vAlign w:val="bottom"/>
          </w:tcPr>
          <w:p w14:paraId="1B49A40E" w14:textId="77777777" w:rsidR="00560776" w:rsidRPr="00D84DAC" w:rsidRDefault="00560776" w:rsidP="00D84DAC">
            <w:pPr>
              <w:suppressAutoHyphens w:val="0"/>
              <w:spacing w:before="40" w:after="40" w:line="220" w:lineRule="exact"/>
              <w:jc w:val="right"/>
              <w:rPr>
                <w:sz w:val="18"/>
              </w:rPr>
            </w:pPr>
            <w:r w:rsidRPr="00D84DAC">
              <w:rPr>
                <w:sz w:val="18"/>
                <w:lang w:val="fr-FR"/>
              </w:rPr>
              <w:t>141,5</w:t>
            </w:r>
          </w:p>
        </w:tc>
        <w:tc>
          <w:tcPr>
            <w:tcW w:w="2590" w:type="dxa"/>
            <w:shd w:val="clear" w:color="auto" w:fill="auto"/>
            <w:vAlign w:val="bottom"/>
          </w:tcPr>
          <w:p w14:paraId="73277683" w14:textId="77777777" w:rsidR="00560776" w:rsidRPr="00D84DAC" w:rsidRDefault="00560776" w:rsidP="00D84DAC">
            <w:pPr>
              <w:suppressAutoHyphens w:val="0"/>
              <w:spacing w:before="40" w:after="40" w:line="220" w:lineRule="exact"/>
              <w:jc w:val="right"/>
              <w:rPr>
                <w:sz w:val="18"/>
              </w:rPr>
            </w:pPr>
            <w:r w:rsidRPr="00D84DAC">
              <w:rPr>
                <w:sz w:val="18"/>
                <w:lang w:val="fr-FR"/>
              </w:rPr>
              <w:t>21,5</w:t>
            </w:r>
          </w:p>
        </w:tc>
      </w:tr>
      <w:tr w:rsidR="00D84DAC" w:rsidRPr="00D84DAC" w14:paraId="39541ACE" w14:textId="77777777" w:rsidTr="00D84DAC">
        <w:tc>
          <w:tcPr>
            <w:tcW w:w="2156" w:type="dxa"/>
            <w:tcBorders>
              <w:bottom w:val="single" w:sz="12" w:space="0" w:color="auto"/>
            </w:tcBorders>
            <w:shd w:val="clear" w:color="auto" w:fill="auto"/>
          </w:tcPr>
          <w:p w14:paraId="6410DFF9" w14:textId="77777777" w:rsidR="00560776" w:rsidRPr="00D84DAC" w:rsidRDefault="00560776" w:rsidP="00D84DAC">
            <w:pPr>
              <w:suppressAutoHyphens w:val="0"/>
              <w:spacing w:before="40" w:after="40" w:line="220" w:lineRule="exact"/>
              <w:rPr>
                <w:sz w:val="18"/>
              </w:rPr>
            </w:pPr>
            <w:r w:rsidRPr="00D84DAC">
              <w:rPr>
                <w:sz w:val="18"/>
                <w:lang w:val="fr-FR"/>
              </w:rPr>
              <w:t xml:space="preserve">2020 </w:t>
            </w:r>
          </w:p>
        </w:tc>
        <w:tc>
          <w:tcPr>
            <w:tcW w:w="2469" w:type="dxa"/>
            <w:tcBorders>
              <w:bottom w:val="single" w:sz="12" w:space="0" w:color="auto"/>
            </w:tcBorders>
            <w:shd w:val="clear" w:color="auto" w:fill="auto"/>
            <w:vAlign w:val="bottom"/>
          </w:tcPr>
          <w:p w14:paraId="766D49B1" w14:textId="77777777" w:rsidR="00560776" w:rsidRPr="00D84DAC" w:rsidRDefault="00560776" w:rsidP="00D84DAC">
            <w:pPr>
              <w:suppressAutoHyphens w:val="0"/>
              <w:spacing w:before="40" w:after="40" w:line="220" w:lineRule="exact"/>
              <w:jc w:val="right"/>
              <w:rPr>
                <w:sz w:val="18"/>
              </w:rPr>
            </w:pPr>
            <w:r w:rsidRPr="00D84DAC">
              <w:rPr>
                <w:sz w:val="18"/>
                <w:lang w:val="fr-FR"/>
              </w:rPr>
              <w:t>22,2</w:t>
            </w:r>
          </w:p>
        </w:tc>
        <w:tc>
          <w:tcPr>
            <w:tcW w:w="2413" w:type="dxa"/>
            <w:tcBorders>
              <w:bottom w:val="single" w:sz="12" w:space="0" w:color="auto"/>
            </w:tcBorders>
            <w:shd w:val="clear" w:color="auto" w:fill="auto"/>
            <w:vAlign w:val="bottom"/>
          </w:tcPr>
          <w:p w14:paraId="59B0FD44" w14:textId="77777777" w:rsidR="00560776" w:rsidRPr="00D84DAC" w:rsidRDefault="00560776" w:rsidP="00D84DAC">
            <w:pPr>
              <w:suppressAutoHyphens w:val="0"/>
              <w:spacing w:before="40" w:after="40" w:line="220" w:lineRule="exact"/>
              <w:jc w:val="right"/>
              <w:rPr>
                <w:sz w:val="18"/>
              </w:rPr>
            </w:pPr>
            <w:r w:rsidRPr="00D84DAC">
              <w:rPr>
                <w:sz w:val="18"/>
                <w:lang w:val="fr-FR"/>
              </w:rPr>
              <w:t>Environ 150</w:t>
            </w:r>
          </w:p>
        </w:tc>
        <w:tc>
          <w:tcPr>
            <w:tcW w:w="2590" w:type="dxa"/>
            <w:tcBorders>
              <w:bottom w:val="single" w:sz="12" w:space="0" w:color="auto"/>
            </w:tcBorders>
            <w:shd w:val="clear" w:color="auto" w:fill="auto"/>
            <w:vAlign w:val="bottom"/>
          </w:tcPr>
          <w:p w14:paraId="75F0FE2E" w14:textId="77777777" w:rsidR="00560776" w:rsidRPr="00D84DAC" w:rsidRDefault="00560776" w:rsidP="00D84DAC">
            <w:pPr>
              <w:suppressAutoHyphens w:val="0"/>
              <w:spacing w:before="40" w:after="40" w:line="220" w:lineRule="exact"/>
              <w:jc w:val="right"/>
              <w:rPr>
                <w:sz w:val="18"/>
              </w:rPr>
            </w:pPr>
            <w:r w:rsidRPr="00D84DAC">
              <w:rPr>
                <w:sz w:val="18"/>
              </w:rPr>
              <w:t>-</w:t>
            </w:r>
          </w:p>
        </w:tc>
      </w:tr>
    </w:tbl>
    <w:p w14:paraId="6A95207C" w14:textId="2A05A768" w:rsidR="00560776" w:rsidRPr="00D84DAC" w:rsidRDefault="00560776" w:rsidP="00D84DAC">
      <w:pPr>
        <w:pStyle w:val="SingleTxtG"/>
        <w:spacing w:before="120"/>
        <w:ind w:firstLine="170"/>
        <w:rPr>
          <w:sz w:val="18"/>
          <w:szCs w:val="18"/>
        </w:rPr>
      </w:pPr>
      <w:r w:rsidRPr="00D84DAC">
        <w:rPr>
          <w:i/>
          <w:iCs/>
          <w:sz w:val="18"/>
          <w:szCs w:val="18"/>
        </w:rPr>
        <w:t>Source</w:t>
      </w:r>
      <w:r w:rsidR="00255530">
        <w:rPr>
          <w:sz w:val="18"/>
          <w:szCs w:val="18"/>
        </w:rPr>
        <w:t> </w:t>
      </w:r>
      <w:r w:rsidRPr="00D84DAC">
        <w:rPr>
          <w:sz w:val="18"/>
          <w:szCs w:val="18"/>
        </w:rPr>
        <w:t>: Rapport de la caisse de protection sociale pour 2015-2019.</w:t>
      </w:r>
    </w:p>
    <w:p w14:paraId="760C121B" w14:textId="77777777" w:rsidR="00560776" w:rsidRPr="008D553A" w:rsidRDefault="00560776" w:rsidP="00D84DAC">
      <w:pPr>
        <w:pStyle w:val="H23G"/>
        <w:rPr>
          <w:lang w:val="fr-FR"/>
        </w:rPr>
      </w:pPr>
      <w:r>
        <w:rPr>
          <w:lang w:val="fr-FR"/>
        </w:rPr>
        <w:tab/>
      </w:r>
      <w:r>
        <w:rPr>
          <w:lang w:val="fr-FR"/>
        </w:rPr>
        <w:tab/>
        <w:t>Allocation pour enfant</w:t>
      </w:r>
    </w:p>
    <w:p w14:paraId="481F8693" w14:textId="5E075D97" w:rsidR="00560776" w:rsidRPr="008D553A" w:rsidRDefault="00560776" w:rsidP="00560776">
      <w:pPr>
        <w:pStyle w:val="SingleTxtG"/>
        <w:rPr>
          <w:lang w:val="fr-FR"/>
        </w:rPr>
      </w:pPr>
      <w:r>
        <w:rPr>
          <w:lang w:val="fr-FR"/>
        </w:rPr>
        <w:t>16.</w:t>
      </w:r>
      <w:r>
        <w:rPr>
          <w:lang w:val="fr-FR"/>
        </w:rPr>
        <w:tab/>
        <w:t>L</w:t>
      </w:r>
      <w:r w:rsidR="009C7759">
        <w:rPr>
          <w:lang w:val="fr-FR"/>
        </w:rPr>
        <w:t>’</w:t>
      </w:r>
      <w:r>
        <w:rPr>
          <w:lang w:val="fr-FR"/>
        </w:rPr>
        <w:t>État verse des allocations pour tous les enfants et, dans certains cas, pour des enfants de groupes ciblés, afin de favoriser l</w:t>
      </w:r>
      <w:r w:rsidR="009C7759">
        <w:rPr>
          <w:lang w:val="fr-FR"/>
        </w:rPr>
        <w:t>’</w:t>
      </w:r>
      <w:r>
        <w:rPr>
          <w:lang w:val="fr-FR"/>
        </w:rPr>
        <w:t>accroissement durable de la population et de promouvoir la bonne croissance des enfants. En 2020, des allocations seront versées pour tous les enfants (de moins de 18 ans) enregistrés dans la base de données centralisée des ménages, soit 1</w:t>
      </w:r>
      <w:r w:rsidR="00690E8B">
        <w:rPr>
          <w:lang w:val="fr-FR"/>
        </w:rPr>
        <w:t> </w:t>
      </w:r>
      <w:r>
        <w:rPr>
          <w:lang w:val="fr-FR"/>
        </w:rPr>
        <w:t>172 289 enfants, qui représentent 96,6</w:t>
      </w:r>
      <w:r w:rsidR="00690E8B">
        <w:rPr>
          <w:lang w:val="fr-FR"/>
        </w:rPr>
        <w:t> </w:t>
      </w:r>
      <w:r>
        <w:rPr>
          <w:lang w:val="fr-FR"/>
        </w:rPr>
        <w:t>% du nombre total d</w:t>
      </w:r>
      <w:r w:rsidR="009C7759">
        <w:rPr>
          <w:lang w:val="fr-FR"/>
        </w:rPr>
        <w:t>’</w:t>
      </w:r>
      <w:r>
        <w:rPr>
          <w:lang w:val="fr-FR"/>
        </w:rPr>
        <w:t>enfants.</w:t>
      </w:r>
    </w:p>
    <w:p w14:paraId="7C7A9D79" w14:textId="113A41CD" w:rsidR="00560776" w:rsidRPr="008D553A" w:rsidRDefault="00560776" w:rsidP="00560776">
      <w:pPr>
        <w:pStyle w:val="SingleTxtG"/>
        <w:rPr>
          <w:lang w:val="fr-FR"/>
        </w:rPr>
      </w:pPr>
      <w:r>
        <w:rPr>
          <w:lang w:val="fr-FR"/>
        </w:rPr>
        <w:lastRenderedPageBreak/>
        <w:t>17.</w:t>
      </w:r>
      <w:r>
        <w:rPr>
          <w:lang w:val="fr-FR"/>
        </w:rPr>
        <w:tab/>
        <w:t>Le montant total des allocations pour enfant</w:t>
      </w:r>
      <w:r w:rsidR="00D1132A">
        <w:rPr>
          <w:lang w:val="fr-FR"/>
        </w:rPr>
        <w:t>s</w:t>
      </w:r>
      <w:r>
        <w:rPr>
          <w:lang w:val="fr-FR"/>
        </w:rPr>
        <w:t xml:space="preserve"> représente 37,3</w:t>
      </w:r>
      <w:r w:rsidR="00D1132A">
        <w:rPr>
          <w:lang w:val="fr-FR"/>
        </w:rPr>
        <w:t> </w:t>
      </w:r>
      <w:r>
        <w:rPr>
          <w:lang w:val="fr-FR"/>
        </w:rPr>
        <w:t>% du budget global de protection sociale et s</w:t>
      </w:r>
      <w:r w:rsidR="009C7759">
        <w:rPr>
          <w:lang w:val="fr-FR"/>
        </w:rPr>
        <w:t>’</w:t>
      </w:r>
      <w:r>
        <w:rPr>
          <w:lang w:val="fr-FR"/>
        </w:rPr>
        <w:t>élève à 240,0</w:t>
      </w:r>
      <w:r w:rsidR="00D1132A">
        <w:rPr>
          <w:lang w:val="fr-FR"/>
        </w:rPr>
        <w:t> </w:t>
      </w:r>
      <w:r>
        <w:rPr>
          <w:lang w:val="fr-FR"/>
        </w:rPr>
        <w:t xml:space="preserve">milliards de </w:t>
      </w:r>
      <w:proofErr w:type="spellStart"/>
      <w:r>
        <w:rPr>
          <w:lang w:val="fr-FR"/>
        </w:rPr>
        <w:t>togrogs</w:t>
      </w:r>
      <w:proofErr w:type="spellEnd"/>
      <w:r>
        <w:rPr>
          <w:lang w:val="fr-FR"/>
        </w:rPr>
        <w:t>, soit 0,7</w:t>
      </w:r>
      <w:r w:rsidR="00D1132A">
        <w:rPr>
          <w:lang w:val="fr-FR"/>
        </w:rPr>
        <w:t> </w:t>
      </w:r>
      <w:r>
        <w:rPr>
          <w:lang w:val="fr-FR"/>
        </w:rPr>
        <w:t>% du PIB</w:t>
      </w:r>
      <w:r w:rsidRPr="00474DA1">
        <w:rPr>
          <w:rStyle w:val="Appelnotedebasdep"/>
        </w:rPr>
        <w:footnoteReference w:id="4"/>
      </w:r>
      <w:r>
        <w:rPr>
          <w:lang w:val="fr-FR"/>
        </w:rPr>
        <w:t>.</w:t>
      </w:r>
    </w:p>
    <w:p w14:paraId="7B5461C7" w14:textId="52ADAE46" w:rsidR="00560776" w:rsidRPr="008D553A" w:rsidRDefault="00560776" w:rsidP="00D84DAC">
      <w:pPr>
        <w:pStyle w:val="Titre1"/>
        <w:suppressAutoHyphens w:val="0"/>
        <w:spacing w:after="120"/>
        <w:rPr>
          <w:b/>
          <w:bCs/>
          <w:lang w:val="fr-FR"/>
        </w:rPr>
      </w:pPr>
      <w:r>
        <w:rPr>
          <w:lang w:val="fr-FR"/>
        </w:rPr>
        <w:t>Tableau 4</w:t>
      </w:r>
      <w:r w:rsidR="00D84DAC">
        <w:rPr>
          <w:lang w:val="fr-FR"/>
        </w:rPr>
        <w:t xml:space="preserve"> </w:t>
      </w:r>
      <w:r w:rsidR="00D84DAC">
        <w:rPr>
          <w:lang w:val="fr-FR"/>
        </w:rPr>
        <w:br/>
      </w:r>
      <w:r>
        <w:rPr>
          <w:b/>
          <w:bCs/>
          <w:lang w:val="fr-FR"/>
        </w:rPr>
        <w:t>Nombre d</w:t>
      </w:r>
      <w:r w:rsidR="009C7759">
        <w:rPr>
          <w:b/>
          <w:bCs/>
          <w:lang w:val="fr-FR"/>
        </w:rPr>
        <w:t>’</w:t>
      </w:r>
      <w:r>
        <w:rPr>
          <w:b/>
          <w:bCs/>
          <w:lang w:val="fr-FR"/>
        </w:rPr>
        <w:t>enfants ayant droit aux allocations et dépenses engagées à ce titre</w:t>
      </w:r>
    </w:p>
    <w:tbl>
      <w:tblPr>
        <w:tblW w:w="7370" w:type="dxa"/>
        <w:tblInd w:w="1134" w:type="dxa"/>
        <w:tblLayout w:type="fixed"/>
        <w:tblCellMar>
          <w:left w:w="0" w:type="dxa"/>
          <w:right w:w="0" w:type="dxa"/>
        </w:tblCellMar>
        <w:tblLook w:val="04A0" w:firstRow="1" w:lastRow="0" w:firstColumn="1" w:lastColumn="0" w:noHBand="0" w:noVBand="1"/>
      </w:tblPr>
      <w:tblGrid>
        <w:gridCol w:w="1275"/>
        <w:gridCol w:w="1243"/>
        <w:gridCol w:w="1183"/>
        <w:gridCol w:w="1243"/>
        <w:gridCol w:w="1183"/>
        <w:gridCol w:w="1243"/>
      </w:tblGrid>
      <w:tr w:rsidR="00D84DAC" w:rsidRPr="00D84DAC" w14:paraId="304BE91D" w14:textId="77777777" w:rsidTr="00D84DAC">
        <w:trPr>
          <w:tblHeader/>
        </w:trPr>
        <w:tc>
          <w:tcPr>
            <w:tcW w:w="1666" w:type="dxa"/>
            <w:tcBorders>
              <w:top w:val="single" w:sz="4" w:space="0" w:color="auto"/>
              <w:bottom w:val="single" w:sz="12" w:space="0" w:color="auto"/>
            </w:tcBorders>
            <w:shd w:val="clear" w:color="auto" w:fill="auto"/>
            <w:vAlign w:val="bottom"/>
          </w:tcPr>
          <w:p w14:paraId="6F37FE56" w14:textId="77777777" w:rsidR="00560776" w:rsidRPr="00D84DAC" w:rsidRDefault="00560776" w:rsidP="00D84DAC">
            <w:pPr>
              <w:suppressAutoHyphens w:val="0"/>
              <w:spacing w:before="80" w:after="80" w:line="200" w:lineRule="exact"/>
              <w:rPr>
                <w:i/>
                <w:sz w:val="16"/>
                <w:lang w:val="fr-FR"/>
              </w:rPr>
            </w:pPr>
          </w:p>
        </w:tc>
        <w:tc>
          <w:tcPr>
            <w:tcW w:w="1624" w:type="dxa"/>
            <w:tcBorders>
              <w:top w:val="single" w:sz="4" w:space="0" w:color="auto"/>
              <w:bottom w:val="single" w:sz="12" w:space="0" w:color="auto"/>
            </w:tcBorders>
            <w:shd w:val="clear" w:color="auto" w:fill="auto"/>
            <w:vAlign w:val="bottom"/>
          </w:tcPr>
          <w:p w14:paraId="52250A93" w14:textId="77777777" w:rsidR="00560776" w:rsidRPr="00D84DAC" w:rsidRDefault="00560776" w:rsidP="00D84DAC">
            <w:pPr>
              <w:suppressAutoHyphens w:val="0"/>
              <w:spacing w:before="80" w:after="80" w:line="200" w:lineRule="exact"/>
              <w:jc w:val="right"/>
              <w:rPr>
                <w:i/>
                <w:sz w:val="16"/>
              </w:rPr>
            </w:pPr>
            <w:r w:rsidRPr="00D84DAC">
              <w:rPr>
                <w:i/>
                <w:iCs/>
                <w:sz w:val="16"/>
                <w:lang w:val="fr-FR"/>
              </w:rPr>
              <w:t>2015</w:t>
            </w:r>
          </w:p>
        </w:tc>
        <w:tc>
          <w:tcPr>
            <w:tcW w:w="1545" w:type="dxa"/>
            <w:tcBorders>
              <w:top w:val="single" w:sz="4" w:space="0" w:color="auto"/>
              <w:bottom w:val="single" w:sz="12" w:space="0" w:color="auto"/>
            </w:tcBorders>
            <w:shd w:val="clear" w:color="auto" w:fill="auto"/>
            <w:vAlign w:val="bottom"/>
          </w:tcPr>
          <w:p w14:paraId="72138171" w14:textId="77777777" w:rsidR="00560776" w:rsidRPr="00D84DAC" w:rsidRDefault="00560776" w:rsidP="00D84DAC">
            <w:pPr>
              <w:suppressAutoHyphens w:val="0"/>
              <w:spacing w:before="80" w:after="80" w:line="200" w:lineRule="exact"/>
              <w:jc w:val="right"/>
              <w:rPr>
                <w:i/>
                <w:sz w:val="16"/>
              </w:rPr>
            </w:pPr>
            <w:r w:rsidRPr="00D84DAC">
              <w:rPr>
                <w:i/>
                <w:iCs/>
                <w:sz w:val="16"/>
                <w:lang w:val="fr-FR"/>
              </w:rPr>
              <w:t>2016</w:t>
            </w:r>
          </w:p>
        </w:tc>
        <w:tc>
          <w:tcPr>
            <w:tcW w:w="1624" w:type="dxa"/>
            <w:tcBorders>
              <w:top w:val="single" w:sz="4" w:space="0" w:color="auto"/>
              <w:bottom w:val="single" w:sz="12" w:space="0" w:color="auto"/>
            </w:tcBorders>
            <w:shd w:val="clear" w:color="auto" w:fill="auto"/>
            <w:vAlign w:val="bottom"/>
          </w:tcPr>
          <w:p w14:paraId="7159B64C" w14:textId="77777777" w:rsidR="00560776" w:rsidRPr="00D84DAC" w:rsidRDefault="00560776" w:rsidP="00D84DAC">
            <w:pPr>
              <w:suppressAutoHyphens w:val="0"/>
              <w:spacing w:before="80" w:after="80" w:line="200" w:lineRule="exact"/>
              <w:jc w:val="right"/>
              <w:rPr>
                <w:i/>
                <w:sz w:val="16"/>
              </w:rPr>
            </w:pPr>
            <w:r w:rsidRPr="00D84DAC">
              <w:rPr>
                <w:i/>
                <w:iCs/>
                <w:sz w:val="16"/>
                <w:lang w:val="fr-FR"/>
              </w:rPr>
              <w:t>2017</w:t>
            </w:r>
          </w:p>
        </w:tc>
        <w:tc>
          <w:tcPr>
            <w:tcW w:w="1545" w:type="dxa"/>
            <w:tcBorders>
              <w:top w:val="single" w:sz="4" w:space="0" w:color="auto"/>
              <w:bottom w:val="single" w:sz="12" w:space="0" w:color="auto"/>
            </w:tcBorders>
            <w:shd w:val="clear" w:color="auto" w:fill="auto"/>
            <w:vAlign w:val="bottom"/>
          </w:tcPr>
          <w:p w14:paraId="19B37155" w14:textId="77777777" w:rsidR="00560776" w:rsidRPr="00D84DAC" w:rsidRDefault="00560776" w:rsidP="00D84DAC">
            <w:pPr>
              <w:suppressAutoHyphens w:val="0"/>
              <w:spacing w:before="80" w:after="80" w:line="200" w:lineRule="exact"/>
              <w:jc w:val="right"/>
              <w:rPr>
                <w:i/>
                <w:sz w:val="16"/>
              </w:rPr>
            </w:pPr>
            <w:r w:rsidRPr="00D84DAC">
              <w:rPr>
                <w:i/>
                <w:iCs/>
                <w:sz w:val="16"/>
                <w:lang w:val="fr-FR"/>
              </w:rPr>
              <w:t>2018</w:t>
            </w:r>
          </w:p>
        </w:tc>
        <w:tc>
          <w:tcPr>
            <w:tcW w:w="1624" w:type="dxa"/>
            <w:tcBorders>
              <w:top w:val="single" w:sz="4" w:space="0" w:color="auto"/>
              <w:bottom w:val="single" w:sz="12" w:space="0" w:color="auto"/>
            </w:tcBorders>
            <w:shd w:val="clear" w:color="auto" w:fill="auto"/>
            <w:vAlign w:val="bottom"/>
          </w:tcPr>
          <w:p w14:paraId="140F76C4" w14:textId="77777777" w:rsidR="00560776" w:rsidRPr="00D84DAC" w:rsidRDefault="00560776" w:rsidP="00D84DAC">
            <w:pPr>
              <w:suppressAutoHyphens w:val="0"/>
              <w:spacing w:before="80" w:after="80" w:line="200" w:lineRule="exact"/>
              <w:jc w:val="right"/>
              <w:rPr>
                <w:i/>
                <w:sz w:val="16"/>
              </w:rPr>
            </w:pPr>
            <w:r w:rsidRPr="00D84DAC">
              <w:rPr>
                <w:i/>
                <w:iCs/>
                <w:sz w:val="16"/>
                <w:lang w:val="fr-FR"/>
              </w:rPr>
              <w:t>2019</w:t>
            </w:r>
          </w:p>
        </w:tc>
      </w:tr>
      <w:tr w:rsidR="00D84DAC" w:rsidRPr="00D84DAC" w14:paraId="57416472" w14:textId="77777777" w:rsidTr="00D84DAC">
        <w:tc>
          <w:tcPr>
            <w:tcW w:w="1666" w:type="dxa"/>
            <w:tcBorders>
              <w:top w:val="single" w:sz="12" w:space="0" w:color="auto"/>
            </w:tcBorders>
            <w:shd w:val="clear" w:color="auto" w:fill="auto"/>
          </w:tcPr>
          <w:p w14:paraId="6B3AC1F1" w14:textId="5E7D8B2D" w:rsidR="00560776" w:rsidRPr="00D84DAC" w:rsidRDefault="00560776" w:rsidP="00D84DAC">
            <w:pPr>
              <w:suppressAutoHyphens w:val="0"/>
              <w:spacing w:before="40" w:after="40" w:line="220" w:lineRule="exact"/>
              <w:rPr>
                <w:sz w:val="18"/>
                <w:szCs w:val="16"/>
              </w:rPr>
            </w:pPr>
            <w:r w:rsidRPr="00D84DAC">
              <w:rPr>
                <w:sz w:val="18"/>
                <w:szCs w:val="16"/>
                <w:lang w:val="fr-FR"/>
              </w:rPr>
              <w:t>Nombre d</w:t>
            </w:r>
            <w:r w:rsidR="009C7759">
              <w:rPr>
                <w:sz w:val="18"/>
                <w:szCs w:val="16"/>
                <w:lang w:val="fr-FR"/>
              </w:rPr>
              <w:t>’</w:t>
            </w:r>
            <w:r w:rsidRPr="00D84DAC">
              <w:rPr>
                <w:sz w:val="18"/>
                <w:szCs w:val="16"/>
                <w:lang w:val="fr-FR"/>
              </w:rPr>
              <w:t>enfants</w:t>
            </w:r>
          </w:p>
        </w:tc>
        <w:tc>
          <w:tcPr>
            <w:tcW w:w="1624" w:type="dxa"/>
            <w:tcBorders>
              <w:top w:val="single" w:sz="12" w:space="0" w:color="auto"/>
            </w:tcBorders>
            <w:shd w:val="clear" w:color="auto" w:fill="auto"/>
            <w:vAlign w:val="bottom"/>
          </w:tcPr>
          <w:p w14:paraId="482F3489" w14:textId="77777777" w:rsidR="00560776" w:rsidRPr="00D84DAC" w:rsidRDefault="00560776" w:rsidP="00D84DAC">
            <w:pPr>
              <w:suppressAutoHyphens w:val="0"/>
              <w:spacing w:before="40" w:after="40" w:line="220" w:lineRule="exact"/>
              <w:jc w:val="right"/>
              <w:rPr>
                <w:sz w:val="18"/>
                <w:szCs w:val="16"/>
              </w:rPr>
            </w:pPr>
            <w:r w:rsidRPr="00D84DAC">
              <w:rPr>
                <w:sz w:val="18"/>
                <w:szCs w:val="16"/>
                <w:lang w:val="fr-FR"/>
              </w:rPr>
              <w:t>1 029 447</w:t>
            </w:r>
          </w:p>
        </w:tc>
        <w:tc>
          <w:tcPr>
            <w:tcW w:w="1545" w:type="dxa"/>
            <w:tcBorders>
              <w:top w:val="single" w:sz="12" w:space="0" w:color="auto"/>
            </w:tcBorders>
            <w:shd w:val="clear" w:color="auto" w:fill="auto"/>
            <w:vAlign w:val="bottom"/>
          </w:tcPr>
          <w:p w14:paraId="55FF3A85" w14:textId="77777777" w:rsidR="00560776" w:rsidRPr="00D84DAC" w:rsidRDefault="00560776" w:rsidP="00D84DAC">
            <w:pPr>
              <w:suppressAutoHyphens w:val="0"/>
              <w:spacing w:before="40" w:after="40" w:line="220" w:lineRule="exact"/>
              <w:jc w:val="right"/>
              <w:rPr>
                <w:sz w:val="18"/>
                <w:szCs w:val="16"/>
              </w:rPr>
            </w:pPr>
            <w:r w:rsidRPr="00D84DAC">
              <w:rPr>
                <w:sz w:val="18"/>
                <w:szCs w:val="16"/>
                <w:lang w:val="fr-FR"/>
              </w:rPr>
              <w:t>911 840</w:t>
            </w:r>
          </w:p>
        </w:tc>
        <w:tc>
          <w:tcPr>
            <w:tcW w:w="1624" w:type="dxa"/>
            <w:tcBorders>
              <w:top w:val="single" w:sz="12" w:space="0" w:color="auto"/>
            </w:tcBorders>
            <w:shd w:val="clear" w:color="auto" w:fill="auto"/>
            <w:vAlign w:val="bottom"/>
          </w:tcPr>
          <w:p w14:paraId="3B74D67C" w14:textId="77777777" w:rsidR="00560776" w:rsidRPr="00D84DAC" w:rsidRDefault="00560776" w:rsidP="00D84DAC">
            <w:pPr>
              <w:suppressAutoHyphens w:val="0"/>
              <w:spacing w:before="40" w:after="40" w:line="220" w:lineRule="exact"/>
              <w:jc w:val="right"/>
              <w:rPr>
                <w:sz w:val="18"/>
                <w:szCs w:val="16"/>
              </w:rPr>
            </w:pPr>
            <w:r w:rsidRPr="00D84DAC">
              <w:rPr>
                <w:sz w:val="18"/>
                <w:szCs w:val="16"/>
                <w:lang w:val="fr-FR"/>
              </w:rPr>
              <w:t>1 034 000</w:t>
            </w:r>
          </w:p>
        </w:tc>
        <w:tc>
          <w:tcPr>
            <w:tcW w:w="1545" w:type="dxa"/>
            <w:tcBorders>
              <w:top w:val="single" w:sz="12" w:space="0" w:color="auto"/>
            </w:tcBorders>
            <w:shd w:val="clear" w:color="auto" w:fill="auto"/>
            <w:vAlign w:val="bottom"/>
          </w:tcPr>
          <w:p w14:paraId="0C55288B" w14:textId="77777777" w:rsidR="00560776" w:rsidRPr="00D84DAC" w:rsidRDefault="00560776" w:rsidP="00D84DAC">
            <w:pPr>
              <w:suppressAutoHyphens w:val="0"/>
              <w:spacing w:before="40" w:after="40" w:line="220" w:lineRule="exact"/>
              <w:jc w:val="right"/>
              <w:rPr>
                <w:sz w:val="18"/>
                <w:szCs w:val="16"/>
              </w:rPr>
            </w:pPr>
            <w:r w:rsidRPr="00D84DAC">
              <w:rPr>
                <w:sz w:val="18"/>
                <w:szCs w:val="16"/>
                <w:lang w:val="fr-FR"/>
              </w:rPr>
              <w:t>912 000</w:t>
            </w:r>
          </w:p>
        </w:tc>
        <w:tc>
          <w:tcPr>
            <w:tcW w:w="1624" w:type="dxa"/>
            <w:tcBorders>
              <w:top w:val="single" w:sz="12" w:space="0" w:color="auto"/>
            </w:tcBorders>
            <w:shd w:val="clear" w:color="auto" w:fill="auto"/>
            <w:vAlign w:val="bottom"/>
          </w:tcPr>
          <w:p w14:paraId="3A0119A3" w14:textId="77777777" w:rsidR="00560776" w:rsidRPr="00D84DAC" w:rsidRDefault="00560776" w:rsidP="00D84DAC">
            <w:pPr>
              <w:suppressAutoHyphens w:val="0"/>
              <w:spacing w:before="40" w:after="40" w:line="220" w:lineRule="exact"/>
              <w:jc w:val="right"/>
              <w:rPr>
                <w:sz w:val="18"/>
                <w:szCs w:val="16"/>
              </w:rPr>
            </w:pPr>
            <w:r w:rsidRPr="00D84DAC">
              <w:rPr>
                <w:sz w:val="18"/>
                <w:szCs w:val="16"/>
                <w:lang w:val="fr-FR"/>
              </w:rPr>
              <w:t>1 000 557</w:t>
            </w:r>
          </w:p>
        </w:tc>
      </w:tr>
      <w:tr w:rsidR="00D84DAC" w:rsidRPr="00D84DAC" w14:paraId="3E14E231" w14:textId="77777777" w:rsidTr="00D84DAC">
        <w:tc>
          <w:tcPr>
            <w:tcW w:w="1666" w:type="dxa"/>
            <w:shd w:val="clear" w:color="auto" w:fill="auto"/>
          </w:tcPr>
          <w:p w14:paraId="02B74847" w14:textId="73BBE704" w:rsidR="00560776" w:rsidRPr="00D84DAC" w:rsidRDefault="00560776" w:rsidP="00D84DAC">
            <w:pPr>
              <w:suppressAutoHyphens w:val="0"/>
              <w:spacing w:before="40" w:after="40" w:line="220" w:lineRule="exact"/>
              <w:rPr>
                <w:sz w:val="18"/>
                <w:szCs w:val="16"/>
                <w:lang w:val="fr-FR"/>
              </w:rPr>
            </w:pPr>
            <w:r w:rsidRPr="00D84DAC">
              <w:rPr>
                <w:sz w:val="18"/>
                <w:szCs w:val="16"/>
                <w:lang w:val="fr-FR"/>
              </w:rPr>
              <w:t>Pourcentage par rapport au nombre total d</w:t>
            </w:r>
            <w:r w:rsidR="009C7759">
              <w:rPr>
                <w:sz w:val="18"/>
                <w:szCs w:val="16"/>
                <w:lang w:val="fr-FR"/>
              </w:rPr>
              <w:t>’</w:t>
            </w:r>
            <w:r w:rsidRPr="00D84DAC">
              <w:rPr>
                <w:sz w:val="18"/>
                <w:szCs w:val="16"/>
                <w:lang w:val="fr-FR"/>
              </w:rPr>
              <w:t>enfants</w:t>
            </w:r>
          </w:p>
        </w:tc>
        <w:tc>
          <w:tcPr>
            <w:tcW w:w="1624" w:type="dxa"/>
            <w:shd w:val="clear" w:color="auto" w:fill="auto"/>
            <w:vAlign w:val="bottom"/>
          </w:tcPr>
          <w:p w14:paraId="4C5C7D9F" w14:textId="77777777" w:rsidR="00560776" w:rsidRPr="00D84DAC" w:rsidRDefault="00560776" w:rsidP="00D84DAC">
            <w:pPr>
              <w:suppressAutoHyphens w:val="0"/>
              <w:spacing w:before="40" w:after="40" w:line="220" w:lineRule="exact"/>
              <w:jc w:val="right"/>
              <w:rPr>
                <w:sz w:val="18"/>
                <w:szCs w:val="16"/>
              </w:rPr>
            </w:pPr>
            <w:r w:rsidRPr="00D84DAC">
              <w:rPr>
                <w:sz w:val="18"/>
                <w:szCs w:val="16"/>
                <w:lang w:val="fr-FR"/>
              </w:rPr>
              <w:t>93,9</w:t>
            </w:r>
          </w:p>
        </w:tc>
        <w:tc>
          <w:tcPr>
            <w:tcW w:w="1545" w:type="dxa"/>
            <w:shd w:val="clear" w:color="auto" w:fill="auto"/>
            <w:vAlign w:val="bottom"/>
          </w:tcPr>
          <w:p w14:paraId="134C0E97" w14:textId="77777777" w:rsidR="00560776" w:rsidRPr="00D84DAC" w:rsidRDefault="00560776" w:rsidP="00D84DAC">
            <w:pPr>
              <w:suppressAutoHyphens w:val="0"/>
              <w:spacing w:before="40" w:after="40" w:line="220" w:lineRule="exact"/>
              <w:jc w:val="right"/>
              <w:rPr>
                <w:sz w:val="18"/>
                <w:szCs w:val="16"/>
              </w:rPr>
            </w:pPr>
            <w:r w:rsidRPr="00D84DAC">
              <w:rPr>
                <w:sz w:val="18"/>
                <w:szCs w:val="16"/>
                <w:lang w:val="fr-FR"/>
              </w:rPr>
              <w:t>80,9</w:t>
            </w:r>
          </w:p>
        </w:tc>
        <w:tc>
          <w:tcPr>
            <w:tcW w:w="1624" w:type="dxa"/>
            <w:shd w:val="clear" w:color="auto" w:fill="auto"/>
            <w:vAlign w:val="bottom"/>
          </w:tcPr>
          <w:p w14:paraId="67D86875" w14:textId="77777777" w:rsidR="00560776" w:rsidRPr="00D84DAC" w:rsidRDefault="00560776" w:rsidP="00D84DAC">
            <w:pPr>
              <w:suppressAutoHyphens w:val="0"/>
              <w:spacing w:before="40" w:after="40" w:line="220" w:lineRule="exact"/>
              <w:jc w:val="right"/>
              <w:rPr>
                <w:sz w:val="18"/>
                <w:szCs w:val="16"/>
              </w:rPr>
            </w:pPr>
            <w:r w:rsidRPr="00D84DAC">
              <w:rPr>
                <w:sz w:val="18"/>
                <w:szCs w:val="16"/>
                <w:lang w:val="fr-FR"/>
              </w:rPr>
              <w:t>94,0</w:t>
            </w:r>
          </w:p>
        </w:tc>
        <w:tc>
          <w:tcPr>
            <w:tcW w:w="1545" w:type="dxa"/>
            <w:shd w:val="clear" w:color="auto" w:fill="auto"/>
            <w:vAlign w:val="bottom"/>
          </w:tcPr>
          <w:p w14:paraId="742C33C8" w14:textId="77777777" w:rsidR="00560776" w:rsidRPr="00D84DAC" w:rsidRDefault="00560776" w:rsidP="00D84DAC">
            <w:pPr>
              <w:suppressAutoHyphens w:val="0"/>
              <w:spacing w:before="40" w:after="40" w:line="220" w:lineRule="exact"/>
              <w:jc w:val="right"/>
              <w:rPr>
                <w:sz w:val="18"/>
                <w:szCs w:val="16"/>
              </w:rPr>
            </w:pPr>
            <w:r w:rsidRPr="00D84DAC">
              <w:rPr>
                <w:sz w:val="18"/>
                <w:szCs w:val="16"/>
                <w:lang w:val="fr-FR"/>
              </w:rPr>
              <w:t>77,2</w:t>
            </w:r>
          </w:p>
        </w:tc>
        <w:tc>
          <w:tcPr>
            <w:tcW w:w="1624" w:type="dxa"/>
            <w:shd w:val="clear" w:color="auto" w:fill="auto"/>
            <w:vAlign w:val="bottom"/>
          </w:tcPr>
          <w:p w14:paraId="5ECB7358" w14:textId="77777777" w:rsidR="00560776" w:rsidRPr="00D84DAC" w:rsidRDefault="00560776" w:rsidP="00D84DAC">
            <w:pPr>
              <w:suppressAutoHyphens w:val="0"/>
              <w:spacing w:before="40" w:after="40" w:line="220" w:lineRule="exact"/>
              <w:jc w:val="right"/>
              <w:rPr>
                <w:sz w:val="18"/>
                <w:szCs w:val="16"/>
              </w:rPr>
            </w:pPr>
            <w:r w:rsidRPr="00D84DAC">
              <w:rPr>
                <w:sz w:val="18"/>
                <w:szCs w:val="16"/>
                <w:lang w:val="fr-FR"/>
              </w:rPr>
              <w:t>82,4</w:t>
            </w:r>
          </w:p>
        </w:tc>
      </w:tr>
      <w:tr w:rsidR="00D84DAC" w:rsidRPr="00D84DAC" w14:paraId="72C9E58B" w14:textId="77777777" w:rsidTr="00D84DAC">
        <w:tc>
          <w:tcPr>
            <w:tcW w:w="1666" w:type="dxa"/>
            <w:tcBorders>
              <w:bottom w:val="single" w:sz="12" w:space="0" w:color="auto"/>
            </w:tcBorders>
            <w:shd w:val="clear" w:color="auto" w:fill="auto"/>
          </w:tcPr>
          <w:p w14:paraId="423648DE" w14:textId="1732C060" w:rsidR="00560776" w:rsidRPr="00D84DAC" w:rsidRDefault="00560776" w:rsidP="00D84DAC">
            <w:pPr>
              <w:suppressAutoHyphens w:val="0"/>
              <w:spacing w:before="40" w:after="40" w:line="220" w:lineRule="exact"/>
              <w:rPr>
                <w:sz w:val="18"/>
                <w:szCs w:val="16"/>
                <w:lang w:val="fr-FR"/>
              </w:rPr>
            </w:pPr>
            <w:r w:rsidRPr="00D84DAC">
              <w:rPr>
                <w:sz w:val="18"/>
                <w:szCs w:val="16"/>
                <w:lang w:val="fr-FR"/>
              </w:rPr>
              <w:t>Dépenses effectives (en</w:t>
            </w:r>
            <w:r w:rsidR="00D1132A">
              <w:rPr>
                <w:sz w:val="18"/>
                <w:szCs w:val="16"/>
                <w:lang w:val="fr-FR"/>
              </w:rPr>
              <w:t> </w:t>
            </w:r>
            <w:r w:rsidRPr="00D84DAC">
              <w:rPr>
                <w:sz w:val="18"/>
                <w:szCs w:val="16"/>
                <w:lang w:val="fr-FR"/>
              </w:rPr>
              <w:t>milliards de</w:t>
            </w:r>
            <w:r w:rsidR="00D1132A">
              <w:rPr>
                <w:sz w:val="18"/>
                <w:szCs w:val="16"/>
                <w:lang w:val="fr-FR"/>
              </w:rPr>
              <w:t> </w:t>
            </w:r>
            <w:proofErr w:type="spellStart"/>
            <w:r w:rsidRPr="00D84DAC">
              <w:rPr>
                <w:sz w:val="18"/>
                <w:szCs w:val="16"/>
                <w:lang w:val="fr-FR"/>
              </w:rPr>
              <w:t>togrogs</w:t>
            </w:r>
            <w:proofErr w:type="spellEnd"/>
            <w:r w:rsidRPr="00D84DAC">
              <w:rPr>
                <w:sz w:val="18"/>
                <w:szCs w:val="16"/>
                <w:lang w:val="fr-FR"/>
              </w:rPr>
              <w:t>)</w:t>
            </w:r>
          </w:p>
        </w:tc>
        <w:tc>
          <w:tcPr>
            <w:tcW w:w="1624" w:type="dxa"/>
            <w:tcBorders>
              <w:bottom w:val="single" w:sz="12" w:space="0" w:color="auto"/>
            </w:tcBorders>
            <w:shd w:val="clear" w:color="auto" w:fill="auto"/>
            <w:vAlign w:val="bottom"/>
          </w:tcPr>
          <w:p w14:paraId="37964909" w14:textId="77777777" w:rsidR="00560776" w:rsidRPr="00D84DAC" w:rsidRDefault="00560776" w:rsidP="00D84DAC">
            <w:pPr>
              <w:suppressAutoHyphens w:val="0"/>
              <w:spacing w:before="40" w:after="40" w:line="220" w:lineRule="exact"/>
              <w:jc w:val="right"/>
              <w:rPr>
                <w:sz w:val="18"/>
                <w:szCs w:val="16"/>
              </w:rPr>
            </w:pPr>
            <w:r w:rsidRPr="00D84DAC">
              <w:rPr>
                <w:sz w:val="18"/>
                <w:szCs w:val="16"/>
                <w:lang w:val="fr-FR"/>
              </w:rPr>
              <w:t>246,6</w:t>
            </w:r>
          </w:p>
        </w:tc>
        <w:tc>
          <w:tcPr>
            <w:tcW w:w="1545" w:type="dxa"/>
            <w:tcBorders>
              <w:bottom w:val="single" w:sz="12" w:space="0" w:color="auto"/>
            </w:tcBorders>
            <w:shd w:val="clear" w:color="auto" w:fill="auto"/>
            <w:vAlign w:val="bottom"/>
          </w:tcPr>
          <w:p w14:paraId="1B7CB6B0" w14:textId="77777777" w:rsidR="00560776" w:rsidRPr="00D84DAC" w:rsidRDefault="00560776" w:rsidP="00D84DAC">
            <w:pPr>
              <w:suppressAutoHyphens w:val="0"/>
              <w:spacing w:before="40" w:after="40" w:line="220" w:lineRule="exact"/>
              <w:jc w:val="right"/>
              <w:rPr>
                <w:sz w:val="18"/>
                <w:szCs w:val="16"/>
              </w:rPr>
            </w:pPr>
            <w:r w:rsidRPr="00D84DAC">
              <w:rPr>
                <w:sz w:val="18"/>
                <w:szCs w:val="16"/>
                <w:lang w:val="fr-FR"/>
              </w:rPr>
              <w:t>218,8</w:t>
            </w:r>
          </w:p>
        </w:tc>
        <w:tc>
          <w:tcPr>
            <w:tcW w:w="1624" w:type="dxa"/>
            <w:tcBorders>
              <w:bottom w:val="single" w:sz="12" w:space="0" w:color="auto"/>
            </w:tcBorders>
            <w:shd w:val="clear" w:color="auto" w:fill="auto"/>
            <w:vAlign w:val="bottom"/>
          </w:tcPr>
          <w:p w14:paraId="1A793E4E" w14:textId="77777777" w:rsidR="00560776" w:rsidRPr="00D84DAC" w:rsidRDefault="00560776" w:rsidP="00D84DAC">
            <w:pPr>
              <w:suppressAutoHyphens w:val="0"/>
              <w:spacing w:before="40" w:after="40" w:line="220" w:lineRule="exact"/>
              <w:jc w:val="right"/>
              <w:rPr>
                <w:sz w:val="18"/>
                <w:szCs w:val="16"/>
              </w:rPr>
            </w:pPr>
            <w:r w:rsidRPr="00D84DAC">
              <w:rPr>
                <w:sz w:val="18"/>
                <w:szCs w:val="16"/>
                <w:lang w:val="fr-FR"/>
              </w:rPr>
              <w:t>257,6</w:t>
            </w:r>
          </w:p>
        </w:tc>
        <w:tc>
          <w:tcPr>
            <w:tcW w:w="1545" w:type="dxa"/>
            <w:tcBorders>
              <w:bottom w:val="single" w:sz="12" w:space="0" w:color="auto"/>
            </w:tcBorders>
            <w:shd w:val="clear" w:color="auto" w:fill="auto"/>
            <w:vAlign w:val="bottom"/>
          </w:tcPr>
          <w:p w14:paraId="3857EAF0" w14:textId="77777777" w:rsidR="00560776" w:rsidRPr="00D84DAC" w:rsidRDefault="00560776" w:rsidP="00D84DAC">
            <w:pPr>
              <w:suppressAutoHyphens w:val="0"/>
              <w:spacing w:before="40" w:after="40" w:line="220" w:lineRule="exact"/>
              <w:jc w:val="right"/>
              <w:rPr>
                <w:sz w:val="18"/>
                <w:szCs w:val="16"/>
              </w:rPr>
            </w:pPr>
            <w:r w:rsidRPr="00D84DAC">
              <w:rPr>
                <w:sz w:val="18"/>
                <w:szCs w:val="16"/>
                <w:lang w:val="fr-FR"/>
              </w:rPr>
              <w:t>209,2</w:t>
            </w:r>
          </w:p>
        </w:tc>
        <w:tc>
          <w:tcPr>
            <w:tcW w:w="1624" w:type="dxa"/>
            <w:tcBorders>
              <w:bottom w:val="single" w:sz="12" w:space="0" w:color="auto"/>
            </w:tcBorders>
            <w:shd w:val="clear" w:color="auto" w:fill="auto"/>
            <w:vAlign w:val="bottom"/>
          </w:tcPr>
          <w:p w14:paraId="1FDCC04C" w14:textId="77777777" w:rsidR="00560776" w:rsidRPr="00D84DAC" w:rsidRDefault="00560776" w:rsidP="00D84DAC">
            <w:pPr>
              <w:suppressAutoHyphens w:val="0"/>
              <w:spacing w:before="40" w:after="40" w:line="220" w:lineRule="exact"/>
              <w:jc w:val="right"/>
              <w:rPr>
                <w:sz w:val="18"/>
                <w:szCs w:val="16"/>
              </w:rPr>
            </w:pPr>
            <w:r w:rsidRPr="00D84DAC">
              <w:rPr>
                <w:sz w:val="18"/>
                <w:szCs w:val="16"/>
                <w:lang w:val="fr-FR"/>
              </w:rPr>
              <w:t>229,6</w:t>
            </w:r>
          </w:p>
        </w:tc>
      </w:tr>
    </w:tbl>
    <w:p w14:paraId="4677FFB4" w14:textId="259E91EE" w:rsidR="00560776" w:rsidRPr="00D84DAC" w:rsidRDefault="00560776" w:rsidP="00D84DAC">
      <w:pPr>
        <w:pStyle w:val="SingleTxtG"/>
        <w:spacing w:before="120"/>
        <w:ind w:firstLine="170"/>
        <w:rPr>
          <w:sz w:val="18"/>
          <w:szCs w:val="18"/>
        </w:rPr>
      </w:pPr>
      <w:r w:rsidRPr="00D84DAC">
        <w:rPr>
          <w:i/>
          <w:iCs/>
          <w:sz w:val="18"/>
          <w:szCs w:val="18"/>
        </w:rPr>
        <w:t>Source</w:t>
      </w:r>
      <w:r w:rsidR="00A737F5">
        <w:rPr>
          <w:sz w:val="18"/>
          <w:szCs w:val="18"/>
        </w:rPr>
        <w:t> </w:t>
      </w:r>
      <w:r w:rsidRPr="00D84DAC">
        <w:rPr>
          <w:sz w:val="18"/>
          <w:szCs w:val="18"/>
        </w:rPr>
        <w:t>: Rapport de la caisse de protection sociale pour 2015-2019.</w:t>
      </w:r>
    </w:p>
    <w:p w14:paraId="04998020" w14:textId="78053C35" w:rsidR="00560776" w:rsidRPr="008D553A" w:rsidRDefault="00560776" w:rsidP="00D84DAC">
      <w:pPr>
        <w:pStyle w:val="SingleTxtG"/>
        <w:spacing w:before="240"/>
        <w:rPr>
          <w:lang w:val="fr-FR"/>
        </w:rPr>
      </w:pPr>
      <w:r>
        <w:rPr>
          <w:lang w:val="fr-FR"/>
        </w:rPr>
        <w:t>18.</w:t>
      </w:r>
      <w:r>
        <w:rPr>
          <w:lang w:val="fr-FR"/>
        </w:rPr>
        <w:tab/>
        <w:t xml:space="preserve">Le Grand </w:t>
      </w:r>
      <w:proofErr w:type="spellStart"/>
      <w:r>
        <w:rPr>
          <w:lang w:val="fr-FR"/>
        </w:rPr>
        <w:t>Khoural</w:t>
      </w:r>
      <w:proofErr w:type="spellEnd"/>
      <w:r>
        <w:rPr>
          <w:lang w:val="fr-FR"/>
        </w:rPr>
        <w:t xml:space="preserve"> d</w:t>
      </w:r>
      <w:r w:rsidR="009C7759">
        <w:rPr>
          <w:lang w:val="fr-FR"/>
        </w:rPr>
        <w:t>’</w:t>
      </w:r>
      <w:r>
        <w:rPr>
          <w:lang w:val="fr-FR"/>
        </w:rPr>
        <w:t xml:space="preserve">État a approuvé le 29 avril 2020 la loi visant à prévenir et combattre la </w:t>
      </w:r>
      <w:r w:rsidRPr="00474DA1">
        <w:rPr>
          <w:lang w:val="fr-FR"/>
        </w:rPr>
        <w:t>maladie à coronavirus 2019</w:t>
      </w:r>
      <w:r w:rsidDel="00BE0877">
        <w:rPr>
          <w:lang w:val="fr-FR"/>
        </w:rPr>
        <w:t xml:space="preserve"> </w:t>
      </w:r>
      <w:r>
        <w:rPr>
          <w:lang w:val="fr-FR"/>
        </w:rPr>
        <w:t xml:space="preserve">(COVID-19) et à en atténuer les effets néfastes sur le développement </w:t>
      </w:r>
      <w:proofErr w:type="spellStart"/>
      <w:r>
        <w:rPr>
          <w:lang w:val="fr-FR"/>
        </w:rPr>
        <w:t>socioéconomique</w:t>
      </w:r>
      <w:proofErr w:type="spellEnd"/>
      <w:r>
        <w:rPr>
          <w:lang w:val="fr-FR"/>
        </w:rPr>
        <w:t>. En application de cette loi, le Gouvernement a publié la résolution n</w:t>
      </w:r>
      <w:r w:rsidR="00D1132A" w:rsidRPr="00D1132A">
        <w:rPr>
          <w:vertAlign w:val="superscript"/>
          <w:lang w:val="fr-FR"/>
        </w:rPr>
        <w:t>o</w:t>
      </w:r>
      <w:r w:rsidR="00D1132A">
        <w:rPr>
          <w:lang w:val="fr-FR"/>
        </w:rPr>
        <w:t> </w:t>
      </w:r>
      <w:r>
        <w:rPr>
          <w:lang w:val="fr-FR"/>
        </w:rPr>
        <w:t>114 visant à augmenter le montant de l</w:t>
      </w:r>
      <w:r w:rsidR="009C7759">
        <w:rPr>
          <w:lang w:val="fr-FR"/>
        </w:rPr>
        <w:t>’</w:t>
      </w:r>
      <w:r>
        <w:rPr>
          <w:lang w:val="fr-FR"/>
        </w:rPr>
        <w:t>allocation mensuelle pour enfant (de</w:t>
      </w:r>
      <w:r w:rsidR="00D1132A">
        <w:rPr>
          <w:lang w:val="fr-FR"/>
        </w:rPr>
        <w:t> </w:t>
      </w:r>
      <w:r>
        <w:rPr>
          <w:lang w:val="fr-FR"/>
        </w:rPr>
        <w:t>moins de 18 ans) en la portant à 30</w:t>
      </w:r>
      <w:r w:rsidR="00D1132A">
        <w:rPr>
          <w:lang w:val="fr-FR"/>
        </w:rPr>
        <w:t> </w:t>
      </w:r>
      <w:r>
        <w:rPr>
          <w:lang w:val="fr-FR"/>
        </w:rPr>
        <w:t>000</w:t>
      </w:r>
      <w:r w:rsidR="00D1132A">
        <w:rPr>
          <w:lang w:val="fr-FR"/>
        </w:rPr>
        <w:t> </w:t>
      </w:r>
      <w:proofErr w:type="spellStart"/>
      <w:r>
        <w:rPr>
          <w:lang w:val="fr-FR"/>
        </w:rPr>
        <w:t>togrogs</w:t>
      </w:r>
      <w:proofErr w:type="spellEnd"/>
      <w:r>
        <w:rPr>
          <w:lang w:val="fr-FR"/>
        </w:rPr>
        <w:t xml:space="preserve"> d</w:t>
      </w:r>
      <w:r w:rsidR="009C7759">
        <w:rPr>
          <w:lang w:val="fr-FR"/>
        </w:rPr>
        <w:t>’</w:t>
      </w:r>
      <w:r>
        <w:rPr>
          <w:lang w:val="fr-FR"/>
        </w:rPr>
        <w:t>avril à juin et en en faisant bénéficier 1 122</w:t>
      </w:r>
      <w:r w:rsidR="00D1132A">
        <w:rPr>
          <w:lang w:val="fr-FR"/>
        </w:rPr>
        <w:t> </w:t>
      </w:r>
      <w:r>
        <w:rPr>
          <w:lang w:val="fr-FR"/>
        </w:rPr>
        <w:t>446</w:t>
      </w:r>
      <w:r w:rsidR="00D1132A">
        <w:rPr>
          <w:lang w:val="fr-FR"/>
        </w:rPr>
        <w:t> </w:t>
      </w:r>
      <w:r>
        <w:rPr>
          <w:lang w:val="fr-FR"/>
        </w:rPr>
        <w:t>enfants.</w:t>
      </w:r>
    </w:p>
    <w:p w14:paraId="0FD4F60A" w14:textId="57A0A436" w:rsidR="00560776" w:rsidRPr="008D553A" w:rsidRDefault="00560776" w:rsidP="00560776">
      <w:pPr>
        <w:pStyle w:val="SingleTxtG"/>
        <w:rPr>
          <w:lang w:val="fr-FR"/>
        </w:rPr>
      </w:pPr>
      <w:r>
        <w:rPr>
          <w:lang w:val="fr-FR"/>
        </w:rPr>
        <w:t>19.</w:t>
      </w:r>
      <w:r>
        <w:rPr>
          <w:lang w:val="fr-FR"/>
        </w:rPr>
        <w:tab/>
        <w:t xml:space="preserve">Conformément à la résolution gouvernementale </w:t>
      </w:r>
      <w:r w:rsidR="00D1132A">
        <w:rPr>
          <w:lang w:val="fr-FR"/>
        </w:rPr>
        <w:t>n</w:t>
      </w:r>
      <w:r w:rsidR="00D1132A" w:rsidRPr="00D1132A">
        <w:rPr>
          <w:vertAlign w:val="superscript"/>
          <w:lang w:val="fr-FR"/>
        </w:rPr>
        <w:t>o</w:t>
      </w:r>
      <w:r w:rsidR="00D1132A">
        <w:rPr>
          <w:lang w:val="fr-FR"/>
        </w:rPr>
        <w:t> </w:t>
      </w:r>
      <w:r>
        <w:rPr>
          <w:lang w:val="fr-FR"/>
        </w:rPr>
        <w:t>167 du 6</w:t>
      </w:r>
      <w:r w:rsidR="00D1132A">
        <w:rPr>
          <w:lang w:val="fr-FR"/>
        </w:rPr>
        <w:t> </w:t>
      </w:r>
      <w:r>
        <w:rPr>
          <w:lang w:val="fr-FR"/>
        </w:rPr>
        <w:t>mai 2020 sur le deuxième ensemble de mesures visant à rétablir l</w:t>
      </w:r>
      <w:r w:rsidR="009C7759">
        <w:rPr>
          <w:lang w:val="fr-FR"/>
        </w:rPr>
        <w:t>’</w:t>
      </w:r>
      <w:r>
        <w:rPr>
          <w:lang w:val="fr-FR"/>
        </w:rPr>
        <w:t>économie et améliorer la protection sociale des citoyens vulnérables pendant la pandémie de COVID-19, le montant des allocations pour enfant a été porté à 100</w:t>
      </w:r>
      <w:r w:rsidR="00D1132A">
        <w:rPr>
          <w:lang w:val="fr-FR"/>
        </w:rPr>
        <w:t> </w:t>
      </w:r>
      <w:r>
        <w:rPr>
          <w:lang w:val="fr-FR"/>
        </w:rPr>
        <w:t>000</w:t>
      </w:r>
      <w:r w:rsidR="00D1132A">
        <w:rPr>
          <w:lang w:val="fr-FR"/>
        </w:rPr>
        <w:t> </w:t>
      </w:r>
      <w:proofErr w:type="spellStart"/>
      <w:r>
        <w:rPr>
          <w:lang w:val="fr-FR"/>
        </w:rPr>
        <w:t>togrogs</w:t>
      </w:r>
      <w:proofErr w:type="spellEnd"/>
      <w:r>
        <w:rPr>
          <w:lang w:val="fr-FR"/>
        </w:rPr>
        <w:t xml:space="preserve"> du 1</w:t>
      </w:r>
      <w:r w:rsidRPr="00D1132A">
        <w:rPr>
          <w:vertAlign w:val="superscript"/>
          <w:lang w:val="fr-FR"/>
        </w:rPr>
        <w:t>er</w:t>
      </w:r>
      <w:r w:rsidR="00D1132A">
        <w:rPr>
          <w:lang w:val="fr-FR"/>
        </w:rPr>
        <w:t> </w:t>
      </w:r>
      <w:r>
        <w:rPr>
          <w:lang w:val="fr-FR"/>
        </w:rPr>
        <w:t>avril au 1</w:t>
      </w:r>
      <w:r w:rsidRPr="00D1132A">
        <w:rPr>
          <w:vertAlign w:val="superscript"/>
          <w:lang w:val="fr-FR"/>
        </w:rPr>
        <w:t>er</w:t>
      </w:r>
      <w:r w:rsidR="00D1132A">
        <w:rPr>
          <w:lang w:val="fr-FR"/>
        </w:rPr>
        <w:t> </w:t>
      </w:r>
      <w:r>
        <w:rPr>
          <w:lang w:val="fr-FR"/>
        </w:rPr>
        <w:t>octobre 2020, 438,4</w:t>
      </w:r>
      <w:r w:rsidR="00D1132A">
        <w:rPr>
          <w:lang w:val="fr-FR"/>
        </w:rPr>
        <w:t> </w:t>
      </w:r>
      <w:r>
        <w:rPr>
          <w:lang w:val="fr-FR"/>
        </w:rPr>
        <w:t xml:space="preserve">milliards de </w:t>
      </w:r>
      <w:proofErr w:type="spellStart"/>
      <w:r>
        <w:rPr>
          <w:lang w:val="fr-FR"/>
        </w:rPr>
        <w:t>togrogs</w:t>
      </w:r>
      <w:proofErr w:type="spellEnd"/>
      <w:r>
        <w:rPr>
          <w:lang w:val="fr-FR"/>
        </w:rPr>
        <w:t xml:space="preserve"> ont été dépensés à cette fin et 1</w:t>
      </w:r>
      <w:r w:rsidR="00D1132A">
        <w:rPr>
          <w:lang w:val="fr-FR"/>
        </w:rPr>
        <w:t> </w:t>
      </w:r>
      <w:r>
        <w:rPr>
          <w:lang w:val="fr-FR"/>
        </w:rPr>
        <w:t>162</w:t>
      </w:r>
      <w:r w:rsidR="00D1132A">
        <w:rPr>
          <w:lang w:val="fr-FR"/>
        </w:rPr>
        <w:t> </w:t>
      </w:r>
      <w:r>
        <w:rPr>
          <w:lang w:val="fr-FR"/>
        </w:rPr>
        <w:t>779</w:t>
      </w:r>
      <w:r w:rsidR="00D1132A">
        <w:rPr>
          <w:lang w:val="fr-FR"/>
        </w:rPr>
        <w:t> </w:t>
      </w:r>
      <w:r>
        <w:rPr>
          <w:lang w:val="fr-FR"/>
        </w:rPr>
        <w:t>enfants en ont bénéficié. Ces mesures ont été prolongées jusqu</w:t>
      </w:r>
      <w:r w:rsidR="009C7759">
        <w:rPr>
          <w:lang w:val="fr-FR"/>
        </w:rPr>
        <w:t>’</w:t>
      </w:r>
      <w:r>
        <w:rPr>
          <w:lang w:val="fr-FR"/>
        </w:rPr>
        <w:t>à la fin de l</w:t>
      </w:r>
      <w:r w:rsidR="009C7759">
        <w:rPr>
          <w:lang w:val="fr-FR"/>
        </w:rPr>
        <w:t>’</w:t>
      </w:r>
      <w:r>
        <w:rPr>
          <w:lang w:val="fr-FR"/>
        </w:rPr>
        <w:t>année 2020 par la résolution gouvernementale n</w:t>
      </w:r>
      <w:r w:rsidR="00D1132A" w:rsidRPr="00D1132A">
        <w:rPr>
          <w:vertAlign w:val="superscript"/>
          <w:lang w:val="fr-FR"/>
        </w:rPr>
        <w:t>o</w:t>
      </w:r>
      <w:r w:rsidR="00D1132A">
        <w:rPr>
          <w:lang w:val="fr-FR"/>
        </w:rPr>
        <w:t> </w:t>
      </w:r>
      <w:r>
        <w:rPr>
          <w:lang w:val="fr-FR"/>
        </w:rPr>
        <w:t>126 du 30 septembre 2020, 852,0</w:t>
      </w:r>
      <w:r w:rsidR="00D1132A">
        <w:rPr>
          <w:lang w:val="fr-FR"/>
        </w:rPr>
        <w:t> </w:t>
      </w:r>
      <w:r>
        <w:rPr>
          <w:lang w:val="fr-FR"/>
        </w:rPr>
        <w:t xml:space="preserve">milliards de </w:t>
      </w:r>
      <w:proofErr w:type="spellStart"/>
      <w:r>
        <w:rPr>
          <w:lang w:val="fr-FR"/>
        </w:rPr>
        <w:t>togrogs</w:t>
      </w:r>
      <w:proofErr w:type="spellEnd"/>
      <w:r>
        <w:rPr>
          <w:lang w:val="fr-FR"/>
        </w:rPr>
        <w:t xml:space="preserve"> étant affectés à cette fin. Plus de 4</w:t>
      </w:r>
      <w:r w:rsidR="00D1132A">
        <w:rPr>
          <w:lang w:val="fr-FR"/>
        </w:rPr>
        <w:t> </w:t>
      </w:r>
      <w:r>
        <w:rPr>
          <w:lang w:val="fr-FR"/>
        </w:rPr>
        <w:t>000</w:t>
      </w:r>
      <w:r w:rsidR="00D1132A">
        <w:rPr>
          <w:lang w:val="fr-FR"/>
        </w:rPr>
        <w:t> </w:t>
      </w:r>
      <w:r>
        <w:rPr>
          <w:lang w:val="fr-FR"/>
        </w:rPr>
        <w:t>enfants de ressortissants mongols vivant à l</w:t>
      </w:r>
      <w:r w:rsidR="009C7759">
        <w:rPr>
          <w:lang w:val="fr-FR"/>
        </w:rPr>
        <w:t>’</w:t>
      </w:r>
      <w:r>
        <w:rPr>
          <w:lang w:val="fr-FR"/>
        </w:rPr>
        <w:t>étranger ont également bénéficié de ces dispositions.</w:t>
      </w:r>
    </w:p>
    <w:p w14:paraId="77EF89C3" w14:textId="48C89C02" w:rsidR="00560776" w:rsidRPr="008D553A" w:rsidRDefault="00560776" w:rsidP="00D84DAC">
      <w:pPr>
        <w:pStyle w:val="H23G"/>
        <w:rPr>
          <w:lang w:val="fr-FR"/>
        </w:rPr>
      </w:pPr>
      <w:r>
        <w:rPr>
          <w:lang w:val="fr-FR"/>
        </w:rPr>
        <w:tab/>
      </w:r>
      <w:r>
        <w:rPr>
          <w:lang w:val="fr-FR"/>
        </w:rPr>
        <w:tab/>
        <w:t>Pensions et allocations de protection sociale</w:t>
      </w:r>
    </w:p>
    <w:p w14:paraId="3B84FD85" w14:textId="698E624D" w:rsidR="00560776" w:rsidRPr="008D553A" w:rsidRDefault="00560776" w:rsidP="00560776">
      <w:pPr>
        <w:pStyle w:val="SingleTxtG"/>
        <w:rPr>
          <w:lang w:val="fr-FR"/>
        </w:rPr>
      </w:pPr>
      <w:r>
        <w:rPr>
          <w:lang w:val="fr-FR"/>
        </w:rPr>
        <w:t>20.</w:t>
      </w:r>
      <w:r>
        <w:rPr>
          <w:lang w:val="fr-FR"/>
        </w:rPr>
        <w:tab/>
        <w:t>Les personnes âgées qui n</w:t>
      </w:r>
      <w:r w:rsidR="009C7759">
        <w:rPr>
          <w:lang w:val="fr-FR"/>
        </w:rPr>
        <w:t>’</w:t>
      </w:r>
      <w:r>
        <w:rPr>
          <w:lang w:val="fr-FR"/>
        </w:rPr>
        <w:t>ont pas droit à une pension de la caisse d</w:t>
      </w:r>
      <w:r w:rsidR="009C7759">
        <w:rPr>
          <w:lang w:val="fr-FR"/>
        </w:rPr>
        <w:t>’</w:t>
      </w:r>
      <w:r>
        <w:rPr>
          <w:lang w:val="fr-FR"/>
        </w:rPr>
        <w:t>assurance sociale, les citoyens handicapés, les personnes atteintes de nanisme, les enfants (de moins de 18 ans) sans famille, les mères et les pères célibataires à la tête d</w:t>
      </w:r>
      <w:r w:rsidR="009C7759">
        <w:rPr>
          <w:lang w:val="fr-FR"/>
        </w:rPr>
        <w:t>’</w:t>
      </w:r>
      <w:r>
        <w:rPr>
          <w:lang w:val="fr-FR"/>
        </w:rPr>
        <w:t>une famille comptant 4</w:t>
      </w:r>
      <w:r w:rsidR="00C47D05">
        <w:rPr>
          <w:lang w:val="fr-FR"/>
        </w:rPr>
        <w:t> </w:t>
      </w:r>
      <w:r>
        <w:rPr>
          <w:lang w:val="fr-FR"/>
        </w:rPr>
        <w:t>enfants ou plus de moins de 18</w:t>
      </w:r>
      <w:r w:rsidR="00C47D05">
        <w:rPr>
          <w:lang w:val="fr-FR"/>
        </w:rPr>
        <w:t> </w:t>
      </w:r>
      <w:r>
        <w:rPr>
          <w:lang w:val="fr-FR"/>
        </w:rPr>
        <w:t>ans, les citoyens qui s</w:t>
      </w:r>
      <w:r w:rsidR="009C7759">
        <w:rPr>
          <w:lang w:val="fr-FR"/>
        </w:rPr>
        <w:t>’</w:t>
      </w:r>
      <w:r>
        <w:rPr>
          <w:lang w:val="fr-FR"/>
        </w:rPr>
        <w:t>occupent d</w:t>
      </w:r>
      <w:r w:rsidR="009C7759">
        <w:rPr>
          <w:lang w:val="fr-FR"/>
        </w:rPr>
        <w:t>’</w:t>
      </w:r>
      <w:r>
        <w:rPr>
          <w:lang w:val="fr-FR"/>
        </w:rPr>
        <w:t>enfants handicapés ou de personnes malades et ceux qui élèvent des orphelins (de père et de mère) de moins de 18</w:t>
      </w:r>
      <w:r w:rsidR="00C47D05">
        <w:rPr>
          <w:lang w:val="fr-FR"/>
        </w:rPr>
        <w:t> </w:t>
      </w:r>
      <w:r>
        <w:rPr>
          <w:lang w:val="fr-FR"/>
        </w:rPr>
        <w:t>ans et en ont la tutelle ont droit à des allocations. Des mesures ont été prises pour augmenter les prestations et allocations versées au titre de la protection sociale en tenant compte du taux d</w:t>
      </w:r>
      <w:r w:rsidR="009C7759">
        <w:rPr>
          <w:lang w:val="fr-FR"/>
        </w:rPr>
        <w:t>’</w:t>
      </w:r>
      <w:r>
        <w:rPr>
          <w:lang w:val="fr-FR"/>
        </w:rPr>
        <w:t>inflation. En application de la résolution gouvernementale n</w:t>
      </w:r>
      <w:r w:rsidR="00D84DAC" w:rsidRPr="00D84DAC">
        <w:rPr>
          <w:vertAlign w:val="superscript"/>
          <w:lang w:val="fr-FR"/>
        </w:rPr>
        <w:t>o</w:t>
      </w:r>
      <w:r w:rsidR="00D84DAC">
        <w:rPr>
          <w:lang w:val="fr-FR"/>
        </w:rPr>
        <w:t> </w:t>
      </w:r>
      <w:r>
        <w:rPr>
          <w:lang w:val="fr-FR"/>
        </w:rPr>
        <w:t>25 du 22 janvier 2020, les prestations et allocations de protection sociale ont été revalorisées pour atteindre 188</w:t>
      </w:r>
      <w:r w:rsidR="00C47D05">
        <w:rPr>
          <w:lang w:val="fr-FR"/>
        </w:rPr>
        <w:t> </w:t>
      </w:r>
      <w:r>
        <w:rPr>
          <w:lang w:val="fr-FR"/>
        </w:rPr>
        <w:t>000</w:t>
      </w:r>
      <w:r w:rsidR="00C47D05">
        <w:rPr>
          <w:lang w:val="fr-FR"/>
        </w:rPr>
        <w:t> </w:t>
      </w:r>
      <w:proofErr w:type="spellStart"/>
      <w:r>
        <w:rPr>
          <w:lang w:val="fr-FR"/>
        </w:rPr>
        <w:t>togrogs</w:t>
      </w:r>
      <w:proofErr w:type="spellEnd"/>
      <w:r>
        <w:rPr>
          <w:lang w:val="fr-FR"/>
        </w:rPr>
        <w:t xml:space="preserve"> par mois pour les pensions de protection sociale, 123</w:t>
      </w:r>
      <w:r w:rsidR="00C47D05">
        <w:rPr>
          <w:lang w:val="fr-FR"/>
        </w:rPr>
        <w:t> </w:t>
      </w:r>
      <w:r>
        <w:rPr>
          <w:lang w:val="fr-FR"/>
        </w:rPr>
        <w:t>100</w:t>
      </w:r>
      <w:r w:rsidR="00C47D05">
        <w:rPr>
          <w:lang w:val="fr-FR"/>
        </w:rPr>
        <w:t> </w:t>
      </w:r>
      <w:proofErr w:type="spellStart"/>
      <w:r>
        <w:rPr>
          <w:lang w:val="fr-FR"/>
        </w:rPr>
        <w:t>togrogs</w:t>
      </w:r>
      <w:proofErr w:type="spellEnd"/>
      <w:r>
        <w:rPr>
          <w:lang w:val="fr-FR"/>
        </w:rPr>
        <w:t xml:space="preserve"> par mois pour les allocations pour soins à enfants handicapés et 84</w:t>
      </w:r>
      <w:r w:rsidR="00C47D05">
        <w:rPr>
          <w:lang w:val="fr-FR"/>
        </w:rPr>
        <w:t> </w:t>
      </w:r>
      <w:r>
        <w:rPr>
          <w:lang w:val="fr-FR"/>
        </w:rPr>
        <w:t>500</w:t>
      </w:r>
      <w:r w:rsidR="00C47D05">
        <w:rPr>
          <w:lang w:val="fr-FR"/>
        </w:rPr>
        <w:t> </w:t>
      </w:r>
      <w:proofErr w:type="spellStart"/>
      <w:r>
        <w:rPr>
          <w:lang w:val="fr-FR"/>
        </w:rPr>
        <w:t>togrogs</w:t>
      </w:r>
      <w:proofErr w:type="spellEnd"/>
      <w:r>
        <w:rPr>
          <w:lang w:val="fr-FR"/>
        </w:rPr>
        <w:t xml:space="preserve"> par mois pour les autres types d</w:t>
      </w:r>
      <w:r w:rsidR="009C7759">
        <w:rPr>
          <w:lang w:val="fr-FR"/>
        </w:rPr>
        <w:t>’</w:t>
      </w:r>
      <w:r>
        <w:rPr>
          <w:lang w:val="fr-FR"/>
        </w:rPr>
        <w:t>allocations, à compter du 1</w:t>
      </w:r>
      <w:r w:rsidRPr="00C47D05">
        <w:rPr>
          <w:vertAlign w:val="superscript"/>
          <w:lang w:val="fr-FR"/>
        </w:rPr>
        <w:t>er</w:t>
      </w:r>
      <w:r w:rsidR="00C47D05">
        <w:rPr>
          <w:lang w:val="fr-FR"/>
        </w:rPr>
        <w:t> </w:t>
      </w:r>
      <w:r>
        <w:rPr>
          <w:lang w:val="fr-FR"/>
        </w:rPr>
        <w:t>février 2020.</w:t>
      </w:r>
    </w:p>
    <w:p w14:paraId="7E163D46" w14:textId="6F9B2277" w:rsidR="00560776" w:rsidRPr="008D553A" w:rsidRDefault="00560776" w:rsidP="002D63AC">
      <w:pPr>
        <w:pStyle w:val="Titre1"/>
        <w:spacing w:after="120"/>
        <w:rPr>
          <w:b/>
          <w:bCs/>
          <w:lang w:val="fr-FR"/>
        </w:rPr>
      </w:pPr>
      <w:r>
        <w:rPr>
          <w:lang w:val="fr-FR"/>
        </w:rPr>
        <w:lastRenderedPageBreak/>
        <w:t>Tableau 5</w:t>
      </w:r>
      <w:r w:rsidR="002D63AC">
        <w:rPr>
          <w:lang w:val="fr-FR"/>
        </w:rPr>
        <w:t xml:space="preserve"> </w:t>
      </w:r>
      <w:r w:rsidR="002D63AC">
        <w:rPr>
          <w:lang w:val="fr-FR"/>
        </w:rPr>
        <w:br/>
      </w:r>
      <w:r>
        <w:rPr>
          <w:b/>
          <w:bCs/>
          <w:lang w:val="fr-FR"/>
        </w:rPr>
        <w:t xml:space="preserve">Augmentation des prestations et allocations de protection sociale (en </w:t>
      </w:r>
      <w:proofErr w:type="spellStart"/>
      <w:r>
        <w:rPr>
          <w:b/>
          <w:bCs/>
          <w:lang w:val="fr-FR"/>
        </w:rPr>
        <w:t>togrogs</w:t>
      </w:r>
      <w:proofErr w:type="spellEnd"/>
      <w:r>
        <w:rPr>
          <w:b/>
          <w:bCs/>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1310"/>
        <w:gridCol w:w="1212"/>
        <w:gridCol w:w="1212"/>
        <w:gridCol w:w="1212"/>
        <w:gridCol w:w="1212"/>
        <w:gridCol w:w="1212"/>
      </w:tblGrid>
      <w:tr w:rsidR="002D63AC" w:rsidRPr="002D63AC" w14:paraId="4C717DD3" w14:textId="77777777" w:rsidTr="002D63AC">
        <w:trPr>
          <w:tblHeader/>
        </w:trPr>
        <w:tc>
          <w:tcPr>
            <w:tcW w:w="1713" w:type="dxa"/>
            <w:tcBorders>
              <w:top w:val="single" w:sz="4" w:space="0" w:color="auto"/>
              <w:bottom w:val="single" w:sz="12" w:space="0" w:color="auto"/>
            </w:tcBorders>
            <w:shd w:val="clear" w:color="auto" w:fill="auto"/>
            <w:vAlign w:val="bottom"/>
          </w:tcPr>
          <w:p w14:paraId="3639988C" w14:textId="2FB4B10F" w:rsidR="00560776" w:rsidRPr="002D63AC" w:rsidRDefault="002D63AC" w:rsidP="002D63AC">
            <w:pPr>
              <w:keepNext/>
              <w:keepLines/>
              <w:suppressAutoHyphens w:val="0"/>
              <w:spacing w:before="80" w:after="80" w:line="200" w:lineRule="exact"/>
              <w:rPr>
                <w:i/>
                <w:sz w:val="16"/>
              </w:rPr>
            </w:pPr>
            <w:r>
              <w:rPr>
                <w:i/>
                <w:sz w:val="16"/>
              </w:rPr>
              <w:t>Année</w:t>
            </w:r>
          </w:p>
        </w:tc>
        <w:tc>
          <w:tcPr>
            <w:tcW w:w="1583" w:type="dxa"/>
            <w:tcBorders>
              <w:top w:val="single" w:sz="4" w:space="0" w:color="auto"/>
              <w:bottom w:val="single" w:sz="12" w:space="0" w:color="auto"/>
            </w:tcBorders>
            <w:shd w:val="clear" w:color="auto" w:fill="auto"/>
            <w:vAlign w:val="bottom"/>
          </w:tcPr>
          <w:p w14:paraId="5A9DFEE9" w14:textId="77777777" w:rsidR="00560776" w:rsidRPr="002D63AC" w:rsidRDefault="00560776" w:rsidP="002D63AC">
            <w:pPr>
              <w:keepNext/>
              <w:keepLines/>
              <w:suppressAutoHyphens w:val="0"/>
              <w:spacing w:before="80" w:after="80" w:line="200" w:lineRule="exact"/>
              <w:jc w:val="right"/>
              <w:rPr>
                <w:i/>
                <w:sz w:val="16"/>
                <w:szCs w:val="16"/>
              </w:rPr>
            </w:pPr>
            <w:r w:rsidRPr="002D63AC">
              <w:rPr>
                <w:i/>
                <w:iCs/>
                <w:sz w:val="16"/>
                <w:szCs w:val="16"/>
                <w:lang w:val="fr-FR"/>
              </w:rPr>
              <w:t>2015</w:t>
            </w:r>
          </w:p>
        </w:tc>
        <w:tc>
          <w:tcPr>
            <w:tcW w:w="1583" w:type="dxa"/>
            <w:tcBorders>
              <w:top w:val="single" w:sz="4" w:space="0" w:color="auto"/>
              <w:bottom w:val="single" w:sz="12" w:space="0" w:color="auto"/>
            </w:tcBorders>
            <w:shd w:val="clear" w:color="auto" w:fill="auto"/>
            <w:vAlign w:val="bottom"/>
          </w:tcPr>
          <w:p w14:paraId="7A49187E" w14:textId="77777777" w:rsidR="00560776" w:rsidRPr="002D63AC" w:rsidRDefault="00560776" w:rsidP="002D63AC">
            <w:pPr>
              <w:keepNext/>
              <w:keepLines/>
              <w:suppressAutoHyphens w:val="0"/>
              <w:spacing w:before="80" w:after="80" w:line="200" w:lineRule="exact"/>
              <w:jc w:val="right"/>
              <w:rPr>
                <w:i/>
                <w:sz w:val="16"/>
                <w:szCs w:val="16"/>
              </w:rPr>
            </w:pPr>
            <w:r w:rsidRPr="002D63AC">
              <w:rPr>
                <w:i/>
                <w:iCs/>
                <w:sz w:val="16"/>
                <w:szCs w:val="16"/>
                <w:lang w:val="fr-FR"/>
              </w:rPr>
              <w:t>2016</w:t>
            </w:r>
          </w:p>
        </w:tc>
        <w:tc>
          <w:tcPr>
            <w:tcW w:w="1583" w:type="dxa"/>
            <w:tcBorders>
              <w:top w:val="single" w:sz="4" w:space="0" w:color="auto"/>
              <w:bottom w:val="single" w:sz="12" w:space="0" w:color="auto"/>
            </w:tcBorders>
            <w:shd w:val="clear" w:color="auto" w:fill="auto"/>
            <w:vAlign w:val="bottom"/>
          </w:tcPr>
          <w:p w14:paraId="613D9088" w14:textId="77777777" w:rsidR="00560776" w:rsidRPr="002D63AC" w:rsidRDefault="00560776" w:rsidP="002D63AC">
            <w:pPr>
              <w:keepNext/>
              <w:keepLines/>
              <w:suppressAutoHyphens w:val="0"/>
              <w:spacing w:before="80" w:after="80" w:line="200" w:lineRule="exact"/>
              <w:jc w:val="right"/>
              <w:rPr>
                <w:i/>
                <w:sz w:val="16"/>
                <w:szCs w:val="16"/>
              </w:rPr>
            </w:pPr>
            <w:r w:rsidRPr="002D63AC">
              <w:rPr>
                <w:i/>
                <w:iCs/>
                <w:sz w:val="16"/>
                <w:szCs w:val="16"/>
                <w:lang w:val="fr-FR"/>
              </w:rPr>
              <w:t>2018</w:t>
            </w:r>
          </w:p>
        </w:tc>
        <w:tc>
          <w:tcPr>
            <w:tcW w:w="1583" w:type="dxa"/>
            <w:tcBorders>
              <w:top w:val="single" w:sz="4" w:space="0" w:color="auto"/>
              <w:bottom w:val="single" w:sz="12" w:space="0" w:color="auto"/>
            </w:tcBorders>
            <w:shd w:val="clear" w:color="auto" w:fill="auto"/>
            <w:vAlign w:val="bottom"/>
          </w:tcPr>
          <w:p w14:paraId="11DEADDE" w14:textId="77777777" w:rsidR="00560776" w:rsidRPr="002D63AC" w:rsidRDefault="00560776" w:rsidP="002D63AC">
            <w:pPr>
              <w:keepNext/>
              <w:keepLines/>
              <w:suppressAutoHyphens w:val="0"/>
              <w:spacing w:before="80" w:after="80" w:line="200" w:lineRule="exact"/>
              <w:jc w:val="right"/>
              <w:rPr>
                <w:i/>
                <w:sz w:val="16"/>
                <w:szCs w:val="16"/>
              </w:rPr>
            </w:pPr>
            <w:r w:rsidRPr="002D63AC">
              <w:rPr>
                <w:i/>
                <w:iCs/>
                <w:sz w:val="16"/>
                <w:szCs w:val="16"/>
                <w:lang w:val="fr-FR"/>
              </w:rPr>
              <w:t>2019</w:t>
            </w:r>
          </w:p>
        </w:tc>
        <w:tc>
          <w:tcPr>
            <w:tcW w:w="1583" w:type="dxa"/>
            <w:tcBorders>
              <w:top w:val="single" w:sz="4" w:space="0" w:color="auto"/>
              <w:bottom w:val="single" w:sz="12" w:space="0" w:color="auto"/>
            </w:tcBorders>
            <w:shd w:val="clear" w:color="auto" w:fill="auto"/>
            <w:vAlign w:val="bottom"/>
          </w:tcPr>
          <w:p w14:paraId="26C0C5D0" w14:textId="77777777" w:rsidR="00560776" w:rsidRPr="002D63AC" w:rsidRDefault="00560776" w:rsidP="002D63AC">
            <w:pPr>
              <w:keepNext/>
              <w:keepLines/>
              <w:suppressAutoHyphens w:val="0"/>
              <w:spacing w:before="80" w:after="80" w:line="200" w:lineRule="exact"/>
              <w:jc w:val="right"/>
              <w:rPr>
                <w:i/>
                <w:sz w:val="16"/>
                <w:szCs w:val="16"/>
              </w:rPr>
            </w:pPr>
            <w:r w:rsidRPr="002D63AC">
              <w:rPr>
                <w:i/>
                <w:iCs/>
                <w:sz w:val="16"/>
                <w:szCs w:val="16"/>
                <w:lang w:val="fr-FR"/>
              </w:rPr>
              <w:t>2020</w:t>
            </w:r>
          </w:p>
        </w:tc>
      </w:tr>
      <w:tr w:rsidR="002D63AC" w:rsidRPr="002D63AC" w14:paraId="3315BE14" w14:textId="77777777" w:rsidTr="002D63AC">
        <w:tc>
          <w:tcPr>
            <w:tcW w:w="1713" w:type="dxa"/>
            <w:tcBorders>
              <w:top w:val="single" w:sz="12" w:space="0" w:color="auto"/>
            </w:tcBorders>
            <w:shd w:val="clear" w:color="auto" w:fill="auto"/>
          </w:tcPr>
          <w:p w14:paraId="38F4E982" w14:textId="77777777" w:rsidR="00560776" w:rsidRPr="002D63AC" w:rsidRDefault="00560776" w:rsidP="002D63AC">
            <w:pPr>
              <w:keepNext/>
              <w:keepLines/>
              <w:suppressAutoHyphens w:val="0"/>
              <w:spacing w:before="40" w:after="40" w:line="220" w:lineRule="exact"/>
              <w:rPr>
                <w:sz w:val="18"/>
                <w:szCs w:val="16"/>
              </w:rPr>
            </w:pPr>
            <w:r w:rsidRPr="002D63AC">
              <w:rPr>
                <w:sz w:val="18"/>
                <w:szCs w:val="16"/>
                <w:lang w:val="fr-FR"/>
              </w:rPr>
              <w:t>Pensions mensuelles</w:t>
            </w:r>
          </w:p>
        </w:tc>
        <w:tc>
          <w:tcPr>
            <w:tcW w:w="1583" w:type="dxa"/>
            <w:tcBorders>
              <w:top w:val="single" w:sz="12" w:space="0" w:color="auto"/>
            </w:tcBorders>
            <w:shd w:val="clear" w:color="auto" w:fill="auto"/>
            <w:vAlign w:val="bottom"/>
          </w:tcPr>
          <w:p w14:paraId="26AF029C" w14:textId="77777777" w:rsidR="00560776" w:rsidRPr="002D63AC" w:rsidRDefault="00560776" w:rsidP="002D63AC">
            <w:pPr>
              <w:keepNext/>
              <w:keepLines/>
              <w:suppressAutoHyphens w:val="0"/>
              <w:spacing w:before="40" w:after="40" w:line="220" w:lineRule="exact"/>
              <w:jc w:val="right"/>
              <w:rPr>
                <w:sz w:val="18"/>
                <w:szCs w:val="16"/>
              </w:rPr>
            </w:pPr>
            <w:r w:rsidRPr="002D63AC">
              <w:rPr>
                <w:sz w:val="18"/>
                <w:szCs w:val="16"/>
                <w:lang w:val="fr-FR"/>
              </w:rPr>
              <w:t>126 500</w:t>
            </w:r>
          </w:p>
        </w:tc>
        <w:tc>
          <w:tcPr>
            <w:tcW w:w="1583" w:type="dxa"/>
            <w:tcBorders>
              <w:top w:val="single" w:sz="12" w:space="0" w:color="auto"/>
            </w:tcBorders>
            <w:shd w:val="clear" w:color="auto" w:fill="auto"/>
            <w:vAlign w:val="bottom"/>
          </w:tcPr>
          <w:p w14:paraId="2303E11B" w14:textId="77777777" w:rsidR="00560776" w:rsidRPr="002D63AC" w:rsidRDefault="00560776" w:rsidP="002D63AC">
            <w:pPr>
              <w:keepNext/>
              <w:keepLines/>
              <w:suppressAutoHyphens w:val="0"/>
              <w:spacing w:before="40" w:after="40" w:line="220" w:lineRule="exact"/>
              <w:jc w:val="right"/>
              <w:rPr>
                <w:sz w:val="18"/>
                <w:szCs w:val="16"/>
              </w:rPr>
            </w:pPr>
            <w:r w:rsidRPr="002D63AC">
              <w:rPr>
                <w:sz w:val="18"/>
                <w:szCs w:val="16"/>
                <w:lang w:val="fr-FR"/>
              </w:rPr>
              <w:t>140 000</w:t>
            </w:r>
          </w:p>
        </w:tc>
        <w:tc>
          <w:tcPr>
            <w:tcW w:w="1583" w:type="dxa"/>
            <w:tcBorders>
              <w:top w:val="single" w:sz="12" w:space="0" w:color="auto"/>
            </w:tcBorders>
            <w:shd w:val="clear" w:color="auto" w:fill="auto"/>
            <w:vAlign w:val="bottom"/>
          </w:tcPr>
          <w:p w14:paraId="66DF98C1" w14:textId="77777777" w:rsidR="00560776" w:rsidRPr="002D63AC" w:rsidRDefault="00560776" w:rsidP="002D63AC">
            <w:pPr>
              <w:keepNext/>
              <w:keepLines/>
              <w:suppressAutoHyphens w:val="0"/>
              <w:spacing w:before="40" w:after="40" w:line="220" w:lineRule="exact"/>
              <w:jc w:val="right"/>
              <w:rPr>
                <w:sz w:val="18"/>
                <w:szCs w:val="16"/>
              </w:rPr>
            </w:pPr>
            <w:r w:rsidRPr="002D63AC">
              <w:rPr>
                <w:sz w:val="18"/>
                <w:szCs w:val="16"/>
                <w:lang w:val="fr-FR"/>
              </w:rPr>
              <w:t>155 000</w:t>
            </w:r>
          </w:p>
        </w:tc>
        <w:tc>
          <w:tcPr>
            <w:tcW w:w="1583" w:type="dxa"/>
            <w:tcBorders>
              <w:top w:val="single" w:sz="12" w:space="0" w:color="auto"/>
            </w:tcBorders>
            <w:shd w:val="clear" w:color="auto" w:fill="auto"/>
            <w:vAlign w:val="bottom"/>
          </w:tcPr>
          <w:p w14:paraId="2AF41D0D" w14:textId="77777777" w:rsidR="00560776" w:rsidRPr="002D63AC" w:rsidRDefault="00560776" w:rsidP="002D63AC">
            <w:pPr>
              <w:keepNext/>
              <w:keepLines/>
              <w:suppressAutoHyphens w:val="0"/>
              <w:spacing w:before="40" w:after="40" w:line="220" w:lineRule="exact"/>
              <w:jc w:val="right"/>
              <w:rPr>
                <w:sz w:val="18"/>
                <w:szCs w:val="16"/>
              </w:rPr>
            </w:pPr>
            <w:r w:rsidRPr="002D63AC">
              <w:rPr>
                <w:sz w:val="18"/>
                <w:szCs w:val="16"/>
                <w:lang w:val="fr-FR"/>
              </w:rPr>
              <w:t>174 000</w:t>
            </w:r>
          </w:p>
        </w:tc>
        <w:tc>
          <w:tcPr>
            <w:tcW w:w="1583" w:type="dxa"/>
            <w:tcBorders>
              <w:top w:val="single" w:sz="12" w:space="0" w:color="auto"/>
            </w:tcBorders>
            <w:shd w:val="clear" w:color="auto" w:fill="auto"/>
            <w:vAlign w:val="bottom"/>
          </w:tcPr>
          <w:p w14:paraId="720B35A4" w14:textId="77777777" w:rsidR="00560776" w:rsidRPr="002D63AC" w:rsidRDefault="00560776" w:rsidP="002D63AC">
            <w:pPr>
              <w:keepNext/>
              <w:keepLines/>
              <w:suppressAutoHyphens w:val="0"/>
              <w:spacing w:before="40" w:after="40" w:line="220" w:lineRule="exact"/>
              <w:jc w:val="right"/>
              <w:rPr>
                <w:sz w:val="18"/>
                <w:szCs w:val="16"/>
              </w:rPr>
            </w:pPr>
            <w:r w:rsidRPr="002D63AC">
              <w:rPr>
                <w:sz w:val="18"/>
                <w:szCs w:val="16"/>
                <w:lang w:val="fr-FR"/>
              </w:rPr>
              <w:t>188 000</w:t>
            </w:r>
          </w:p>
        </w:tc>
      </w:tr>
      <w:tr w:rsidR="002D63AC" w:rsidRPr="002D63AC" w14:paraId="5BD6C51D" w14:textId="77777777" w:rsidTr="002D63AC">
        <w:tc>
          <w:tcPr>
            <w:tcW w:w="1713" w:type="dxa"/>
            <w:tcBorders>
              <w:bottom w:val="single" w:sz="12" w:space="0" w:color="auto"/>
            </w:tcBorders>
            <w:shd w:val="clear" w:color="auto" w:fill="auto"/>
          </w:tcPr>
          <w:p w14:paraId="6429D583" w14:textId="77777777" w:rsidR="00560776" w:rsidRPr="002D63AC" w:rsidRDefault="00560776" w:rsidP="002D63AC">
            <w:pPr>
              <w:keepNext/>
              <w:keepLines/>
              <w:suppressAutoHyphens w:val="0"/>
              <w:spacing w:before="40" w:after="40" w:line="220" w:lineRule="exact"/>
              <w:rPr>
                <w:sz w:val="18"/>
                <w:szCs w:val="16"/>
              </w:rPr>
            </w:pPr>
            <w:r w:rsidRPr="002D63AC">
              <w:rPr>
                <w:sz w:val="18"/>
                <w:szCs w:val="16"/>
                <w:lang w:val="fr-FR"/>
              </w:rPr>
              <w:t>Allocations mensuelles</w:t>
            </w:r>
          </w:p>
        </w:tc>
        <w:tc>
          <w:tcPr>
            <w:tcW w:w="1583" w:type="dxa"/>
            <w:tcBorders>
              <w:bottom w:val="single" w:sz="12" w:space="0" w:color="auto"/>
            </w:tcBorders>
            <w:shd w:val="clear" w:color="auto" w:fill="auto"/>
            <w:vAlign w:val="bottom"/>
          </w:tcPr>
          <w:p w14:paraId="33F0F109" w14:textId="77777777" w:rsidR="00560776" w:rsidRPr="002D63AC" w:rsidRDefault="00560776" w:rsidP="002D63AC">
            <w:pPr>
              <w:keepNext/>
              <w:keepLines/>
              <w:suppressAutoHyphens w:val="0"/>
              <w:spacing w:before="40" w:after="40" w:line="220" w:lineRule="exact"/>
              <w:jc w:val="right"/>
              <w:rPr>
                <w:sz w:val="18"/>
                <w:szCs w:val="16"/>
              </w:rPr>
            </w:pPr>
            <w:r w:rsidRPr="002D63AC">
              <w:rPr>
                <w:sz w:val="18"/>
                <w:szCs w:val="16"/>
                <w:lang w:val="fr-FR"/>
              </w:rPr>
              <w:t>58 000</w:t>
            </w:r>
          </w:p>
        </w:tc>
        <w:tc>
          <w:tcPr>
            <w:tcW w:w="1583" w:type="dxa"/>
            <w:tcBorders>
              <w:bottom w:val="single" w:sz="12" w:space="0" w:color="auto"/>
            </w:tcBorders>
            <w:shd w:val="clear" w:color="auto" w:fill="auto"/>
            <w:vAlign w:val="bottom"/>
          </w:tcPr>
          <w:p w14:paraId="3D5BB612" w14:textId="77777777" w:rsidR="00560776" w:rsidRPr="002D63AC" w:rsidRDefault="00560776" w:rsidP="002D63AC">
            <w:pPr>
              <w:keepNext/>
              <w:keepLines/>
              <w:suppressAutoHyphens w:val="0"/>
              <w:spacing w:before="40" w:after="40" w:line="220" w:lineRule="exact"/>
              <w:jc w:val="right"/>
              <w:rPr>
                <w:sz w:val="18"/>
                <w:szCs w:val="16"/>
              </w:rPr>
            </w:pPr>
            <w:r w:rsidRPr="002D63AC">
              <w:rPr>
                <w:sz w:val="18"/>
                <w:szCs w:val="16"/>
                <w:lang w:val="fr-FR"/>
              </w:rPr>
              <w:t>64 000</w:t>
            </w:r>
          </w:p>
        </w:tc>
        <w:tc>
          <w:tcPr>
            <w:tcW w:w="1583" w:type="dxa"/>
            <w:tcBorders>
              <w:bottom w:val="single" w:sz="12" w:space="0" w:color="auto"/>
            </w:tcBorders>
            <w:shd w:val="clear" w:color="auto" w:fill="auto"/>
            <w:vAlign w:val="bottom"/>
          </w:tcPr>
          <w:p w14:paraId="0264952D" w14:textId="77777777" w:rsidR="00560776" w:rsidRPr="002D63AC" w:rsidRDefault="00560776" w:rsidP="002D63AC">
            <w:pPr>
              <w:keepNext/>
              <w:keepLines/>
              <w:suppressAutoHyphens w:val="0"/>
              <w:spacing w:before="40" w:after="40" w:line="220" w:lineRule="exact"/>
              <w:jc w:val="right"/>
              <w:rPr>
                <w:sz w:val="18"/>
                <w:szCs w:val="16"/>
              </w:rPr>
            </w:pPr>
            <w:r w:rsidRPr="002D63AC">
              <w:rPr>
                <w:sz w:val="18"/>
                <w:szCs w:val="16"/>
                <w:lang w:val="fr-FR"/>
              </w:rPr>
              <w:t>70 000</w:t>
            </w:r>
          </w:p>
        </w:tc>
        <w:tc>
          <w:tcPr>
            <w:tcW w:w="1583" w:type="dxa"/>
            <w:tcBorders>
              <w:bottom w:val="single" w:sz="12" w:space="0" w:color="auto"/>
            </w:tcBorders>
            <w:shd w:val="clear" w:color="auto" w:fill="auto"/>
            <w:vAlign w:val="bottom"/>
          </w:tcPr>
          <w:p w14:paraId="67BBA182" w14:textId="77777777" w:rsidR="00560776" w:rsidRPr="002D63AC" w:rsidRDefault="00560776" w:rsidP="002D63AC">
            <w:pPr>
              <w:keepNext/>
              <w:keepLines/>
              <w:suppressAutoHyphens w:val="0"/>
              <w:spacing w:before="40" w:after="40" w:line="220" w:lineRule="exact"/>
              <w:jc w:val="right"/>
              <w:rPr>
                <w:sz w:val="18"/>
                <w:szCs w:val="16"/>
              </w:rPr>
            </w:pPr>
            <w:r w:rsidRPr="002D63AC">
              <w:rPr>
                <w:sz w:val="18"/>
                <w:szCs w:val="16"/>
                <w:lang w:val="fr-FR"/>
              </w:rPr>
              <w:t>76 000</w:t>
            </w:r>
          </w:p>
        </w:tc>
        <w:tc>
          <w:tcPr>
            <w:tcW w:w="1583" w:type="dxa"/>
            <w:tcBorders>
              <w:bottom w:val="single" w:sz="12" w:space="0" w:color="auto"/>
            </w:tcBorders>
            <w:shd w:val="clear" w:color="auto" w:fill="auto"/>
            <w:vAlign w:val="bottom"/>
          </w:tcPr>
          <w:p w14:paraId="242FE0FB" w14:textId="77777777" w:rsidR="00560776" w:rsidRPr="002D63AC" w:rsidRDefault="00560776" w:rsidP="002D63AC">
            <w:pPr>
              <w:keepNext/>
              <w:keepLines/>
              <w:suppressAutoHyphens w:val="0"/>
              <w:spacing w:before="40" w:after="40" w:line="220" w:lineRule="exact"/>
              <w:jc w:val="right"/>
              <w:rPr>
                <w:sz w:val="18"/>
                <w:szCs w:val="16"/>
              </w:rPr>
            </w:pPr>
            <w:r w:rsidRPr="002D63AC">
              <w:rPr>
                <w:sz w:val="18"/>
                <w:szCs w:val="16"/>
                <w:lang w:val="fr-FR"/>
              </w:rPr>
              <w:t>84 500</w:t>
            </w:r>
          </w:p>
        </w:tc>
      </w:tr>
    </w:tbl>
    <w:p w14:paraId="5954D1C2" w14:textId="741A5F7A" w:rsidR="00560776" w:rsidRPr="002D63AC" w:rsidRDefault="00560776" w:rsidP="002D63AC">
      <w:pPr>
        <w:pStyle w:val="SingleTxtG"/>
        <w:keepNext/>
        <w:keepLines/>
        <w:spacing w:before="120"/>
        <w:ind w:firstLine="170"/>
        <w:rPr>
          <w:sz w:val="18"/>
          <w:szCs w:val="18"/>
        </w:rPr>
      </w:pPr>
      <w:r w:rsidRPr="002D63AC">
        <w:rPr>
          <w:i/>
          <w:iCs/>
          <w:sz w:val="18"/>
          <w:szCs w:val="18"/>
        </w:rPr>
        <w:t>Source</w:t>
      </w:r>
      <w:r w:rsidR="00A737F5">
        <w:rPr>
          <w:sz w:val="18"/>
          <w:szCs w:val="18"/>
        </w:rPr>
        <w:t> </w:t>
      </w:r>
      <w:r w:rsidRPr="002D63AC">
        <w:rPr>
          <w:sz w:val="18"/>
          <w:szCs w:val="18"/>
        </w:rPr>
        <w:t>: Ministère du travail et de la politique sociale.</w:t>
      </w:r>
    </w:p>
    <w:p w14:paraId="670F3E41" w14:textId="458823A3" w:rsidR="00560776" w:rsidRDefault="00560776" w:rsidP="002D63AC">
      <w:pPr>
        <w:pStyle w:val="Titre1"/>
        <w:spacing w:before="240" w:after="120"/>
        <w:rPr>
          <w:b/>
          <w:bCs/>
          <w:lang w:val="fr-FR"/>
        </w:rPr>
      </w:pPr>
      <w:r>
        <w:rPr>
          <w:lang w:val="fr-FR"/>
        </w:rPr>
        <w:t>Tableau 6</w:t>
      </w:r>
      <w:r w:rsidR="002D63AC">
        <w:rPr>
          <w:lang w:val="fr-FR"/>
        </w:rPr>
        <w:t xml:space="preserve"> </w:t>
      </w:r>
      <w:r w:rsidR="002D63AC">
        <w:rPr>
          <w:lang w:val="fr-FR"/>
        </w:rPr>
        <w:br/>
      </w:r>
      <w:r>
        <w:rPr>
          <w:b/>
          <w:bCs/>
          <w:lang w:val="fr-FR"/>
        </w:rPr>
        <w:t xml:space="preserve">Nombre de personnes ayant droit aux prestations de protection sociale </w:t>
      </w:r>
      <w:r w:rsidR="002D63AC">
        <w:rPr>
          <w:b/>
          <w:bCs/>
          <w:lang w:val="fr-FR"/>
        </w:rPr>
        <w:br/>
      </w:r>
      <w:r>
        <w:rPr>
          <w:b/>
          <w:bCs/>
          <w:lang w:val="fr-FR"/>
        </w:rPr>
        <w:t xml:space="preserve">et dépenses engagées à ce titre (en milliers de </w:t>
      </w:r>
      <w:proofErr w:type="spellStart"/>
      <w:r>
        <w:rPr>
          <w:b/>
          <w:bCs/>
          <w:lang w:val="fr-FR"/>
        </w:rPr>
        <w:t>togrogs</w:t>
      </w:r>
      <w:proofErr w:type="spellEnd"/>
      <w:r>
        <w:rPr>
          <w:b/>
          <w:bCs/>
          <w:lang w:val="fr-FR"/>
        </w:rPr>
        <w:t>)</w:t>
      </w:r>
    </w:p>
    <w:tbl>
      <w:tblPr>
        <w:tblW w:w="7513"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3"/>
        <w:gridCol w:w="1650"/>
        <w:gridCol w:w="964"/>
        <w:gridCol w:w="851"/>
        <w:gridCol w:w="992"/>
        <w:gridCol w:w="850"/>
        <w:gridCol w:w="851"/>
        <w:gridCol w:w="992"/>
      </w:tblGrid>
      <w:tr w:rsidR="002D63AC" w:rsidRPr="00DF0A94" w14:paraId="3353204A" w14:textId="77777777" w:rsidTr="004C0B14">
        <w:trPr>
          <w:tblHeader/>
        </w:trPr>
        <w:tc>
          <w:tcPr>
            <w:tcW w:w="363" w:type="dxa"/>
            <w:vMerge w:val="restart"/>
            <w:tcBorders>
              <w:top w:val="single" w:sz="4" w:space="0" w:color="auto"/>
              <w:bottom w:val="single" w:sz="12" w:space="0" w:color="auto"/>
            </w:tcBorders>
            <w:shd w:val="clear" w:color="auto" w:fill="auto"/>
            <w:vAlign w:val="bottom"/>
          </w:tcPr>
          <w:p w14:paraId="652BC23E" w14:textId="40588DE1" w:rsidR="002D63AC" w:rsidRPr="00DF0A94" w:rsidRDefault="002D63AC" w:rsidP="004C0B14">
            <w:pPr>
              <w:suppressAutoHyphens w:val="0"/>
              <w:spacing w:before="80" w:after="80" w:line="200" w:lineRule="exact"/>
              <w:ind w:right="113"/>
              <w:rPr>
                <w:i/>
                <w:sz w:val="16"/>
              </w:rPr>
            </w:pPr>
            <w:r>
              <w:rPr>
                <w:i/>
                <w:sz w:val="16"/>
              </w:rPr>
              <w:t>N</w:t>
            </w:r>
            <w:r w:rsidRPr="002D63AC">
              <w:rPr>
                <w:i/>
                <w:sz w:val="16"/>
                <w:vertAlign w:val="superscript"/>
              </w:rPr>
              <w:t>o</w:t>
            </w:r>
          </w:p>
        </w:tc>
        <w:tc>
          <w:tcPr>
            <w:tcW w:w="1650" w:type="dxa"/>
            <w:vMerge w:val="restart"/>
            <w:tcBorders>
              <w:top w:val="single" w:sz="4" w:space="0" w:color="auto"/>
              <w:bottom w:val="single" w:sz="12" w:space="0" w:color="auto"/>
            </w:tcBorders>
            <w:shd w:val="clear" w:color="auto" w:fill="auto"/>
            <w:vAlign w:val="bottom"/>
          </w:tcPr>
          <w:p w14:paraId="5AC7A28F" w14:textId="529885F9" w:rsidR="002D63AC" w:rsidRPr="00DF0A94" w:rsidRDefault="002D63AC" w:rsidP="004C0B14">
            <w:pPr>
              <w:suppressAutoHyphens w:val="0"/>
              <w:spacing w:before="80" w:after="80" w:line="200" w:lineRule="exact"/>
              <w:ind w:right="113"/>
              <w:rPr>
                <w:i/>
                <w:sz w:val="16"/>
              </w:rPr>
            </w:pPr>
            <w:r w:rsidRPr="00803AF5">
              <w:rPr>
                <w:i/>
                <w:iCs/>
                <w:sz w:val="16"/>
                <w:szCs w:val="16"/>
                <w:lang w:val="fr-FR"/>
              </w:rPr>
              <w:t>Catégorie de prestations</w:t>
            </w:r>
          </w:p>
        </w:tc>
        <w:tc>
          <w:tcPr>
            <w:tcW w:w="1815" w:type="dxa"/>
            <w:gridSpan w:val="2"/>
            <w:tcBorders>
              <w:top w:val="single" w:sz="4" w:space="0" w:color="auto"/>
              <w:bottom w:val="single" w:sz="4" w:space="0" w:color="auto"/>
              <w:right w:val="single" w:sz="24" w:space="0" w:color="FFFFFF" w:themeColor="background1"/>
            </w:tcBorders>
            <w:shd w:val="clear" w:color="auto" w:fill="auto"/>
            <w:vAlign w:val="bottom"/>
          </w:tcPr>
          <w:p w14:paraId="37B42037" w14:textId="77777777" w:rsidR="002D63AC" w:rsidRPr="00DF0A94" w:rsidRDefault="002D63AC" w:rsidP="004C0B14">
            <w:pPr>
              <w:suppressAutoHyphens w:val="0"/>
              <w:spacing w:before="80" w:after="80" w:line="200" w:lineRule="exact"/>
              <w:ind w:right="113"/>
              <w:jc w:val="center"/>
              <w:rPr>
                <w:i/>
                <w:sz w:val="16"/>
              </w:rPr>
            </w:pPr>
            <w:r w:rsidRPr="00DF0A94">
              <w:rPr>
                <w:i/>
                <w:sz w:val="16"/>
              </w:rPr>
              <w:t>2017</w:t>
            </w:r>
          </w:p>
        </w:tc>
        <w:tc>
          <w:tcPr>
            <w:tcW w:w="184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444B6C6" w14:textId="77777777" w:rsidR="002D63AC" w:rsidRPr="00DF0A94" w:rsidRDefault="002D63AC" w:rsidP="004C0B14">
            <w:pPr>
              <w:suppressAutoHyphens w:val="0"/>
              <w:spacing w:before="80" w:after="80" w:line="200" w:lineRule="exact"/>
              <w:ind w:right="113"/>
              <w:jc w:val="center"/>
              <w:rPr>
                <w:i/>
                <w:sz w:val="16"/>
              </w:rPr>
            </w:pPr>
            <w:r w:rsidRPr="00DF0A94">
              <w:rPr>
                <w:i/>
                <w:sz w:val="16"/>
              </w:rPr>
              <w:t>2018</w:t>
            </w:r>
          </w:p>
        </w:tc>
        <w:tc>
          <w:tcPr>
            <w:tcW w:w="1843" w:type="dxa"/>
            <w:gridSpan w:val="2"/>
            <w:tcBorders>
              <w:top w:val="single" w:sz="4" w:space="0" w:color="auto"/>
              <w:left w:val="single" w:sz="24" w:space="0" w:color="FFFFFF" w:themeColor="background1"/>
              <w:bottom w:val="single" w:sz="4" w:space="0" w:color="auto"/>
            </w:tcBorders>
            <w:shd w:val="clear" w:color="auto" w:fill="auto"/>
            <w:vAlign w:val="bottom"/>
          </w:tcPr>
          <w:p w14:paraId="2B2486C6" w14:textId="77777777" w:rsidR="002D63AC" w:rsidRPr="00DF0A94" w:rsidRDefault="002D63AC" w:rsidP="004C0B14">
            <w:pPr>
              <w:suppressAutoHyphens w:val="0"/>
              <w:spacing w:before="80" w:after="80" w:line="200" w:lineRule="exact"/>
              <w:ind w:right="113"/>
              <w:jc w:val="center"/>
              <w:rPr>
                <w:i/>
                <w:sz w:val="16"/>
              </w:rPr>
            </w:pPr>
            <w:r w:rsidRPr="00DF0A94">
              <w:rPr>
                <w:i/>
                <w:sz w:val="16"/>
              </w:rPr>
              <w:t>2019</w:t>
            </w:r>
          </w:p>
        </w:tc>
      </w:tr>
      <w:tr w:rsidR="002D63AC" w:rsidRPr="00DF0A94" w14:paraId="2376E856" w14:textId="77777777" w:rsidTr="004C0B14">
        <w:trPr>
          <w:tblHeader/>
        </w:trPr>
        <w:tc>
          <w:tcPr>
            <w:tcW w:w="363" w:type="dxa"/>
            <w:vMerge/>
            <w:tcBorders>
              <w:top w:val="nil"/>
              <w:bottom w:val="single" w:sz="12" w:space="0" w:color="auto"/>
            </w:tcBorders>
            <w:shd w:val="clear" w:color="auto" w:fill="auto"/>
            <w:vAlign w:val="bottom"/>
          </w:tcPr>
          <w:p w14:paraId="170A7FDE" w14:textId="77777777" w:rsidR="002D63AC" w:rsidRPr="00DF0A94" w:rsidRDefault="002D63AC" w:rsidP="002D63AC">
            <w:pPr>
              <w:suppressAutoHyphens w:val="0"/>
              <w:spacing w:before="40" w:after="40" w:line="220" w:lineRule="exact"/>
              <w:ind w:right="113"/>
              <w:rPr>
                <w:sz w:val="18"/>
              </w:rPr>
            </w:pPr>
          </w:p>
        </w:tc>
        <w:tc>
          <w:tcPr>
            <w:tcW w:w="1650" w:type="dxa"/>
            <w:vMerge/>
            <w:tcBorders>
              <w:top w:val="nil"/>
              <w:bottom w:val="single" w:sz="12" w:space="0" w:color="auto"/>
            </w:tcBorders>
            <w:shd w:val="clear" w:color="auto" w:fill="auto"/>
            <w:vAlign w:val="bottom"/>
          </w:tcPr>
          <w:p w14:paraId="08D817FB" w14:textId="77777777" w:rsidR="002D63AC" w:rsidRPr="00DF0A94" w:rsidRDefault="002D63AC" w:rsidP="002D63AC">
            <w:pPr>
              <w:suppressAutoHyphens w:val="0"/>
              <w:spacing w:before="80" w:after="80" w:line="200" w:lineRule="exact"/>
              <w:ind w:right="113"/>
              <w:jc w:val="right"/>
              <w:rPr>
                <w:sz w:val="18"/>
              </w:rPr>
            </w:pPr>
          </w:p>
        </w:tc>
        <w:tc>
          <w:tcPr>
            <w:tcW w:w="964" w:type="dxa"/>
            <w:tcBorders>
              <w:top w:val="single" w:sz="4" w:space="0" w:color="auto"/>
              <w:bottom w:val="single" w:sz="12" w:space="0" w:color="auto"/>
            </w:tcBorders>
            <w:shd w:val="clear" w:color="auto" w:fill="auto"/>
            <w:vAlign w:val="bottom"/>
          </w:tcPr>
          <w:p w14:paraId="651CB1BA" w14:textId="37337E50" w:rsidR="002D63AC" w:rsidRPr="00DF0A94" w:rsidRDefault="002D63AC" w:rsidP="002D63AC">
            <w:pPr>
              <w:suppressAutoHyphens w:val="0"/>
              <w:spacing w:before="80" w:after="80" w:line="200" w:lineRule="exact"/>
              <w:ind w:right="113"/>
              <w:jc w:val="right"/>
              <w:rPr>
                <w:i/>
                <w:iCs/>
                <w:sz w:val="16"/>
                <w:szCs w:val="16"/>
              </w:rPr>
            </w:pPr>
            <w:r w:rsidRPr="00803AF5">
              <w:rPr>
                <w:i/>
                <w:iCs/>
                <w:sz w:val="16"/>
                <w:szCs w:val="16"/>
                <w:lang w:val="fr-FR"/>
              </w:rPr>
              <w:t>Nombre de personnes</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14:paraId="18DB1998" w14:textId="7D9FEBD1" w:rsidR="002D63AC" w:rsidRPr="00DF0A94" w:rsidRDefault="002D63AC" w:rsidP="002D63AC">
            <w:pPr>
              <w:suppressAutoHyphens w:val="0"/>
              <w:spacing w:before="80" w:after="80" w:line="200" w:lineRule="exact"/>
              <w:ind w:right="113"/>
              <w:jc w:val="right"/>
              <w:rPr>
                <w:i/>
                <w:iCs/>
                <w:sz w:val="16"/>
                <w:szCs w:val="16"/>
              </w:rPr>
            </w:pPr>
            <w:r w:rsidRPr="00803AF5">
              <w:rPr>
                <w:i/>
                <w:iCs/>
                <w:sz w:val="16"/>
                <w:szCs w:val="16"/>
                <w:lang w:val="fr-FR"/>
              </w:rPr>
              <w:t>Dépenses engagées</w:t>
            </w:r>
          </w:p>
        </w:tc>
        <w:tc>
          <w:tcPr>
            <w:tcW w:w="992" w:type="dxa"/>
            <w:tcBorders>
              <w:top w:val="single" w:sz="4" w:space="0" w:color="auto"/>
              <w:left w:val="single" w:sz="24" w:space="0" w:color="FFFFFF" w:themeColor="background1"/>
              <w:bottom w:val="single" w:sz="12" w:space="0" w:color="auto"/>
            </w:tcBorders>
            <w:shd w:val="clear" w:color="auto" w:fill="auto"/>
            <w:vAlign w:val="bottom"/>
          </w:tcPr>
          <w:p w14:paraId="28719AB6" w14:textId="14AB64A7" w:rsidR="002D63AC" w:rsidRPr="00DF0A94" w:rsidRDefault="002D63AC" w:rsidP="002D63AC">
            <w:pPr>
              <w:suppressAutoHyphens w:val="0"/>
              <w:spacing w:before="80" w:after="80" w:line="200" w:lineRule="exact"/>
              <w:ind w:right="113"/>
              <w:jc w:val="right"/>
              <w:rPr>
                <w:i/>
                <w:iCs/>
                <w:sz w:val="16"/>
                <w:szCs w:val="16"/>
              </w:rPr>
            </w:pPr>
            <w:r w:rsidRPr="00803AF5">
              <w:rPr>
                <w:i/>
                <w:iCs/>
                <w:sz w:val="16"/>
                <w:szCs w:val="16"/>
                <w:lang w:val="fr-FR"/>
              </w:rPr>
              <w:t>Nombre de personnes</w:t>
            </w:r>
          </w:p>
        </w:tc>
        <w:tc>
          <w:tcPr>
            <w:tcW w:w="850" w:type="dxa"/>
            <w:tcBorders>
              <w:top w:val="single" w:sz="4" w:space="0" w:color="auto"/>
              <w:bottom w:val="single" w:sz="12" w:space="0" w:color="auto"/>
              <w:right w:val="single" w:sz="24" w:space="0" w:color="FFFFFF" w:themeColor="background1"/>
            </w:tcBorders>
            <w:shd w:val="clear" w:color="auto" w:fill="auto"/>
            <w:vAlign w:val="bottom"/>
          </w:tcPr>
          <w:p w14:paraId="2948FE54" w14:textId="74E483C7" w:rsidR="002D63AC" w:rsidRPr="00DF0A94" w:rsidRDefault="002D63AC" w:rsidP="002D63AC">
            <w:pPr>
              <w:suppressAutoHyphens w:val="0"/>
              <w:spacing w:before="80" w:after="80" w:line="200" w:lineRule="exact"/>
              <w:ind w:right="113"/>
              <w:jc w:val="right"/>
              <w:rPr>
                <w:i/>
                <w:iCs/>
                <w:sz w:val="16"/>
                <w:szCs w:val="16"/>
              </w:rPr>
            </w:pPr>
            <w:r w:rsidRPr="00803AF5">
              <w:rPr>
                <w:i/>
                <w:iCs/>
                <w:sz w:val="16"/>
                <w:szCs w:val="16"/>
                <w:lang w:val="fr-FR"/>
              </w:rPr>
              <w:t>Dépenses engagées</w:t>
            </w:r>
          </w:p>
        </w:tc>
        <w:tc>
          <w:tcPr>
            <w:tcW w:w="851" w:type="dxa"/>
            <w:tcBorders>
              <w:top w:val="single" w:sz="4" w:space="0" w:color="auto"/>
              <w:left w:val="single" w:sz="24" w:space="0" w:color="FFFFFF" w:themeColor="background1"/>
              <w:bottom w:val="single" w:sz="12" w:space="0" w:color="auto"/>
            </w:tcBorders>
            <w:shd w:val="clear" w:color="auto" w:fill="auto"/>
            <w:vAlign w:val="bottom"/>
          </w:tcPr>
          <w:p w14:paraId="7051978E" w14:textId="0C19149D" w:rsidR="002D63AC" w:rsidRPr="00DF0A94" w:rsidRDefault="002D63AC" w:rsidP="002D63AC">
            <w:pPr>
              <w:suppressAutoHyphens w:val="0"/>
              <w:spacing w:before="80" w:after="80" w:line="200" w:lineRule="exact"/>
              <w:ind w:right="113"/>
              <w:jc w:val="right"/>
              <w:rPr>
                <w:i/>
                <w:iCs/>
                <w:sz w:val="16"/>
                <w:szCs w:val="16"/>
              </w:rPr>
            </w:pPr>
            <w:r w:rsidRPr="00803AF5">
              <w:rPr>
                <w:i/>
                <w:iCs/>
                <w:sz w:val="16"/>
                <w:szCs w:val="16"/>
                <w:lang w:val="fr-FR"/>
              </w:rPr>
              <w:t>Nombre de personnes</w:t>
            </w:r>
          </w:p>
        </w:tc>
        <w:tc>
          <w:tcPr>
            <w:tcW w:w="992" w:type="dxa"/>
            <w:tcBorders>
              <w:top w:val="single" w:sz="4" w:space="0" w:color="auto"/>
              <w:bottom w:val="single" w:sz="12" w:space="0" w:color="auto"/>
            </w:tcBorders>
            <w:shd w:val="clear" w:color="auto" w:fill="auto"/>
            <w:vAlign w:val="bottom"/>
          </w:tcPr>
          <w:p w14:paraId="053027E3" w14:textId="489C2AC7" w:rsidR="002D63AC" w:rsidRPr="00DF0A94" w:rsidRDefault="002D63AC" w:rsidP="002D63AC">
            <w:pPr>
              <w:suppressAutoHyphens w:val="0"/>
              <w:spacing w:before="80" w:after="80" w:line="200" w:lineRule="exact"/>
              <w:ind w:right="113"/>
              <w:jc w:val="right"/>
              <w:rPr>
                <w:i/>
                <w:iCs/>
                <w:sz w:val="16"/>
                <w:szCs w:val="16"/>
              </w:rPr>
            </w:pPr>
            <w:r w:rsidRPr="00803AF5">
              <w:rPr>
                <w:i/>
                <w:iCs/>
                <w:sz w:val="16"/>
                <w:szCs w:val="16"/>
                <w:lang w:val="fr-FR"/>
              </w:rPr>
              <w:t>Dépenses engagées</w:t>
            </w:r>
          </w:p>
        </w:tc>
      </w:tr>
      <w:tr w:rsidR="002D63AC" w:rsidRPr="002D63AC" w14:paraId="49D6BE95" w14:textId="77777777" w:rsidTr="004C0B14">
        <w:tc>
          <w:tcPr>
            <w:tcW w:w="363" w:type="dxa"/>
            <w:tcBorders>
              <w:top w:val="single" w:sz="12" w:space="0" w:color="auto"/>
            </w:tcBorders>
            <w:shd w:val="clear" w:color="auto" w:fill="auto"/>
          </w:tcPr>
          <w:p w14:paraId="23BBFFEA" w14:textId="49D951FC" w:rsidR="002D63AC" w:rsidRPr="002D63AC" w:rsidRDefault="002D63AC" w:rsidP="002D63AC">
            <w:pPr>
              <w:suppressAutoHyphens w:val="0"/>
              <w:spacing w:before="40" w:after="40" w:line="220" w:lineRule="exact"/>
              <w:ind w:right="113"/>
              <w:rPr>
                <w:sz w:val="18"/>
                <w:szCs w:val="18"/>
              </w:rPr>
            </w:pPr>
            <w:r w:rsidRPr="002D63AC">
              <w:rPr>
                <w:sz w:val="18"/>
                <w:szCs w:val="18"/>
                <w:lang w:val="fr-FR"/>
              </w:rPr>
              <w:t>1</w:t>
            </w:r>
          </w:p>
        </w:tc>
        <w:tc>
          <w:tcPr>
            <w:tcW w:w="1650" w:type="dxa"/>
            <w:tcBorders>
              <w:top w:val="single" w:sz="12" w:space="0" w:color="auto"/>
            </w:tcBorders>
            <w:shd w:val="clear" w:color="auto" w:fill="auto"/>
            <w:vAlign w:val="bottom"/>
          </w:tcPr>
          <w:p w14:paraId="7E557139" w14:textId="5DA44DD5" w:rsidR="002D63AC" w:rsidRPr="002D63AC" w:rsidRDefault="002D63AC" w:rsidP="002D63AC">
            <w:pPr>
              <w:suppressAutoHyphens w:val="0"/>
              <w:spacing w:before="40" w:after="40" w:line="220" w:lineRule="exact"/>
              <w:ind w:right="113"/>
              <w:rPr>
                <w:sz w:val="18"/>
                <w:szCs w:val="18"/>
              </w:rPr>
            </w:pPr>
            <w:r w:rsidRPr="002D63AC">
              <w:rPr>
                <w:sz w:val="18"/>
                <w:szCs w:val="18"/>
                <w:lang w:val="fr-FR"/>
              </w:rPr>
              <w:t>Hommes de 60 ans et plus, femmes de 55 ans et plus</w:t>
            </w:r>
          </w:p>
        </w:tc>
        <w:tc>
          <w:tcPr>
            <w:tcW w:w="964" w:type="dxa"/>
            <w:tcBorders>
              <w:top w:val="single" w:sz="12" w:space="0" w:color="auto"/>
            </w:tcBorders>
            <w:shd w:val="clear" w:color="auto" w:fill="auto"/>
            <w:vAlign w:val="bottom"/>
          </w:tcPr>
          <w:p w14:paraId="2EE580E8" w14:textId="64D22320"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2 443</w:t>
            </w:r>
          </w:p>
        </w:tc>
        <w:tc>
          <w:tcPr>
            <w:tcW w:w="851" w:type="dxa"/>
            <w:tcBorders>
              <w:top w:val="single" w:sz="12" w:space="0" w:color="auto"/>
            </w:tcBorders>
            <w:shd w:val="clear" w:color="auto" w:fill="auto"/>
            <w:vAlign w:val="bottom"/>
          </w:tcPr>
          <w:p w14:paraId="358F1F05" w14:textId="7E018E8B"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3 109,46</w:t>
            </w:r>
          </w:p>
        </w:tc>
        <w:tc>
          <w:tcPr>
            <w:tcW w:w="992" w:type="dxa"/>
            <w:tcBorders>
              <w:top w:val="single" w:sz="12" w:space="0" w:color="auto"/>
            </w:tcBorders>
            <w:shd w:val="clear" w:color="auto" w:fill="auto"/>
            <w:vAlign w:val="bottom"/>
          </w:tcPr>
          <w:p w14:paraId="4EA5DB62" w14:textId="7FC7CB80"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2 538</w:t>
            </w:r>
          </w:p>
        </w:tc>
        <w:tc>
          <w:tcPr>
            <w:tcW w:w="850" w:type="dxa"/>
            <w:tcBorders>
              <w:top w:val="single" w:sz="12" w:space="0" w:color="auto"/>
            </w:tcBorders>
            <w:shd w:val="clear" w:color="auto" w:fill="auto"/>
            <w:vAlign w:val="bottom"/>
          </w:tcPr>
          <w:p w14:paraId="4BDE0CE7" w14:textId="048F998E"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4 528,29</w:t>
            </w:r>
          </w:p>
        </w:tc>
        <w:tc>
          <w:tcPr>
            <w:tcW w:w="851" w:type="dxa"/>
            <w:tcBorders>
              <w:top w:val="single" w:sz="12" w:space="0" w:color="auto"/>
            </w:tcBorders>
            <w:shd w:val="clear" w:color="auto" w:fill="auto"/>
            <w:vAlign w:val="bottom"/>
          </w:tcPr>
          <w:p w14:paraId="20A1CCA4" w14:textId="41CDA271"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3 360</w:t>
            </w:r>
          </w:p>
        </w:tc>
        <w:tc>
          <w:tcPr>
            <w:tcW w:w="992" w:type="dxa"/>
            <w:tcBorders>
              <w:top w:val="single" w:sz="12" w:space="0" w:color="auto"/>
            </w:tcBorders>
            <w:shd w:val="clear" w:color="auto" w:fill="auto"/>
            <w:vAlign w:val="bottom"/>
          </w:tcPr>
          <w:p w14:paraId="7A34776E" w14:textId="3896C3D2"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5 636,55</w:t>
            </w:r>
          </w:p>
        </w:tc>
      </w:tr>
      <w:tr w:rsidR="002D63AC" w:rsidRPr="00DF0A94" w14:paraId="2824D5D4" w14:textId="77777777" w:rsidTr="004C0B14">
        <w:tc>
          <w:tcPr>
            <w:tcW w:w="363" w:type="dxa"/>
            <w:shd w:val="clear" w:color="auto" w:fill="auto"/>
          </w:tcPr>
          <w:p w14:paraId="4E5A2B47" w14:textId="629DA4ED" w:rsidR="002D63AC" w:rsidRPr="002D63AC" w:rsidRDefault="002D63AC" w:rsidP="002D63AC">
            <w:pPr>
              <w:suppressAutoHyphens w:val="0"/>
              <w:spacing w:before="40" w:after="40" w:line="220" w:lineRule="exact"/>
              <w:ind w:right="113"/>
              <w:rPr>
                <w:sz w:val="18"/>
                <w:szCs w:val="18"/>
              </w:rPr>
            </w:pPr>
            <w:r w:rsidRPr="002D63AC">
              <w:rPr>
                <w:sz w:val="18"/>
                <w:szCs w:val="18"/>
                <w:lang w:val="fr-FR"/>
              </w:rPr>
              <w:t>2</w:t>
            </w:r>
          </w:p>
        </w:tc>
        <w:tc>
          <w:tcPr>
            <w:tcW w:w="1650" w:type="dxa"/>
            <w:shd w:val="clear" w:color="auto" w:fill="auto"/>
            <w:vAlign w:val="bottom"/>
          </w:tcPr>
          <w:p w14:paraId="743B11C4" w14:textId="587832AE" w:rsidR="002D63AC" w:rsidRPr="002D63AC" w:rsidRDefault="002D63AC" w:rsidP="002D63AC">
            <w:pPr>
              <w:suppressAutoHyphens w:val="0"/>
              <w:spacing w:before="40" w:after="40" w:line="220" w:lineRule="exact"/>
              <w:ind w:right="113"/>
              <w:rPr>
                <w:sz w:val="18"/>
                <w:szCs w:val="18"/>
              </w:rPr>
            </w:pPr>
            <w:r w:rsidRPr="002D63AC">
              <w:rPr>
                <w:sz w:val="18"/>
                <w:szCs w:val="18"/>
                <w:lang w:val="fr-FR"/>
              </w:rPr>
              <w:t>Personnes atteintes de nanisme</w:t>
            </w:r>
          </w:p>
        </w:tc>
        <w:tc>
          <w:tcPr>
            <w:tcW w:w="964" w:type="dxa"/>
            <w:shd w:val="clear" w:color="auto" w:fill="auto"/>
            <w:vAlign w:val="bottom"/>
          </w:tcPr>
          <w:p w14:paraId="19257747" w14:textId="4516AC71"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126</w:t>
            </w:r>
          </w:p>
        </w:tc>
        <w:tc>
          <w:tcPr>
            <w:tcW w:w="851" w:type="dxa"/>
            <w:shd w:val="clear" w:color="auto" w:fill="auto"/>
            <w:vAlign w:val="bottom"/>
          </w:tcPr>
          <w:p w14:paraId="4D5DA7FF" w14:textId="2E8B46BF"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201,3</w:t>
            </w:r>
          </w:p>
        </w:tc>
        <w:tc>
          <w:tcPr>
            <w:tcW w:w="992" w:type="dxa"/>
            <w:shd w:val="clear" w:color="auto" w:fill="auto"/>
            <w:vAlign w:val="bottom"/>
          </w:tcPr>
          <w:p w14:paraId="1D02CD3C" w14:textId="3610D12E"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123</w:t>
            </w:r>
          </w:p>
        </w:tc>
        <w:tc>
          <w:tcPr>
            <w:tcW w:w="850" w:type="dxa"/>
            <w:shd w:val="clear" w:color="auto" w:fill="auto"/>
            <w:vAlign w:val="bottom"/>
          </w:tcPr>
          <w:p w14:paraId="0F884A58" w14:textId="28B0382D"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208,3</w:t>
            </w:r>
          </w:p>
        </w:tc>
        <w:tc>
          <w:tcPr>
            <w:tcW w:w="851" w:type="dxa"/>
            <w:shd w:val="clear" w:color="auto" w:fill="auto"/>
            <w:vAlign w:val="bottom"/>
          </w:tcPr>
          <w:p w14:paraId="7A98D9BF" w14:textId="2C3A0156"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117</w:t>
            </w:r>
          </w:p>
        </w:tc>
        <w:tc>
          <w:tcPr>
            <w:tcW w:w="992" w:type="dxa"/>
            <w:shd w:val="clear" w:color="auto" w:fill="auto"/>
            <w:vAlign w:val="bottom"/>
          </w:tcPr>
          <w:p w14:paraId="54E6750A" w14:textId="0F9FF63D"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219,99</w:t>
            </w:r>
          </w:p>
        </w:tc>
      </w:tr>
      <w:tr w:rsidR="002D63AC" w:rsidRPr="00DF0A94" w14:paraId="67FD50B7" w14:textId="77777777" w:rsidTr="004C0B14">
        <w:tc>
          <w:tcPr>
            <w:tcW w:w="363" w:type="dxa"/>
            <w:shd w:val="clear" w:color="auto" w:fill="auto"/>
          </w:tcPr>
          <w:p w14:paraId="282BEDA6" w14:textId="15A7D1BD" w:rsidR="002D63AC" w:rsidRPr="002D63AC" w:rsidRDefault="002D63AC" w:rsidP="002D63AC">
            <w:pPr>
              <w:suppressAutoHyphens w:val="0"/>
              <w:spacing w:before="40" w:after="40" w:line="220" w:lineRule="exact"/>
              <w:ind w:right="113"/>
              <w:rPr>
                <w:sz w:val="18"/>
                <w:szCs w:val="18"/>
              </w:rPr>
            </w:pPr>
            <w:r w:rsidRPr="002D63AC">
              <w:rPr>
                <w:sz w:val="18"/>
                <w:szCs w:val="18"/>
                <w:lang w:val="fr-FR"/>
              </w:rPr>
              <w:t>3</w:t>
            </w:r>
          </w:p>
        </w:tc>
        <w:tc>
          <w:tcPr>
            <w:tcW w:w="1650" w:type="dxa"/>
            <w:shd w:val="clear" w:color="auto" w:fill="auto"/>
            <w:vAlign w:val="bottom"/>
          </w:tcPr>
          <w:p w14:paraId="3848C5A8" w14:textId="3D96E7FF" w:rsidR="002D63AC" w:rsidRPr="002D63AC" w:rsidRDefault="002D63AC" w:rsidP="002D63AC">
            <w:pPr>
              <w:suppressAutoHyphens w:val="0"/>
              <w:spacing w:before="40" w:after="40" w:line="220" w:lineRule="exact"/>
              <w:ind w:right="113"/>
              <w:rPr>
                <w:sz w:val="18"/>
                <w:szCs w:val="18"/>
              </w:rPr>
            </w:pPr>
            <w:r w:rsidRPr="002D63AC">
              <w:rPr>
                <w:sz w:val="18"/>
                <w:szCs w:val="18"/>
                <w:lang w:val="fr-FR"/>
              </w:rPr>
              <w:t>Citoyens handicapés âgés d</w:t>
            </w:r>
            <w:r w:rsidR="009C7759">
              <w:rPr>
                <w:sz w:val="18"/>
                <w:szCs w:val="18"/>
                <w:lang w:val="fr-FR"/>
              </w:rPr>
              <w:t>’</w:t>
            </w:r>
            <w:r w:rsidRPr="002D63AC">
              <w:rPr>
                <w:sz w:val="18"/>
                <w:szCs w:val="18"/>
                <w:lang w:val="fr-FR"/>
              </w:rPr>
              <w:t>au moins 16</w:t>
            </w:r>
            <w:r w:rsidR="00C47D05">
              <w:rPr>
                <w:sz w:val="18"/>
                <w:szCs w:val="18"/>
                <w:lang w:val="fr-FR"/>
              </w:rPr>
              <w:t> </w:t>
            </w:r>
            <w:r w:rsidRPr="002D63AC">
              <w:rPr>
                <w:sz w:val="18"/>
                <w:szCs w:val="18"/>
                <w:lang w:val="fr-FR"/>
              </w:rPr>
              <w:t>ans présentant une incapacité de travail de 50</w:t>
            </w:r>
            <w:r w:rsidR="00C47D05">
              <w:rPr>
                <w:sz w:val="18"/>
                <w:szCs w:val="18"/>
                <w:lang w:val="fr-FR"/>
              </w:rPr>
              <w:t> </w:t>
            </w:r>
            <w:r w:rsidRPr="002D63AC">
              <w:rPr>
                <w:sz w:val="18"/>
                <w:szCs w:val="18"/>
                <w:lang w:val="fr-FR"/>
              </w:rPr>
              <w:t>% ou</w:t>
            </w:r>
            <w:r w:rsidR="00C47D05">
              <w:rPr>
                <w:sz w:val="18"/>
                <w:szCs w:val="18"/>
                <w:lang w:val="fr-FR"/>
              </w:rPr>
              <w:t> </w:t>
            </w:r>
            <w:r w:rsidRPr="002D63AC">
              <w:rPr>
                <w:sz w:val="18"/>
                <w:szCs w:val="18"/>
                <w:lang w:val="fr-FR"/>
              </w:rPr>
              <w:t>plus</w:t>
            </w:r>
          </w:p>
        </w:tc>
        <w:tc>
          <w:tcPr>
            <w:tcW w:w="964" w:type="dxa"/>
            <w:shd w:val="clear" w:color="auto" w:fill="auto"/>
            <w:vAlign w:val="bottom"/>
          </w:tcPr>
          <w:p w14:paraId="5AD39B64" w14:textId="34193FD2"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43 180</w:t>
            </w:r>
          </w:p>
        </w:tc>
        <w:tc>
          <w:tcPr>
            <w:tcW w:w="851" w:type="dxa"/>
            <w:shd w:val="clear" w:color="auto" w:fill="auto"/>
            <w:vAlign w:val="bottom"/>
          </w:tcPr>
          <w:p w14:paraId="02FD319C" w14:textId="177CA964"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60 167,1</w:t>
            </w:r>
          </w:p>
        </w:tc>
        <w:tc>
          <w:tcPr>
            <w:tcW w:w="992" w:type="dxa"/>
            <w:shd w:val="clear" w:color="auto" w:fill="auto"/>
            <w:vAlign w:val="bottom"/>
          </w:tcPr>
          <w:p w14:paraId="4664DED3" w14:textId="23B413A9"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41 017</w:t>
            </w:r>
          </w:p>
        </w:tc>
        <w:tc>
          <w:tcPr>
            <w:tcW w:w="850" w:type="dxa"/>
            <w:shd w:val="clear" w:color="auto" w:fill="auto"/>
            <w:vAlign w:val="bottom"/>
          </w:tcPr>
          <w:p w14:paraId="26C5247D" w14:textId="48572720"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65 687,2</w:t>
            </w:r>
          </w:p>
        </w:tc>
        <w:tc>
          <w:tcPr>
            <w:tcW w:w="851" w:type="dxa"/>
            <w:shd w:val="clear" w:color="auto" w:fill="auto"/>
            <w:vAlign w:val="bottom"/>
          </w:tcPr>
          <w:p w14:paraId="7415A619" w14:textId="4E0FE1F3"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41 396</w:t>
            </w:r>
          </w:p>
        </w:tc>
        <w:tc>
          <w:tcPr>
            <w:tcW w:w="992" w:type="dxa"/>
            <w:shd w:val="clear" w:color="auto" w:fill="auto"/>
            <w:vAlign w:val="bottom"/>
          </w:tcPr>
          <w:p w14:paraId="7D92135A" w14:textId="320206C6"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74 523,96</w:t>
            </w:r>
          </w:p>
        </w:tc>
      </w:tr>
      <w:tr w:rsidR="002D63AC" w:rsidRPr="00DF0A94" w14:paraId="09FDD47F" w14:textId="77777777" w:rsidTr="004C0B14">
        <w:tc>
          <w:tcPr>
            <w:tcW w:w="363" w:type="dxa"/>
            <w:shd w:val="clear" w:color="auto" w:fill="auto"/>
          </w:tcPr>
          <w:p w14:paraId="7C0E6168" w14:textId="0400AE05" w:rsidR="002D63AC" w:rsidRPr="002D63AC" w:rsidRDefault="002D63AC" w:rsidP="002D63AC">
            <w:pPr>
              <w:suppressAutoHyphens w:val="0"/>
              <w:spacing w:before="40" w:after="40" w:line="220" w:lineRule="exact"/>
              <w:ind w:right="113"/>
              <w:rPr>
                <w:sz w:val="18"/>
                <w:szCs w:val="18"/>
              </w:rPr>
            </w:pPr>
            <w:r w:rsidRPr="002D63AC">
              <w:rPr>
                <w:sz w:val="18"/>
                <w:szCs w:val="18"/>
                <w:lang w:val="fr-FR"/>
              </w:rPr>
              <w:t>4</w:t>
            </w:r>
          </w:p>
        </w:tc>
        <w:tc>
          <w:tcPr>
            <w:tcW w:w="1650" w:type="dxa"/>
            <w:shd w:val="clear" w:color="auto" w:fill="auto"/>
            <w:vAlign w:val="bottom"/>
          </w:tcPr>
          <w:p w14:paraId="4EBBC652" w14:textId="65956DB5" w:rsidR="002D63AC" w:rsidRPr="002D63AC" w:rsidRDefault="002D63AC" w:rsidP="002D63AC">
            <w:pPr>
              <w:suppressAutoHyphens w:val="0"/>
              <w:spacing w:before="40" w:after="40" w:line="220" w:lineRule="exact"/>
              <w:ind w:right="113"/>
              <w:rPr>
                <w:sz w:val="18"/>
                <w:szCs w:val="18"/>
              </w:rPr>
            </w:pPr>
            <w:r w:rsidRPr="002D63AC">
              <w:rPr>
                <w:sz w:val="18"/>
                <w:szCs w:val="18"/>
                <w:lang w:val="fr-FR"/>
              </w:rPr>
              <w:t>Enfants (de moins de 18 ans) ayant perdu leur famille</w:t>
            </w:r>
          </w:p>
        </w:tc>
        <w:tc>
          <w:tcPr>
            <w:tcW w:w="964" w:type="dxa"/>
            <w:shd w:val="clear" w:color="auto" w:fill="auto"/>
            <w:vAlign w:val="bottom"/>
          </w:tcPr>
          <w:p w14:paraId="14B4153A" w14:textId="53332BCC"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15 981</w:t>
            </w:r>
          </w:p>
        </w:tc>
        <w:tc>
          <w:tcPr>
            <w:tcW w:w="851" w:type="dxa"/>
            <w:shd w:val="clear" w:color="auto" w:fill="auto"/>
            <w:vAlign w:val="bottom"/>
          </w:tcPr>
          <w:p w14:paraId="5B9F18F3" w14:textId="1C124EF3"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25 131,5</w:t>
            </w:r>
          </w:p>
        </w:tc>
        <w:tc>
          <w:tcPr>
            <w:tcW w:w="992" w:type="dxa"/>
            <w:shd w:val="clear" w:color="auto" w:fill="auto"/>
            <w:vAlign w:val="bottom"/>
          </w:tcPr>
          <w:p w14:paraId="018D1C0A" w14:textId="0952619D"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15 732</w:t>
            </w:r>
          </w:p>
        </w:tc>
        <w:tc>
          <w:tcPr>
            <w:tcW w:w="850" w:type="dxa"/>
            <w:shd w:val="clear" w:color="auto" w:fill="auto"/>
            <w:vAlign w:val="bottom"/>
          </w:tcPr>
          <w:p w14:paraId="1D79657B" w14:textId="58DD7D85"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27 409,3</w:t>
            </w:r>
          </w:p>
        </w:tc>
        <w:tc>
          <w:tcPr>
            <w:tcW w:w="851" w:type="dxa"/>
            <w:shd w:val="clear" w:color="auto" w:fill="auto"/>
            <w:vAlign w:val="bottom"/>
          </w:tcPr>
          <w:p w14:paraId="5536DBDA" w14:textId="65ACF13B"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15 766</w:t>
            </w:r>
          </w:p>
        </w:tc>
        <w:tc>
          <w:tcPr>
            <w:tcW w:w="992" w:type="dxa"/>
            <w:shd w:val="clear" w:color="auto" w:fill="auto"/>
            <w:vAlign w:val="bottom"/>
          </w:tcPr>
          <w:p w14:paraId="349D1A11" w14:textId="7EA0F652"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31 216,71</w:t>
            </w:r>
          </w:p>
        </w:tc>
      </w:tr>
      <w:tr w:rsidR="002D63AC" w:rsidRPr="00DF0A94" w14:paraId="6124A448" w14:textId="77777777" w:rsidTr="004C0B14">
        <w:tc>
          <w:tcPr>
            <w:tcW w:w="363" w:type="dxa"/>
            <w:tcBorders>
              <w:bottom w:val="single" w:sz="4" w:space="0" w:color="auto"/>
            </w:tcBorders>
            <w:shd w:val="clear" w:color="auto" w:fill="auto"/>
          </w:tcPr>
          <w:p w14:paraId="69CDC933" w14:textId="7CE4B34C" w:rsidR="002D63AC" w:rsidRPr="002D63AC" w:rsidRDefault="002D63AC" w:rsidP="002D63AC">
            <w:pPr>
              <w:suppressAutoHyphens w:val="0"/>
              <w:spacing w:before="40" w:after="40" w:line="220" w:lineRule="exact"/>
              <w:ind w:right="113"/>
              <w:rPr>
                <w:sz w:val="18"/>
                <w:szCs w:val="18"/>
              </w:rPr>
            </w:pPr>
            <w:r w:rsidRPr="002D63AC">
              <w:rPr>
                <w:sz w:val="18"/>
                <w:szCs w:val="18"/>
                <w:lang w:val="fr-FR"/>
              </w:rPr>
              <w:t>5</w:t>
            </w:r>
          </w:p>
        </w:tc>
        <w:tc>
          <w:tcPr>
            <w:tcW w:w="1650" w:type="dxa"/>
            <w:tcBorders>
              <w:bottom w:val="single" w:sz="4" w:space="0" w:color="auto"/>
            </w:tcBorders>
            <w:shd w:val="clear" w:color="auto" w:fill="auto"/>
            <w:vAlign w:val="bottom"/>
          </w:tcPr>
          <w:p w14:paraId="16ACAB28" w14:textId="0640AF39" w:rsidR="002D63AC" w:rsidRPr="002D63AC" w:rsidRDefault="002D63AC" w:rsidP="002D63AC">
            <w:pPr>
              <w:suppressAutoHyphens w:val="0"/>
              <w:spacing w:before="40" w:after="40" w:line="220" w:lineRule="exact"/>
              <w:ind w:right="113"/>
              <w:rPr>
                <w:sz w:val="18"/>
                <w:szCs w:val="18"/>
              </w:rPr>
            </w:pPr>
            <w:r w:rsidRPr="002D63AC">
              <w:rPr>
                <w:sz w:val="18"/>
                <w:szCs w:val="18"/>
                <w:lang w:val="fr-FR"/>
              </w:rPr>
              <w:t>Mères célibataires de plus de 45 ans et pères célibataires de plus de 50 ans ayant 4 enfants ou plus de moins de 18 ans</w:t>
            </w:r>
          </w:p>
        </w:tc>
        <w:tc>
          <w:tcPr>
            <w:tcW w:w="964" w:type="dxa"/>
            <w:tcBorders>
              <w:bottom w:val="single" w:sz="4" w:space="0" w:color="auto"/>
            </w:tcBorders>
            <w:shd w:val="clear" w:color="auto" w:fill="auto"/>
            <w:vAlign w:val="bottom"/>
          </w:tcPr>
          <w:p w14:paraId="792EDA25" w14:textId="555A79F8"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39</w:t>
            </w:r>
          </w:p>
        </w:tc>
        <w:tc>
          <w:tcPr>
            <w:tcW w:w="851" w:type="dxa"/>
            <w:tcBorders>
              <w:bottom w:val="single" w:sz="4" w:space="0" w:color="auto"/>
            </w:tcBorders>
            <w:shd w:val="clear" w:color="auto" w:fill="auto"/>
            <w:vAlign w:val="bottom"/>
          </w:tcPr>
          <w:p w14:paraId="1573BBA0" w14:textId="7E7F4241"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48,7</w:t>
            </w:r>
          </w:p>
        </w:tc>
        <w:tc>
          <w:tcPr>
            <w:tcW w:w="992" w:type="dxa"/>
            <w:tcBorders>
              <w:bottom w:val="single" w:sz="4" w:space="0" w:color="auto"/>
            </w:tcBorders>
            <w:shd w:val="clear" w:color="auto" w:fill="auto"/>
            <w:vAlign w:val="bottom"/>
          </w:tcPr>
          <w:p w14:paraId="13F1981C" w14:textId="52E0042D"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27</w:t>
            </w:r>
          </w:p>
        </w:tc>
        <w:tc>
          <w:tcPr>
            <w:tcW w:w="850" w:type="dxa"/>
            <w:tcBorders>
              <w:bottom w:val="single" w:sz="4" w:space="0" w:color="auto"/>
            </w:tcBorders>
            <w:shd w:val="clear" w:color="auto" w:fill="auto"/>
            <w:vAlign w:val="bottom"/>
          </w:tcPr>
          <w:p w14:paraId="36651961" w14:textId="4C7689A4"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31,4</w:t>
            </w:r>
          </w:p>
        </w:tc>
        <w:tc>
          <w:tcPr>
            <w:tcW w:w="851" w:type="dxa"/>
            <w:tcBorders>
              <w:bottom w:val="single" w:sz="4" w:space="0" w:color="auto"/>
            </w:tcBorders>
            <w:shd w:val="clear" w:color="auto" w:fill="auto"/>
            <w:vAlign w:val="bottom"/>
          </w:tcPr>
          <w:p w14:paraId="5F8B6259" w14:textId="49FFFA32"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19</w:t>
            </w:r>
          </w:p>
        </w:tc>
        <w:tc>
          <w:tcPr>
            <w:tcW w:w="992" w:type="dxa"/>
            <w:tcBorders>
              <w:bottom w:val="single" w:sz="4" w:space="0" w:color="auto"/>
            </w:tcBorders>
            <w:shd w:val="clear" w:color="auto" w:fill="auto"/>
            <w:vAlign w:val="bottom"/>
          </w:tcPr>
          <w:p w14:paraId="0148CE72" w14:textId="14589FA8" w:rsidR="002D63AC" w:rsidRPr="002D63AC" w:rsidRDefault="002D63AC" w:rsidP="002D63AC">
            <w:pPr>
              <w:suppressAutoHyphens w:val="0"/>
              <w:spacing w:before="40" w:after="40" w:line="220" w:lineRule="exact"/>
              <w:ind w:right="113"/>
              <w:jc w:val="right"/>
              <w:rPr>
                <w:sz w:val="18"/>
                <w:szCs w:val="18"/>
              </w:rPr>
            </w:pPr>
            <w:r w:rsidRPr="002D63AC">
              <w:rPr>
                <w:sz w:val="18"/>
                <w:szCs w:val="18"/>
                <w:lang w:val="fr-FR"/>
              </w:rPr>
              <w:t>26,0</w:t>
            </w:r>
          </w:p>
        </w:tc>
      </w:tr>
      <w:tr w:rsidR="002D63AC" w:rsidRPr="00DF0A94" w14:paraId="2EEE8AE4" w14:textId="77777777" w:rsidTr="004C0B14">
        <w:tc>
          <w:tcPr>
            <w:tcW w:w="2013" w:type="dxa"/>
            <w:gridSpan w:val="2"/>
            <w:tcBorders>
              <w:top w:val="single" w:sz="4" w:space="0" w:color="auto"/>
              <w:bottom w:val="single" w:sz="12" w:space="0" w:color="auto"/>
            </w:tcBorders>
            <w:shd w:val="clear" w:color="auto" w:fill="auto"/>
          </w:tcPr>
          <w:p w14:paraId="55BF5930" w14:textId="77777777" w:rsidR="002D63AC" w:rsidRPr="00DF0A94" w:rsidRDefault="002D63AC" w:rsidP="002D63AC">
            <w:pPr>
              <w:suppressAutoHyphens w:val="0"/>
              <w:spacing w:before="80" w:after="80" w:line="220" w:lineRule="exact"/>
              <w:ind w:left="283"/>
              <w:rPr>
                <w:b/>
                <w:sz w:val="18"/>
              </w:rPr>
            </w:pPr>
            <w:r w:rsidRPr="00DF0A94">
              <w:rPr>
                <w:b/>
                <w:sz w:val="18"/>
              </w:rPr>
              <w:t>Total</w:t>
            </w:r>
          </w:p>
        </w:tc>
        <w:tc>
          <w:tcPr>
            <w:tcW w:w="964" w:type="dxa"/>
            <w:tcBorders>
              <w:top w:val="single" w:sz="4" w:space="0" w:color="auto"/>
              <w:bottom w:val="single" w:sz="12" w:space="0" w:color="auto"/>
            </w:tcBorders>
            <w:shd w:val="clear" w:color="auto" w:fill="auto"/>
            <w:vAlign w:val="bottom"/>
          </w:tcPr>
          <w:p w14:paraId="28CD757C" w14:textId="7D6EC956" w:rsidR="002D63AC" w:rsidRPr="002D63AC" w:rsidRDefault="002D63AC" w:rsidP="002D63AC">
            <w:pPr>
              <w:suppressAutoHyphens w:val="0"/>
              <w:spacing w:before="40" w:after="40" w:line="220" w:lineRule="exact"/>
              <w:ind w:right="113"/>
              <w:jc w:val="right"/>
              <w:rPr>
                <w:b/>
                <w:sz w:val="18"/>
                <w:szCs w:val="18"/>
              </w:rPr>
            </w:pPr>
            <w:r w:rsidRPr="002D63AC">
              <w:rPr>
                <w:b/>
                <w:bCs/>
                <w:sz w:val="18"/>
                <w:szCs w:val="18"/>
                <w:lang w:val="fr-FR"/>
              </w:rPr>
              <w:t>61 769</w:t>
            </w:r>
          </w:p>
        </w:tc>
        <w:tc>
          <w:tcPr>
            <w:tcW w:w="851" w:type="dxa"/>
            <w:tcBorders>
              <w:top w:val="single" w:sz="4" w:space="0" w:color="auto"/>
              <w:bottom w:val="single" w:sz="12" w:space="0" w:color="auto"/>
            </w:tcBorders>
            <w:shd w:val="clear" w:color="auto" w:fill="auto"/>
            <w:vAlign w:val="bottom"/>
          </w:tcPr>
          <w:p w14:paraId="6D20D0DD" w14:textId="050BD808" w:rsidR="002D63AC" w:rsidRPr="002D63AC" w:rsidRDefault="002D63AC" w:rsidP="002D63AC">
            <w:pPr>
              <w:suppressAutoHyphens w:val="0"/>
              <w:spacing w:before="40" w:after="40" w:line="220" w:lineRule="exact"/>
              <w:ind w:right="113"/>
              <w:jc w:val="right"/>
              <w:rPr>
                <w:b/>
                <w:sz w:val="18"/>
                <w:szCs w:val="18"/>
              </w:rPr>
            </w:pPr>
            <w:r w:rsidRPr="002D63AC">
              <w:rPr>
                <w:b/>
                <w:bCs/>
                <w:sz w:val="18"/>
                <w:szCs w:val="18"/>
                <w:lang w:val="fr-FR"/>
              </w:rPr>
              <w:t>88 658,1</w:t>
            </w:r>
          </w:p>
        </w:tc>
        <w:tc>
          <w:tcPr>
            <w:tcW w:w="992" w:type="dxa"/>
            <w:tcBorders>
              <w:top w:val="single" w:sz="4" w:space="0" w:color="auto"/>
              <w:bottom w:val="single" w:sz="12" w:space="0" w:color="auto"/>
            </w:tcBorders>
            <w:shd w:val="clear" w:color="auto" w:fill="auto"/>
            <w:vAlign w:val="bottom"/>
          </w:tcPr>
          <w:p w14:paraId="1EF99EAE" w14:textId="5CBA3FA4" w:rsidR="002D63AC" w:rsidRPr="002D63AC" w:rsidRDefault="002D63AC" w:rsidP="002D63AC">
            <w:pPr>
              <w:suppressAutoHyphens w:val="0"/>
              <w:spacing w:before="40" w:after="40" w:line="220" w:lineRule="exact"/>
              <w:ind w:right="113"/>
              <w:jc w:val="right"/>
              <w:rPr>
                <w:b/>
                <w:sz w:val="18"/>
                <w:szCs w:val="18"/>
              </w:rPr>
            </w:pPr>
            <w:r w:rsidRPr="002D63AC">
              <w:rPr>
                <w:b/>
                <w:bCs/>
                <w:sz w:val="18"/>
                <w:szCs w:val="18"/>
                <w:lang w:val="fr-FR"/>
              </w:rPr>
              <w:t>59 437</w:t>
            </w:r>
          </w:p>
        </w:tc>
        <w:tc>
          <w:tcPr>
            <w:tcW w:w="850" w:type="dxa"/>
            <w:tcBorders>
              <w:top w:val="single" w:sz="4" w:space="0" w:color="auto"/>
              <w:bottom w:val="single" w:sz="12" w:space="0" w:color="auto"/>
            </w:tcBorders>
            <w:shd w:val="clear" w:color="auto" w:fill="auto"/>
            <w:vAlign w:val="bottom"/>
          </w:tcPr>
          <w:p w14:paraId="69493E5E" w14:textId="595F1F7A" w:rsidR="002D63AC" w:rsidRPr="002D63AC" w:rsidRDefault="002D63AC" w:rsidP="002D63AC">
            <w:pPr>
              <w:suppressAutoHyphens w:val="0"/>
              <w:spacing w:before="40" w:after="40" w:line="220" w:lineRule="exact"/>
              <w:ind w:right="113"/>
              <w:jc w:val="right"/>
              <w:rPr>
                <w:b/>
                <w:sz w:val="18"/>
                <w:szCs w:val="18"/>
              </w:rPr>
            </w:pPr>
            <w:r w:rsidRPr="002D63AC">
              <w:rPr>
                <w:b/>
                <w:bCs/>
                <w:sz w:val="18"/>
                <w:szCs w:val="18"/>
                <w:lang w:val="fr-FR"/>
              </w:rPr>
              <w:t>97 864,56</w:t>
            </w:r>
          </w:p>
        </w:tc>
        <w:tc>
          <w:tcPr>
            <w:tcW w:w="851" w:type="dxa"/>
            <w:tcBorders>
              <w:top w:val="single" w:sz="4" w:space="0" w:color="auto"/>
              <w:bottom w:val="single" w:sz="12" w:space="0" w:color="auto"/>
            </w:tcBorders>
            <w:shd w:val="clear" w:color="auto" w:fill="auto"/>
            <w:vAlign w:val="bottom"/>
          </w:tcPr>
          <w:p w14:paraId="39EA8F17" w14:textId="1C429916" w:rsidR="002D63AC" w:rsidRPr="002D63AC" w:rsidRDefault="002D63AC" w:rsidP="002D63AC">
            <w:pPr>
              <w:suppressAutoHyphens w:val="0"/>
              <w:spacing w:before="40" w:after="40" w:line="220" w:lineRule="exact"/>
              <w:ind w:right="113"/>
              <w:jc w:val="right"/>
              <w:rPr>
                <w:b/>
                <w:sz w:val="18"/>
                <w:szCs w:val="18"/>
              </w:rPr>
            </w:pPr>
            <w:r w:rsidRPr="002D63AC">
              <w:rPr>
                <w:b/>
                <w:bCs/>
                <w:sz w:val="18"/>
                <w:szCs w:val="18"/>
                <w:lang w:val="fr-FR"/>
              </w:rPr>
              <w:t>60 658</w:t>
            </w:r>
          </w:p>
        </w:tc>
        <w:tc>
          <w:tcPr>
            <w:tcW w:w="992" w:type="dxa"/>
            <w:tcBorders>
              <w:top w:val="single" w:sz="4" w:space="0" w:color="auto"/>
              <w:bottom w:val="single" w:sz="12" w:space="0" w:color="auto"/>
            </w:tcBorders>
            <w:shd w:val="clear" w:color="auto" w:fill="auto"/>
            <w:vAlign w:val="bottom"/>
          </w:tcPr>
          <w:p w14:paraId="76803141" w14:textId="51C8541C" w:rsidR="002D63AC" w:rsidRPr="002D63AC" w:rsidRDefault="002D63AC" w:rsidP="002D63AC">
            <w:pPr>
              <w:suppressAutoHyphens w:val="0"/>
              <w:spacing w:before="40" w:after="40" w:line="220" w:lineRule="exact"/>
              <w:ind w:right="113"/>
              <w:jc w:val="right"/>
              <w:rPr>
                <w:b/>
                <w:sz w:val="18"/>
                <w:szCs w:val="18"/>
              </w:rPr>
            </w:pPr>
            <w:r w:rsidRPr="002D63AC">
              <w:rPr>
                <w:b/>
                <w:bCs/>
                <w:sz w:val="18"/>
                <w:szCs w:val="18"/>
                <w:lang w:val="fr-FR"/>
              </w:rPr>
              <w:t>111 623,26</w:t>
            </w:r>
          </w:p>
        </w:tc>
      </w:tr>
    </w:tbl>
    <w:p w14:paraId="1ECA4E23" w14:textId="19598435" w:rsidR="00560776" w:rsidRPr="002D63AC" w:rsidRDefault="00560776" w:rsidP="002D63AC">
      <w:pPr>
        <w:pStyle w:val="SingleTxtG"/>
        <w:keepNext/>
        <w:keepLines/>
        <w:spacing w:before="120"/>
        <w:ind w:firstLine="170"/>
        <w:rPr>
          <w:sz w:val="18"/>
          <w:szCs w:val="18"/>
        </w:rPr>
      </w:pPr>
      <w:r w:rsidRPr="002D63AC">
        <w:rPr>
          <w:i/>
          <w:iCs/>
          <w:sz w:val="18"/>
          <w:szCs w:val="18"/>
        </w:rPr>
        <w:t>Source</w:t>
      </w:r>
      <w:r w:rsidR="00A737F5">
        <w:rPr>
          <w:i/>
          <w:iCs/>
          <w:sz w:val="18"/>
          <w:szCs w:val="18"/>
        </w:rPr>
        <w:t> </w:t>
      </w:r>
      <w:r w:rsidRPr="002D63AC">
        <w:rPr>
          <w:sz w:val="18"/>
          <w:szCs w:val="18"/>
        </w:rPr>
        <w:t>: Rapport de la caisse de protection sociale pour 2015-2019.</w:t>
      </w:r>
    </w:p>
    <w:p w14:paraId="52246A6F" w14:textId="622C5C3B" w:rsidR="00560776" w:rsidRPr="008D553A" w:rsidRDefault="00560776" w:rsidP="00E916C8">
      <w:pPr>
        <w:pStyle w:val="SingleTxtG"/>
        <w:spacing w:before="240"/>
        <w:rPr>
          <w:lang w:val="fr-FR"/>
        </w:rPr>
      </w:pPr>
      <w:r>
        <w:rPr>
          <w:lang w:val="fr-FR"/>
        </w:rPr>
        <w:t>21.</w:t>
      </w:r>
      <w:r>
        <w:rPr>
          <w:lang w:val="fr-FR"/>
        </w:rPr>
        <w:tab/>
        <w:t>Par sa résolution n</w:t>
      </w:r>
      <w:r w:rsidR="009C7759" w:rsidRPr="009C7759">
        <w:rPr>
          <w:vertAlign w:val="superscript"/>
          <w:lang w:val="fr-FR"/>
        </w:rPr>
        <w:t>o</w:t>
      </w:r>
      <w:r w:rsidR="009C7759">
        <w:rPr>
          <w:lang w:val="fr-FR"/>
        </w:rPr>
        <w:t> </w:t>
      </w:r>
      <w:r>
        <w:rPr>
          <w:lang w:val="fr-FR"/>
        </w:rPr>
        <w:t>167 de 2020, le Gouvernement a augmenté les pensions de protection sociale et les allocations versées pour les enfants de moins de 16 ans ayant besoin de soins permanents, dont le montant a ainsi été porté à 100</w:t>
      </w:r>
      <w:r w:rsidR="00C47D05">
        <w:rPr>
          <w:lang w:val="fr-FR"/>
        </w:rPr>
        <w:t> </w:t>
      </w:r>
      <w:r>
        <w:rPr>
          <w:lang w:val="fr-FR"/>
        </w:rPr>
        <w:t>000</w:t>
      </w:r>
      <w:r w:rsidR="00C47D05">
        <w:rPr>
          <w:lang w:val="fr-FR"/>
        </w:rPr>
        <w:t> </w:t>
      </w:r>
      <w:proofErr w:type="spellStart"/>
      <w:r>
        <w:rPr>
          <w:lang w:val="fr-FR"/>
        </w:rPr>
        <w:t>togrogs</w:t>
      </w:r>
      <w:proofErr w:type="spellEnd"/>
      <w:r>
        <w:rPr>
          <w:lang w:val="fr-FR"/>
        </w:rPr>
        <w:t xml:space="preserve"> par mois du 1</w:t>
      </w:r>
      <w:r w:rsidRPr="00C47D05">
        <w:rPr>
          <w:vertAlign w:val="superscript"/>
          <w:lang w:val="fr-FR"/>
        </w:rPr>
        <w:t>er</w:t>
      </w:r>
      <w:r w:rsidR="00C47D05">
        <w:rPr>
          <w:lang w:val="fr-FR"/>
        </w:rPr>
        <w:t> </w:t>
      </w:r>
      <w:r>
        <w:rPr>
          <w:lang w:val="fr-FR"/>
        </w:rPr>
        <w:t>mai au 1</w:t>
      </w:r>
      <w:r w:rsidRPr="00C47D05">
        <w:rPr>
          <w:vertAlign w:val="superscript"/>
          <w:lang w:val="fr-FR"/>
        </w:rPr>
        <w:t>er</w:t>
      </w:r>
      <w:r w:rsidR="00C47D05">
        <w:rPr>
          <w:lang w:val="fr-FR"/>
        </w:rPr>
        <w:t> </w:t>
      </w:r>
      <w:r>
        <w:rPr>
          <w:lang w:val="fr-FR"/>
        </w:rPr>
        <w:t>octobre 2020. Ces mesures ont été maintenues en vigueur jusqu</w:t>
      </w:r>
      <w:r w:rsidR="009C7759">
        <w:rPr>
          <w:lang w:val="fr-FR"/>
        </w:rPr>
        <w:t>’</w:t>
      </w:r>
      <w:r>
        <w:rPr>
          <w:lang w:val="fr-FR"/>
        </w:rPr>
        <w:t>à la fin de l</w:t>
      </w:r>
      <w:r w:rsidR="009C7759">
        <w:rPr>
          <w:lang w:val="fr-FR"/>
        </w:rPr>
        <w:t>’</w:t>
      </w:r>
      <w:r>
        <w:rPr>
          <w:lang w:val="fr-FR"/>
        </w:rPr>
        <w:t>année 2020 par la résolution n</w:t>
      </w:r>
      <w:r w:rsidR="00C47D05" w:rsidRPr="00C47D05">
        <w:rPr>
          <w:vertAlign w:val="superscript"/>
          <w:lang w:val="fr-FR"/>
        </w:rPr>
        <w:t>o</w:t>
      </w:r>
      <w:r w:rsidR="00C47D05">
        <w:rPr>
          <w:lang w:val="fr-FR"/>
        </w:rPr>
        <w:t> </w:t>
      </w:r>
      <w:r>
        <w:rPr>
          <w:lang w:val="fr-FR"/>
        </w:rPr>
        <w:t>126 de 2020.</w:t>
      </w:r>
    </w:p>
    <w:p w14:paraId="5A13F65F" w14:textId="5ADB30E7" w:rsidR="00560776" w:rsidRPr="008D553A" w:rsidRDefault="00560776" w:rsidP="002D63AC">
      <w:pPr>
        <w:pStyle w:val="H23G"/>
        <w:rPr>
          <w:lang w:val="fr-FR"/>
        </w:rPr>
      </w:pPr>
      <w:r>
        <w:rPr>
          <w:lang w:val="fr-FR"/>
        </w:rPr>
        <w:tab/>
      </w:r>
      <w:r>
        <w:rPr>
          <w:lang w:val="fr-FR"/>
        </w:rPr>
        <w:tab/>
        <w:t>Programme national d</w:t>
      </w:r>
      <w:r w:rsidR="009C7759">
        <w:rPr>
          <w:lang w:val="fr-FR"/>
        </w:rPr>
        <w:t>’</w:t>
      </w:r>
      <w:r>
        <w:rPr>
          <w:lang w:val="fr-FR"/>
        </w:rPr>
        <w:t xml:space="preserve">avancement des ménages cibles </w:t>
      </w:r>
      <w:r w:rsidR="00C47D05">
        <w:rPr>
          <w:lang w:val="fr-FR"/>
        </w:rPr>
        <w:br/>
      </w:r>
      <w:r>
        <w:rPr>
          <w:lang w:val="fr-FR"/>
        </w:rPr>
        <w:t>et d</w:t>
      </w:r>
      <w:r w:rsidR="009C7759">
        <w:rPr>
          <w:lang w:val="fr-FR"/>
        </w:rPr>
        <w:t>’</w:t>
      </w:r>
      <w:r>
        <w:rPr>
          <w:lang w:val="fr-FR"/>
        </w:rPr>
        <w:t xml:space="preserve">amélioration de leur protection </w:t>
      </w:r>
    </w:p>
    <w:p w14:paraId="4ADF7061" w14:textId="16D4BAB3" w:rsidR="00560776" w:rsidRPr="008D553A" w:rsidRDefault="00560776" w:rsidP="00560776">
      <w:pPr>
        <w:pStyle w:val="SingleTxtG"/>
        <w:rPr>
          <w:lang w:val="fr-FR"/>
        </w:rPr>
      </w:pPr>
      <w:r>
        <w:rPr>
          <w:lang w:val="fr-FR"/>
        </w:rPr>
        <w:t>22.</w:t>
      </w:r>
      <w:r>
        <w:rPr>
          <w:lang w:val="fr-FR"/>
        </w:rPr>
        <w:tab/>
        <w:t>Dans sa résolution n</w:t>
      </w:r>
      <w:r w:rsidR="00F10B0E" w:rsidRPr="00F10B0E">
        <w:rPr>
          <w:vertAlign w:val="superscript"/>
          <w:lang w:val="fr-FR"/>
        </w:rPr>
        <w:t>o</w:t>
      </w:r>
      <w:r w:rsidR="00F10B0E">
        <w:rPr>
          <w:lang w:val="fr-FR"/>
        </w:rPr>
        <w:t> </w:t>
      </w:r>
      <w:r>
        <w:rPr>
          <w:lang w:val="fr-FR"/>
        </w:rPr>
        <w:t>16 de 2016, le Gouvernement a approuvé le programme national d</w:t>
      </w:r>
      <w:r w:rsidR="009C7759">
        <w:rPr>
          <w:lang w:val="fr-FR"/>
        </w:rPr>
        <w:t>’</w:t>
      </w:r>
      <w:r>
        <w:rPr>
          <w:lang w:val="fr-FR"/>
        </w:rPr>
        <w:t>avancement des ménages cibles et d</w:t>
      </w:r>
      <w:r w:rsidR="009C7759">
        <w:rPr>
          <w:lang w:val="fr-FR"/>
        </w:rPr>
        <w:t>’</w:t>
      </w:r>
      <w:r>
        <w:rPr>
          <w:lang w:val="fr-FR"/>
        </w:rPr>
        <w:t>amélioration de leur protection. Ce programme vise à aider les membres des ménages cibles en âge et en mesure de travailler à trouver un emploi tout en faisant en sorte que tous les autres membres de ces ménages, tels que les enfants et les personnes âgées, soient, respectivement, inscrits à l</w:t>
      </w:r>
      <w:r w:rsidR="009C7759">
        <w:rPr>
          <w:lang w:val="fr-FR"/>
        </w:rPr>
        <w:t>’</w:t>
      </w:r>
      <w:r>
        <w:rPr>
          <w:lang w:val="fr-FR"/>
        </w:rPr>
        <w:t>école maternelle ou dans des établissements scolaires et auprès des services de protection sociale et de santé, afin d</w:t>
      </w:r>
      <w:r w:rsidR="009C7759">
        <w:rPr>
          <w:lang w:val="fr-FR"/>
        </w:rPr>
        <w:t>’</w:t>
      </w:r>
      <w:r>
        <w:rPr>
          <w:lang w:val="fr-FR"/>
        </w:rPr>
        <w:t>instaurer les conditions nécessaires à l</w:t>
      </w:r>
      <w:r w:rsidR="009C7759">
        <w:rPr>
          <w:lang w:val="fr-FR"/>
        </w:rPr>
        <w:t>’</w:t>
      </w:r>
      <w:r>
        <w:rPr>
          <w:lang w:val="fr-FR"/>
        </w:rPr>
        <w:t>autonomie financière des ménages.</w:t>
      </w:r>
    </w:p>
    <w:p w14:paraId="78E71938" w14:textId="37B102D3" w:rsidR="00560776" w:rsidRPr="008D553A" w:rsidRDefault="00560776" w:rsidP="00560776">
      <w:pPr>
        <w:pStyle w:val="SingleTxtG"/>
        <w:rPr>
          <w:lang w:val="fr-FR"/>
        </w:rPr>
      </w:pPr>
      <w:r w:rsidRPr="00DF1A08">
        <w:rPr>
          <w:lang w:val="fr-FR"/>
        </w:rPr>
        <w:lastRenderedPageBreak/>
        <w:t>23.</w:t>
      </w:r>
      <w:r w:rsidRPr="00DF1A08">
        <w:rPr>
          <w:lang w:val="fr-FR"/>
        </w:rPr>
        <w:tab/>
        <w:t>D</w:t>
      </w:r>
      <w:r w:rsidR="009C7759" w:rsidRPr="00DF1A08">
        <w:rPr>
          <w:lang w:val="fr-FR"/>
        </w:rPr>
        <w:t>’</w:t>
      </w:r>
      <w:r w:rsidRPr="00DF1A08">
        <w:rPr>
          <w:lang w:val="fr-FR"/>
        </w:rPr>
        <w:t>après une enquête menée auprès des membres en âge de travailler mais sans emploi de 15</w:t>
      </w:r>
      <w:r w:rsidR="00DF1A08">
        <w:rPr>
          <w:lang w:val="fr-FR"/>
        </w:rPr>
        <w:t> </w:t>
      </w:r>
      <w:r w:rsidRPr="00DF1A08">
        <w:rPr>
          <w:lang w:val="fr-FR"/>
        </w:rPr>
        <w:t>540</w:t>
      </w:r>
      <w:r w:rsidR="00DF1A08">
        <w:rPr>
          <w:lang w:val="fr-FR"/>
        </w:rPr>
        <w:t> </w:t>
      </w:r>
      <w:r w:rsidRPr="00DF1A08">
        <w:rPr>
          <w:lang w:val="fr-FR"/>
        </w:rPr>
        <w:t>ménages cibles</w:t>
      </w:r>
      <w:r>
        <w:rPr>
          <w:lang w:val="fr-FR"/>
        </w:rPr>
        <w:t xml:space="preserve"> ayant bénéficié de ce programme en 2019, une aide a été accordée à 12</w:t>
      </w:r>
      <w:r w:rsidR="00DF1A08">
        <w:rPr>
          <w:lang w:val="fr-FR"/>
        </w:rPr>
        <w:t> </w:t>
      </w:r>
      <w:r>
        <w:rPr>
          <w:lang w:val="fr-FR"/>
        </w:rPr>
        <w:t>100</w:t>
      </w:r>
      <w:r w:rsidR="00DF1A08">
        <w:rPr>
          <w:lang w:val="fr-FR"/>
        </w:rPr>
        <w:t> </w:t>
      </w:r>
      <w:r>
        <w:rPr>
          <w:lang w:val="fr-FR"/>
        </w:rPr>
        <w:t>citoyens pour qu</w:t>
      </w:r>
      <w:r w:rsidR="009C7759">
        <w:rPr>
          <w:lang w:val="fr-FR"/>
        </w:rPr>
        <w:t>’</w:t>
      </w:r>
      <w:r>
        <w:rPr>
          <w:lang w:val="fr-FR"/>
        </w:rPr>
        <w:t>ils obtiennent un emploi permanent ou temporaire et à 42 183 personnes pour qu</w:t>
      </w:r>
      <w:r w:rsidR="009C7759">
        <w:rPr>
          <w:lang w:val="fr-FR"/>
        </w:rPr>
        <w:t>’</w:t>
      </w:r>
      <w:r>
        <w:rPr>
          <w:lang w:val="fr-FR"/>
        </w:rPr>
        <w:t>elles fassent un bilan médical.</w:t>
      </w:r>
    </w:p>
    <w:p w14:paraId="54BF6D55" w14:textId="6F47CEBD" w:rsidR="00560776" w:rsidRPr="008D553A" w:rsidRDefault="00560776" w:rsidP="00560776">
      <w:pPr>
        <w:pStyle w:val="SingleTxtG"/>
        <w:rPr>
          <w:lang w:val="fr-FR"/>
        </w:rPr>
      </w:pPr>
      <w:r>
        <w:rPr>
          <w:lang w:val="fr-FR"/>
        </w:rPr>
        <w:t>24.</w:t>
      </w:r>
      <w:r>
        <w:rPr>
          <w:lang w:val="fr-FR"/>
        </w:rPr>
        <w:tab/>
        <w:t>Pour faire évoluer certaines mauvaises habitudes des citoyens du groupe cible et fournir une éducation pertinente sur les questions familiales et les moyens de subsistance, plus de 1 700 activités de formation et de sensibilisation ont été menées auprès de 58 000 citoyens (certaines données se répètent). En outre, 2</w:t>
      </w:r>
      <w:r w:rsidR="00DF1A08">
        <w:rPr>
          <w:lang w:val="fr-FR"/>
        </w:rPr>
        <w:t> </w:t>
      </w:r>
      <w:r>
        <w:rPr>
          <w:lang w:val="fr-FR"/>
        </w:rPr>
        <w:t>818</w:t>
      </w:r>
      <w:r w:rsidR="00DF1A08">
        <w:rPr>
          <w:lang w:val="fr-FR"/>
        </w:rPr>
        <w:t> </w:t>
      </w:r>
      <w:r>
        <w:rPr>
          <w:lang w:val="fr-FR"/>
        </w:rPr>
        <w:t>enfants ont été inscrits dans des écoles maternelles publiques et privées, plus de 5</w:t>
      </w:r>
      <w:r w:rsidR="00DF1A08">
        <w:rPr>
          <w:lang w:val="fr-FR"/>
        </w:rPr>
        <w:t> </w:t>
      </w:r>
      <w:r>
        <w:rPr>
          <w:lang w:val="fr-FR"/>
        </w:rPr>
        <w:t>600</w:t>
      </w:r>
      <w:r w:rsidR="00DF1A08">
        <w:rPr>
          <w:lang w:val="fr-FR"/>
        </w:rPr>
        <w:t> </w:t>
      </w:r>
      <w:r>
        <w:rPr>
          <w:lang w:val="fr-FR"/>
        </w:rPr>
        <w:t>citoyens ont reçu une aide matérielle, plus de 12</w:t>
      </w:r>
      <w:r w:rsidR="00DF1A08">
        <w:rPr>
          <w:lang w:val="fr-FR"/>
        </w:rPr>
        <w:t> </w:t>
      </w:r>
      <w:r>
        <w:rPr>
          <w:lang w:val="fr-FR"/>
        </w:rPr>
        <w:t>000</w:t>
      </w:r>
      <w:r w:rsidR="00DF1A08">
        <w:rPr>
          <w:lang w:val="fr-FR"/>
        </w:rPr>
        <w:t> </w:t>
      </w:r>
      <w:r>
        <w:rPr>
          <w:lang w:val="fr-FR"/>
        </w:rPr>
        <w:t>citoyens ont bénéficié d</w:t>
      </w:r>
      <w:r w:rsidR="009C7759">
        <w:rPr>
          <w:lang w:val="fr-FR"/>
        </w:rPr>
        <w:t>’</w:t>
      </w:r>
      <w:r>
        <w:rPr>
          <w:lang w:val="fr-FR"/>
        </w:rPr>
        <w:t>une aide alimentaire et 2</w:t>
      </w:r>
      <w:r w:rsidR="00DF1A08">
        <w:rPr>
          <w:lang w:val="fr-FR"/>
        </w:rPr>
        <w:t> </w:t>
      </w:r>
      <w:r>
        <w:rPr>
          <w:lang w:val="fr-FR"/>
        </w:rPr>
        <w:t>068</w:t>
      </w:r>
      <w:r w:rsidR="00DF1A08">
        <w:rPr>
          <w:lang w:val="fr-FR"/>
        </w:rPr>
        <w:t> </w:t>
      </w:r>
      <w:r>
        <w:rPr>
          <w:lang w:val="fr-FR"/>
        </w:rPr>
        <w:t>ménages se sont vu accorder une aide pour améliorer leurs installations sanitaires. Dans le cadre de ce programme, les problèmes de logement de 542</w:t>
      </w:r>
      <w:r w:rsidR="00DF1A08">
        <w:rPr>
          <w:lang w:val="fr-FR"/>
        </w:rPr>
        <w:t> </w:t>
      </w:r>
      <w:r>
        <w:rPr>
          <w:lang w:val="fr-FR"/>
        </w:rPr>
        <w:t>ménages ayant besoin d</w:t>
      </w:r>
      <w:r w:rsidR="009C7759">
        <w:rPr>
          <w:lang w:val="fr-FR"/>
        </w:rPr>
        <w:t>’</w:t>
      </w:r>
      <w:r>
        <w:rPr>
          <w:lang w:val="fr-FR"/>
        </w:rPr>
        <w:t>aide sociale ont été réglés grâce à l</w:t>
      </w:r>
      <w:r w:rsidR="009C7759">
        <w:rPr>
          <w:lang w:val="fr-FR"/>
        </w:rPr>
        <w:t>’</w:t>
      </w:r>
      <w:r>
        <w:rPr>
          <w:lang w:val="fr-FR"/>
        </w:rPr>
        <w:t xml:space="preserve">action conjointe des administrations locales, des projets des organisations internationales et des programmes mis en œuvre au niveau local. </w:t>
      </w:r>
    </w:p>
    <w:p w14:paraId="4ED2369C" w14:textId="77777777" w:rsidR="00560776" w:rsidRPr="008D553A" w:rsidRDefault="00560776" w:rsidP="002D63AC">
      <w:pPr>
        <w:pStyle w:val="H23G"/>
        <w:rPr>
          <w:lang w:val="fr-FR"/>
        </w:rPr>
      </w:pPr>
      <w:r>
        <w:rPr>
          <w:lang w:val="fr-FR"/>
        </w:rPr>
        <w:tab/>
      </w:r>
      <w:r>
        <w:rPr>
          <w:lang w:val="fr-FR"/>
        </w:rPr>
        <w:tab/>
        <w:t>Services de protection sociale faisant appel à la participation du public</w:t>
      </w:r>
    </w:p>
    <w:p w14:paraId="7185EB9D" w14:textId="7FF8BED9" w:rsidR="00560776" w:rsidRPr="008D553A" w:rsidRDefault="00560776" w:rsidP="00560776">
      <w:pPr>
        <w:pStyle w:val="SingleTxtG"/>
        <w:rPr>
          <w:lang w:val="fr-FR"/>
        </w:rPr>
      </w:pPr>
      <w:r>
        <w:rPr>
          <w:lang w:val="fr-FR"/>
        </w:rPr>
        <w:t>25.</w:t>
      </w:r>
      <w:r>
        <w:rPr>
          <w:lang w:val="fr-FR"/>
        </w:rPr>
        <w:tab/>
        <w:t>Conformément à la loi sur la protection sociale, les personnes âgées, les citoyens handicapés, les enfants en situation difficile, les citoyens maltraités, les repris de justice, les citoyens alcooliques et toxicomanes, les personnes atteintes d</w:t>
      </w:r>
      <w:r w:rsidR="009C7759">
        <w:rPr>
          <w:lang w:val="fr-FR"/>
        </w:rPr>
        <w:t>’</w:t>
      </w:r>
      <w:r>
        <w:rPr>
          <w:lang w:val="fr-FR"/>
        </w:rPr>
        <w:t>une maladie mortelle, les ménages et les personnes sans abri, les célibataires (femmes ou hommes) chargés de famille, les ménages comprenant des enfants handicapés ou d</w:t>
      </w:r>
      <w:r w:rsidR="009C7759">
        <w:rPr>
          <w:lang w:val="fr-FR"/>
        </w:rPr>
        <w:t>’</w:t>
      </w:r>
      <w:r>
        <w:rPr>
          <w:lang w:val="fr-FR"/>
        </w:rPr>
        <w:t>autres personnes vulnérables ont droit aux services suivants faisant appel à leur participation</w:t>
      </w:r>
      <w:r w:rsidR="00A737F5">
        <w:rPr>
          <w:lang w:val="fr-FR"/>
        </w:rPr>
        <w:t> </w:t>
      </w:r>
      <w:r>
        <w:rPr>
          <w:lang w:val="fr-FR"/>
        </w:rPr>
        <w:t>:</w:t>
      </w:r>
    </w:p>
    <w:p w14:paraId="39ACEA49" w14:textId="77777777" w:rsidR="00560776" w:rsidRPr="008D553A" w:rsidRDefault="00560776" w:rsidP="00560776">
      <w:pPr>
        <w:pStyle w:val="SingleTxtG"/>
        <w:rPr>
          <w:lang w:val="fr-FR"/>
        </w:rPr>
      </w:pPr>
      <w:r>
        <w:rPr>
          <w:lang w:val="fr-FR"/>
        </w:rPr>
        <w:t>26.</w:t>
      </w:r>
      <w:r>
        <w:rPr>
          <w:lang w:val="fr-FR"/>
        </w:rPr>
        <w:tab/>
        <w:t>Organisation de formations visant à renforcer leur confiance en soi, leur capacité à vivre de manière indépendante et leurs compétences professionnelles, ainsi que la mise à profit de leurs talents :</w:t>
      </w:r>
    </w:p>
    <w:p w14:paraId="39A4BCED" w14:textId="50F2BA6E" w:rsidR="00560776" w:rsidRPr="008D553A" w:rsidRDefault="00560776" w:rsidP="00C55C92">
      <w:pPr>
        <w:pStyle w:val="Bullet1G"/>
        <w:rPr>
          <w:lang w:val="fr-FR"/>
        </w:rPr>
      </w:pPr>
      <w:r>
        <w:rPr>
          <w:lang w:val="fr-FR"/>
        </w:rPr>
        <w:t>Conseils</w:t>
      </w:r>
      <w:r w:rsidR="00C55C92">
        <w:rPr>
          <w:lang w:val="fr-FR"/>
        </w:rPr>
        <w:t> </w:t>
      </w:r>
      <w:r>
        <w:rPr>
          <w:lang w:val="fr-FR"/>
        </w:rPr>
        <w:t>;</w:t>
      </w:r>
    </w:p>
    <w:p w14:paraId="7FF091BB" w14:textId="0AE6F84A" w:rsidR="00560776" w:rsidRPr="008D553A" w:rsidRDefault="00560776" w:rsidP="00C55C92">
      <w:pPr>
        <w:pStyle w:val="Bullet1G"/>
        <w:rPr>
          <w:lang w:val="fr-FR"/>
        </w:rPr>
      </w:pPr>
      <w:r>
        <w:rPr>
          <w:lang w:val="fr-FR"/>
        </w:rPr>
        <w:t>Réadaptation</w:t>
      </w:r>
      <w:r w:rsidR="00C55C92">
        <w:rPr>
          <w:lang w:val="fr-FR"/>
        </w:rPr>
        <w:t> </w:t>
      </w:r>
      <w:r>
        <w:rPr>
          <w:lang w:val="fr-FR"/>
        </w:rPr>
        <w:t>;</w:t>
      </w:r>
    </w:p>
    <w:p w14:paraId="4B13B7A2" w14:textId="52F26968" w:rsidR="00560776" w:rsidRPr="008D553A" w:rsidRDefault="00560776" w:rsidP="00C55C92">
      <w:pPr>
        <w:pStyle w:val="Bullet1G"/>
        <w:rPr>
          <w:lang w:val="fr-FR"/>
        </w:rPr>
      </w:pPr>
      <w:r>
        <w:rPr>
          <w:lang w:val="fr-FR"/>
        </w:rPr>
        <w:t>Mise à disposition de locaux et de services de soins provisoires, ainsi que de foyers d</w:t>
      </w:r>
      <w:r w:rsidR="009C7759">
        <w:rPr>
          <w:lang w:val="fr-FR"/>
        </w:rPr>
        <w:t>’</w:t>
      </w:r>
      <w:r>
        <w:rPr>
          <w:lang w:val="fr-FR"/>
        </w:rPr>
        <w:t>accueil temporaire pour les victimes de violence ;</w:t>
      </w:r>
    </w:p>
    <w:p w14:paraId="4E788FB4" w14:textId="7153D736" w:rsidR="00560776" w:rsidRPr="008D553A" w:rsidRDefault="00560776" w:rsidP="00C55C92">
      <w:pPr>
        <w:pStyle w:val="Bullet1G"/>
        <w:rPr>
          <w:lang w:val="fr-FR"/>
        </w:rPr>
      </w:pPr>
      <w:r>
        <w:rPr>
          <w:lang w:val="fr-FR"/>
        </w:rPr>
        <w:t>Services de prise en charge dans un établissement de jour</w:t>
      </w:r>
      <w:r w:rsidR="00C55C92">
        <w:rPr>
          <w:lang w:val="fr-FR"/>
        </w:rPr>
        <w:t> </w:t>
      </w:r>
      <w:r>
        <w:rPr>
          <w:lang w:val="fr-FR"/>
        </w:rPr>
        <w:t>;</w:t>
      </w:r>
    </w:p>
    <w:p w14:paraId="022DBBAB" w14:textId="59929948" w:rsidR="00560776" w:rsidRPr="008D553A" w:rsidRDefault="00560776" w:rsidP="00C55C92">
      <w:pPr>
        <w:pStyle w:val="Bullet1G"/>
        <w:rPr>
          <w:lang w:val="fr-FR"/>
        </w:rPr>
      </w:pPr>
      <w:r>
        <w:rPr>
          <w:lang w:val="fr-FR"/>
        </w:rPr>
        <w:t>Services et soins à domicile</w:t>
      </w:r>
      <w:r w:rsidR="00C55C92">
        <w:rPr>
          <w:lang w:val="fr-FR"/>
        </w:rPr>
        <w:t> </w:t>
      </w:r>
      <w:r>
        <w:rPr>
          <w:lang w:val="fr-FR"/>
        </w:rPr>
        <w:t>;</w:t>
      </w:r>
    </w:p>
    <w:p w14:paraId="2F854957" w14:textId="1E7E4A66" w:rsidR="00560776" w:rsidRPr="008D553A" w:rsidRDefault="00560776" w:rsidP="00C55C92">
      <w:pPr>
        <w:pStyle w:val="Bullet1G"/>
        <w:rPr>
          <w:lang w:val="fr-FR"/>
        </w:rPr>
      </w:pPr>
      <w:r>
        <w:rPr>
          <w:lang w:val="fr-FR"/>
        </w:rPr>
        <w:t>D</w:t>
      </w:r>
      <w:r w:rsidR="009C7759">
        <w:rPr>
          <w:lang w:val="fr-FR"/>
        </w:rPr>
        <w:t>’</w:t>
      </w:r>
      <w:r>
        <w:rPr>
          <w:lang w:val="fr-FR"/>
        </w:rPr>
        <w:t>autres services de protection sociale adaptés aux besoins des citoyens et de leur famille</w:t>
      </w:r>
      <w:r w:rsidR="00C55C92">
        <w:rPr>
          <w:lang w:val="fr-FR"/>
        </w:rPr>
        <w:t> </w:t>
      </w:r>
      <w:r>
        <w:rPr>
          <w:lang w:val="fr-FR"/>
        </w:rPr>
        <w:t>;</w:t>
      </w:r>
    </w:p>
    <w:p w14:paraId="275B6D9E" w14:textId="00AE8B60" w:rsidR="00560776" w:rsidRPr="008D553A" w:rsidRDefault="00560776" w:rsidP="00C55C92">
      <w:pPr>
        <w:pStyle w:val="Bullet1G"/>
        <w:rPr>
          <w:lang w:val="fr-FR"/>
        </w:rPr>
      </w:pPr>
      <w:r>
        <w:rPr>
          <w:lang w:val="fr-FR"/>
        </w:rPr>
        <w:t>Services visant à favoriser la confiance en soi des citoyens sans abri et de leur famille, promouvoir leur socialisation, faciliter l</w:t>
      </w:r>
      <w:r w:rsidR="009C7759">
        <w:rPr>
          <w:lang w:val="fr-FR"/>
        </w:rPr>
        <w:t>’</w:t>
      </w:r>
      <w:r>
        <w:rPr>
          <w:lang w:val="fr-FR"/>
        </w:rPr>
        <w:t>obtention de documents officiels et leur fournir un abri temporaire.</w:t>
      </w:r>
    </w:p>
    <w:p w14:paraId="1C30BB23" w14:textId="40799374" w:rsidR="00560776" w:rsidRPr="008D553A" w:rsidRDefault="00560776" w:rsidP="009E6B9B">
      <w:pPr>
        <w:pStyle w:val="Titre1"/>
        <w:spacing w:after="120"/>
        <w:rPr>
          <w:b/>
          <w:bCs/>
          <w:lang w:val="fr-FR"/>
        </w:rPr>
      </w:pPr>
      <w:r>
        <w:rPr>
          <w:lang w:val="fr-FR"/>
        </w:rPr>
        <w:t>Tableau 7</w:t>
      </w:r>
      <w:r w:rsidR="009E6B9B">
        <w:rPr>
          <w:lang w:val="fr-FR"/>
        </w:rPr>
        <w:t xml:space="preserve"> </w:t>
      </w:r>
      <w:r w:rsidR="009E6B9B">
        <w:rPr>
          <w:lang w:val="fr-FR"/>
        </w:rPr>
        <w:br/>
      </w:r>
      <w:r>
        <w:rPr>
          <w:b/>
          <w:bCs/>
          <w:lang w:val="fr-FR"/>
        </w:rPr>
        <w:t xml:space="preserve">Nombre de citoyens bénéficiant de services de protection sociale </w:t>
      </w:r>
      <w:r w:rsidR="009E6B9B">
        <w:rPr>
          <w:b/>
          <w:bCs/>
          <w:lang w:val="fr-FR"/>
        </w:rPr>
        <w:br/>
      </w:r>
      <w:r>
        <w:rPr>
          <w:b/>
          <w:bCs/>
          <w:lang w:val="fr-FR"/>
        </w:rPr>
        <w:t>faisant appel à leur participation et dépenses engagées à ce titre</w:t>
      </w:r>
    </w:p>
    <w:tbl>
      <w:tblPr>
        <w:tblW w:w="7370" w:type="dxa"/>
        <w:tblInd w:w="1134" w:type="dxa"/>
        <w:tblLayout w:type="fixed"/>
        <w:tblCellMar>
          <w:left w:w="0" w:type="dxa"/>
          <w:right w:w="0" w:type="dxa"/>
        </w:tblCellMar>
        <w:tblLook w:val="04A0" w:firstRow="1" w:lastRow="0" w:firstColumn="1" w:lastColumn="0" w:noHBand="0" w:noVBand="1"/>
      </w:tblPr>
      <w:tblGrid>
        <w:gridCol w:w="2382"/>
        <w:gridCol w:w="2583"/>
        <w:gridCol w:w="2405"/>
      </w:tblGrid>
      <w:tr w:rsidR="009E6B9B" w:rsidRPr="009E6B9B" w14:paraId="665D3284" w14:textId="77777777" w:rsidTr="009E6B9B">
        <w:trPr>
          <w:tblHeader/>
        </w:trPr>
        <w:tc>
          <w:tcPr>
            <w:tcW w:w="2382" w:type="dxa"/>
            <w:tcBorders>
              <w:top w:val="single" w:sz="4" w:space="0" w:color="auto"/>
              <w:bottom w:val="single" w:sz="12" w:space="0" w:color="auto"/>
            </w:tcBorders>
            <w:shd w:val="clear" w:color="auto" w:fill="auto"/>
            <w:vAlign w:val="bottom"/>
          </w:tcPr>
          <w:p w14:paraId="1487F054" w14:textId="77777777" w:rsidR="00560776" w:rsidRPr="009E6B9B" w:rsidRDefault="00560776" w:rsidP="009E6B9B">
            <w:pPr>
              <w:suppressAutoHyphens w:val="0"/>
              <w:spacing w:before="80" w:after="80" w:line="200" w:lineRule="exact"/>
              <w:rPr>
                <w:i/>
                <w:sz w:val="16"/>
              </w:rPr>
            </w:pPr>
            <w:r w:rsidRPr="009E6B9B">
              <w:rPr>
                <w:i/>
                <w:sz w:val="16"/>
                <w:lang w:val="fr-FR"/>
              </w:rPr>
              <w:t>Année</w:t>
            </w:r>
          </w:p>
        </w:tc>
        <w:tc>
          <w:tcPr>
            <w:tcW w:w="2583" w:type="dxa"/>
            <w:tcBorders>
              <w:top w:val="single" w:sz="4" w:space="0" w:color="auto"/>
              <w:bottom w:val="single" w:sz="12" w:space="0" w:color="auto"/>
            </w:tcBorders>
            <w:shd w:val="clear" w:color="auto" w:fill="auto"/>
            <w:vAlign w:val="bottom"/>
          </w:tcPr>
          <w:p w14:paraId="3E1B8C59" w14:textId="3E0DCBC3" w:rsidR="00560776" w:rsidRPr="009E6B9B" w:rsidRDefault="00560776" w:rsidP="009E6B9B">
            <w:pPr>
              <w:suppressAutoHyphens w:val="0"/>
              <w:spacing w:before="80" w:after="80" w:line="200" w:lineRule="exact"/>
              <w:jc w:val="right"/>
              <w:rPr>
                <w:i/>
                <w:sz w:val="16"/>
                <w:lang w:val="fr-FR"/>
              </w:rPr>
            </w:pPr>
            <w:r w:rsidRPr="009E6B9B">
              <w:rPr>
                <w:i/>
                <w:sz w:val="16"/>
                <w:lang w:val="fr-FR"/>
              </w:rPr>
              <w:t xml:space="preserve">Nombre de personnes </w:t>
            </w:r>
            <w:r w:rsidR="00CF4B23">
              <w:rPr>
                <w:i/>
                <w:sz w:val="16"/>
                <w:lang w:val="fr-FR"/>
              </w:rPr>
              <w:br/>
            </w:r>
            <w:r w:rsidRPr="009E6B9B">
              <w:rPr>
                <w:i/>
                <w:sz w:val="16"/>
                <w:lang w:val="fr-FR"/>
              </w:rPr>
              <w:t>(en milliers de personnes)</w:t>
            </w:r>
          </w:p>
        </w:tc>
        <w:tc>
          <w:tcPr>
            <w:tcW w:w="2405" w:type="dxa"/>
            <w:tcBorders>
              <w:top w:val="single" w:sz="4" w:space="0" w:color="auto"/>
              <w:bottom w:val="single" w:sz="12" w:space="0" w:color="auto"/>
            </w:tcBorders>
            <w:shd w:val="clear" w:color="auto" w:fill="auto"/>
            <w:vAlign w:val="bottom"/>
          </w:tcPr>
          <w:p w14:paraId="41E41743" w14:textId="324EBD26" w:rsidR="00560776" w:rsidRPr="009E6B9B" w:rsidRDefault="00560776" w:rsidP="009E6B9B">
            <w:pPr>
              <w:suppressAutoHyphens w:val="0"/>
              <w:spacing w:before="80" w:after="80" w:line="200" w:lineRule="exact"/>
              <w:jc w:val="right"/>
              <w:rPr>
                <w:i/>
                <w:sz w:val="16"/>
                <w:lang w:val="fr-FR"/>
              </w:rPr>
            </w:pPr>
            <w:r w:rsidRPr="009E6B9B">
              <w:rPr>
                <w:i/>
                <w:sz w:val="16"/>
                <w:lang w:val="fr-FR"/>
              </w:rPr>
              <w:t xml:space="preserve">Dépenses effectives </w:t>
            </w:r>
            <w:r w:rsidR="00CF4B23">
              <w:rPr>
                <w:i/>
                <w:sz w:val="16"/>
                <w:lang w:val="fr-FR"/>
              </w:rPr>
              <w:br/>
            </w:r>
            <w:r w:rsidRPr="009E6B9B">
              <w:rPr>
                <w:i/>
                <w:sz w:val="16"/>
                <w:lang w:val="fr-FR"/>
              </w:rPr>
              <w:t xml:space="preserve">(en milliards de </w:t>
            </w:r>
            <w:proofErr w:type="spellStart"/>
            <w:r w:rsidRPr="009E6B9B">
              <w:rPr>
                <w:i/>
                <w:sz w:val="16"/>
                <w:lang w:val="fr-FR"/>
              </w:rPr>
              <w:t>togrogs</w:t>
            </w:r>
            <w:proofErr w:type="spellEnd"/>
            <w:r w:rsidRPr="009E6B9B">
              <w:rPr>
                <w:i/>
                <w:sz w:val="16"/>
                <w:lang w:val="fr-FR"/>
              </w:rPr>
              <w:t>)</w:t>
            </w:r>
          </w:p>
        </w:tc>
      </w:tr>
      <w:tr w:rsidR="009E6B9B" w:rsidRPr="009E6B9B" w14:paraId="6FA89C85" w14:textId="77777777" w:rsidTr="009E6B9B">
        <w:tc>
          <w:tcPr>
            <w:tcW w:w="2382" w:type="dxa"/>
            <w:shd w:val="clear" w:color="auto" w:fill="auto"/>
          </w:tcPr>
          <w:p w14:paraId="6FD70F66" w14:textId="77777777" w:rsidR="00560776" w:rsidRPr="009E6B9B" w:rsidRDefault="00560776" w:rsidP="009E6B9B">
            <w:pPr>
              <w:suppressAutoHyphens w:val="0"/>
              <w:spacing w:before="40" w:after="40" w:line="220" w:lineRule="exact"/>
              <w:rPr>
                <w:sz w:val="18"/>
              </w:rPr>
            </w:pPr>
            <w:r w:rsidRPr="009E6B9B">
              <w:rPr>
                <w:sz w:val="18"/>
                <w:lang w:val="fr-FR"/>
              </w:rPr>
              <w:t>2015</w:t>
            </w:r>
          </w:p>
        </w:tc>
        <w:tc>
          <w:tcPr>
            <w:tcW w:w="2583" w:type="dxa"/>
            <w:shd w:val="clear" w:color="auto" w:fill="auto"/>
            <w:vAlign w:val="bottom"/>
          </w:tcPr>
          <w:p w14:paraId="2876B9A3" w14:textId="77777777" w:rsidR="00560776" w:rsidRPr="009E6B9B" w:rsidRDefault="00560776" w:rsidP="009E6B9B">
            <w:pPr>
              <w:suppressAutoHyphens w:val="0"/>
              <w:spacing w:before="40" w:after="40" w:line="220" w:lineRule="exact"/>
              <w:jc w:val="right"/>
              <w:rPr>
                <w:sz w:val="18"/>
              </w:rPr>
            </w:pPr>
            <w:r w:rsidRPr="009E6B9B">
              <w:rPr>
                <w:sz w:val="18"/>
                <w:lang w:val="fr-FR"/>
              </w:rPr>
              <w:t>7,8</w:t>
            </w:r>
          </w:p>
        </w:tc>
        <w:tc>
          <w:tcPr>
            <w:tcW w:w="2405" w:type="dxa"/>
            <w:shd w:val="clear" w:color="auto" w:fill="auto"/>
            <w:vAlign w:val="bottom"/>
          </w:tcPr>
          <w:p w14:paraId="6DBC662C" w14:textId="77777777" w:rsidR="00560776" w:rsidRPr="009E6B9B" w:rsidRDefault="00560776" w:rsidP="009E6B9B">
            <w:pPr>
              <w:suppressAutoHyphens w:val="0"/>
              <w:spacing w:before="40" w:after="40" w:line="220" w:lineRule="exact"/>
              <w:jc w:val="right"/>
              <w:rPr>
                <w:sz w:val="18"/>
              </w:rPr>
            </w:pPr>
            <w:r w:rsidRPr="009E6B9B">
              <w:rPr>
                <w:sz w:val="18"/>
                <w:lang w:val="fr-FR"/>
              </w:rPr>
              <w:t>1,7</w:t>
            </w:r>
          </w:p>
        </w:tc>
      </w:tr>
      <w:tr w:rsidR="009E6B9B" w:rsidRPr="009E6B9B" w14:paraId="1FB3CF95" w14:textId="77777777" w:rsidTr="009E6B9B">
        <w:tc>
          <w:tcPr>
            <w:tcW w:w="2382" w:type="dxa"/>
            <w:shd w:val="clear" w:color="auto" w:fill="auto"/>
          </w:tcPr>
          <w:p w14:paraId="328981F2" w14:textId="77777777" w:rsidR="00560776" w:rsidRPr="009E6B9B" w:rsidRDefault="00560776" w:rsidP="009E6B9B">
            <w:pPr>
              <w:suppressAutoHyphens w:val="0"/>
              <w:spacing w:before="40" w:after="40" w:line="220" w:lineRule="exact"/>
              <w:rPr>
                <w:sz w:val="18"/>
              </w:rPr>
            </w:pPr>
            <w:r w:rsidRPr="009E6B9B">
              <w:rPr>
                <w:sz w:val="18"/>
                <w:lang w:val="fr-FR"/>
              </w:rPr>
              <w:t>2016</w:t>
            </w:r>
          </w:p>
        </w:tc>
        <w:tc>
          <w:tcPr>
            <w:tcW w:w="2583" w:type="dxa"/>
            <w:shd w:val="clear" w:color="auto" w:fill="auto"/>
            <w:vAlign w:val="bottom"/>
          </w:tcPr>
          <w:p w14:paraId="604ADC7B" w14:textId="77777777" w:rsidR="00560776" w:rsidRPr="009E6B9B" w:rsidRDefault="00560776" w:rsidP="009E6B9B">
            <w:pPr>
              <w:suppressAutoHyphens w:val="0"/>
              <w:spacing w:before="40" w:after="40" w:line="220" w:lineRule="exact"/>
              <w:jc w:val="right"/>
              <w:rPr>
                <w:sz w:val="18"/>
              </w:rPr>
            </w:pPr>
            <w:r w:rsidRPr="009E6B9B">
              <w:rPr>
                <w:sz w:val="18"/>
                <w:lang w:val="fr-FR"/>
              </w:rPr>
              <w:t>7,8</w:t>
            </w:r>
          </w:p>
        </w:tc>
        <w:tc>
          <w:tcPr>
            <w:tcW w:w="2405" w:type="dxa"/>
            <w:shd w:val="clear" w:color="auto" w:fill="auto"/>
            <w:vAlign w:val="bottom"/>
          </w:tcPr>
          <w:p w14:paraId="32F94409" w14:textId="77777777" w:rsidR="00560776" w:rsidRPr="009E6B9B" w:rsidRDefault="00560776" w:rsidP="009E6B9B">
            <w:pPr>
              <w:suppressAutoHyphens w:val="0"/>
              <w:spacing w:before="40" w:after="40" w:line="220" w:lineRule="exact"/>
              <w:jc w:val="right"/>
              <w:rPr>
                <w:sz w:val="18"/>
              </w:rPr>
            </w:pPr>
            <w:r w:rsidRPr="009E6B9B">
              <w:rPr>
                <w:sz w:val="18"/>
                <w:lang w:val="fr-FR"/>
              </w:rPr>
              <w:t>1,6</w:t>
            </w:r>
          </w:p>
        </w:tc>
      </w:tr>
      <w:tr w:rsidR="009E6B9B" w:rsidRPr="009E6B9B" w14:paraId="546816B1" w14:textId="77777777" w:rsidTr="009E6B9B">
        <w:tc>
          <w:tcPr>
            <w:tcW w:w="2382" w:type="dxa"/>
            <w:shd w:val="clear" w:color="auto" w:fill="auto"/>
          </w:tcPr>
          <w:p w14:paraId="502F5774" w14:textId="77777777" w:rsidR="00560776" w:rsidRPr="009E6B9B" w:rsidRDefault="00560776" w:rsidP="009E6B9B">
            <w:pPr>
              <w:suppressAutoHyphens w:val="0"/>
              <w:spacing w:before="40" w:after="40" w:line="220" w:lineRule="exact"/>
              <w:rPr>
                <w:sz w:val="18"/>
              </w:rPr>
            </w:pPr>
            <w:r w:rsidRPr="009E6B9B">
              <w:rPr>
                <w:sz w:val="18"/>
                <w:lang w:val="fr-FR"/>
              </w:rPr>
              <w:t>2017</w:t>
            </w:r>
          </w:p>
        </w:tc>
        <w:tc>
          <w:tcPr>
            <w:tcW w:w="2583" w:type="dxa"/>
            <w:shd w:val="clear" w:color="auto" w:fill="auto"/>
            <w:vAlign w:val="bottom"/>
          </w:tcPr>
          <w:p w14:paraId="433ACC31" w14:textId="77777777" w:rsidR="00560776" w:rsidRPr="009E6B9B" w:rsidRDefault="00560776" w:rsidP="009E6B9B">
            <w:pPr>
              <w:suppressAutoHyphens w:val="0"/>
              <w:spacing w:before="40" w:after="40" w:line="220" w:lineRule="exact"/>
              <w:jc w:val="right"/>
              <w:rPr>
                <w:sz w:val="18"/>
              </w:rPr>
            </w:pPr>
            <w:r w:rsidRPr="009E6B9B">
              <w:rPr>
                <w:sz w:val="18"/>
                <w:lang w:val="fr-FR"/>
              </w:rPr>
              <w:t>10,4</w:t>
            </w:r>
          </w:p>
        </w:tc>
        <w:tc>
          <w:tcPr>
            <w:tcW w:w="2405" w:type="dxa"/>
            <w:shd w:val="clear" w:color="auto" w:fill="auto"/>
            <w:vAlign w:val="bottom"/>
          </w:tcPr>
          <w:p w14:paraId="41B83F7B" w14:textId="77777777" w:rsidR="00560776" w:rsidRPr="009E6B9B" w:rsidRDefault="00560776" w:rsidP="009E6B9B">
            <w:pPr>
              <w:suppressAutoHyphens w:val="0"/>
              <w:spacing w:before="40" w:after="40" w:line="220" w:lineRule="exact"/>
              <w:jc w:val="right"/>
              <w:rPr>
                <w:sz w:val="18"/>
              </w:rPr>
            </w:pPr>
            <w:r w:rsidRPr="009E6B9B">
              <w:rPr>
                <w:sz w:val="18"/>
                <w:lang w:val="fr-FR"/>
              </w:rPr>
              <w:t>1,6</w:t>
            </w:r>
          </w:p>
        </w:tc>
      </w:tr>
      <w:tr w:rsidR="009E6B9B" w:rsidRPr="009E6B9B" w14:paraId="03F8E085" w14:textId="77777777" w:rsidTr="009E6B9B">
        <w:tc>
          <w:tcPr>
            <w:tcW w:w="2382" w:type="dxa"/>
            <w:shd w:val="clear" w:color="auto" w:fill="auto"/>
          </w:tcPr>
          <w:p w14:paraId="383B694E" w14:textId="77777777" w:rsidR="00560776" w:rsidRPr="009E6B9B" w:rsidRDefault="00560776" w:rsidP="009E6B9B">
            <w:pPr>
              <w:suppressAutoHyphens w:val="0"/>
              <w:spacing w:before="40" w:after="40" w:line="220" w:lineRule="exact"/>
              <w:rPr>
                <w:sz w:val="18"/>
              </w:rPr>
            </w:pPr>
            <w:r w:rsidRPr="009E6B9B">
              <w:rPr>
                <w:sz w:val="18"/>
                <w:lang w:val="fr-FR"/>
              </w:rPr>
              <w:t>2018</w:t>
            </w:r>
          </w:p>
        </w:tc>
        <w:tc>
          <w:tcPr>
            <w:tcW w:w="2583" w:type="dxa"/>
            <w:shd w:val="clear" w:color="auto" w:fill="auto"/>
            <w:vAlign w:val="bottom"/>
          </w:tcPr>
          <w:p w14:paraId="5A43A97B" w14:textId="77777777" w:rsidR="00560776" w:rsidRPr="009E6B9B" w:rsidRDefault="00560776" w:rsidP="009E6B9B">
            <w:pPr>
              <w:suppressAutoHyphens w:val="0"/>
              <w:spacing w:before="40" w:after="40" w:line="220" w:lineRule="exact"/>
              <w:jc w:val="right"/>
              <w:rPr>
                <w:sz w:val="18"/>
              </w:rPr>
            </w:pPr>
            <w:r w:rsidRPr="009E6B9B">
              <w:rPr>
                <w:sz w:val="18"/>
                <w:lang w:val="fr-FR"/>
              </w:rPr>
              <w:t>21,2</w:t>
            </w:r>
          </w:p>
        </w:tc>
        <w:tc>
          <w:tcPr>
            <w:tcW w:w="2405" w:type="dxa"/>
            <w:shd w:val="clear" w:color="auto" w:fill="auto"/>
            <w:vAlign w:val="bottom"/>
          </w:tcPr>
          <w:p w14:paraId="70C9ACD8" w14:textId="77777777" w:rsidR="00560776" w:rsidRPr="009E6B9B" w:rsidRDefault="00560776" w:rsidP="009E6B9B">
            <w:pPr>
              <w:suppressAutoHyphens w:val="0"/>
              <w:spacing w:before="40" w:after="40" w:line="220" w:lineRule="exact"/>
              <w:jc w:val="right"/>
              <w:rPr>
                <w:sz w:val="18"/>
              </w:rPr>
            </w:pPr>
            <w:r w:rsidRPr="009E6B9B">
              <w:rPr>
                <w:sz w:val="18"/>
                <w:lang w:val="fr-FR"/>
              </w:rPr>
              <w:t>3,6</w:t>
            </w:r>
          </w:p>
        </w:tc>
      </w:tr>
      <w:tr w:rsidR="009E6B9B" w:rsidRPr="009E6B9B" w14:paraId="5247F81A" w14:textId="77777777" w:rsidTr="009E6B9B">
        <w:tc>
          <w:tcPr>
            <w:tcW w:w="2382" w:type="dxa"/>
            <w:shd w:val="clear" w:color="auto" w:fill="auto"/>
          </w:tcPr>
          <w:p w14:paraId="7DCA0024" w14:textId="77777777" w:rsidR="00560776" w:rsidRPr="009E6B9B" w:rsidRDefault="00560776" w:rsidP="009E6B9B">
            <w:pPr>
              <w:suppressAutoHyphens w:val="0"/>
              <w:spacing w:before="40" w:after="40" w:line="220" w:lineRule="exact"/>
              <w:rPr>
                <w:sz w:val="18"/>
              </w:rPr>
            </w:pPr>
            <w:r w:rsidRPr="009E6B9B">
              <w:rPr>
                <w:sz w:val="18"/>
                <w:lang w:val="fr-FR"/>
              </w:rPr>
              <w:t>2019</w:t>
            </w:r>
          </w:p>
        </w:tc>
        <w:tc>
          <w:tcPr>
            <w:tcW w:w="2583" w:type="dxa"/>
            <w:shd w:val="clear" w:color="auto" w:fill="auto"/>
            <w:vAlign w:val="bottom"/>
          </w:tcPr>
          <w:p w14:paraId="49745D43" w14:textId="77777777" w:rsidR="00560776" w:rsidRPr="009E6B9B" w:rsidRDefault="00560776" w:rsidP="009E6B9B">
            <w:pPr>
              <w:suppressAutoHyphens w:val="0"/>
              <w:spacing w:before="40" w:after="40" w:line="220" w:lineRule="exact"/>
              <w:jc w:val="right"/>
              <w:rPr>
                <w:sz w:val="18"/>
              </w:rPr>
            </w:pPr>
            <w:r w:rsidRPr="009E6B9B">
              <w:rPr>
                <w:sz w:val="18"/>
                <w:lang w:val="fr-FR"/>
              </w:rPr>
              <w:t>15,3</w:t>
            </w:r>
          </w:p>
        </w:tc>
        <w:tc>
          <w:tcPr>
            <w:tcW w:w="2405" w:type="dxa"/>
            <w:shd w:val="clear" w:color="auto" w:fill="auto"/>
            <w:vAlign w:val="bottom"/>
          </w:tcPr>
          <w:p w14:paraId="102ABAAB" w14:textId="77777777" w:rsidR="00560776" w:rsidRPr="009E6B9B" w:rsidRDefault="00560776" w:rsidP="009E6B9B">
            <w:pPr>
              <w:suppressAutoHyphens w:val="0"/>
              <w:spacing w:before="40" w:after="40" w:line="220" w:lineRule="exact"/>
              <w:jc w:val="right"/>
              <w:rPr>
                <w:sz w:val="18"/>
              </w:rPr>
            </w:pPr>
            <w:r w:rsidRPr="009E6B9B">
              <w:rPr>
                <w:sz w:val="18"/>
                <w:lang w:val="fr-FR"/>
              </w:rPr>
              <w:t>1,7</w:t>
            </w:r>
          </w:p>
        </w:tc>
      </w:tr>
      <w:tr w:rsidR="009E6B9B" w:rsidRPr="009E6B9B" w14:paraId="77371BBF" w14:textId="77777777" w:rsidTr="009E6B9B">
        <w:tc>
          <w:tcPr>
            <w:tcW w:w="2382" w:type="dxa"/>
            <w:tcBorders>
              <w:bottom w:val="single" w:sz="12" w:space="0" w:color="auto"/>
            </w:tcBorders>
            <w:shd w:val="clear" w:color="auto" w:fill="auto"/>
          </w:tcPr>
          <w:p w14:paraId="2E05F050" w14:textId="77777777" w:rsidR="00560776" w:rsidRPr="009E6B9B" w:rsidRDefault="00560776" w:rsidP="009E6B9B">
            <w:pPr>
              <w:suppressAutoHyphens w:val="0"/>
              <w:spacing w:before="40" w:after="40" w:line="220" w:lineRule="exact"/>
              <w:rPr>
                <w:sz w:val="18"/>
              </w:rPr>
            </w:pPr>
            <w:r w:rsidRPr="009E6B9B">
              <w:rPr>
                <w:sz w:val="18"/>
              </w:rPr>
              <w:t>2020.6</w:t>
            </w:r>
          </w:p>
        </w:tc>
        <w:tc>
          <w:tcPr>
            <w:tcW w:w="2583" w:type="dxa"/>
            <w:tcBorders>
              <w:bottom w:val="single" w:sz="12" w:space="0" w:color="auto"/>
            </w:tcBorders>
            <w:shd w:val="clear" w:color="auto" w:fill="auto"/>
            <w:vAlign w:val="bottom"/>
          </w:tcPr>
          <w:p w14:paraId="34E0F1FF" w14:textId="77777777" w:rsidR="00560776" w:rsidRPr="009E6B9B" w:rsidRDefault="00560776" w:rsidP="009E6B9B">
            <w:pPr>
              <w:suppressAutoHyphens w:val="0"/>
              <w:spacing w:before="40" w:after="40" w:line="220" w:lineRule="exact"/>
              <w:jc w:val="right"/>
              <w:rPr>
                <w:sz w:val="18"/>
              </w:rPr>
            </w:pPr>
            <w:r w:rsidRPr="009E6B9B">
              <w:rPr>
                <w:sz w:val="18"/>
                <w:lang w:val="fr-FR"/>
              </w:rPr>
              <w:t>1,7</w:t>
            </w:r>
          </w:p>
        </w:tc>
        <w:tc>
          <w:tcPr>
            <w:tcW w:w="2405" w:type="dxa"/>
            <w:tcBorders>
              <w:bottom w:val="single" w:sz="12" w:space="0" w:color="auto"/>
            </w:tcBorders>
            <w:shd w:val="clear" w:color="auto" w:fill="auto"/>
            <w:vAlign w:val="bottom"/>
          </w:tcPr>
          <w:p w14:paraId="34B0A1AC" w14:textId="77777777" w:rsidR="00560776" w:rsidRPr="009E6B9B" w:rsidRDefault="00560776" w:rsidP="009E6B9B">
            <w:pPr>
              <w:suppressAutoHyphens w:val="0"/>
              <w:spacing w:before="40" w:after="40" w:line="220" w:lineRule="exact"/>
              <w:jc w:val="right"/>
              <w:rPr>
                <w:sz w:val="18"/>
              </w:rPr>
            </w:pPr>
            <w:r w:rsidRPr="009E6B9B">
              <w:rPr>
                <w:sz w:val="18"/>
                <w:lang w:val="fr-FR"/>
              </w:rPr>
              <w:t>0,6</w:t>
            </w:r>
          </w:p>
        </w:tc>
      </w:tr>
    </w:tbl>
    <w:p w14:paraId="18306D8B" w14:textId="19FA6BD9" w:rsidR="00560776" w:rsidRPr="009E6B9B" w:rsidRDefault="00560776" w:rsidP="009E6B9B">
      <w:pPr>
        <w:pStyle w:val="SingleTxtG"/>
        <w:spacing w:before="120"/>
        <w:ind w:firstLine="170"/>
        <w:rPr>
          <w:sz w:val="18"/>
          <w:szCs w:val="18"/>
        </w:rPr>
      </w:pPr>
      <w:r w:rsidRPr="009E6B9B">
        <w:rPr>
          <w:i/>
          <w:iCs/>
          <w:sz w:val="18"/>
          <w:szCs w:val="18"/>
        </w:rPr>
        <w:t>Source</w:t>
      </w:r>
      <w:r w:rsidR="00A737F5">
        <w:rPr>
          <w:sz w:val="18"/>
          <w:szCs w:val="18"/>
        </w:rPr>
        <w:t> </w:t>
      </w:r>
      <w:r w:rsidRPr="009E6B9B">
        <w:rPr>
          <w:sz w:val="18"/>
          <w:szCs w:val="18"/>
        </w:rPr>
        <w:t>: Rapport de la caisse de protection sociale.</w:t>
      </w:r>
    </w:p>
    <w:p w14:paraId="14E72A6A" w14:textId="119509C1" w:rsidR="00560776" w:rsidRPr="008D553A" w:rsidRDefault="00560776" w:rsidP="009E6B9B">
      <w:pPr>
        <w:pStyle w:val="H23G"/>
        <w:rPr>
          <w:lang w:val="fr-FR"/>
        </w:rPr>
      </w:pPr>
      <w:r>
        <w:rPr>
          <w:lang w:val="fr-FR"/>
        </w:rPr>
        <w:lastRenderedPageBreak/>
        <w:tab/>
      </w:r>
      <w:r>
        <w:rPr>
          <w:lang w:val="fr-FR"/>
        </w:rPr>
        <w:tab/>
        <w:t>Programme d</w:t>
      </w:r>
      <w:r w:rsidR="009C7759">
        <w:rPr>
          <w:lang w:val="fr-FR"/>
        </w:rPr>
        <w:t>’</w:t>
      </w:r>
      <w:r>
        <w:rPr>
          <w:lang w:val="fr-FR"/>
        </w:rPr>
        <w:t>assurance maladie</w:t>
      </w:r>
    </w:p>
    <w:p w14:paraId="0352F1D6" w14:textId="76977E65" w:rsidR="00560776" w:rsidRPr="008D553A" w:rsidRDefault="00560776" w:rsidP="00560776">
      <w:pPr>
        <w:pStyle w:val="SingleTxtG"/>
        <w:rPr>
          <w:lang w:val="fr-FR"/>
        </w:rPr>
      </w:pPr>
      <w:r>
        <w:rPr>
          <w:lang w:val="fr-FR"/>
        </w:rPr>
        <w:t>27.</w:t>
      </w:r>
      <w:r>
        <w:rPr>
          <w:lang w:val="fr-FR"/>
        </w:rPr>
        <w:tab/>
        <w:t>Afin de garantir le droit fondamental des citoyens de bénéficier de services de santé et d</w:t>
      </w:r>
      <w:r w:rsidR="009C7759">
        <w:rPr>
          <w:lang w:val="fr-FR"/>
        </w:rPr>
        <w:t>’</w:t>
      </w:r>
      <w:r>
        <w:rPr>
          <w:lang w:val="fr-FR"/>
        </w:rPr>
        <w:t xml:space="preserve">une assistance médicale sûrs et de qualité sans que cela constitue un fardeau sur le plan financier, le Grand </w:t>
      </w:r>
      <w:proofErr w:type="spellStart"/>
      <w:r>
        <w:rPr>
          <w:lang w:val="fr-FR"/>
        </w:rPr>
        <w:t>Khoural</w:t>
      </w:r>
      <w:proofErr w:type="spellEnd"/>
      <w:r>
        <w:rPr>
          <w:lang w:val="fr-FR"/>
        </w:rPr>
        <w:t xml:space="preserve"> d</w:t>
      </w:r>
      <w:r w:rsidR="009C7759">
        <w:rPr>
          <w:lang w:val="fr-FR"/>
        </w:rPr>
        <w:t>’</w:t>
      </w:r>
      <w:r>
        <w:rPr>
          <w:lang w:val="fr-FR"/>
        </w:rPr>
        <w:t>État a révisé en 2015 la loi sur l</w:t>
      </w:r>
      <w:r w:rsidR="009C7759">
        <w:rPr>
          <w:lang w:val="fr-FR"/>
        </w:rPr>
        <w:t>’</w:t>
      </w:r>
      <w:r>
        <w:rPr>
          <w:lang w:val="fr-FR"/>
        </w:rPr>
        <w:t>assurance maladie. En vertu de cette loi, l</w:t>
      </w:r>
      <w:r w:rsidR="009C7759">
        <w:rPr>
          <w:lang w:val="fr-FR"/>
        </w:rPr>
        <w:t>’</w:t>
      </w:r>
      <w:r>
        <w:rPr>
          <w:lang w:val="fr-FR"/>
        </w:rPr>
        <w:t>État s</w:t>
      </w:r>
      <w:r w:rsidR="009C7759">
        <w:rPr>
          <w:lang w:val="fr-FR"/>
        </w:rPr>
        <w:t>’</w:t>
      </w:r>
      <w:r>
        <w:rPr>
          <w:lang w:val="fr-FR"/>
        </w:rPr>
        <w:t>acquitte des primes d</w:t>
      </w:r>
      <w:r w:rsidR="009C7759">
        <w:rPr>
          <w:lang w:val="fr-FR"/>
        </w:rPr>
        <w:t>’</w:t>
      </w:r>
      <w:r>
        <w:rPr>
          <w:lang w:val="fr-FR"/>
        </w:rPr>
        <w:t>assurance maladie de 1,9 million de citoyens, parmi lesquels figurent les enfants de moins de 18 ans, les citoyens sans autre revenu permanent qu</w:t>
      </w:r>
      <w:r w:rsidR="009C7759">
        <w:rPr>
          <w:lang w:val="fr-FR"/>
        </w:rPr>
        <w:t>’</w:t>
      </w:r>
      <w:r>
        <w:rPr>
          <w:lang w:val="fr-FR"/>
        </w:rPr>
        <w:t>une pension, les mères ou les pères qui s</w:t>
      </w:r>
      <w:r w:rsidR="009C7759">
        <w:rPr>
          <w:lang w:val="fr-FR"/>
        </w:rPr>
        <w:t>’</w:t>
      </w:r>
      <w:r>
        <w:rPr>
          <w:lang w:val="fr-FR"/>
        </w:rPr>
        <w:t>occupent de leur enfant jusqu</w:t>
      </w:r>
      <w:r w:rsidR="009C7759">
        <w:rPr>
          <w:lang w:val="fr-FR"/>
        </w:rPr>
        <w:t>’</w:t>
      </w:r>
      <w:r>
        <w:rPr>
          <w:lang w:val="fr-FR"/>
        </w:rPr>
        <w:t>à l</w:t>
      </w:r>
      <w:r w:rsidR="009C7759">
        <w:rPr>
          <w:lang w:val="fr-FR"/>
        </w:rPr>
        <w:t>’</w:t>
      </w:r>
      <w:r>
        <w:rPr>
          <w:lang w:val="fr-FR"/>
        </w:rPr>
        <w:t>âge de 2 ans (ou 3 ans dans le cas de jumeaux), les membres de ménages ayant besoin d</w:t>
      </w:r>
      <w:r w:rsidR="009C7759">
        <w:rPr>
          <w:lang w:val="fr-FR"/>
        </w:rPr>
        <w:t>’</w:t>
      </w:r>
      <w:r>
        <w:rPr>
          <w:lang w:val="fr-FR"/>
        </w:rPr>
        <w:t>aide et de protection sociales et les militaires. Chaque année, 83,8</w:t>
      </w:r>
      <w:r w:rsidR="00207B12">
        <w:rPr>
          <w:lang w:val="fr-FR"/>
        </w:rPr>
        <w:t> </w:t>
      </w:r>
      <w:r>
        <w:rPr>
          <w:lang w:val="fr-FR"/>
        </w:rPr>
        <w:t xml:space="preserve">milliards de </w:t>
      </w:r>
      <w:proofErr w:type="spellStart"/>
      <w:r>
        <w:rPr>
          <w:lang w:val="fr-FR"/>
        </w:rPr>
        <w:t>togrogs</w:t>
      </w:r>
      <w:proofErr w:type="spellEnd"/>
      <w:r>
        <w:rPr>
          <w:lang w:val="fr-FR"/>
        </w:rPr>
        <w:t xml:space="preserve"> sont prélevés à cette fin sur le budget de l</w:t>
      </w:r>
      <w:r w:rsidR="009C7759">
        <w:rPr>
          <w:lang w:val="fr-FR"/>
        </w:rPr>
        <w:t>’</w:t>
      </w:r>
      <w:r>
        <w:rPr>
          <w:lang w:val="fr-FR"/>
        </w:rPr>
        <w:t>État. En 2020, des modifications ont été apportées à la loi sur l</w:t>
      </w:r>
      <w:r w:rsidR="009C7759">
        <w:rPr>
          <w:lang w:val="fr-FR"/>
        </w:rPr>
        <w:t>’</w:t>
      </w:r>
      <w:r>
        <w:rPr>
          <w:lang w:val="fr-FR"/>
        </w:rPr>
        <w:t>assurance maladie afin d</w:t>
      </w:r>
      <w:r w:rsidR="009C7759">
        <w:rPr>
          <w:lang w:val="fr-FR"/>
        </w:rPr>
        <w:t>’</w:t>
      </w:r>
      <w:r>
        <w:rPr>
          <w:lang w:val="fr-FR"/>
        </w:rPr>
        <w:t>adopter dans le secteur de la santé un système de prestataire unique en matière de financement, d</w:t>
      </w:r>
      <w:r w:rsidR="009C7759">
        <w:rPr>
          <w:lang w:val="fr-FR"/>
        </w:rPr>
        <w:t>’</w:t>
      </w:r>
      <w:r>
        <w:rPr>
          <w:lang w:val="fr-FR"/>
        </w:rPr>
        <w:t>introduire un mode de financement fondé sur la performance, de contrôler la qualité de l</w:t>
      </w:r>
      <w:r w:rsidR="009C7759">
        <w:rPr>
          <w:lang w:val="fr-FR"/>
        </w:rPr>
        <w:t>’</w:t>
      </w:r>
      <w:r>
        <w:rPr>
          <w:lang w:val="fr-FR"/>
        </w:rPr>
        <w:t>assistance et des services dispensés au regard des normes internationales, de mettre en place un système de suivi et d</w:t>
      </w:r>
      <w:r w:rsidR="009C7759">
        <w:rPr>
          <w:lang w:val="fr-FR"/>
        </w:rPr>
        <w:t>’</w:t>
      </w:r>
      <w:r>
        <w:rPr>
          <w:lang w:val="fr-FR"/>
        </w:rPr>
        <w:t>enregistrement entièrement numérique et d</w:t>
      </w:r>
      <w:r w:rsidR="009C7759">
        <w:rPr>
          <w:lang w:val="fr-FR"/>
        </w:rPr>
        <w:t>’</w:t>
      </w:r>
      <w:r>
        <w:rPr>
          <w:lang w:val="fr-FR"/>
        </w:rPr>
        <w:t>atténuer le sentiment de frustration de la population en vendant des médicaments à prix réduit dans toutes les pharmacies.</w:t>
      </w:r>
    </w:p>
    <w:p w14:paraId="2014639B" w14:textId="4779FC93" w:rsidR="00560776" w:rsidRPr="008D553A" w:rsidRDefault="00560776" w:rsidP="00560776">
      <w:pPr>
        <w:pStyle w:val="SingleTxtG"/>
        <w:rPr>
          <w:lang w:val="fr-FR"/>
        </w:rPr>
      </w:pPr>
      <w:r>
        <w:rPr>
          <w:lang w:val="fr-FR"/>
        </w:rPr>
        <w:t>28.</w:t>
      </w:r>
      <w:r>
        <w:rPr>
          <w:lang w:val="fr-FR"/>
        </w:rPr>
        <w:tab/>
        <w:t>La caisse d</w:t>
      </w:r>
      <w:r w:rsidR="009C7759">
        <w:rPr>
          <w:lang w:val="fr-FR"/>
        </w:rPr>
        <w:t>’</w:t>
      </w:r>
      <w:r>
        <w:rPr>
          <w:lang w:val="fr-FR"/>
        </w:rPr>
        <w:t xml:space="preserve">assurance maladie verse chaque année un montant plafonné à deux millions de </w:t>
      </w:r>
      <w:proofErr w:type="spellStart"/>
      <w:r>
        <w:rPr>
          <w:lang w:val="fr-FR"/>
        </w:rPr>
        <w:t>togrogs</w:t>
      </w:r>
      <w:proofErr w:type="spellEnd"/>
      <w:r>
        <w:rPr>
          <w:lang w:val="fr-FR"/>
        </w:rPr>
        <w:t xml:space="preserve"> au titre des dépenses d</w:t>
      </w:r>
      <w:r w:rsidR="009C7759">
        <w:rPr>
          <w:lang w:val="fr-FR"/>
        </w:rPr>
        <w:t>’</w:t>
      </w:r>
      <w:r>
        <w:rPr>
          <w:lang w:val="fr-FR"/>
        </w:rPr>
        <w:t>assistance et de services médicaux des assurés. La réduction du coût des médicaments nécessaires financés par l</w:t>
      </w:r>
      <w:r w:rsidR="009C7759">
        <w:rPr>
          <w:lang w:val="fr-FR"/>
        </w:rPr>
        <w:t>’</w:t>
      </w:r>
      <w:r>
        <w:rPr>
          <w:lang w:val="fr-FR"/>
        </w:rPr>
        <w:t>assurance maladie représente environ 7</w:t>
      </w:r>
      <w:r w:rsidR="00207B12">
        <w:rPr>
          <w:lang w:val="fr-FR"/>
        </w:rPr>
        <w:t> </w:t>
      </w:r>
      <w:r>
        <w:rPr>
          <w:lang w:val="fr-FR"/>
        </w:rPr>
        <w:t>% du montant total des dépenses de la caisse. Les citoyens achètent des médicaments à prix réduits dans 576 pharmacies. Des dispositions préliminaires ont été prises pour proposer des médicaments à prix réduits dans toutes les pharmacies à partir du 1</w:t>
      </w:r>
      <w:r w:rsidRPr="00207B12">
        <w:rPr>
          <w:vertAlign w:val="superscript"/>
          <w:lang w:val="fr-FR"/>
        </w:rPr>
        <w:t>er</w:t>
      </w:r>
      <w:r w:rsidR="00207B12">
        <w:rPr>
          <w:lang w:val="fr-FR"/>
        </w:rPr>
        <w:t> </w:t>
      </w:r>
      <w:r>
        <w:rPr>
          <w:lang w:val="fr-FR"/>
        </w:rPr>
        <w:t>novembre 2020.</w:t>
      </w:r>
    </w:p>
    <w:p w14:paraId="6614807A" w14:textId="6656A53C" w:rsidR="00560776" w:rsidRDefault="00560776" w:rsidP="009E6B9B">
      <w:pPr>
        <w:pStyle w:val="Titre1"/>
        <w:spacing w:after="120"/>
        <w:rPr>
          <w:b/>
          <w:bCs/>
          <w:lang w:val="fr-FR"/>
        </w:rPr>
      </w:pPr>
      <w:r>
        <w:rPr>
          <w:lang w:val="fr-FR"/>
        </w:rPr>
        <w:t>Tableau 8</w:t>
      </w:r>
      <w:r w:rsidR="009E6B9B">
        <w:rPr>
          <w:lang w:val="fr-FR"/>
        </w:rPr>
        <w:t xml:space="preserve"> </w:t>
      </w:r>
      <w:r w:rsidR="009E6B9B">
        <w:rPr>
          <w:lang w:val="fr-FR"/>
        </w:rPr>
        <w:br/>
      </w:r>
      <w:r>
        <w:rPr>
          <w:b/>
          <w:bCs/>
          <w:lang w:val="fr-FR"/>
        </w:rPr>
        <w:t>Nombre de bénéficiaires de l</w:t>
      </w:r>
      <w:r w:rsidR="009C7759">
        <w:rPr>
          <w:b/>
          <w:bCs/>
          <w:lang w:val="fr-FR"/>
        </w:rPr>
        <w:t>’</w:t>
      </w:r>
      <w:r>
        <w:rPr>
          <w:b/>
          <w:bCs/>
          <w:lang w:val="fr-FR"/>
        </w:rPr>
        <w:t>assurance maladie (en milliers)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2"/>
        <w:gridCol w:w="691"/>
        <w:gridCol w:w="1441"/>
        <w:gridCol w:w="1028"/>
        <w:gridCol w:w="1216"/>
        <w:gridCol w:w="1216"/>
        <w:gridCol w:w="1216"/>
      </w:tblGrid>
      <w:tr w:rsidR="00DC3725" w:rsidRPr="00DF0A94" w14:paraId="0B9C42CA" w14:textId="77777777" w:rsidTr="00207B12">
        <w:trPr>
          <w:tblHeader/>
        </w:trPr>
        <w:tc>
          <w:tcPr>
            <w:tcW w:w="1253" w:type="dxa"/>
            <w:gridSpan w:val="2"/>
            <w:tcBorders>
              <w:top w:val="single" w:sz="4" w:space="0" w:color="auto"/>
              <w:bottom w:val="single" w:sz="4" w:space="0" w:color="auto"/>
            </w:tcBorders>
            <w:shd w:val="clear" w:color="auto" w:fill="auto"/>
            <w:noWrap/>
            <w:vAlign w:val="bottom"/>
          </w:tcPr>
          <w:p w14:paraId="6D708472" w14:textId="77777777" w:rsidR="00DC3725" w:rsidRPr="00DF0A94" w:rsidRDefault="00DC3725" w:rsidP="004C0B14">
            <w:pPr>
              <w:suppressAutoHyphens w:val="0"/>
              <w:spacing w:before="80" w:after="80" w:line="200" w:lineRule="exact"/>
              <w:ind w:right="113"/>
              <w:rPr>
                <w:i/>
                <w:sz w:val="16"/>
              </w:rPr>
            </w:pPr>
          </w:p>
        </w:tc>
        <w:tc>
          <w:tcPr>
            <w:tcW w:w="1441" w:type="dxa"/>
            <w:tcBorders>
              <w:top w:val="single" w:sz="4" w:space="0" w:color="auto"/>
              <w:bottom w:val="single" w:sz="4" w:space="0" w:color="auto"/>
            </w:tcBorders>
            <w:shd w:val="clear" w:color="auto" w:fill="auto"/>
            <w:vAlign w:val="bottom"/>
          </w:tcPr>
          <w:p w14:paraId="1095F1A4" w14:textId="77777777" w:rsidR="00DC3725" w:rsidRPr="00DF0A94" w:rsidRDefault="00DC3725" w:rsidP="004C0B14">
            <w:pPr>
              <w:suppressAutoHyphens w:val="0"/>
              <w:spacing w:before="80" w:after="80" w:line="200" w:lineRule="exact"/>
              <w:ind w:right="113"/>
              <w:jc w:val="right"/>
              <w:rPr>
                <w:i/>
                <w:sz w:val="16"/>
              </w:rPr>
            </w:pPr>
          </w:p>
        </w:tc>
        <w:tc>
          <w:tcPr>
            <w:tcW w:w="4676" w:type="dxa"/>
            <w:gridSpan w:val="4"/>
            <w:tcBorders>
              <w:top w:val="single" w:sz="4" w:space="0" w:color="auto"/>
              <w:bottom w:val="single" w:sz="4" w:space="0" w:color="auto"/>
            </w:tcBorders>
            <w:shd w:val="clear" w:color="auto" w:fill="auto"/>
            <w:vAlign w:val="bottom"/>
          </w:tcPr>
          <w:p w14:paraId="6363ED87" w14:textId="3A1CED63" w:rsidR="00DC3725" w:rsidRPr="00DF0A94" w:rsidRDefault="00DC3725" w:rsidP="004C0B14">
            <w:pPr>
              <w:suppressAutoHyphens w:val="0"/>
              <w:spacing w:before="80" w:after="80" w:line="200" w:lineRule="exact"/>
              <w:ind w:right="113"/>
              <w:jc w:val="center"/>
              <w:rPr>
                <w:i/>
                <w:sz w:val="16"/>
              </w:rPr>
            </w:pPr>
            <w:r w:rsidRPr="00803AF5">
              <w:rPr>
                <w:i/>
                <w:iCs/>
                <w:sz w:val="16"/>
                <w:szCs w:val="16"/>
                <w:lang w:val="fr-FR"/>
              </w:rPr>
              <w:t>Nombre de bénéficiaires</w:t>
            </w:r>
          </w:p>
        </w:tc>
      </w:tr>
      <w:tr w:rsidR="00DC3725" w:rsidRPr="00DF0A94" w14:paraId="70FE247D" w14:textId="77777777" w:rsidTr="00207B12">
        <w:trPr>
          <w:tblHeader/>
        </w:trPr>
        <w:tc>
          <w:tcPr>
            <w:tcW w:w="562" w:type="dxa"/>
            <w:tcBorders>
              <w:top w:val="single" w:sz="4" w:space="0" w:color="auto"/>
              <w:bottom w:val="single" w:sz="12" w:space="0" w:color="auto"/>
            </w:tcBorders>
            <w:shd w:val="clear" w:color="auto" w:fill="auto"/>
            <w:hideMark/>
          </w:tcPr>
          <w:p w14:paraId="04BB04B2" w14:textId="6E64F1EB" w:rsidR="00DC3725" w:rsidRPr="00DF0A94" w:rsidRDefault="00DC3725" w:rsidP="004C0B14">
            <w:pPr>
              <w:suppressAutoHyphens w:val="0"/>
              <w:spacing w:before="80" w:after="80" w:line="200" w:lineRule="exact"/>
              <w:ind w:right="113"/>
              <w:rPr>
                <w:i/>
                <w:iCs/>
                <w:sz w:val="16"/>
                <w:szCs w:val="16"/>
              </w:rPr>
            </w:pPr>
            <w:r w:rsidRPr="00DF0A94">
              <w:rPr>
                <w:i/>
                <w:iCs/>
                <w:sz w:val="16"/>
                <w:szCs w:val="16"/>
              </w:rPr>
              <w:t>N</w:t>
            </w:r>
            <w:r w:rsidRPr="00DC3725">
              <w:rPr>
                <w:i/>
                <w:iCs/>
                <w:sz w:val="16"/>
                <w:szCs w:val="16"/>
                <w:vertAlign w:val="superscript"/>
              </w:rPr>
              <w:t>o</w:t>
            </w:r>
          </w:p>
        </w:tc>
        <w:tc>
          <w:tcPr>
            <w:tcW w:w="2132" w:type="dxa"/>
            <w:gridSpan w:val="2"/>
            <w:tcBorders>
              <w:top w:val="single" w:sz="4" w:space="0" w:color="auto"/>
              <w:bottom w:val="single" w:sz="12" w:space="0" w:color="auto"/>
            </w:tcBorders>
            <w:shd w:val="clear" w:color="auto" w:fill="auto"/>
          </w:tcPr>
          <w:p w14:paraId="15AFD4D1" w14:textId="1DBFBC6A" w:rsidR="00DC3725" w:rsidRPr="00DF0A94" w:rsidRDefault="00DC3725" w:rsidP="004C0B14">
            <w:pPr>
              <w:suppressAutoHyphens w:val="0"/>
              <w:spacing w:before="80" w:after="80" w:line="200" w:lineRule="exact"/>
              <w:ind w:right="113"/>
              <w:rPr>
                <w:i/>
                <w:iCs/>
                <w:sz w:val="16"/>
                <w:szCs w:val="16"/>
              </w:rPr>
            </w:pPr>
            <w:r w:rsidRPr="00803AF5">
              <w:rPr>
                <w:i/>
                <w:iCs/>
                <w:sz w:val="16"/>
                <w:szCs w:val="16"/>
                <w:lang w:val="fr-FR"/>
              </w:rPr>
              <w:t>Type d</w:t>
            </w:r>
            <w:r w:rsidR="009C7759">
              <w:rPr>
                <w:i/>
                <w:iCs/>
                <w:sz w:val="16"/>
                <w:szCs w:val="16"/>
                <w:lang w:val="fr-FR"/>
              </w:rPr>
              <w:t>’</w:t>
            </w:r>
            <w:r w:rsidRPr="00803AF5">
              <w:rPr>
                <w:i/>
                <w:iCs/>
                <w:sz w:val="16"/>
                <w:szCs w:val="16"/>
                <w:lang w:val="fr-FR"/>
              </w:rPr>
              <w:t>assurance</w:t>
            </w:r>
          </w:p>
        </w:tc>
        <w:tc>
          <w:tcPr>
            <w:tcW w:w="1028" w:type="dxa"/>
            <w:tcBorders>
              <w:top w:val="single" w:sz="4" w:space="0" w:color="auto"/>
              <w:bottom w:val="single" w:sz="12" w:space="0" w:color="auto"/>
            </w:tcBorders>
            <w:shd w:val="clear" w:color="auto" w:fill="auto"/>
            <w:noWrap/>
            <w:vAlign w:val="bottom"/>
            <w:hideMark/>
          </w:tcPr>
          <w:p w14:paraId="15841997" w14:textId="77777777" w:rsidR="00DC3725" w:rsidRPr="00DF0A94" w:rsidRDefault="00DC3725" w:rsidP="004C0B14">
            <w:pPr>
              <w:suppressAutoHyphens w:val="0"/>
              <w:spacing w:before="80" w:after="80" w:line="200" w:lineRule="exact"/>
              <w:ind w:right="113"/>
              <w:jc w:val="right"/>
              <w:rPr>
                <w:i/>
                <w:iCs/>
                <w:sz w:val="16"/>
                <w:szCs w:val="16"/>
              </w:rPr>
            </w:pPr>
            <w:r w:rsidRPr="00DF0A94">
              <w:rPr>
                <w:i/>
                <w:iCs/>
                <w:sz w:val="16"/>
                <w:szCs w:val="16"/>
              </w:rPr>
              <w:t>2016</w:t>
            </w:r>
          </w:p>
        </w:tc>
        <w:tc>
          <w:tcPr>
            <w:tcW w:w="1216" w:type="dxa"/>
            <w:tcBorders>
              <w:top w:val="single" w:sz="4" w:space="0" w:color="auto"/>
              <w:bottom w:val="single" w:sz="12" w:space="0" w:color="auto"/>
            </w:tcBorders>
            <w:shd w:val="clear" w:color="auto" w:fill="auto"/>
            <w:noWrap/>
            <w:vAlign w:val="bottom"/>
            <w:hideMark/>
          </w:tcPr>
          <w:p w14:paraId="07D66A29" w14:textId="77777777" w:rsidR="00DC3725" w:rsidRPr="00DF0A94" w:rsidRDefault="00DC3725" w:rsidP="004C0B14">
            <w:pPr>
              <w:suppressAutoHyphens w:val="0"/>
              <w:spacing w:before="80" w:after="80" w:line="200" w:lineRule="exact"/>
              <w:ind w:right="113"/>
              <w:jc w:val="right"/>
              <w:rPr>
                <w:i/>
                <w:iCs/>
                <w:sz w:val="16"/>
                <w:szCs w:val="16"/>
              </w:rPr>
            </w:pPr>
            <w:r w:rsidRPr="00DF0A94">
              <w:rPr>
                <w:i/>
                <w:iCs/>
                <w:sz w:val="16"/>
                <w:szCs w:val="16"/>
              </w:rPr>
              <w:t>2017</w:t>
            </w:r>
          </w:p>
        </w:tc>
        <w:tc>
          <w:tcPr>
            <w:tcW w:w="1216" w:type="dxa"/>
            <w:tcBorders>
              <w:top w:val="single" w:sz="4" w:space="0" w:color="auto"/>
              <w:bottom w:val="single" w:sz="12" w:space="0" w:color="auto"/>
            </w:tcBorders>
            <w:shd w:val="clear" w:color="auto" w:fill="auto"/>
            <w:vAlign w:val="bottom"/>
            <w:hideMark/>
          </w:tcPr>
          <w:p w14:paraId="47B35221" w14:textId="77777777" w:rsidR="00DC3725" w:rsidRPr="00DF0A94" w:rsidRDefault="00DC3725" w:rsidP="004C0B14">
            <w:pPr>
              <w:suppressAutoHyphens w:val="0"/>
              <w:spacing w:before="80" w:after="80" w:line="200" w:lineRule="exact"/>
              <w:ind w:right="113"/>
              <w:jc w:val="right"/>
              <w:rPr>
                <w:i/>
                <w:iCs/>
                <w:sz w:val="16"/>
                <w:szCs w:val="16"/>
              </w:rPr>
            </w:pPr>
            <w:r w:rsidRPr="00DF0A94">
              <w:rPr>
                <w:i/>
                <w:iCs/>
                <w:sz w:val="16"/>
                <w:szCs w:val="16"/>
              </w:rPr>
              <w:t>2018</w:t>
            </w:r>
          </w:p>
        </w:tc>
        <w:tc>
          <w:tcPr>
            <w:tcW w:w="1216" w:type="dxa"/>
            <w:tcBorders>
              <w:top w:val="single" w:sz="4" w:space="0" w:color="auto"/>
              <w:bottom w:val="single" w:sz="12" w:space="0" w:color="auto"/>
            </w:tcBorders>
            <w:shd w:val="clear" w:color="auto" w:fill="auto"/>
            <w:vAlign w:val="bottom"/>
            <w:hideMark/>
          </w:tcPr>
          <w:p w14:paraId="45628E69" w14:textId="77777777" w:rsidR="00DC3725" w:rsidRPr="00DF0A94" w:rsidRDefault="00DC3725" w:rsidP="004C0B14">
            <w:pPr>
              <w:suppressAutoHyphens w:val="0"/>
              <w:spacing w:before="80" w:after="80" w:line="200" w:lineRule="exact"/>
              <w:ind w:right="113"/>
              <w:jc w:val="right"/>
              <w:rPr>
                <w:i/>
                <w:iCs/>
                <w:sz w:val="16"/>
                <w:szCs w:val="16"/>
              </w:rPr>
            </w:pPr>
            <w:r w:rsidRPr="00DF0A94">
              <w:rPr>
                <w:i/>
                <w:iCs/>
                <w:sz w:val="16"/>
                <w:szCs w:val="16"/>
              </w:rPr>
              <w:t>2019</w:t>
            </w:r>
          </w:p>
        </w:tc>
      </w:tr>
      <w:tr w:rsidR="00DC3725" w:rsidRPr="00DF0A94" w14:paraId="27098695" w14:textId="77777777" w:rsidTr="00207B12">
        <w:tc>
          <w:tcPr>
            <w:tcW w:w="562" w:type="dxa"/>
            <w:tcBorders>
              <w:top w:val="single" w:sz="12" w:space="0" w:color="auto"/>
            </w:tcBorders>
            <w:shd w:val="clear" w:color="auto" w:fill="auto"/>
            <w:noWrap/>
            <w:hideMark/>
          </w:tcPr>
          <w:p w14:paraId="60CAC126" w14:textId="0EB5F4EF" w:rsidR="00DC3725" w:rsidRPr="00DC3725" w:rsidRDefault="00DC3725" w:rsidP="00DC3725">
            <w:pPr>
              <w:suppressAutoHyphens w:val="0"/>
              <w:spacing w:before="40" w:after="40" w:line="220" w:lineRule="exact"/>
              <w:ind w:right="113"/>
              <w:rPr>
                <w:sz w:val="18"/>
                <w:szCs w:val="18"/>
              </w:rPr>
            </w:pPr>
            <w:r w:rsidRPr="00DC3725">
              <w:rPr>
                <w:sz w:val="18"/>
                <w:szCs w:val="18"/>
                <w:lang w:val="fr-FR"/>
              </w:rPr>
              <w:t>1</w:t>
            </w:r>
          </w:p>
        </w:tc>
        <w:tc>
          <w:tcPr>
            <w:tcW w:w="2132" w:type="dxa"/>
            <w:gridSpan w:val="2"/>
            <w:tcBorders>
              <w:top w:val="single" w:sz="12" w:space="0" w:color="auto"/>
            </w:tcBorders>
            <w:shd w:val="clear" w:color="auto" w:fill="auto"/>
            <w:hideMark/>
          </w:tcPr>
          <w:p w14:paraId="5D60C4D1" w14:textId="1BFDB2E8" w:rsidR="00DC3725" w:rsidRPr="00DC3725" w:rsidRDefault="00DC3725" w:rsidP="00DC3725">
            <w:pPr>
              <w:suppressAutoHyphens w:val="0"/>
              <w:spacing w:before="40" w:after="40" w:line="220" w:lineRule="exact"/>
              <w:ind w:right="113"/>
              <w:rPr>
                <w:sz w:val="18"/>
                <w:szCs w:val="18"/>
              </w:rPr>
            </w:pPr>
            <w:r w:rsidRPr="00DC3725">
              <w:rPr>
                <w:sz w:val="18"/>
                <w:szCs w:val="18"/>
                <w:lang w:val="fr-FR"/>
              </w:rPr>
              <w:t>Personnel des organisations budgétaires et des entités économiques</w:t>
            </w:r>
          </w:p>
        </w:tc>
        <w:tc>
          <w:tcPr>
            <w:tcW w:w="1028" w:type="dxa"/>
            <w:tcBorders>
              <w:top w:val="single" w:sz="12" w:space="0" w:color="auto"/>
            </w:tcBorders>
            <w:shd w:val="clear" w:color="auto" w:fill="auto"/>
            <w:noWrap/>
            <w:vAlign w:val="bottom"/>
            <w:hideMark/>
          </w:tcPr>
          <w:p w14:paraId="646B62FC" w14:textId="1F7E352E"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799,6</w:t>
            </w:r>
          </w:p>
        </w:tc>
        <w:tc>
          <w:tcPr>
            <w:tcW w:w="1216" w:type="dxa"/>
            <w:tcBorders>
              <w:top w:val="single" w:sz="12" w:space="0" w:color="auto"/>
            </w:tcBorders>
            <w:shd w:val="clear" w:color="auto" w:fill="auto"/>
            <w:noWrap/>
            <w:vAlign w:val="bottom"/>
            <w:hideMark/>
          </w:tcPr>
          <w:p w14:paraId="06C14E51" w14:textId="4EACB912"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836,5</w:t>
            </w:r>
          </w:p>
        </w:tc>
        <w:tc>
          <w:tcPr>
            <w:tcW w:w="1216" w:type="dxa"/>
            <w:tcBorders>
              <w:top w:val="single" w:sz="12" w:space="0" w:color="auto"/>
            </w:tcBorders>
            <w:shd w:val="clear" w:color="auto" w:fill="auto"/>
            <w:vAlign w:val="bottom"/>
            <w:hideMark/>
          </w:tcPr>
          <w:p w14:paraId="40E63B10" w14:textId="10EC2A34"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745,3</w:t>
            </w:r>
          </w:p>
        </w:tc>
        <w:tc>
          <w:tcPr>
            <w:tcW w:w="1216" w:type="dxa"/>
            <w:tcBorders>
              <w:top w:val="single" w:sz="12" w:space="0" w:color="auto"/>
            </w:tcBorders>
            <w:shd w:val="clear" w:color="auto" w:fill="auto"/>
            <w:vAlign w:val="bottom"/>
            <w:hideMark/>
          </w:tcPr>
          <w:p w14:paraId="5B74B325" w14:textId="7A24FFFC"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735,0</w:t>
            </w:r>
          </w:p>
        </w:tc>
      </w:tr>
      <w:tr w:rsidR="00DC3725" w:rsidRPr="00DF0A94" w14:paraId="0C9E5F53" w14:textId="77777777" w:rsidTr="00207B12">
        <w:tc>
          <w:tcPr>
            <w:tcW w:w="562" w:type="dxa"/>
            <w:shd w:val="clear" w:color="auto" w:fill="auto"/>
            <w:noWrap/>
            <w:hideMark/>
          </w:tcPr>
          <w:p w14:paraId="337CCA70" w14:textId="7D4BEBF6" w:rsidR="00DC3725" w:rsidRPr="00DC3725" w:rsidRDefault="00DC3725" w:rsidP="00DC3725">
            <w:pPr>
              <w:suppressAutoHyphens w:val="0"/>
              <w:spacing w:before="40" w:after="40" w:line="220" w:lineRule="exact"/>
              <w:ind w:right="113"/>
              <w:rPr>
                <w:sz w:val="18"/>
                <w:szCs w:val="18"/>
              </w:rPr>
            </w:pPr>
            <w:r w:rsidRPr="00DC3725">
              <w:rPr>
                <w:sz w:val="18"/>
                <w:szCs w:val="18"/>
                <w:lang w:val="fr-FR"/>
              </w:rPr>
              <w:t>2</w:t>
            </w:r>
          </w:p>
        </w:tc>
        <w:tc>
          <w:tcPr>
            <w:tcW w:w="2132" w:type="dxa"/>
            <w:gridSpan w:val="2"/>
            <w:shd w:val="clear" w:color="auto" w:fill="auto"/>
            <w:hideMark/>
          </w:tcPr>
          <w:p w14:paraId="556EE907" w14:textId="2287DD0D" w:rsidR="00DC3725" w:rsidRPr="00DC3725" w:rsidRDefault="00DC3725" w:rsidP="00DC3725">
            <w:pPr>
              <w:suppressAutoHyphens w:val="0"/>
              <w:spacing w:before="40" w:after="40" w:line="220" w:lineRule="exact"/>
              <w:ind w:right="113"/>
              <w:rPr>
                <w:sz w:val="18"/>
                <w:szCs w:val="18"/>
              </w:rPr>
            </w:pPr>
            <w:r w:rsidRPr="00DC3725">
              <w:rPr>
                <w:sz w:val="18"/>
                <w:szCs w:val="18"/>
                <w:lang w:val="fr-FR"/>
              </w:rPr>
              <w:t xml:space="preserve">Travailleurs indépendants </w:t>
            </w:r>
          </w:p>
        </w:tc>
        <w:tc>
          <w:tcPr>
            <w:tcW w:w="1028" w:type="dxa"/>
            <w:shd w:val="clear" w:color="auto" w:fill="auto"/>
            <w:noWrap/>
            <w:vAlign w:val="bottom"/>
            <w:hideMark/>
          </w:tcPr>
          <w:p w14:paraId="1AEE902E" w14:textId="6BA394E5"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225,7</w:t>
            </w:r>
          </w:p>
        </w:tc>
        <w:tc>
          <w:tcPr>
            <w:tcW w:w="1216" w:type="dxa"/>
            <w:shd w:val="clear" w:color="auto" w:fill="auto"/>
            <w:noWrap/>
            <w:vAlign w:val="bottom"/>
            <w:hideMark/>
          </w:tcPr>
          <w:p w14:paraId="4D1DF7FF" w14:textId="2FFAEF95"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216,3</w:t>
            </w:r>
          </w:p>
        </w:tc>
        <w:tc>
          <w:tcPr>
            <w:tcW w:w="1216" w:type="dxa"/>
            <w:shd w:val="clear" w:color="auto" w:fill="auto"/>
            <w:vAlign w:val="bottom"/>
            <w:hideMark/>
          </w:tcPr>
          <w:p w14:paraId="11BFCFD3" w14:textId="6CBE972E"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175,1</w:t>
            </w:r>
          </w:p>
        </w:tc>
        <w:tc>
          <w:tcPr>
            <w:tcW w:w="1216" w:type="dxa"/>
            <w:shd w:val="clear" w:color="auto" w:fill="auto"/>
            <w:vAlign w:val="bottom"/>
            <w:hideMark/>
          </w:tcPr>
          <w:p w14:paraId="0694917F" w14:textId="24029589"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119,2</w:t>
            </w:r>
          </w:p>
        </w:tc>
      </w:tr>
      <w:tr w:rsidR="00DC3725" w:rsidRPr="00DF0A94" w14:paraId="5D1F72D2" w14:textId="77777777" w:rsidTr="00207B12">
        <w:tc>
          <w:tcPr>
            <w:tcW w:w="562" w:type="dxa"/>
            <w:shd w:val="clear" w:color="auto" w:fill="auto"/>
            <w:noWrap/>
            <w:hideMark/>
          </w:tcPr>
          <w:p w14:paraId="32BBB0BF" w14:textId="3F87FC53" w:rsidR="00DC3725" w:rsidRPr="00DC3725" w:rsidRDefault="00DC3725" w:rsidP="00DC3725">
            <w:pPr>
              <w:suppressAutoHyphens w:val="0"/>
              <w:spacing w:before="40" w:after="40" w:line="220" w:lineRule="exact"/>
              <w:ind w:right="113"/>
              <w:rPr>
                <w:sz w:val="18"/>
                <w:szCs w:val="18"/>
              </w:rPr>
            </w:pPr>
            <w:r w:rsidRPr="00DC3725">
              <w:rPr>
                <w:sz w:val="18"/>
                <w:szCs w:val="18"/>
                <w:lang w:val="fr-FR"/>
              </w:rPr>
              <w:t>3</w:t>
            </w:r>
          </w:p>
        </w:tc>
        <w:tc>
          <w:tcPr>
            <w:tcW w:w="2132" w:type="dxa"/>
            <w:gridSpan w:val="2"/>
            <w:shd w:val="clear" w:color="auto" w:fill="auto"/>
            <w:hideMark/>
          </w:tcPr>
          <w:p w14:paraId="65784EB3" w14:textId="7E206D6B" w:rsidR="00DC3725" w:rsidRPr="00DC3725" w:rsidRDefault="00DC3725" w:rsidP="00DC3725">
            <w:pPr>
              <w:suppressAutoHyphens w:val="0"/>
              <w:spacing w:before="40" w:after="40" w:line="220" w:lineRule="exact"/>
              <w:ind w:right="113"/>
              <w:rPr>
                <w:sz w:val="18"/>
                <w:szCs w:val="18"/>
              </w:rPr>
            </w:pPr>
            <w:r w:rsidRPr="00DC3725">
              <w:rPr>
                <w:sz w:val="18"/>
                <w:szCs w:val="18"/>
                <w:lang w:val="fr-FR"/>
              </w:rPr>
              <w:t>Étudiants et élèves</w:t>
            </w:r>
          </w:p>
        </w:tc>
        <w:tc>
          <w:tcPr>
            <w:tcW w:w="1028" w:type="dxa"/>
            <w:shd w:val="clear" w:color="auto" w:fill="auto"/>
            <w:noWrap/>
            <w:vAlign w:val="bottom"/>
            <w:hideMark/>
          </w:tcPr>
          <w:p w14:paraId="53701586" w14:textId="0D177924"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59,1</w:t>
            </w:r>
          </w:p>
        </w:tc>
        <w:tc>
          <w:tcPr>
            <w:tcW w:w="1216" w:type="dxa"/>
            <w:shd w:val="clear" w:color="auto" w:fill="auto"/>
            <w:noWrap/>
            <w:vAlign w:val="bottom"/>
            <w:hideMark/>
          </w:tcPr>
          <w:p w14:paraId="0DF6901F" w14:textId="036C6DBC"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51,3</w:t>
            </w:r>
          </w:p>
        </w:tc>
        <w:tc>
          <w:tcPr>
            <w:tcW w:w="1216" w:type="dxa"/>
            <w:shd w:val="clear" w:color="auto" w:fill="auto"/>
            <w:vAlign w:val="bottom"/>
            <w:hideMark/>
          </w:tcPr>
          <w:p w14:paraId="4703B1F4" w14:textId="1B086679"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47,3</w:t>
            </w:r>
          </w:p>
        </w:tc>
        <w:tc>
          <w:tcPr>
            <w:tcW w:w="1216" w:type="dxa"/>
            <w:shd w:val="clear" w:color="auto" w:fill="auto"/>
            <w:vAlign w:val="bottom"/>
            <w:hideMark/>
          </w:tcPr>
          <w:p w14:paraId="73CEBC6C" w14:textId="1241CF11"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19,6</w:t>
            </w:r>
          </w:p>
        </w:tc>
      </w:tr>
      <w:tr w:rsidR="00DC3725" w:rsidRPr="00DF0A94" w14:paraId="27DE7FA5" w14:textId="77777777" w:rsidTr="00207B12">
        <w:tc>
          <w:tcPr>
            <w:tcW w:w="562" w:type="dxa"/>
            <w:shd w:val="clear" w:color="auto" w:fill="auto"/>
            <w:noWrap/>
            <w:hideMark/>
          </w:tcPr>
          <w:p w14:paraId="1A84B83C" w14:textId="0E4C1092" w:rsidR="00DC3725" w:rsidRPr="00DC3725" w:rsidRDefault="00DC3725" w:rsidP="00DC3725">
            <w:pPr>
              <w:suppressAutoHyphens w:val="0"/>
              <w:spacing w:before="40" w:after="40" w:line="220" w:lineRule="exact"/>
              <w:ind w:right="113"/>
              <w:rPr>
                <w:sz w:val="18"/>
                <w:szCs w:val="18"/>
              </w:rPr>
            </w:pPr>
            <w:r w:rsidRPr="00DC3725">
              <w:rPr>
                <w:sz w:val="18"/>
                <w:szCs w:val="18"/>
                <w:lang w:val="fr-FR"/>
              </w:rPr>
              <w:t>4</w:t>
            </w:r>
          </w:p>
        </w:tc>
        <w:tc>
          <w:tcPr>
            <w:tcW w:w="2132" w:type="dxa"/>
            <w:gridSpan w:val="2"/>
            <w:shd w:val="clear" w:color="auto" w:fill="auto"/>
            <w:noWrap/>
            <w:hideMark/>
          </w:tcPr>
          <w:p w14:paraId="709C9662" w14:textId="6911918F" w:rsidR="00DC3725" w:rsidRPr="00DC3725" w:rsidRDefault="00DC3725" w:rsidP="00DC3725">
            <w:pPr>
              <w:suppressAutoHyphens w:val="0"/>
              <w:spacing w:before="40" w:after="40" w:line="220" w:lineRule="exact"/>
              <w:ind w:right="113"/>
              <w:rPr>
                <w:sz w:val="18"/>
                <w:szCs w:val="18"/>
              </w:rPr>
            </w:pPr>
            <w:r w:rsidRPr="00DC3725">
              <w:rPr>
                <w:sz w:val="18"/>
                <w:szCs w:val="18"/>
                <w:lang w:val="fr-FR"/>
              </w:rPr>
              <w:t>Éleveurs</w:t>
            </w:r>
          </w:p>
        </w:tc>
        <w:tc>
          <w:tcPr>
            <w:tcW w:w="1028" w:type="dxa"/>
            <w:shd w:val="clear" w:color="auto" w:fill="auto"/>
            <w:noWrap/>
            <w:vAlign w:val="bottom"/>
            <w:hideMark/>
          </w:tcPr>
          <w:p w14:paraId="42421D78" w14:textId="35D7FA56"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133,4</w:t>
            </w:r>
          </w:p>
        </w:tc>
        <w:tc>
          <w:tcPr>
            <w:tcW w:w="1216" w:type="dxa"/>
            <w:shd w:val="clear" w:color="auto" w:fill="auto"/>
            <w:noWrap/>
            <w:vAlign w:val="bottom"/>
            <w:hideMark/>
          </w:tcPr>
          <w:p w14:paraId="7D7165C6" w14:textId="048616D9"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114,7</w:t>
            </w:r>
          </w:p>
        </w:tc>
        <w:tc>
          <w:tcPr>
            <w:tcW w:w="1216" w:type="dxa"/>
            <w:shd w:val="clear" w:color="auto" w:fill="auto"/>
            <w:vAlign w:val="bottom"/>
            <w:hideMark/>
          </w:tcPr>
          <w:p w14:paraId="025A4D54" w14:textId="28B40B58"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93,0</w:t>
            </w:r>
          </w:p>
        </w:tc>
        <w:tc>
          <w:tcPr>
            <w:tcW w:w="1216" w:type="dxa"/>
            <w:shd w:val="clear" w:color="auto" w:fill="auto"/>
            <w:vAlign w:val="bottom"/>
            <w:hideMark/>
          </w:tcPr>
          <w:p w14:paraId="5D552E4F" w14:textId="64C97D85"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67,6</w:t>
            </w:r>
          </w:p>
        </w:tc>
      </w:tr>
      <w:tr w:rsidR="00DC3725" w:rsidRPr="00DF0A94" w14:paraId="7338E562" w14:textId="77777777" w:rsidTr="00207B12">
        <w:tc>
          <w:tcPr>
            <w:tcW w:w="562" w:type="dxa"/>
            <w:shd w:val="clear" w:color="auto" w:fill="auto"/>
            <w:noWrap/>
            <w:hideMark/>
          </w:tcPr>
          <w:p w14:paraId="1DD3997C" w14:textId="7CB9DF96" w:rsidR="00DC3725" w:rsidRPr="00DC3725" w:rsidRDefault="00DC3725" w:rsidP="00DC3725">
            <w:pPr>
              <w:suppressAutoHyphens w:val="0"/>
              <w:spacing w:before="40" w:after="40" w:line="220" w:lineRule="exact"/>
              <w:ind w:right="113"/>
              <w:rPr>
                <w:sz w:val="18"/>
                <w:szCs w:val="18"/>
              </w:rPr>
            </w:pPr>
            <w:r w:rsidRPr="00DC3725">
              <w:rPr>
                <w:sz w:val="18"/>
                <w:szCs w:val="18"/>
                <w:lang w:val="fr-FR"/>
              </w:rPr>
              <w:t>5</w:t>
            </w:r>
          </w:p>
        </w:tc>
        <w:tc>
          <w:tcPr>
            <w:tcW w:w="2132" w:type="dxa"/>
            <w:gridSpan w:val="2"/>
            <w:shd w:val="clear" w:color="auto" w:fill="auto"/>
            <w:hideMark/>
          </w:tcPr>
          <w:p w14:paraId="59B3FAE5" w14:textId="40362FF7" w:rsidR="00DC3725" w:rsidRPr="00DC3725" w:rsidRDefault="00DC3725" w:rsidP="00DC3725">
            <w:pPr>
              <w:suppressAutoHyphens w:val="0"/>
              <w:spacing w:before="40" w:after="40" w:line="220" w:lineRule="exact"/>
              <w:ind w:right="113"/>
              <w:rPr>
                <w:sz w:val="18"/>
                <w:szCs w:val="18"/>
              </w:rPr>
            </w:pPr>
            <w:r w:rsidRPr="00DC3725">
              <w:rPr>
                <w:sz w:val="18"/>
                <w:szCs w:val="18"/>
                <w:lang w:val="fr-FR"/>
              </w:rPr>
              <w:t>Ressortissants étrangers et personnes apatrides</w:t>
            </w:r>
          </w:p>
        </w:tc>
        <w:tc>
          <w:tcPr>
            <w:tcW w:w="1028" w:type="dxa"/>
            <w:shd w:val="clear" w:color="auto" w:fill="auto"/>
            <w:noWrap/>
            <w:vAlign w:val="bottom"/>
            <w:hideMark/>
          </w:tcPr>
          <w:p w14:paraId="68ACFCA7" w14:textId="5F269B65"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0,5</w:t>
            </w:r>
          </w:p>
        </w:tc>
        <w:tc>
          <w:tcPr>
            <w:tcW w:w="1216" w:type="dxa"/>
            <w:shd w:val="clear" w:color="auto" w:fill="auto"/>
            <w:noWrap/>
            <w:vAlign w:val="bottom"/>
            <w:hideMark/>
          </w:tcPr>
          <w:p w14:paraId="4F658E39" w14:textId="774CE83F"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0,5</w:t>
            </w:r>
          </w:p>
        </w:tc>
        <w:tc>
          <w:tcPr>
            <w:tcW w:w="1216" w:type="dxa"/>
            <w:shd w:val="clear" w:color="auto" w:fill="auto"/>
            <w:vAlign w:val="bottom"/>
            <w:hideMark/>
          </w:tcPr>
          <w:p w14:paraId="060E0EB5" w14:textId="50A4C4BE"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0,1</w:t>
            </w:r>
          </w:p>
        </w:tc>
        <w:tc>
          <w:tcPr>
            <w:tcW w:w="1216" w:type="dxa"/>
            <w:shd w:val="clear" w:color="auto" w:fill="auto"/>
            <w:vAlign w:val="bottom"/>
            <w:hideMark/>
          </w:tcPr>
          <w:p w14:paraId="6456DBBE" w14:textId="4C8008B1"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0,3</w:t>
            </w:r>
          </w:p>
        </w:tc>
      </w:tr>
      <w:tr w:rsidR="00DC3725" w:rsidRPr="00DF0A94" w14:paraId="3F14E9D4" w14:textId="77777777" w:rsidTr="00207B12">
        <w:tc>
          <w:tcPr>
            <w:tcW w:w="562" w:type="dxa"/>
            <w:shd w:val="clear" w:color="auto" w:fill="auto"/>
            <w:noWrap/>
            <w:hideMark/>
          </w:tcPr>
          <w:p w14:paraId="68C4C6E0" w14:textId="5E818516" w:rsidR="00DC3725" w:rsidRPr="00DC3725" w:rsidRDefault="00DC3725" w:rsidP="00DC3725">
            <w:pPr>
              <w:suppressAutoHyphens w:val="0"/>
              <w:spacing w:before="40" w:after="40" w:line="220" w:lineRule="exact"/>
              <w:ind w:right="113"/>
              <w:rPr>
                <w:sz w:val="18"/>
                <w:szCs w:val="18"/>
              </w:rPr>
            </w:pPr>
            <w:r w:rsidRPr="00DC3725">
              <w:rPr>
                <w:sz w:val="18"/>
                <w:szCs w:val="18"/>
                <w:lang w:val="fr-FR"/>
              </w:rPr>
              <w:t>6</w:t>
            </w:r>
          </w:p>
        </w:tc>
        <w:tc>
          <w:tcPr>
            <w:tcW w:w="2132" w:type="dxa"/>
            <w:gridSpan w:val="2"/>
            <w:shd w:val="clear" w:color="auto" w:fill="auto"/>
            <w:noWrap/>
            <w:hideMark/>
          </w:tcPr>
          <w:p w14:paraId="600E7D54" w14:textId="61AFDF35" w:rsidR="00DC3725" w:rsidRPr="00DC3725" w:rsidRDefault="00DC3725" w:rsidP="00DC3725">
            <w:pPr>
              <w:suppressAutoHyphens w:val="0"/>
              <w:spacing w:before="40" w:after="40" w:line="220" w:lineRule="exact"/>
              <w:ind w:right="113"/>
              <w:rPr>
                <w:sz w:val="18"/>
                <w:szCs w:val="18"/>
              </w:rPr>
            </w:pPr>
            <w:r w:rsidRPr="00DC3725">
              <w:rPr>
                <w:sz w:val="18"/>
                <w:szCs w:val="18"/>
                <w:lang w:val="fr-FR"/>
              </w:rPr>
              <w:t>Personnes prises en charge par l</w:t>
            </w:r>
            <w:r w:rsidR="009C7759">
              <w:rPr>
                <w:sz w:val="18"/>
                <w:szCs w:val="18"/>
                <w:lang w:val="fr-FR"/>
              </w:rPr>
              <w:t>’</w:t>
            </w:r>
            <w:r w:rsidRPr="00DC3725">
              <w:rPr>
                <w:sz w:val="18"/>
                <w:szCs w:val="18"/>
                <w:lang w:val="fr-FR"/>
              </w:rPr>
              <w:t>État</w:t>
            </w:r>
          </w:p>
        </w:tc>
        <w:tc>
          <w:tcPr>
            <w:tcW w:w="1028" w:type="dxa"/>
            <w:shd w:val="clear" w:color="auto" w:fill="auto"/>
            <w:noWrap/>
            <w:vAlign w:val="bottom"/>
            <w:hideMark/>
          </w:tcPr>
          <w:p w14:paraId="26EAE652" w14:textId="33505FEB"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1 519,7</w:t>
            </w:r>
          </w:p>
        </w:tc>
        <w:tc>
          <w:tcPr>
            <w:tcW w:w="1216" w:type="dxa"/>
            <w:shd w:val="clear" w:color="auto" w:fill="auto"/>
            <w:noWrap/>
            <w:vAlign w:val="bottom"/>
            <w:hideMark/>
          </w:tcPr>
          <w:p w14:paraId="1C92935C" w14:textId="1E1B1B21"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1 764,6</w:t>
            </w:r>
          </w:p>
        </w:tc>
        <w:tc>
          <w:tcPr>
            <w:tcW w:w="1216" w:type="dxa"/>
            <w:shd w:val="clear" w:color="auto" w:fill="auto"/>
            <w:vAlign w:val="bottom"/>
            <w:hideMark/>
          </w:tcPr>
          <w:p w14:paraId="3E2BF369" w14:textId="5D02CAF5"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1 763,9</w:t>
            </w:r>
          </w:p>
        </w:tc>
        <w:tc>
          <w:tcPr>
            <w:tcW w:w="1216" w:type="dxa"/>
            <w:shd w:val="clear" w:color="auto" w:fill="auto"/>
            <w:vAlign w:val="bottom"/>
            <w:hideMark/>
          </w:tcPr>
          <w:p w14:paraId="3725C575" w14:textId="267EDC02"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1 978,7</w:t>
            </w:r>
          </w:p>
        </w:tc>
      </w:tr>
      <w:tr w:rsidR="00DC3725" w:rsidRPr="00DF0A94" w14:paraId="04F9828B" w14:textId="77777777" w:rsidTr="00207B12">
        <w:tc>
          <w:tcPr>
            <w:tcW w:w="562" w:type="dxa"/>
            <w:tcBorders>
              <w:bottom w:val="single" w:sz="4" w:space="0" w:color="auto"/>
            </w:tcBorders>
            <w:shd w:val="clear" w:color="auto" w:fill="auto"/>
            <w:noWrap/>
            <w:hideMark/>
          </w:tcPr>
          <w:p w14:paraId="205B3911" w14:textId="6857B910" w:rsidR="00DC3725" w:rsidRPr="00DC3725" w:rsidRDefault="00DC3725" w:rsidP="00DC3725">
            <w:pPr>
              <w:suppressAutoHyphens w:val="0"/>
              <w:spacing w:before="40" w:after="40" w:line="220" w:lineRule="exact"/>
              <w:ind w:right="113"/>
              <w:rPr>
                <w:sz w:val="18"/>
                <w:szCs w:val="18"/>
              </w:rPr>
            </w:pPr>
            <w:r w:rsidRPr="00DC3725">
              <w:rPr>
                <w:sz w:val="18"/>
                <w:szCs w:val="18"/>
                <w:lang w:val="fr-FR"/>
              </w:rPr>
              <w:t>7</w:t>
            </w:r>
          </w:p>
        </w:tc>
        <w:tc>
          <w:tcPr>
            <w:tcW w:w="2132" w:type="dxa"/>
            <w:gridSpan w:val="2"/>
            <w:tcBorders>
              <w:bottom w:val="single" w:sz="4" w:space="0" w:color="auto"/>
            </w:tcBorders>
            <w:shd w:val="clear" w:color="auto" w:fill="auto"/>
            <w:noWrap/>
            <w:hideMark/>
          </w:tcPr>
          <w:p w14:paraId="66A90CDA" w14:textId="6BE92C0B" w:rsidR="00DC3725" w:rsidRPr="00DC3725" w:rsidRDefault="00DC3725" w:rsidP="00DC3725">
            <w:pPr>
              <w:suppressAutoHyphens w:val="0"/>
              <w:spacing w:before="40" w:after="40" w:line="220" w:lineRule="exact"/>
              <w:ind w:right="113"/>
              <w:rPr>
                <w:sz w:val="18"/>
                <w:szCs w:val="18"/>
              </w:rPr>
            </w:pPr>
            <w:r w:rsidRPr="00DC3725">
              <w:rPr>
                <w:sz w:val="18"/>
                <w:szCs w:val="18"/>
                <w:lang w:val="fr-FR"/>
              </w:rPr>
              <w:t>Autres catégories</w:t>
            </w:r>
          </w:p>
        </w:tc>
        <w:tc>
          <w:tcPr>
            <w:tcW w:w="1028" w:type="dxa"/>
            <w:tcBorders>
              <w:bottom w:val="single" w:sz="4" w:space="0" w:color="auto"/>
            </w:tcBorders>
            <w:shd w:val="clear" w:color="auto" w:fill="auto"/>
            <w:noWrap/>
            <w:vAlign w:val="bottom"/>
            <w:hideMark/>
          </w:tcPr>
          <w:p w14:paraId="7E5EF290" w14:textId="4C75747C" w:rsidR="00DC3725" w:rsidRPr="00DC3725" w:rsidRDefault="00DC3725" w:rsidP="00DC3725">
            <w:pPr>
              <w:suppressAutoHyphens w:val="0"/>
              <w:spacing w:before="40" w:after="40" w:line="220" w:lineRule="exact"/>
              <w:ind w:right="113"/>
              <w:jc w:val="right"/>
              <w:rPr>
                <w:sz w:val="18"/>
                <w:szCs w:val="18"/>
              </w:rPr>
            </w:pPr>
            <w:r w:rsidRPr="00DC3725">
              <w:rPr>
                <w:sz w:val="18"/>
                <w:szCs w:val="18"/>
              </w:rPr>
              <w:t>-</w:t>
            </w:r>
          </w:p>
        </w:tc>
        <w:tc>
          <w:tcPr>
            <w:tcW w:w="1216" w:type="dxa"/>
            <w:tcBorders>
              <w:bottom w:val="single" w:sz="4" w:space="0" w:color="auto"/>
            </w:tcBorders>
            <w:shd w:val="clear" w:color="auto" w:fill="auto"/>
            <w:noWrap/>
            <w:vAlign w:val="bottom"/>
            <w:hideMark/>
          </w:tcPr>
          <w:p w14:paraId="1B8C89AF" w14:textId="6C39CF95" w:rsidR="00DC3725" w:rsidRPr="00DC3725" w:rsidRDefault="00DC3725" w:rsidP="00DC3725">
            <w:pPr>
              <w:suppressAutoHyphens w:val="0"/>
              <w:spacing w:before="40" w:after="40" w:line="220" w:lineRule="exact"/>
              <w:ind w:right="113"/>
              <w:jc w:val="right"/>
              <w:rPr>
                <w:sz w:val="18"/>
                <w:szCs w:val="18"/>
              </w:rPr>
            </w:pPr>
            <w:r w:rsidRPr="00DC3725">
              <w:rPr>
                <w:sz w:val="18"/>
                <w:szCs w:val="18"/>
              </w:rPr>
              <w:t>-</w:t>
            </w:r>
          </w:p>
        </w:tc>
        <w:tc>
          <w:tcPr>
            <w:tcW w:w="1216" w:type="dxa"/>
            <w:tcBorders>
              <w:bottom w:val="single" w:sz="4" w:space="0" w:color="auto"/>
            </w:tcBorders>
            <w:shd w:val="clear" w:color="auto" w:fill="auto"/>
            <w:vAlign w:val="bottom"/>
            <w:hideMark/>
          </w:tcPr>
          <w:p w14:paraId="798AAC5A" w14:textId="493C8C10"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0,1</w:t>
            </w:r>
          </w:p>
        </w:tc>
        <w:tc>
          <w:tcPr>
            <w:tcW w:w="1216" w:type="dxa"/>
            <w:tcBorders>
              <w:bottom w:val="single" w:sz="4" w:space="0" w:color="auto"/>
            </w:tcBorders>
            <w:shd w:val="clear" w:color="auto" w:fill="auto"/>
            <w:vAlign w:val="bottom"/>
            <w:hideMark/>
          </w:tcPr>
          <w:p w14:paraId="5802F839" w14:textId="5B4E8E89"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0,3</w:t>
            </w:r>
          </w:p>
        </w:tc>
      </w:tr>
      <w:tr w:rsidR="00DC3725" w:rsidRPr="00DF0A94" w14:paraId="1BE64E7B" w14:textId="77777777" w:rsidTr="00207B12">
        <w:tc>
          <w:tcPr>
            <w:tcW w:w="2694" w:type="dxa"/>
            <w:gridSpan w:val="3"/>
            <w:tcBorders>
              <w:top w:val="single" w:sz="4" w:space="0" w:color="auto"/>
              <w:bottom w:val="single" w:sz="4" w:space="0" w:color="auto"/>
            </w:tcBorders>
            <w:shd w:val="clear" w:color="auto" w:fill="auto"/>
            <w:noWrap/>
            <w:hideMark/>
          </w:tcPr>
          <w:p w14:paraId="7311CE2F" w14:textId="77777777" w:rsidR="00DC3725" w:rsidRPr="00DF0A94" w:rsidRDefault="00DC3725" w:rsidP="00DC3725">
            <w:pPr>
              <w:suppressAutoHyphens w:val="0"/>
              <w:spacing w:before="80" w:after="80" w:line="220" w:lineRule="exact"/>
              <w:ind w:left="283"/>
              <w:rPr>
                <w:b/>
                <w:sz w:val="18"/>
              </w:rPr>
            </w:pPr>
            <w:r w:rsidRPr="00DF0A94">
              <w:rPr>
                <w:b/>
                <w:sz w:val="18"/>
              </w:rPr>
              <w:t>Total</w:t>
            </w:r>
          </w:p>
        </w:tc>
        <w:tc>
          <w:tcPr>
            <w:tcW w:w="1028" w:type="dxa"/>
            <w:tcBorders>
              <w:top w:val="single" w:sz="4" w:space="0" w:color="auto"/>
              <w:bottom w:val="single" w:sz="4" w:space="0" w:color="auto"/>
            </w:tcBorders>
            <w:shd w:val="clear" w:color="auto" w:fill="auto"/>
            <w:noWrap/>
            <w:vAlign w:val="bottom"/>
            <w:hideMark/>
          </w:tcPr>
          <w:p w14:paraId="0D1FCA0D" w14:textId="73311558" w:rsidR="00DC3725" w:rsidRPr="00DC3725" w:rsidRDefault="00DC3725" w:rsidP="00207B12">
            <w:pPr>
              <w:suppressAutoHyphens w:val="0"/>
              <w:spacing w:before="80" w:after="80" w:line="220" w:lineRule="exact"/>
              <w:ind w:right="113"/>
              <w:jc w:val="right"/>
              <w:rPr>
                <w:b/>
                <w:bCs/>
                <w:sz w:val="18"/>
                <w:szCs w:val="18"/>
              </w:rPr>
            </w:pPr>
            <w:r w:rsidRPr="00DC3725">
              <w:rPr>
                <w:b/>
                <w:bCs/>
                <w:sz w:val="18"/>
                <w:szCs w:val="18"/>
                <w:lang w:val="fr-FR"/>
              </w:rPr>
              <w:t>2 737,9</w:t>
            </w:r>
          </w:p>
        </w:tc>
        <w:tc>
          <w:tcPr>
            <w:tcW w:w="1216" w:type="dxa"/>
            <w:tcBorders>
              <w:top w:val="single" w:sz="4" w:space="0" w:color="auto"/>
              <w:bottom w:val="single" w:sz="4" w:space="0" w:color="auto"/>
            </w:tcBorders>
            <w:shd w:val="clear" w:color="auto" w:fill="auto"/>
            <w:noWrap/>
            <w:vAlign w:val="bottom"/>
            <w:hideMark/>
          </w:tcPr>
          <w:p w14:paraId="17971AA2" w14:textId="2FD575E7" w:rsidR="00DC3725" w:rsidRPr="00DC3725" w:rsidRDefault="00DC3725" w:rsidP="00207B12">
            <w:pPr>
              <w:suppressAutoHyphens w:val="0"/>
              <w:spacing w:before="80" w:after="80" w:line="220" w:lineRule="exact"/>
              <w:ind w:right="113"/>
              <w:jc w:val="right"/>
              <w:rPr>
                <w:b/>
                <w:bCs/>
                <w:sz w:val="18"/>
                <w:szCs w:val="18"/>
              </w:rPr>
            </w:pPr>
            <w:r w:rsidRPr="00DC3725">
              <w:rPr>
                <w:b/>
                <w:bCs/>
                <w:sz w:val="18"/>
                <w:szCs w:val="18"/>
                <w:lang w:val="fr-FR"/>
              </w:rPr>
              <w:t>2 983,9</w:t>
            </w:r>
          </w:p>
        </w:tc>
        <w:tc>
          <w:tcPr>
            <w:tcW w:w="1216" w:type="dxa"/>
            <w:tcBorders>
              <w:top w:val="single" w:sz="4" w:space="0" w:color="auto"/>
              <w:bottom w:val="single" w:sz="4" w:space="0" w:color="auto"/>
            </w:tcBorders>
            <w:shd w:val="clear" w:color="auto" w:fill="auto"/>
            <w:noWrap/>
            <w:vAlign w:val="bottom"/>
            <w:hideMark/>
          </w:tcPr>
          <w:p w14:paraId="1AE57E63" w14:textId="75BEB6A8" w:rsidR="00DC3725" w:rsidRPr="00DC3725" w:rsidRDefault="00DC3725" w:rsidP="00207B12">
            <w:pPr>
              <w:suppressAutoHyphens w:val="0"/>
              <w:spacing w:before="80" w:after="80" w:line="220" w:lineRule="exact"/>
              <w:ind w:right="113"/>
              <w:jc w:val="right"/>
              <w:rPr>
                <w:b/>
                <w:bCs/>
                <w:sz w:val="18"/>
                <w:szCs w:val="18"/>
              </w:rPr>
            </w:pPr>
            <w:r w:rsidRPr="00DC3725">
              <w:rPr>
                <w:b/>
                <w:bCs/>
                <w:sz w:val="18"/>
                <w:szCs w:val="18"/>
                <w:lang w:val="fr-FR"/>
              </w:rPr>
              <w:t>2 824,7</w:t>
            </w:r>
          </w:p>
        </w:tc>
        <w:tc>
          <w:tcPr>
            <w:tcW w:w="1216" w:type="dxa"/>
            <w:tcBorders>
              <w:top w:val="single" w:sz="4" w:space="0" w:color="auto"/>
              <w:bottom w:val="single" w:sz="4" w:space="0" w:color="auto"/>
            </w:tcBorders>
            <w:shd w:val="clear" w:color="auto" w:fill="auto"/>
            <w:noWrap/>
            <w:vAlign w:val="bottom"/>
            <w:hideMark/>
          </w:tcPr>
          <w:p w14:paraId="712E6504" w14:textId="2BCB6DD3" w:rsidR="00DC3725" w:rsidRPr="00DC3725" w:rsidRDefault="00DC3725" w:rsidP="00207B12">
            <w:pPr>
              <w:suppressAutoHyphens w:val="0"/>
              <w:spacing w:before="80" w:after="80" w:line="220" w:lineRule="exact"/>
              <w:ind w:right="113"/>
              <w:jc w:val="right"/>
              <w:rPr>
                <w:b/>
                <w:bCs/>
                <w:sz w:val="18"/>
                <w:szCs w:val="18"/>
              </w:rPr>
            </w:pPr>
            <w:r w:rsidRPr="00DC3725">
              <w:rPr>
                <w:b/>
                <w:bCs/>
                <w:sz w:val="18"/>
                <w:szCs w:val="18"/>
                <w:lang w:val="fr-FR"/>
              </w:rPr>
              <w:t>2 920,8</w:t>
            </w:r>
          </w:p>
        </w:tc>
      </w:tr>
      <w:tr w:rsidR="00DC3725" w:rsidRPr="00DF0A94" w14:paraId="47C840BF" w14:textId="77777777" w:rsidTr="00207B12">
        <w:tc>
          <w:tcPr>
            <w:tcW w:w="2694" w:type="dxa"/>
            <w:gridSpan w:val="3"/>
            <w:tcBorders>
              <w:top w:val="single" w:sz="4" w:space="0" w:color="auto"/>
            </w:tcBorders>
            <w:shd w:val="clear" w:color="auto" w:fill="auto"/>
            <w:noWrap/>
            <w:hideMark/>
          </w:tcPr>
          <w:p w14:paraId="6D5D7A41" w14:textId="66D894EF" w:rsidR="00DC3725" w:rsidRPr="00DF0A94" w:rsidRDefault="00DC3725" w:rsidP="00DC3725">
            <w:pPr>
              <w:suppressAutoHyphens w:val="0"/>
              <w:spacing w:before="40" w:after="40" w:line="220" w:lineRule="exact"/>
              <w:ind w:right="113"/>
              <w:rPr>
                <w:sz w:val="18"/>
              </w:rPr>
            </w:pPr>
            <w:r w:rsidRPr="00DF0A94">
              <w:rPr>
                <w:sz w:val="18"/>
              </w:rPr>
              <w:t>P</w:t>
            </w:r>
            <w:r>
              <w:rPr>
                <w:sz w:val="18"/>
              </w:rPr>
              <w:t>ou</w:t>
            </w:r>
            <w:r w:rsidRPr="00DF0A94">
              <w:rPr>
                <w:sz w:val="18"/>
              </w:rPr>
              <w:t>rcentage</w:t>
            </w:r>
          </w:p>
        </w:tc>
        <w:tc>
          <w:tcPr>
            <w:tcW w:w="1028" w:type="dxa"/>
            <w:tcBorders>
              <w:top w:val="single" w:sz="4" w:space="0" w:color="auto"/>
            </w:tcBorders>
            <w:shd w:val="clear" w:color="auto" w:fill="auto"/>
            <w:noWrap/>
            <w:vAlign w:val="bottom"/>
            <w:hideMark/>
          </w:tcPr>
          <w:p w14:paraId="36280AF2" w14:textId="10D4FF40"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87,8</w:t>
            </w:r>
          </w:p>
        </w:tc>
        <w:tc>
          <w:tcPr>
            <w:tcW w:w="1216" w:type="dxa"/>
            <w:tcBorders>
              <w:top w:val="single" w:sz="4" w:space="0" w:color="auto"/>
            </w:tcBorders>
            <w:shd w:val="clear" w:color="auto" w:fill="auto"/>
            <w:noWrap/>
            <w:vAlign w:val="bottom"/>
            <w:hideMark/>
          </w:tcPr>
          <w:p w14:paraId="3938BF28" w14:textId="79BCCA3D"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95,6</w:t>
            </w:r>
          </w:p>
        </w:tc>
        <w:tc>
          <w:tcPr>
            <w:tcW w:w="1216" w:type="dxa"/>
            <w:tcBorders>
              <w:top w:val="single" w:sz="4" w:space="0" w:color="auto"/>
            </w:tcBorders>
            <w:shd w:val="clear" w:color="auto" w:fill="auto"/>
            <w:noWrap/>
            <w:vAlign w:val="bottom"/>
            <w:hideMark/>
          </w:tcPr>
          <w:p w14:paraId="510A21D2" w14:textId="67C9304E"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89,9</w:t>
            </w:r>
          </w:p>
        </w:tc>
        <w:tc>
          <w:tcPr>
            <w:tcW w:w="1216" w:type="dxa"/>
            <w:tcBorders>
              <w:top w:val="single" w:sz="4" w:space="0" w:color="auto"/>
            </w:tcBorders>
            <w:shd w:val="clear" w:color="auto" w:fill="auto"/>
            <w:noWrap/>
            <w:vAlign w:val="bottom"/>
            <w:hideMark/>
          </w:tcPr>
          <w:p w14:paraId="0CC0494A" w14:textId="718F0C17" w:rsidR="00DC3725" w:rsidRPr="00DC3725" w:rsidRDefault="00DC3725" w:rsidP="00DC3725">
            <w:pPr>
              <w:suppressAutoHyphens w:val="0"/>
              <w:spacing w:before="40" w:after="40" w:line="220" w:lineRule="exact"/>
              <w:ind w:right="113"/>
              <w:jc w:val="right"/>
              <w:rPr>
                <w:sz w:val="18"/>
                <w:szCs w:val="18"/>
              </w:rPr>
            </w:pPr>
            <w:r w:rsidRPr="00DC3725">
              <w:rPr>
                <w:sz w:val="18"/>
                <w:szCs w:val="18"/>
                <w:lang w:val="fr-FR"/>
              </w:rPr>
              <w:t>90,2</w:t>
            </w:r>
          </w:p>
        </w:tc>
      </w:tr>
    </w:tbl>
    <w:p w14:paraId="195182DE" w14:textId="4EAF09A2" w:rsidR="00560776" w:rsidRPr="00DC3725" w:rsidRDefault="00560776" w:rsidP="00DC3725">
      <w:pPr>
        <w:pStyle w:val="SingleTxtG"/>
        <w:spacing w:before="120"/>
        <w:ind w:firstLine="170"/>
        <w:rPr>
          <w:sz w:val="18"/>
          <w:szCs w:val="18"/>
        </w:rPr>
      </w:pPr>
      <w:r w:rsidRPr="00DC3725">
        <w:rPr>
          <w:i/>
          <w:iCs/>
          <w:sz w:val="18"/>
          <w:szCs w:val="18"/>
        </w:rPr>
        <w:t>Source</w:t>
      </w:r>
      <w:r w:rsidR="00A737F5">
        <w:rPr>
          <w:sz w:val="18"/>
          <w:szCs w:val="18"/>
        </w:rPr>
        <w:t> </w:t>
      </w:r>
      <w:r w:rsidRPr="00DC3725">
        <w:rPr>
          <w:sz w:val="18"/>
          <w:szCs w:val="18"/>
        </w:rPr>
        <w:t>: Rapport de la caisse d</w:t>
      </w:r>
      <w:r w:rsidR="009C7759">
        <w:rPr>
          <w:sz w:val="18"/>
          <w:szCs w:val="18"/>
        </w:rPr>
        <w:t>’</w:t>
      </w:r>
      <w:r w:rsidRPr="00DC3725">
        <w:rPr>
          <w:sz w:val="18"/>
          <w:szCs w:val="18"/>
        </w:rPr>
        <w:t>assurance maladie.</w:t>
      </w:r>
    </w:p>
    <w:p w14:paraId="5DA41839" w14:textId="0E539A8F" w:rsidR="00560776" w:rsidRDefault="00560776" w:rsidP="00DC3725">
      <w:pPr>
        <w:pStyle w:val="Titre1"/>
        <w:spacing w:after="120"/>
        <w:rPr>
          <w:b/>
          <w:bCs/>
          <w:lang w:val="fr-FR"/>
        </w:rPr>
      </w:pPr>
      <w:r>
        <w:rPr>
          <w:lang w:val="fr-FR"/>
        </w:rPr>
        <w:lastRenderedPageBreak/>
        <w:t>Tableau 9</w:t>
      </w:r>
      <w:r w:rsidR="00DC3725">
        <w:rPr>
          <w:lang w:val="fr-FR"/>
        </w:rPr>
        <w:t xml:space="preserve"> </w:t>
      </w:r>
      <w:r w:rsidR="00DC3725">
        <w:rPr>
          <w:lang w:val="fr-FR"/>
        </w:rPr>
        <w:br/>
      </w:r>
      <w:r>
        <w:rPr>
          <w:b/>
          <w:bCs/>
          <w:lang w:val="fr-FR"/>
        </w:rPr>
        <w:t>Nombre de personnes (en milliers) ayant bénéficié d</w:t>
      </w:r>
      <w:r w:rsidR="009C7759">
        <w:rPr>
          <w:b/>
          <w:bCs/>
          <w:lang w:val="fr-FR"/>
        </w:rPr>
        <w:t>’</w:t>
      </w:r>
      <w:r>
        <w:rPr>
          <w:b/>
          <w:bCs/>
          <w:lang w:val="fr-FR"/>
        </w:rPr>
        <w:t xml:space="preserve">assistance et de services </w:t>
      </w:r>
      <w:r w:rsidR="00DC3725">
        <w:rPr>
          <w:b/>
          <w:bCs/>
          <w:lang w:val="fr-FR"/>
        </w:rPr>
        <w:br/>
      </w:r>
      <w:r>
        <w:rPr>
          <w:b/>
          <w:bCs/>
          <w:lang w:val="fr-FR"/>
        </w:rPr>
        <w:t>pris en charge par la caisse d</w:t>
      </w:r>
      <w:r w:rsidR="009C7759">
        <w:rPr>
          <w:b/>
          <w:bCs/>
          <w:lang w:val="fr-FR"/>
        </w:rPr>
        <w:t>’</w:t>
      </w:r>
      <w:r>
        <w:rPr>
          <w:b/>
          <w:bCs/>
          <w:lang w:val="fr-FR"/>
        </w:rPr>
        <w:t xml:space="preserve">assurance maladie et dépenses engagées à ce titre </w:t>
      </w:r>
      <w:r w:rsidR="00DC3725">
        <w:rPr>
          <w:b/>
          <w:bCs/>
          <w:lang w:val="fr-FR"/>
        </w:rPr>
        <w:br/>
      </w:r>
      <w:r>
        <w:rPr>
          <w:b/>
          <w:bCs/>
          <w:lang w:val="fr-FR"/>
        </w:rPr>
        <w:t xml:space="preserve">(en milliards de </w:t>
      </w:r>
      <w:proofErr w:type="spellStart"/>
      <w:r>
        <w:rPr>
          <w:b/>
          <w:bCs/>
          <w:lang w:val="fr-FR"/>
        </w:rPr>
        <w:t>togrogs</w:t>
      </w:r>
      <w:proofErr w:type="spellEnd"/>
      <w:r>
        <w:rPr>
          <w:b/>
          <w:bCs/>
          <w:lang w:val="fr-F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709"/>
        <w:gridCol w:w="850"/>
        <w:gridCol w:w="709"/>
        <w:gridCol w:w="790"/>
        <w:gridCol w:w="811"/>
        <w:gridCol w:w="745"/>
        <w:gridCol w:w="744"/>
        <w:gridCol w:w="736"/>
      </w:tblGrid>
      <w:tr w:rsidR="0054367B" w:rsidRPr="00DF0A94" w14:paraId="031CFD9E" w14:textId="77777777" w:rsidTr="0054367B">
        <w:trPr>
          <w:tblHeader/>
        </w:trPr>
        <w:tc>
          <w:tcPr>
            <w:tcW w:w="1276" w:type="dxa"/>
            <w:tcBorders>
              <w:top w:val="single" w:sz="4" w:space="0" w:color="auto"/>
              <w:bottom w:val="single" w:sz="4" w:space="0" w:color="auto"/>
            </w:tcBorders>
            <w:shd w:val="clear" w:color="auto" w:fill="auto"/>
            <w:vAlign w:val="bottom"/>
            <w:hideMark/>
          </w:tcPr>
          <w:p w14:paraId="51749B6F" w14:textId="720672D0" w:rsidR="0054367B" w:rsidRPr="00DF0A94" w:rsidRDefault="0054367B" w:rsidP="0054367B">
            <w:pPr>
              <w:keepNext/>
              <w:suppressAutoHyphens w:val="0"/>
              <w:spacing w:before="80" w:after="80" w:line="200" w:lineRule="exact"/>
              <w:ind w:right="113"/>
              <w:rPr>
                <w:i/>
                <w:sz w:val="16"/>
              </w:rPr>
            </w:pPr>
            <w:r>
              <w:rPr>
                <w:i/>
                <w:sz w:val="16"/>
              </w:rPr>
              <w:t>Année</w:t>
            </w:r>
          </w:p>
        </w:tc>
        <w:tc>
          <w:tcPr>
            <w:tcW w:w="1559" w:type="dxa"/>
            <w:gridSpan w:val="2"/>
            <w:tcBorders>
              <w:top w:val="single" w:sz="4" w:space="0" w:color="auto"/>
              <w:bottom w:val="single" w:sz="4" w:space="0" w:color="auto"/>
              <w:right w:val="single" w:sz="24" w:space="0" w:color="FFFFFF" w:themeColor="background1"/>
            </w:tcBorders>
            <w:shd w:val="clear" w:color="auto" w:fill="auto"/>
            <w:vAlign w:val="bottom"/>
            <w:hideMark/>
          </w:tcPr>
          <w:p w14:paraId="017BD97B" w14:textId="77777777" w:rsidR="0054367B" w:rsidRPr="00DF0A94" w:rsidRDefault="0054367B" w:rsidP="0054367B">
            <w:pPr>
              <w:keepNext/>
              <w:suppressAutoHyphens w:val="0"/>
              <w:spacing w:before="80" w:after="80" w:line="200" w:lineRule="exact"/>
              <w:ind w:right="113"/>
              <w:jc w:val="center"/>
              <w:rPr>
                <w:i/>
                <w:sz w:val="16"/>
              </w:rPr>
            </w:pPr>
            <w:r w:rsidRPr="00DF0A94">
              <w:rPr>
                <w:i/>
                <w:sz w:val="16"/>
              </w:rPr>
              <w:t>2016</w:t>
            </w:r>
          </w:p>
        </w:tc>
        <w:tc>
          <w:tcPr>
            <w:tcW w:w="149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14:paraId="0752E33B" w14:textId="77777777" w:rsidR="0054367B" w:rsidRPr="00DF0A94" w:rsidRDefault="0054367B" w:rsidP="0054367B">
            <w:pPr>
              <w:keepNext/>
              <w:suppressAutoHyphens w:val="0"/>
              <w:spacing w:before="80" w:after="80" w:line="200" w:lineRule="exact"/>
              <w:ind w:right="113"/>
              <w:jc w:val="center"/>
              <w:rPr>
                <w:i/>
                <w:sz w:val="16"/>
              </w:rPr>
            </w:pPr>
            <w:r w:rsidRPr="00DF0A94">
              <w:rPr>
                <w:i/>
                <w:sz w:val="16"/>
              </w:rPr>
              <w:t>2017</w:t>
            </w:r>
          </w:p>
        </w:tc>
        <w:tc>
          <w:tcPr>
            <w:tcW w:w="155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14:paraId="11E413F9" w14:textId="77777777" w:rsidR="0054367B" w:rsidRPr="00DF0A94" w:rsidRDefault="0054367B" w:rsidP="0054367B">
            <w:pPr>
              <w:keepNext/>
              <w:suppressAutoHyphens w:val="0"/>
              <w:spacing w:before="80" w:after="80" w:line="200" w:lineRule="exact"/>
              <w:ind w:right="113"/>
              <w:jc w:val="center"/>
              <w:rPr>
                <w:i/>
                <w:sz w:val="16"/>
              </w:rPr>
            </w:pPr>
            <w:r w:rsidRPr="00DF0A94">
              <w:rPr>
                <w:i/>
                <w:sz w:val="16"/>
              </w:rPr>
              <w:t>2018</w:t>
            </w:r>
          </w:p>
        </w:tc>
        <w:tc>
          <w:tcPr>
            <w:tcW w:w="1480" w:type="dxa"/>
            <w:gridSpan w:val="2"/>
            <w:tcBorders>
              <w:top w:val="single" w:sz="4" w:space="0" w:color="auto"/>
              <w:left w:val="single" w:sz="24" w:space="0" w:color="FFFFFF" w:themeColor="background1"/>
              <w:bottom w:val="single" w:sz="4" w:space="0" w:color="auto"/>
            </w:tcBorders>
            <w:shd w:val="clear" w:color="auto" w:fill="auto"/>
            <w:vAlign w:val="bottom"/>
            <w:hideMark/>
          </w:tcPr>
          <w:p w14:paraId="75DEE5A6" w14:textId="77777777" w:rsidR="0054367B" w:rsidRPr="00DF0A94" w:rsidRDefault="0054367B" w:rsidP="0054367B">
            <w:pPr>
              <w:keepNext/>
              <w:suppressAutoHyphens w:val="0"/>
              <w:spacing w:before="80" w:after="80" w:line="200" w:lineRule="exact"/>
              <w:ind w:right="113"/>
              <w:jc w:val="center"/>
              <w:rPr>
                <w:i/>
                <w:sz w:val="16"/>
              </w:rPr>
            </w:pPr>
            <w:r w:rsidRPr="00DF0A94">
              <w:rPr>
                <w:i/>
                <w:sz w:val="16"/>
              </w:rPr>
              <w:t>2019</w:t>
            </w:r>
          </w:p>
        </w:tc>
      </w:tr>
      <w:tr w:rsidR="0054367B" w:rsidRPr="00DF0A94" w14:paraId="4AF9F83D" w14:textId="77777777" w:rsidTr="0054367B">
        <w:tc>
          <w:tcPr>
            <w:tcW w:w="1276" w:type="dxa"/>
            <w:tcBorders>
              <w:top w:val="single" w:sz="4" w:space="0" w:color="auto"/>
              <w:bottom w:val="single" w:sz="12" w:space="0" w:color="auto"/>
            </w:tcBorders>
            <w:shd w:val="clear" w:color="auto" w:fill="auto"/>
            <w:hideMark/>
          </w:tcPr>
          <w:p w14:paraId="0A3A4C47" w14:textId="36FEA4EC" w:rsidR="0054367B" w:rsidRPr="00DF0A94" w:rsidRDefault="0054367B" w:rsidP="0054367B">
            <w:pPr>
              <w:keepNext/>
              <w:suppressAutoHyphens w:val="0"/>
              <w:spacing w:before="80" w:after="80" w:line="200" w:lineRule="exact"/>
              <w:ind w:right="113"/>
              <w:rPr>
                <w:i/>
                <w:iCs/>
                <w:sz w:val="16"/>
                <w:szCs w:val="16"/>
              </w:rPr>
            </w:pPr>
            <w:r w:rsidRPr="00103385">
              <w:rPr>
                <w:i/>
                <w:iCs/>
                <w:sz w:val="16"/>
                <w:szCs w:val="16"/>
                <w:lang w:val="fr-FR"/>
              </w:rPr>
              <w:t>Catégorie</w:t>
            </w:r>
          </w:p>
        </w:tc>
        <w:tc>
          <w:tcPr>
            <w:tcW w:w="709" w:type="dxa"/>
            <w:tcBorders>
              <w:top w:val="single" w:sz="4" w:space="0" w:color="auto"/>
              <w:bottom w:val="single" w:sz="12" w:space="0" w:color="auto"/>
            </w:tcBorders>
            <w:shd w:val="clear" w:color="auto" w:fill="auto"/>
            <w:vAlign w:val="bottom"/>
            <w:hideMark/>
          </w:tcPr>
          <w:p w14:paraId="798CE3E8" w14:textId="632D6F9B" w:rsidR="0054367B" w:rsidRPr="00DF0A94" w:rsidRDefault="0054367B" w:rsidP="0054367B">
            <w:pPr>
              <w:keepNext/>
              <w:suppressAutoHyphens w:val="0"/>
              <w:spacing w:before="80" w:after="80" w:line="200" w:lineRule="exact"/>
              <w:ind w:right="113"/>
              <w:jc w:val="right"/>
              <w:rPr>
                <w:i/>
                <w:iCs/>
                <w:sz w:val="16"/>
                <w:szCs w:val="16"/>
              </w:rPr>
            </w:pPr>
            <w:r w:rsidRPr="00103385">
              <w:rPr>
                <w:i/>
                <w:iCs/>
                <w:sz w:val="14"/>
                <w:szCs w:val="14"/>
                <w:lang w:val="fr-FR"/>
              </w:rPr>
              <w:t xml:space="preserve">Nombre de </w:t>
            </w:r>
            <w:proofErr w:type="spellStart"/>
            <w:r w:rsidRPr="00103385">
              <w:rPr>
                <w:i/>
                <w:iCs/>
                <w:sz w:val="14"/>
                <w:szCs w:val="14"/>
                <w:lang w:val="fr-FR"/>
              </w:rPr>
              <w:t>bénéfi</w:t>
            </w:r>
            <w:r>
              <w:rPr>
                <w:i/>
                <w:iCs/>
                <w:sz w:val="14"/>
                <w:szCs w:val="14"/>
                <w:lang w:val="fr-FR"/>
              </w:rPr>
              <w:t>-</w:t>
            </w:r>
            <w:r w:rsidRPr="00103385">
              <w:rPr>
                <w:i/>
                <w:iCs/>
                <w:sz w:val="14"/>
                <w:szCs w:val="14"/>
                <w:lang w:val="fr-FR"/>
              </w:rPr>
              <w:t>ciaires</w:t>
            </w:r>
            <w:proofErr w:type="spellEnd"/>
          </w:p>
        </w:tc>
        <w:tc>
          <w:tcPr>
            <w:tcW w:w="850" w:type="dxa"/>
            <w:tcBorders>
              <w:top w:val="single" w:sz="4" w:space="0" w:color="auto"/>
              <w:bottom w:val="single" w:sz="12" w:space="0" w:color="auto"/>
              <w:right w:val="single" w:sz="24" w:space="0" w:color="FFFFFF" w:themeColor="background1"/>
            </w:tcBorders>
            <w:shd w:val="clear" w:color="auto" w:fill="auto"/>
            <w:vAlign w:val="bottom"/>
            <w:hideMark/>
          </w:tcPr>
          <w:p w14:paraId="2D10413F" w14:textId="11B5B594" w:rsidR="0054367B" w:rsidRPr="00DF0A94" w:rsidRDefault="0054367B" w:rsidP="0054367B">
            <w:pPr>
              <w:keepNext/>
              <w:suppressAutoHyphens w:val="0"/>
              <w:spacing w:before="80" w:after="80" w:line="200" w:lineRule="exact"/>
              <w:ind w:right="113"/>
              <w:jc w:val="right"/>
              <w:rPr>
                <w:i/>
                <w:iCs/>
                <w:sz w:val="16"/>
                <w:szCs w:val="16"/>
              </w:rPr>
            </w:pPr>
            <w:r w:rsidRPr="00103385">
              <w:rPr>
                <w:i/>
                <w:iCs/>
                <w:sz w:val="14"/>
                <w:szCs w:val="14"/>
                <w:lang w:val="fr-FR"/>
              </w:rPr>
              <w:t>Dépenses engagées à ce titre</w:t>
            </w:r>
          </w:p>
        </w:tc>
        <w:tc>
          <w:tcPr>
            <w:tcW w:w="709" w:type="dxa"/>
            <w:tcBorders>
              <w:top w:val="single" w:sz="4" w:space="0" w:color="auto"/>
              <w:left w:val="single" w:sz="24" w:space="0" w:color="FFFFFF" w:themeColor="background1"/>
              <w:bottom w:val="single" w:sz="12" w:space="0" w:color="auto"/>
            </w:tcBorders>
            <w:shd w:val="clear" w:color="auto" w:fill="auto"/>
            <w:vAlign w:val="bottom"/>
            <w:hideMark/>
          </w:tcPr>
          <w:p w14:paraId="63A3CFE6" w14:textId="3BDBC88F" w:rsidR="0054367B" w:rsidRPr="00DF0A94" w:rsidRDefault="0054367B" w:rsidP="0054367B">
            <w:pPr>
              <w:keepNext/>
              <w:suppressAutoHyphens w:val="0"/>
              <w:spacing w:before="80" w:after="80" w:line="200" w:lineRule="exact"/>
              <w:ind w:right="113"/>
              <w:jc w:val="right"/>
              <w:rPr>
                <w:i/>
                <w:iCs/>
                <w:sz w:val="16"/>
                <w:szCs w:val="16"/>
              </w:rPr>
            </w:pPr>
            <w:r w:rsidRPr="00103385">
              <w:rPr>
                <w:i/>
                <w:iCs/>
                <w:sz w:val="14"/>
                <w:szCs w:val="14"/>
                <w:lang w:val="fr-FR"/>
              </w:rPr>
              <w:t xml:space="preserve">Nombre de </w:t>
            </w:r>
            <w:proofErr w:type="spellStart"/>
            <w:r w:rsidRPr="00103385">
              <w:rPr>
                <w:i/>
                <w:iCs/>
                <w:sz w:val="14"/>
                <w:szCs w:val="14"/>
                <w:lang w:val="fr-FR"/>
              </w:rPr>
              <w:t>bénéfi</w:t>
            </w:r>
            <w:r>
              <w:rPr>
                <w:i/>
                <w:iCs/>
                <w:sz w:val="14"/>
                <w:szCs w:val="14"/>
                <w:lang w:val="fr-FR"/>
              </w:rPr>
              <w:t>-</w:t>
            </w:r>
            <w:r w:rsidRPr="00103385">
              <w:rPr>
                <w:i/>
                <w:iCs/>
                <w:sz w:val="14"/>
                <w:szCs w:val="14"/>
                <w:lang w:val="fr-FR"/>
              </w:rPr>
              <w:t>ciaires</w:t>
            </w:r>
            <w:proofErr w:type="spellEnd"/>
          </w:p>
        </w:tc>
        <w:tc>
          <w:tcPr>
            <w:tcW w:w="790" w:type="dxa"/>
            <w:tcBorders>
              <w:top w:val="single" w:sz="4" w:space="0" w:color="auto"/>
              <w:bottom w:val="single" w:sz="12" w:space="0" w:color="auto"/>
              <w:right w:val="single" w:sz="24" w:space="0" w:color="FFFFFF" w:themeColor="background1"/>
            </w:tcBorders>
            <w:shd w:val="clear" w:color="auto" w:fill="auto"/>
            <w:vAlign w:val="bottom"/>
            <w:hideMark/>
          </w:tcPr>
          <w:p w14:paraId="1E6B855F" w14:textId="08C57106" w:rsidR="0054367B" w:rsidRPr="00DF0A94" w:rsidRDefault="0054367B" w:rsidP="0054367B">
            <w:pPr>
              <w:keepNext/>
              <w:suppressAutoHyphens w:val="0"/>
              <w:spacing w:before="80" w:after="80" w:line="200" w:lineRule="exact"/>
              <w:ind w:right="113"/>
              <w:jc w:val="right"/>
              <w:rPr>
                <w:i/>
                <w:iCs/>
                <w:sz w:val="16"/>
                <w:szCs w:val="16"/>
              </w:rPr>
            </w:pPr>
            <w:r w:rsidRPr="00103385">
              <w:rPr>
                <w:i/>
                <w:iCs/>
                <w:sz w:val="14"/>
                <w:szCs w:val="14"/>
                <w:lang w:val="fr-FR"/>
              </w:rPr>
              <w:t>Dépenses engagées à ce titre</w:t>
            </w:r>
          </w:p>
        </w:tc>
        <w:tc>
          <w:tcPr>
            <w:tcW w:w="811" w:type="dxa"/>
            <w:tcBorders>
              <w:top w:val="single" w:sz="4" w:space="0" w:color="auto"/>
              <w:left w:val="single" w:sz="24" w:space="0" w:color="FFFFFF" w:themeColor="background1"/>
              <w:bottom w:val="single" w:sz="12" w:space="0" w:color="auto"/>
            </w:tcBorders>
            <w:shd w:val="clear" w:color="auto" w:fill="auto"/>
            <w:vAlign w:val="bottom"/>
            <w:hideMark/>
          </w:tcPr>
          <w:p w14:paraId="1DE846AF" w14:textId="6CBD6FFE" w:rsidR="0054367B" w:rsidRPr="00DF0A94" w:rsidRDefault="0054367B" w:rsidP="0054367B">
            <w:pPr>
              <w:keepNext/>
              <w:suppressAutoHyphens w:val="0"/>
              <w:spacing w:before="80" w:after="80" w:line="200" w:lineRule="exact"/>
              <w:ind w:right="113"/>
              <w:jc w:val="right"/>
              <w:rPr>
                <w:i/>
                <w:iCs/>
                <w:sz w:val="16"/>
                <w:szCs w:val="16"/>
              </w:rPr>
            </w:pPr>
            <w:r w:rsidRPr="00103385">
              <w:rPr>
                <w:i/>
                <w:iCs/>
                <w:sz w:val="14"/>
                <w:szCs w:val="14"/>
                <w:lang w:val="fr-FR"/>
              </w:rPr>
              <w:t xml:space="preserve">Nombre de </w:t>
            </w:r>
            <w:proofErr w:type="spellStart"/>
            <w:r w:rsidRPr="00103385">
              <w:rPr>
                <w:i/>
                <w:iCs/>
                <w:sz w:val="14"/>
                <w:szCs w:val="14"/>
                <w:lang w:val="fr-FR"/>
              </w:rPr>
              <w:t>bénéfi</w:t>
            </w:r>
            <w:r>
              <w:rPr>
                <w:i/>
                <w:iCs/>
                <w:sz w:val="14"/>
                <w:szCs w:val="14"/>
                <w:lang w:val="fr-FR"/>
              </w:rPr>
              <w:t>-</w:t>
            </w:r>
            <w:r w:rsidRPr="00103385">
              <w:rPr>
                <w:i/>
                <w:iCs/>
                <w:sz w:val="14"/>
                <w:szCs w:val="14"/>
                <w:lang w:val="fr-FR"/>
              </w:rPr>
              <w:t>ciaires</w:t>
            </w:r>
            <w:proofErr w:type="spellEnd"/>
          </w:p>
        </w:tc>
        <w:tc>
          <w:tcPr>
            <w:tcW w:w="745" w:type="dxa"/>
            <w:tcBorders>
              <w:top w:val="single" w:sz="4" w:space="0" w:color="auto"/>
              <w:bottom w:val="single" w:sz="12" w:space="0" w:color="auto"/>
              <w:right w:val="single" w:sz="24" w:space="0" w:color="FFFFFF" w:themeColor="background1"/>
            </w:tcBorders>
            <w:shd w:val="clear" w:color="auto" w:fill="auto"/>
            <w:vAlign w:val="bottom"/>
            <w:hideMark/>
          </w:tcPr>
          <w:p w14:paraId="72EC71C0" w14:textId="18CA49F9" w:rsidR="0054367B" w:rsidRPr="00DF0A94" w:rsidRDefault="0054367B" w:rsidP="0054367B">
            <w:pPr>
              <w:keepNext/>
              <w:suppressAutoHyphens w:val="0"/>
              <w:spacing w:before="80" w:after="80" w:line="200" w:lineRule="exact"/>
              <w:ind w:right="113"/>
              <w:jc w:val="right"/>
              <w:rPr>
                <w:i/>
                <w:iCs/>
                <w:sz w:val="16"/>
                <w:szCs w:val="16"/>
              </w:rPr>
            </w:pPr>
            <w:r w:rsidRPr="00103385">
              <w:rPr>
                <w:i/>
                <w:iCs/>
                <w:sz w:val="14"/>
                <w:szCs w:val="14"/>
                <w:lang w:val="fr-FR"/>
              </w:rPr>
              <w:t>Dépenses engagées à ce titre</w:t>
            </w:r>
          </w:p>
        </w:tc>
        <w:tc>
          <w:tcPr>
            <w:tcW w:w="744" w:type="dxa"/>
            <w:tcBorders>
              <w:top w:val="single" w:sz="4" w:space="0" w:color="auto"/>
              <w:left w:val="single" w:sz="24" w:space="0" w:color="FFFFFF" w:themeColor="background1"/>
              <w:bottom w:val="single" w:sz="12" w:space="0" w:color="auto"/>
            </w:tcBorders>
            <w:shd w:val="clear" w:color="auto" w:fill="auto"/>
            <w:vAlign w:val="bottom"/>
            <w:hideMark/>
          </w:tcPr>
          <w:p w14:paraId="73D4CC35" w14:textId="31070DA8" w:rsidR="0054367B" w:rsidRPr="00DF0A94" w:rsidRDefault="0054367B" w:rsidP="0054367B">
            <w:pPr>
              <w:keepNext/>
              <w:suppressAutoHyphens w:val="0"/>
              <w:spacing w:before="80" w:after="80" w:line="200" w:lineRule="exact"/>
              <w:ind w:right="113"/>
              <w:jc w:val="right"/>
              <w:rPr>
                <w:i/>
                <w:iCs/>
                <w:sz w:val="16"/>
                <w:szCs w:val="16"/>
              </w:rPr>
            </w:pPr>
            <w:r w:rsidRPr="00103385">
              <w:rPr>
                <w:i/>
                <w:iCs/>
                <w:sz w:val="14"/>
                <w:szCs w:val="14"/>
                <w:lang w:val="fr-FR"/>
              </w:rPr>
              <w:t xml:space="preserve">Nombre de </w:t>
            </w:r>
            <w:proofErr w:type="spellStart"/>
            <w:r w:rsidRPr="00103385">
              <w:rPr>
                <w:i/>
                <w:iCs/>
                <w:sz w:val="14"/>
                <w:szCs w:val="14"/>
                <w:lang w:val="fr-FR"/>
              </w:rPr>
              <w:t>bénéfi</w:t>
            </w:r>
            <w:r>
              <w:rPr>
                <w:i/>
                <w:iCs/>
                <w:sz w:val="14"/>
                <w:szCs w:val="14"/>
                <w:lang w:val="fr-FR"/>
              </w:rPr>
              <w:t>-</w:t>
            </w:r>
            <w:r w:rsidRPr="00103385">
              <w:rPr>
                <w:i/>
                <w:iCs/>
                <w:sz w:val="14"/>
                <w:szCs w:val="14"/>
                <w:lang w:val="fr-FR"/>
              </w:rPr>
              <w:t>ciaires</w:t>
            </w:r>
            <w:proofErr w:type="spellEnd"/>
          </w:p>
        </w:tc>
        <w:tc>
          <w:tcPr>
            <w:tcW w:w="736" w:type="dxa"/>
            <w:tcBorders>
              <w:top w:val="single" w:sz="4" w:space="0" w:color="auto"/>
              <w:bottom w:val="single" w:sz="12" w:space="0" w:color="auto"/>
            </w:tcBorders>
            <w:shd w:val="clear" w:color="auto" w:fill="auto"/>
            <w:vAlign w:val="bottom"/>
            <w:hideMark/>
          </w:tcPr>
          <w:p w14:paraId="45AAF807" w14:textId="03357D7D" w:rsidR="0054367B" w:rsidRPr="00DF0A94" w:rsidRDefault="0054367B" w:rsidP="0054367B">
            <w:pPr>
              <w:keepNext/>
              <w:suppressAutoHyphens w:val="0"/>
              <w:spacing w:before="80" w:after="80" w:line="200" w:lineRule="exact"/>
              <w:ind w:right="113"/>
              <w:jc w:val="right"/>
              <w:rPr>
                <w:i/>
                <w:iCs/>
                <w:sz w:val="16"/>
                <w:szCs w:val="16"/>
              </w:rPr>
            </w:pPr>
            <w:r w:rsidRPr="00103385">
              <w:rPr>
                <w:i/>
                <w:iCs/>
                <w:sz w:val="14"/>
                <w:szCs w:val="14"/>
                <w:lang w:val="fr-FR"/>
              </w:rPr>
              <w:t>Dépenses engagées à ce titre</w:t>
            </w:r>
          </w:p>
        </w:tc>
      </w:tr>
      <w:tr w:rsidR="0054367B" w:rsidRPr="00DF0A94" w14:paraId="4511A8D2" w14:textId="77777777" w:rsidTr="0054367B">
        <w:tc>
          <w:tcPr>
            <w:tcW w:w="1276" w:type="dxa"/>
            <w:tcBorders>
              <w:top w:val="single" w:sz="12" w:space="0" w:color="auto"/>
            </w:tcBorders>
            <w:shd w:val="clear" w:color="auto" w:fill="auto"/>
            <w:hideMark/>
          </w:tcPr>
          <w:p w14:paraId="72B511E0" w14:textId="66856558" w:rsidR="0054367B" w:rsidRPr="0054367B" w:rsidRDefault="0054367B" w:rsidP="0054367B">
            <w:pPr>
              <w:keepNext/>
              <w:suppressAutoHyphens w:val="0"/>
              <w:spacing w:before="40" w:after="40" w:line="220" w:lineRule="exact"/>
              <w:ind w:right="113"/>
              <w:rPr>
                <w:sz w:val="18"/>
                <w:szCs w:val="18"/>
              </w:rPr>
            </w:pPr>
            <w:r w:rsidRPr="0054367B">
              <w:rPr>
                <w:sz w:val="18"/>
                <w:szCs w:val="18"/>
                <w:lang w:val="fr-FR"/>
              </w:rPr>
              <w:t>Hôpitaux financés par le budget de l</w:t>
            </w:r>
            <w:r w:rsidR="009C7759">
              <w:rPr>
                <w:sz w:val="18"/>
                <w:szCs w:val="18"/>
                <w:lang w:val="fr-FR"/>
              </w:rPr>
              <w:t>’</w:t>
            </w:r>
            <w:r w:rsidRPr="0054367B">
              <w:rPr>
                <w:sz w:val="18"/>
                <w:szCs w:val="18"/>
                <w:lang w:val="fr-FR"/>
              </w:rPr>
              <w:t>État</w:t>
            </w:r>
          </w:p>
        </w:tc>
        <w:tc>
          <w:tcPr>
            <w:tcW w:w="709" w:type="dxa"/>
            <w:tcBorders>
              <w:top w:val="single" w:sz="12" w:space="0" w:color="auto"/>
            </w:tcBorders>
            <w:shd w:val="clear" w:color="auto" w:fill="auto"/>
            <w:vAlign w:val="bottom"/>
            <w:hideMark/>
          </w:tcPr>
          <w:p w14:paraId="277BB6C9" w14:textId="2CB680C7"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730,6</w:t>
            </w:r>
          </w:p>
        </w:tc>
        <w:tc>
          <w:tcPr>
            <w:tcW w:w="850" w:type="dxa"/>
            <w:tcBorders>
              <w:top w:val="single" w:sz="12" w:space="0" w:color="auto"/>
            </w:tcBorders>
            <w:shd w:val="clear" w:color="auto" w:fill="auto"/>
            <w:vAlign w:val="bottom"/>
            <w:hideMark/>
          </w:tcPr>
          <w:p w14:paraId="502012F6" w14:textId="23333093"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170,5</w:t>
            </w:r>
          </w:p>
        </w:tc>
        <w:tc>
          <w:tcPr>
            <w:tcW w:w="709" w:type="dxa"/>
            <w:tcBorders>
              <w:top w:val="single" w:sz="12" w:space="0" w:color="auto"/>
            </w:tcBorders>
            <w:shd w:val="clear" w:color="auto" w:fill="auto"/>
            <w:vAlign w:val="bottom"/>
            <w:hideMark/>
          </w:tcPr>
          <w:p w14:paraId="79844E51" w14:textId="5DF1756C"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849,2</w:t>
            </w:r>
          </w:p>
        </w:tc>
        <w:tc>
          <w:tcPr>
            <w:tcW w:w="790" w:type="dxa"/>
            <w:tcBorders>
              <w:top w:val="single" w:sz="12" w:space="0" w:color="auto"/>
            </w:tcBorders>
            <w:shd w:val="clear" w:color="auto" w:fill="auto"/>
            <w:vAlign w:val="bottom"/>
            <w:hideMark/>
          </w:tcPr>
          <w:p w14:paraId="63BD694B" w14:textId="19151C78"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198,2</w:t>
            </w:r>
          </w:p>
        </w:tc>
        <w:tc>
          <w:tcPr>
            <w:tcW w:w="811" w:type="dxa"/>
            <w:tcBorders>
              <w:top w:val="single" w:sz="12" w:space="0" w:color="auto"/>
            </w:tcBorders>
            <w:shd w:val="clear" w:color="auto" w:fill="auto"/>
            <w:vAlign w:val="bottom"/>
            <w:hideMark/>
          </w:tcPr>
          <w:p w14:paraId="747D436D" w14:textId="2E965167"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913,9</w:t>
            </w:r>
          </w:p>
        </w:tc>
        <w:tc>
          <w:tcPr>
            <w:tcW w:w="745" w:type="dxa"/>
            <w:tcBorders>
              <w:top w:val="single" w:sz="12" w:space="0" w:color="auto"/>
            </w:tcBorders>
            <w:shd w:val="clear" w:color="auto" w:fill="auto"/>
            <w:vAlign w:val="bottom"/>
            <w:hideMark/>
          </w:tcPr>
          <w:p w14:paraId="04909CFE" w14:textId="210EF5CB"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213,3</w:t>
            </w:r>
          </w:p>
        </w:tc>
        <w:tc>
          <w:tcPr>
            <w:tcW w:w="744" w:type="dxa"/>
            <w:tcBorders>
              <w:top w:val="single" w:sz="12" w:space="0" w:color="auto"/>
            </w:tcBorders>
            <w:shd w:val="clear" w:color="auto" w:fill="auto"/>
            <w:vAlign w:val="bottom"/>
            <w:hideMark/>
          </w:tcPr>
          <w:p w14:paraId="3AE3816F" w14:textId="2CF8A55C"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1 014,9</w:t>
            </w:r>
          </w:p>
        </w:tc>
        <w:tc>
          <w:tcPr>
            <w:tcW w:w="736" w:type="dxa"/>
            <w:tcBorders>
              <w:top w:val="single" w:sz="12" w:space="0" w:color="auto"/>
            </w:tcBorders>
            <w:shd w:val="clear" w:color="auto" w:fill="auto"/>
            <w:vAlign w:val="bottom"/>
            <w:hideMark/>
          </w:tcPr>
          <w:p w14:paraId="44E94BE7" w14:textId="633D28CE"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236,8</w:t>
            </w:r>
          </w:p>
        </w:tc>
      </w:tr>
      <w:tr w:rsidR="0054367B" w:rsidRPr="00DF0A94" w14:paraId="13CF8F0D" w14:textId="77777777" w:rsidTr="0054367B">
        <w:tc>
          <w:tcPr>
            <w:tcW w:w="1276" w:type="dxa"/>
            <w:shd w:val="clear" w:color="auto" w:fill="auto"/>
            <w:hideMark/>
          </w:tcPr>
          <w:p w14:paraId="51865A34" w14:textId="299462B9" w:rsidR="0054367B" w:rsidRPr="0054367B" w:rsidRDefault="0054367B" w:rsidP="0054367B">
            <w:pPr>
              <w:keepNext/>
              <w:suppressAutoHyphens w:val="0"/>
              <w:spacing w:before="40" w:after="40" w:line="220" w:lineRule="exact"/>
              <w:ind w:right="113"/>
              <w:rPr>
                <w:sz w:val="18"/>
                <w:szCs w:val="18"/>
              </w:rPr>
            </w:pPr>
            <w:r w:rsidRPr="0054367B">
              <w:rPr>
                <w:sz w:val="18"/>
                <w:szCs w:val="18"/>
                <w:lang w:val="fr-FR"/>
              </w:rPr>
              <w:t>Hôpitaux privés fournissant une assistance et des services chirurgicaux dans le cadre de l</w:t>
            </w:r>
            <w:r w:rsidR="009C7759">
              <w:rPr>
                <w:sz w:val="18"/>
                <w:szCs w:val="18"/>
                <w:lang w:val="fr-FR"/>
              </w:rPr>
              <w:t>’</w:t>
            </w:r>
            <w:r w:rsidRPr="0054367B">
              <w:rPr>
                <w:sz w:val="18"/>
                <w:szCs w:val="18"/>
                <w:lang w:val="fr-FR"/>
              </w:rPr>
              <w:t>accord conclu</w:t>
            </w:r>
          </w:p>
        </w:tc>
        <w:tc>
          <w:tcPr>
            <w:tcW w:w="709" w:type="dxa"/>
            <w:shd w:val="clear" w:color="auto" w:fill="auto"/>
            <w:vAlign w:val="bottom"/>
            <w:hideMark/>
          </w:tcPr>
          <w:p w14:paraId="2A3F5588" w14:textId="77777777" w:rsidR="0054367B" w:rsidRPr="0054367B" w:rsidRDefault="0054367B" w:rsidP="0054367B">
            <w:pPr>
              <w:keepNext/>
              <w:suppressAutoHyphens w:val="0"/>
              <w:spacing w:before="40" w:after="40" w:line="220" w:lineRule="exact"/>
              <w:ind w:right="113"/>
              <w:jc w:val="right"/>
              <w:rPr>
                <w:sz w:val="18"/>
                <w:szCs w:val="18"/>
              </w:rPr>
            </w:pPr>
          </w:p>
        </w:tc>
        <w:tc>
          <w:tcPr>
            <w:tcW w:w="850" w:type="dxa"/>
            <w:shd w:val="clear" w:color="auto" w:fill="auto"/>
            <w:vAlign w:val="bottom"/>
            <w:hideMark/>
          </w:tcPr>
          <w:p w14:paraId="5AC117AC" w14:textId="77777777" w:rsidR="0054367B" w:rsidRPr="0054367B" w:rsidRDefault="0054367B" w:rsidP="0054367B">
            <w:pPr>
              <w:keepNext/>
              <w:suppressAutoHyphens w:val="0"/>
              <w:spacing w:before="40" w:after="40" w:line="220" w:lineRule="exact"/>
              <w:ind w:right="113"/>
              <w:jc w:val="right"/>
              <w:rPr>
                <w:sz w:val="18"/>
                <w:szCs w:val="18"/>
              </w:rPr>
            </w:pPr>
          </w:p>
        </w:tc>
        <w:tc>
          <w:tcPr>
            <w:tcW w:w="709" w:type="dxa"/>
            <w:shd w:val="clear" w:color="auto" w:fill="auto"/>
            <w:vAlign w:val="bottom"/>
            <w:hideMark/>
          </w:tcPr>
          <w:p w14:paraId="3CB61673" w14:textId="77777777" w:rsidR="0054367B" w:rsidRPr="0054367B" w:rsidRDefault="0054367B" w:rsidP="0054367B">
            <w:pPr>
              <w:keepNext/>
              <w:suppressAutoHyphens w:val="0"/>
              <w:spacing w:before="40" w:after="40" w:line="220" w:lineRule="exact"/>
              <w:ind w:right="113"/>
              <w:jc w:val="right"/>
              <w:rPr>
                <w:sz w:val="18"/>
                <w:szCs w:val="18"/>
              </w:rPr>
            </w:pPr>
          </w:p>
        </w:tc>
        <w:tc>
          <w:tcPr>
            <w:tcW w:w="790" w:type="dxa"/>
            <w:shd w:val="clear" w:color="auto" w:fill="auto"/>
            <w:vAlign w:val="bottom"/>
            <w:hideMark/>
          </w:tcPr>
          <w:p w14:paraId="30880202" w14:textId="77777777" w:rsidR="0054367B" w:rsidRPr="0054367B" w:rsidRDefault="0054367B" w:rsidP="0054367B">
            <w:pPr>
              <w:keepNext/>
              <w:suppressAutoHyphens w:val="0"/>
              <w:spacing w:before="40" w:after="40" w:line="220" w:lineRule="exact"/>
              <w:ind w:right="113"/>
              <w:jc w:val="right"/>
              <w:rPr>
                <w:sz w:val="18"/>
                <w:szCs w:val="18"/>
              </w:rPr>
            </w:pPr>
          </w:p>
        </w:tc>
        <w:tc>
          <w:tcPr>
            <w:tcW w:w="811" w:type="dxa"/>
            <w:shd w:val="clear" w:color="auto" w:fill="auto"/>
            <w:vAlign w:val="bottom"/>
            <w:hideMark/>
          </w:tcPr>
          <w:p w14:paraId="6CC1E476" w14:textId="67A2A564"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27,7</w:t>
            </w:r>
          </w:p>
        </w:tc>
        <w:tc>
          <w:tcPr>
            <w:tcW w:w="745" w:type="dxa"/>
            <w:shd w:val="clear" w:color="auto" w:fill="auto"/>
            <w:vAlign w:val="bottom"/>
            <w:hideMark/>
          </w:tcPr>
          <w:p w14:paraId="6566659F" w14:textId="286F1522"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2,5</w:t>
            </w:r>
          </w:p>
        </w:tc>
        <w:tc>
          <w:tcPr>
            <w:tcW w:w="744" w:type="dxa"/>
            <w:shd w:val="clear" w:color="auto" w:fill="auto"/>
            <w:vAlign w:val="bottom"/>
            <w:hideMark/>
          </w:tcPr>
          <w:p w14:paraId="24556E30" w14:textId="04693111"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31,9</w:t>
            </w:r>
          </w:p>
        </w:tc>
        <w:tc>
          <w:tcPr>
            <w:tcW w:w="736" w:type="dxa"/>
            <w:shd w:val="clear" w:color="auto" w:fill="auto"/>
            <w:vAlign w:val="bottom"/>
            <w:hideMark/>
          </w:tcPr>
          <w:p w14:paraId="7C70F0B7" w14:textId="62247075"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3,0</w:t>
            </w:r>
          </w:p>
        </w:tc>
      </w:tr>
      <w:tr w:rsidR="0054367B" w:rsidRPr="00DF0A94" w14:paraId="7B680856" w14:textId="77777777" w:rsidTr="0054367B">
        <w:tc>
          <w:tcPr>
            <w:tcW w:w="1276" w:type="dxa"/>
            <w:shd w:val="clear" w:color="auto" w:fill="auto"/>
            <w:hideMark/>
          </w:tcPr>
          <w:p w14:paraId="1CAF8EDC" w14:textId="016258F3" w:rsidR="0054367B" w:rsidRPr="0054367B" w:rsidRDefault="0054367B" w:rsidP="0054367B">
            <w:pPr>
              <w:keepNext/>
              <w:suppressAutoHyphens w:val="0"/>
              <w:spacing w:before="40" w:after="40" w:line="220" w:lineRule="exact"/>
              <w:ind w:right="113"/>
              <w:rPr>
                <w:sz w:val="18"/>
                <w:szCs w:val="18"/>
              </w:rPr>
            </w:pPr>
            <w:r w:rsidRPr="0054367B">
              <w:rPr>
                <w:sz w:val="18"/>
                <w:szCs w:val="18"/>
                <w:lang w:val="fr-FR"/>
              </w:rPr>
              <w:t>Assistance et services de réadaptation et de soins fondés sur la médecine traditionnelle</w:t>
            </w:r>
          </w:p>
        </w:tc>
        <w:tc>
          <w:tcPr>
            <w:tcW w:w="709" w:type="dxa"/>
            <w:shd w:val="clear" w:color="auto" w:fill="auto"/>
            <w:vAlign w:val="bottom"/>
            <w:hideMark/>
          </w:tcPr>
          <w:p w14:paraId="16085D0D" w14:textId="1ECC26CF"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82,1</w:t>
            </w:r>
          </w:p>
        </w:tc>
        <w:tc>
          <w:tcPr>
            <w:tcW w:w="850" w:type="dxa"/>
            <w:shd w:val="clear" w:color="auto" w:fill="auto"/>
            <w:vAlign w:val="bottom"/>
            <w:hideMark/>
          </w:tcPr>
          <w:p w14:paraId="59E66801" w14:textId="37643FF3"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8,6</w:t>
            </w:r>
          </w:p>
        </w:tc>
        <w:tc>
          <w:tcPr>
            <w:tcW w:w="709" w:type="dxa"/>
            <w:shd w:val="clear" w:color="auto" w:fill="auto"/>
            <w:vAlign w:val="bottom"/>
            <w:hideMark/>
          </w:tcPr>
          <w:p w14:paraId="7730D59D" w14:textId="4974B7A5"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94,2</w:t>
            </w:r>
          </w:p>
        </w:tc>
        <w:tc>
          <w:tcPr>
            <w:tcW w:w="790" w:type="dxa"/>
            <w:shd w:val="clear" w:color="auto" w:fill="auto"/>
            <w:vAlign w:val="bottom"/>
            <w:hideMark/>
          </w:tcPr>
          <w:p w14:paraId="277FCD6A" w14:textId="6A67F716"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10,4</w:t>
            </w:r>
          </w:p>
        </w:tc>
        <w:tc>
          <w:tcPr>
            <w:tcW w:w="811" w:type="dxa"/>
            <w:shd w:val="clear" w:color="auto" w:fill="auto"/>
            <w:vAlign w:val="bottom"/>
            <w:hideMark/>
          </w:tcPr>
          <w:p w14:paraId="6CF82C34" w14:textId="70A8A1D1"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98,1</w:t>
            </w:r>
          </w:p>
        </w:tc>
        <w:tc>
          <w:tcPr>
            <w:tcW w:w="745" w:type="dxa"/>
            <w:shd w:val="clear" w:color="auto" w:fill="auto"/>
            <w:vAlign w:val="bottom"/>
            <w:hideMark/>
          </w:tcPr>
          <w:p w14:paraId="07C4B8C9" w14:textId="1F6484B4"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10,1</w:t>
            </w:r>
          </w:p>
        </w:tc>
        <w:tc>
          <w:tcPr>
            <w:tcW w:w="744" w:type="dxa"/>
            <w:shd w:val="clear" w:color="auto" w:fill="auto"/>
            <w:vAlign w:val="bottom"/>
            <w:hideMark/>
          </w:tcPr>
          <w:p w14:paraId="20F1AE18" w14:textId="37EEA33D"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109,0</w:t>
            </w:r>
          </w:p>
        </w:tc>
        <w:tc>
          <w:tcPr>
            <w:tcW w:w="736" w:type="dxa"/>
            <w:shd w:val="clear" w:color="auto" w:fill="auto"/>
            <w:vAlign w:val="bottom"/>
            <w:hideMark/>
          </w:tcPr>
          <w:p w14:paraId="72B09599" w14:textId="68E96FE6"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10,6</w:t>
            </w:r>
          </w:p>
        </w:tc>
      </w:tr>
      <w:tr w:rsidR="0054367B" w:rsidRPr="00DF0A94" w14:paraId="10113502" w14:textId="77777777" w:rsidTr="0054367B">
        <w:tc>
          <w:tcPr>
            <w:tcW w:w="1276" w:type="dxa"/>
            <w:shd w:val="clear" w:color="auto" w:fill="auto"/>
            <w:hideMark/>
          </w:tcPr>
          <w:p w14:paraId="6114D1E3" w14:textId="0A1476C7" w:rsidR="0054367B" w:rsidRPr="0054367B" w:rsidRDefault="0054367B" w:rsidP="0054367B">
            <w:pPr>
              <w:keepNext/>
              <w:suppressAutoHyphens w:val="0"/>
              <w:spacing w:before="40" w:after="40" w:line="220" w:lineRule="exact"/>
              <w:ind w:right="113"/>
              <w:rPr>
                <w:sz w:val="18"/>
                <w:szCs w:val="18"/>
              </w:rPr>
            </w:pPr>
            <w:r w:rsidRPr="0054367B">
              <w:rPr>
                <w:sz w:val="18"/>
                <w:szCs w:val="18"/>
                <w:lang w:val="fr-FR"/>
              </w:rPr>
              <w:t>Fourniture de médicaments</w:t>
            </w:r>
          </w:p>
        </w:tc>
        <w:tc>
          <w:tcPr>
            <w:tcW w:w="709" w:type="dxa"/>
            <w:shd w:val="clear" w:color="auto" w:fill="auto"/>
            <w:vAlign w:val="bottom"/>
            <w:hideMark/>
          </w:tcPr>
          <w:p w14:paraId="76C4DB09" w14:textId="5AB6F526"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1 564,9</w:t>
            </w:r>
          </w:p>
        </w:tc>
        <w:tc>
          <w:tcPr>
            <w:tcW w:w="850" w:type="dxa"/>
            <w:shd w:val="clear" w:color="auto" w:fill="auto"/>
            <w:vAlign w:val="bottom"/>
            <w:hideMark/>
          </w:tcPr>
          <w:p w14:paraId="7913E5D9" w14:textId="49E5DDC9"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26,3</w:t>
            </w:r>
          </w:p>
        </w:tc>
        <w:tc>
          <w:tcPr>
            <w:tcW w:w="709" w:type="dxa"/>
            <w:shd w:val="clear" w:color="auto" w:fill="auto"/>
            <w:vAlign w:val="bottom"/>
            <w:hideMark/>
          </w:tcPr>
          <w:p w14:paraId="0B65A029" w14:textId="763AB23B"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1 580,3</w:t>
            </w:r>
          </w:p>
        </w:tc>
        <w:tc>
          <w:tcPr>
            <w:tcW w:w="790" w:type="dxa"/>
            <w:shd w:val="clear" w:color="auto" w:fill="auto"/>
            <w:vAlign w:val="bottom"/>
            <w:hideMark/>
          </w:tcPr>
          <w:p w14:paraId="54BDEEC7" w14:textId="258432BA"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38,1</w:t>
            </w:r>
          </w:p>
        </w:tc>
        <w:tc>
          <w:tcPr>
            <w:tcW w:w="811" w:type="dxa"/>
            <w:shd w:val="clear" w:color="auto" w:fill="auto"/>
            <w:vAlign w:val="bottom"/>
            <w:hideMark/>
          </w:tcPr>
          <w:p w14:paraId="157E36BD" w14:textId="5AC361FC"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1 435,5</w:t>
            </w:r>
          </w:p>
        </w:tc>
        <w:tc>
          <w:tcPr>
            <w:tcW w:w="745" w:type="dxa"/>
            <w:shd w:val="clear" w:color="auto" w:fill="auto"/>
            <w:vAlign w:val="bottom"/>
            <w:hideMark/>
          </w:tcPr>
          <w:p w14:paraId="2606C076" w14:textId="656884BE"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26,0</w:t>
            </w:r>
          </w:p>
        </w:tc>
        <w:tc>
          <w:tcPr>
            <w:tcW w:w="744" w:type="dxa"/>
            <w:shd w:val="clear" w:color="auto" w:fill="auto"/>
            <w:vAlign w:val="bottom"/>
            <w:hideMark/>
          </w:tcPr>
          <w:p w14:paraId="6C123380" w14:textId="602DFA77"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1 546,2</w:t>
            </w:r>
          </w:p>
        </w:tc>
        <w:tc>
          <w:tcPr>
            <w:tcW w:w="736" w:type="dxa"/>
            <w:shd w:val="clear" w:color="auto" w:fill="auto"/>
            <w:vAlign w:val="bottom"/>
            <w:hideMark/>
          </w:tcPr>
          <w:p w14:paraId="114E9E07" w14:textId="7F5E9B42"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33,4</w:t>
            </w:r>
          </w:p>
        </w:tc>
      </w:tr>
      <w:tr w:rsidR="0054367B" w:rsidRPr="00DF0A94" w14:paraId="5286382F" w14:textId="77777777" w:rsidTr="0054367B">
        <w:tc>
          <w:tcPr>
            <w:tcW w:w="1276" w:type="dxa"/>
            <w:shd w:val="clear" w:color="auto" w:fill="auto"/>
            <w:hideMark/>
          </w:tcPr>
          <w:p w14:paraId="7F2B459F" w14:textId="57383A5A" w:rsidR="0054367B" w:rsidRPr="0054367B" w:rsidRDefault="0054367B" w:rsidP="0054367B">
            <w:pPr>
              <w:keepNext/>
              <w:suppressAutoHyphens w:val="0"/>
              <w:spacing w:before="40" w:after="40" w:line="220" w:lineRule="exact"/>
              <w:ind w:right="113"/>
              <w:rPr>
                <w:sz w:val="18"/>
                <w:szCs w:val="18"/>
              </w:rPr>
            </w:pPr>
            <w:r w:rsidRPr="0054367B">
              <w:rPr>
                <w:sz w:val="18"/>
                <w:szCs w:val="18"/>
                <w:lang w:val="fr-FR"/>
              </w:rPr>
              <w:t>Fonds accordés aux hôpitaux privés</w:t>
            </w:r>
          </w:p>
        </w:tc>
        <w:tc>
          <w:tcPr>
            <w:tcW w:w="709" w:type="dxa"/>
            <w:shd w:val="clear" w:color="auto" w:fill="auto"/>
            <w:vAlign w:val="bottom"/>
            <w:hideMark/>
          </w:tcPr>
          <w:p w14:paraId="3A1AD1EF" w14:textId="23D7FA21"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326,5</w:t>
            </w:r>
          </w:p>
        </w:tc>
        <w:tc>
          <w:tcPr>
            <w:tcW w:w="850" w:type="dxa"/>
            <w:shd w:val="clear" w:color="auto" w:fill="auto"/>
            <w:vAlign w:val="bottom"/>
            <w:hideMark/>
          </w:tcPr>
          <w:p w14:paraId="31F48A54" w14:textId="2F138BEB"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31,8</w:t>
            </w:r>
          </w:p>
        </w:tc>
        <w:tc>
          <w:tcPr>
            <w:tcW w:w="709" w:type="dxa"/>
            <w:shd w:val="clear" w:color="auto" w:fill="auto"/>
            <w:vAlign w:val="bottom"/>
            <w:hideMark/>
          </w:tcPr>
          <w:p w14:paraId="0D6B7D74" w14:textId="3575CB65"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349,5</w:t>
            </w:r>
          </w:p>
        </w:tc>
        <w:tc>
          <w:tcPr>
            <w:tcW w:w="790" w:type="dxa"/>
            <w:shd w:val="clear" w:color="auto" w:fill="auto"/>
            <w:vAlign w:val="bottom"/>
            <w:hideMark/>
          </w:tcPr>
          <w:p w14:paraId="6FB882CF" w14:textId="01376046"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34,0</w:t>
            </w:r>
          </w:p>
        </w:tc>
        <w:tc>
          <w:tcPr>
            <w:tcW w:w="811" w:type="dxa"/>
            <w:shd w:val="clear" w:color="auto" w:fill="auto"/>
            <w:vAlign w:val="bottom"/>
            <w:hideMark/>
          </w:tcPr>
          <w:p w14:paraId="147F3DD5" w14:textId="571F9F17"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360,8</w:t>
            </w:r>
          </w:p>
        </w:tc>
        <w:tc>
          <w:tcPr>
            <w:tcW w:w="745" w:type="dxa"/>
            <w:shd w:val="clear" w:color="auto" w:fill="auto"/>
            <w:vAlign w:val="bottom"/>
            <w:hideMark/>
          </w:tcPr>
          <w:p w14:paraId="7073C6F4" w14:textId="40055A3A"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35,1</w:t>
            </w:r>
          </w:p>
        </w:tc>
        <w:tc>
          <w:tcPr>
            <w:tcW w:w="744" w:type="dxa"/>
            <w:shd w:val="clear" w:color="auto" w:fill="auto"/>
            <w:vAlign w:val="bottom"/>
            <w:hideMark/>
          </w:tcPr>
          <w:p w14:paraId="24A46FC9" w14:textId="039FF740"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383,9</w:t>
            </w:r>
          </w:p>
        </w:tc>
        <w:tc>
          <w:tcPr>
            <w:tcW w:w="736" w:type="dxa"/>
            <w:shd w:val="clear" w:color="auto" w:fill="auto"/>
            <w:vAlign w:val="bottom"/>
            <w:hideMark/>
          </w:tcPr>
          <w:p w14:paraId="53613049" w14:textId="7B17CEEA"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37,3</w:t>
            </w:r>
          </w:p>
        </w:tc>
      </w:tr>
      <w:tr w:rsidR="0054367B" w:rsidRPr="00DF0A94" w14:paraId="32C7E8D0" w14:textId="77777777" w:rsidTr="0054367B">
        <w:tc>
          <w:tcPr>
            <w:tcW w:w="1276" w:type="dxa"/>
            <w:tcBorders>
              <w:bottom w:val="single" w:sz="4" w:space="0" w:color="auto"/>
            </w:tcBorders>
            <w:shd w:val="clear" w:color="auto" w:fill="auto"/>
            <w:hideMark/>
          </w:tcPr>
          <w:p w14:paraId="022650D9" w14:textId="060EF471" w:rsidR="0054367B" w:rsidRPr="0054367B" w:rsidRDefault="0054367B" w:rsidP="0054367B">
            <w:pPr>
              <w:keepNext/>
              <w:suppressAutoHyphens w:val="0"/>
              <w:spacing w:before="40" w:after="40" w:line="220" w:lineRule="exact"/>
              <w:ind w:right="113"/>
              <w:rPr>
                <w:sz w:val="18"/>
                <w:szCs w:val="18"/>
              </w:rPr>
            </w:pPr>
            <w:r w:rsidRPr="0054367B">
              <w:rPr>
                <w:sz w:val="18"/>
                <w:szCs w:val="18"/>
                <w:lang w:val="fr-FR"/>
              </w:rPr>
              <w:t>Fonds fournis aux centres de santé des soums</w:t>
            </w:r>
          </w:p>
        </w:tc>
        <w:tc>
          <w:tcPr>
            <w:tcW w:w="709" w:type="dxa"/>
            <w:tcBorders>
              <w:bottom w:val="single" w:sz="4" w:space="0" w:color="auto"/>
            </w:tcBorders>
            <w:shd w:val="clear" w:color="auto" w:fill="auto"/>
            <w:vAlign w:val="bottom"/>
            <w:hideMark/>
          </w:tcPr>
          <w:p w14:paraId="12F84C48" w14:textId="77777777" w:rsidR="0054367B" w:rsidRPr="0054367B" w:rsidRDefault="0054367B" w:rsidP="0054367B">
            <w:pPr>
              <w:keepNext/>
              <w:suppressAutoHyphens w:val="0"/>
              <w:spacing w:before="40" w:after="40" w:line="220" w:lineRule="exact"/>
              <w:ind w:right="113"/>
              <w:jc w:val="right"/>
              <w:rPr>
                <w:sz w:val="18"/>
                <w:szCs w:val="18"/>
              </w:rPr>
            </w:pPr>
          </w:p>
        </w:tc>
        <w:tc>
          <w:tcPr>
            <w:tcW w:w="850" w:type="dxa"/>
            <w:tcBorders>
              <w:bottom w:val="single" w:sz="4" w:space="0" w:color="auto"/>
            </w:tcBorders>
            <w:shd w:val="clear" w:color="auto" w:fill="auto"/>
            <w:vAlign w:val="bottom"/>
            <w:hideMark/>
          </w:tcPr>
          <w:p w14:paraId="5A932985" w14:textId="77777777" w:rsidR="0054367B" w:rsidRPr="0054367B" w:rsidRDefault="0054367B" w:rsidP="0054367B">
            <w:pPr>
              <w:keepNext/>
              <w:suppressAutoHyphens w:val="0"/>
              <w:spacing w:before="40" w:after="40" w:line="220" w:lineRule="exact"/>
              <w:ind w:right="113"/>
              <w:jc w:val="right"/>
              <w:rPr>
                <w:sz w:val="18"/>
                <w:szCs w:val="18"/>
              </w:rPr>
            </w:pPr>
          </w:p>
        </w:tc>
        <w:tc>
          <w:tcPr>
            <w:tcW w:w="709" w:type="dxa"/>
            <w:tcBorders>
              <w:bottom w:val="single" w:sz="4" w:space="0" w:color="auto"/>
            </w:tcBorders>
            <w:shd w:val="clear" w:color="auto" w:fill="auto"/>
            <w:vAlign w:val="bottom"/>
            <w:hideMark/>
          </w:tcPr>
          <w:p w14:paraId="5AACA91C" w14:textId="77777777" w:rsidR="0054367B" w:rsidRPr="0054367B" w:rsidRDefault="0054367B" w:rsidP="0054367B">
            <w:pPr>
              <w:keepNext/>
              <w:suppressAutoHyphens w:val="0"/>
              <w:spacing w:before="40" w:after="40" w:line="220" w:lineRule="exact"/>
              <w:ind w:right="113"/>
              <w:jc w:val="right"/>
              <w:rPr>
                <w:sz w:val="18"/>
                <w:szCs w:val="18"/>
              </w:rPr>
            </w:pPr>
          </w:p>
        </w:tc>
        <w:tc>
          <w:tcPr>
            <w:tcW w:w="790" w:type="dxa"/>
            <w:tcBorders>
              <w:bottom w:val="single" w:sz="4" w:space="0" w:color="auto"/>
            </w:tcBorders>
            <w:shd w:val="clear" w:color="auto" w:fill="auto"/>
            <w:vAlign w:val="bottom"/>
            <w:hideMark/>
          </w:tcPr>
          <w:p w14:paraId="2CE07030" w14:textId="77777777" w:rsidR="0054367B" w:rsidRPr="0054367B" w:rsidRDefault="0054367B" w:rsidP="0054367B">
            <w:pPr>
              <w:keepNext/>
              <w:suppressAutoHyphens w:val="0"/>
              <w:spacing w:before="40" w:after="40" w:line="220" w:lineRule="exact"/>
              <w:ind w:right="113"/>
              <w:jc w:val="right"/>
              <w:rPr>
                <w:sz w:val="18"/>
                <w:szCs w:val="18"/>
              </w:rPr>
            </w:pPr>
          </w:p>
        </w:tc>
        <w:tc>
          <w:tcPr>
            <w:tcW w:w="811" w:type="dxa"/>
            <w:tcBorders>
              <w:bottom w:val="single" w:sz="4" w:space="0" w:color="auto"/>
            </w:tcBorders>
            <w:shd w:val="clear" w:color="auto" w:fill="auto"/>
            <w:vAlign w:val="bottom"/>
            <w:hideMark/>
          </w:tcPr>
          <w:p w14:paraId="393CB32F" w14:textId="31BBA743"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82,2</w:t>
            </w:r>
          </w:p>
        </w:tc>
        <w:tc>
          <w:tcPr>
            <w:tcW w:w="745" w:type="dxa"/>
            <w:tcBorders>
              <w:bottom w:val="single" w:sz="4" w:space="0" w:color="auto"/>
            </w:tcBorders>
            <w:shd w:val="clear" w:color="auto" w:fill="auto"/>
            <w:vAlign w:val="bottom"/>
            <w:hideMark/>
          </w:tcPr>
          <w:p w14:paraId="68B2F26E" w14:textId="0476B093"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1,7</w:t>
            </w:r>
          </w:p>
        </w:tc>
        <w:tc>
          <w:tcPr>
            <w:tcW w:w="744" w:type="dxa"/>
            <w:tcBorders>
              <w:bottom w:val="single" w:sz="4" w:space="0" w:color="auto"/>
            </w:tcBorders>
            <w:shd w:val="clear" w:color="auto" w:fill="auto"/>
            <w:vAlign w:val="bottom"/>
            <w:hideMark/>
          </w:tcPr>
          <w:p w14:paraId="340B566E" w14:textId="0CDF0A10"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452,6</w:t>
            </w:r>
          </w:p>
        </w:tc>
        <w:tc>
          <w:tcPr>
            <w:tcW w:w="736" w:type="dxa"/>
            <w:tcBorders>
              <w:bottom w:val="single" w:sz="4" w:space="0" w:color="auto"/>
            </w:tcBorders>
            <w:shd w:val="clear" w:color="auto" w:fill="auto"/>
            <w:vAlign w:val="bottom"/>
            <w:hideMark/>
          </w:tcPr>
          <w:p w14:paraId="31FF8617" w14:textId="6B5D19F0" w:rsidR="0054367B" w:rsidRPr="0054367B" w:rsidRDefault="0054367B" w:rsidP="0054367B">
            <w:pPr>
              <w:keepNext/>
              <w:suppressAutoHyphens w:val="0"/>
              <w:spacing w:before="40" w:after="40" w:line="220" w:lineRule="exact"/>
              <w:ind w:right="113"/>
              <w:jc w:val="right"/>
              <w:rPr>
                <w:sz w:val="18"/>
                <w:szCs w:val="18"/>
              </w:rPr>
            </w:pPr>
            <w:r w:rsidRPr="0054367B">
              <w:rPr>
                <w:sz w:val="18"/>
                <w:szCs w:val="18"/>
                <w:lang w:val="fr-FR"/>
              </w:rPr>
              <w:t>9,0</w:t>
            </w:r>
          </w:p>
        </w:tc>
      </w:tr>
      <w:tr w:rsidR="0054367B" w:rsidRPr="00DF0A94" w14:paraId="484DB5EB" w14:textId="77777777" w:rsidTr="0054367B">
        <w:tc>
          <w:tcPr>
            <w:tcW w:w="1276" w:type="dxa"/>
            <w:tcBorders>
              <w:top w:val="single" w:sz="4" w:space="0" w:color="auto"/>
              <w:bottom w:val="single" w:sz="12" w:space="0" w:color="auto"/>
            </w:tcBorders>
            <w:shd w:val="clear" w:color="auto" w:fill="auto"/>
            <w:noWrap/>
            <w:hideMark/>
          </w:tcPr>
          <w:p w14:paraId="3A3B3FD7" w14:textId="77777777" w:rsidR="0054367B" w:rsidRPr="00DF0A94" w:rsidRDefault="0054367B" w:rsidP="00807741">
            <w:pPr>
              <w:keepNext/>
              <w:suppressAutoHyphens w:val="0"/>
              <w:spacing w:before="80" w:after="80" w:line="220" w:lineRule="exact"/>
              <w:ind w:left="283"/>
              <w:rPr>
                <w:b/>
                <w:sz w:val="18"/>
              </w:rPr>
            </w:pPr>
            <w:r w:rsidRPr="00DF0A94">
              <w:rPr>
                <w:b/>
                <w:sz w:val="18"/>
              </w:rPr>
              <w:t>Total</w:t>
            </w:r>
          </w:p>
        </w:tc>
        <w:tc>
          <w:tcPr>
            <w:tcW w:w="709" w:type="dxa"/>
            <w:tcBorders>
              <w:top w:val="single" w:sz="4" w:space="0" w:color="auto"/>
              <w:bottom w:val="single" w:sz="12" w:space="0" w:color="auto"/>
            </w:tcBorders>
            <w:shd w:val="clear" w:color="auto" w:fill="auto"/>
            <w:noWrap/>
            <w:vAlign w:val="bottom"/>
            <w:hideMark/>
          </w:tcPr>
          <w:p w14:paraId="0E0CF180" w14:textId="15B3137C" w:rsidR="0054367B" w:rsidRPr="0054367B" w:rsidRDefault="0054367B" w:rsidP="00807741">
            <w:pPr>
              <w:keepNext/>
              <w:suppressAutoHyphens w:val="0"/>
              <w:spacing w:before="80" w:after="80" w:line="220" w:lineRule="exact"/>
              <w:ind w:right="113"/>
              <w:jc w:val="right"/>
              <w:rPr>
                <w:b/>
                <w:bCs/>
                <w:sz w:val="18"/>
                <w:szCs w:val="18"/>
              </w:rPr>
            </w:pPr>
            <w:r w:rsidRPr="0054367B">
              <w:rPr>
                <w:b/>
                <w:bCs/>
                <w:sz w:val="18"/>
                <w:szCs w:val="18"/>
                <w:lang w:val="fr-FR"/>
              </w:rPr>
              <w:t>2 704,1</w:t>
            </w:r>
          </w:p>
        </w:tc>
        <w:tc>
          <w:tcPr>
            <w:tcW w:w="850" w:type="dxa"/>
            <w:tcBorders>
              <w:top w:val="single" w:sz="4" w:space="0" w:color="auto"/>
              <w:bottom w:val="single" w:sz="12" w:space="0" w:color="auto"/>
            </w:tcBorders>
            <w:shd w:val="clear" w:color="auto" w:fill="auto"/>
            <w:noWrap/>
            <w:vAlign w:val="bottom"/>
            <w:hideMark/>
          </w:tcPr>
          <w:p w14:paraId="21997F89" w14:textId="07056B63" w:rsidR="0054367B" w:rsidRPr="0054367B" w:rsidRDefault="0054367B" w:rsidP="00807741">
            <w:pPr>
              <w:keepNext/>
              <w:suppressAutoHyphens w:val="0"/>
              <w:spacing w:before="80" w:after="80" w:line="220" w:lineRule="exact"/>
              <w:ind w:right="113"/>
              <w:jc w:val="right"/>
              <w:rPr>
                <w:b/>
                <w:bCs/>
                <w:sz w:val="18"/>
                <w:szCs w:val="18"/>
              </w:rPr>
            </w:pPr>
            <w:r w:rsidRPr="0054367B">
              <w:rPr>
                <w:b/>
                <w:bCs/>
                <w:sz w:val="18"/>
                <w:szCs w:val="18"/>
                <w:lang w:val="fr-FR"/>
              </w:rPr>
              <w:t>237,1</w:t>
            </w:r>
          </w:p>
        </w:tc>
        <w:tc>
          <w:tcPr>
            <w:tcW w:w="709" w:type="dxa"/>
            <w:tcBorders>
              <w:top w:val="single" w:sz="4" w:space="0" w:color="auto"/>
              <w:bottom w:val="single" w:sz="12" w:space="0" w:color="auto"/>
            </w:tcBorders>
            <w:shd w:val="clear" w:color="auto" w:fill="auto"/>
            <w:noWrap/>
            <w:vAlign w:val="bottom"/>
            <w:hideMark/>
          </w:tcPr>
          <w:p w14:paraId="18BE81EA" w14:textId="64EDAF1D" w:rsidR="0054367B" w:rsidRPr="0054367B" w:rsidRDefault="0054367B" w:rsidP="00807741">
            <w:pPr>
              <w:keepNext/>
              <w:suppressAutoHyphens w:val="0"/>
              <w:spacing w:before="80" w:after="80" w:line="220" w:lineRule="exact"/>
              <w:ind w:right="113"/>
              <w:jc w:val="right"/>
              <w:rPr>
                <w:b/>
                <w:bCs/>
                <w:sz w:val="18"/>
                <w:szCs w:val="18"/>
              </w:rPr>
            </w:pPr>
            <w:r w:rsidRPr="0054367B">
              <w:rPr>
                <w:b/>
                <w:bCs/>
                <w:sz w:val="18"/>
                <w:szCs w:val="18"/>
                <w:lang w:val="fr-FR"/>
              </w:rPr>
              <w:t>2 873,2</w:t>
            </w:r>
          </w:p>
        </w:tc>
        <w:tc>
          <w:tcPr>
            <w:tcW w:w="790" w:type="dxa"/>
            <w:tcBorders>
              <w:top w:val="single" w:sz="4" w:space="0" w:color="auto"/>
              <w:bottom w:val="single" w:sz="12" w:space="0" w:color="auto"/>
            </w:tcBorders>
            <w:shd w:val="clear" w:color="auto" w:fill="auto"/>
            <w:noWrap/>
            <w:vAlign w:val="bottom"/>
            <w:hideMark/>
          </w:tcPr>
          <w:p w14:paraId="5F8AAAFF" w14:textId="4BB995F4" w:rsidR="0054367B" w:rsidRPr="0054367B" w:rsidRDefault="0054367B" w:rsidP="00807741">
            <w:pPr>
              <w:keepNext/>
              <w:suppressAutoHyphens w:val="0"/>
              <w:spacing w:before="80" w:after="80" w:line="220" w:lineRule="exact"/>
              <w:ind w:right="113"/>
              <w:jc w:val="right"/>
              <w:rPr>
                <w:b/>
                <w:bCs/>
                <w:sz w:val="18"/>
                <w:szCs w:val="18"/>
              </w:rPr>
            </w:pPr>
            <w:r w:rsidRPr="0054367B">
              <w:rPr>
                <w:b/>
                <w:bCs/>
                <w:sz w:val="18"/>
                <w:szCs w:val="18"/>
                <w:lang w:val="fr-FR"/>
              </w:rPr>
              <w:t>280,6</w:t>
            </w:r>
          </w:p>
        </w:tc>
        <w:tc>
          <w:tcPr>
            <w:tcW w:w="811" w:type="dxa"/>
            <w:tcBorders>
              <w:top w:val="single" w:sz="4" w:space="0" w:color="auto"/>
              <w:bottom w:val="single" w:sz="12" w:space="0" w:color="auto"/>
            </w:tcBorders>
            <w:shd w:val="clear" w:color="auto" w:fill="auto"/>
            <w:noWrap/>
            <w:vAlign w:val="bottom"/>
            <w:hideMark/>
          </w:tcPr>
          <w:p w14:paraId="65CEF34B" w14:textId="77266117" w:rsidR="0054367B" w:rsidRPr="0054367B" w:rsidRDefault="0054367B" w:rsidP="00807741">
            <w:pPr>
              <w:keepNext/>
              <w:suppressAutoHyphens w:val="0"/>
              <w:spacing w:before="80" w:after="80" w:line="220" w:lineRule="exact"/>
              <w:ind w:right="113"/>
              <w:jc w:val="right"/>
              <w:rPr>
                <w:b/>
                <w:bCs/>
                <w:sz w:val="18"/>
                <w:szCs w:val="18"/>
              </w:rPr>
            </w:pPr>
            <w:r w:rsidRPr="0054367B">
              <w:rPr>
                <w:b/>
                <w:bCs/>
                <w:sz w:val="18"/>
                <w:szCs w:val="18"/>
                <w:lang w:val="fr-FR"/>
              </w:rPr>
              <w:t>2 918,2</w:t>
            </w:r>
          </w:p>
        </w:tc>
        <w:tc>
          <w:tcPr>
            <w:tcW w:w="745" w:type="dxa"/>
            <w:tcBorders>
              <w:top w:val="single" w:sz="4" w:space="0" w:color="auto"/>
              <w:bottom w:val="single" w:sz="12" w:space="0" w:color="auto"/>
            </w:tcBorders>
            <w:shd w:val="clear" w:color="auto" w:fill="auto"/>
            <w:noWrap/>
            <w:vAlign w:val="bottom"/>
            <w:hideMark/>
          </w:tcPr>
          <w:p w14:paraId="4F586B59" w14:textId="21EC5C87" w:rsidR="0054367B" w:rsidRPr="0054367B" w:rsidRDefault="0054367B" w:rsidP="00807741">
            <w:pPr>
              <w:keepNext/>
              <w:suppressAutoHyphens w:val="0"/>
              <w:spacing w:before="80" w:after="80" w:line="220" w:lineRule="exact"/>
              <w:ind w:right="113"/>
              <w:jc w:val="right"/>
              <w:rPr>
                <w:b/>
                <w:bCs/>
                <w:sz w:val="18"/>
                <w:szCs w:val="18"/>
              </w:rPr>
            </w:pPr>
            <w:r w:rsidRPr="0054367B">
              <w:rPr>
                <w:b/>
                <w:bCs/>
                <w:sz w:val="18"/>
                <w:szCs w:val="18"/>
                <w:lang w:val="fr-FR"/>
              </w:rPr>
              <w:t>288,6</w:t>
            </w:r>
          </w:p>
        </w:tc>
        <w:tc>
          <w:tcPr>
            <w:tcW w:w="744" w:type="dxa"/>
            <w:tcBorders>
              <w:top w:val="single" w:sz="4" w:space="0" w:color="auto"/>
              <w:bottom w:val="single" w:sz="12" w:space="0" w:color="auto"/>
            </w:tcBorders>
            <w:shd w:val="clear" w:color="auto" w:fill="auto"/>
            <w:noWrap/>
            <w:vAlign w:val="bottom"/>
            <w:hideMark/>
          </w:tcPr>
          <w:p w14:paraId="0E1B0CC7" w14:textId="21D6FBE0" w:rsidR="0054367B" w:rsidRPr="0054367B" w:rsidRDefault="0054367B" w:rsidP="00807741">
            <w:pPr>
              <w:keepNext/>
              <w:suppressAutoHyphens w:val="0"/>
              <w:spacing w:before="80" w:after="80" w:line="220" w:lineRule="exact"/>
              <w:ind w:right="113"/>
              <w:jc w:val="right"/>
              <w:rPr>
                <w:b/>
                <w:bCs/>
                <w:sz w:val="18"/>
                <w:szCs w:val="18"/>
              </w:rPr>
            </w:pPr>
            <w:r w:rsidRPr="0054367B">
              <w:rPr>
                <w:b/>
                <w:bCs/>
                <w:sz w:val="18"/>
                <w:szCs w:val="18"/>
                <w:lang w:val="fr-FR"/>
              </w:rPr>
              <w:t>3 538,5</w:t>
            </w:r>
          </w:p>
        </w:tc>
        <w:tc>
          <w:tcPr>
            <w:tcW w:w="736" w:type="dxa"/>
            <w:tcBorders>
              <w:top w:val="single" w:sz="4" w:space="0" w:color="auto"/>
              <w:bottom w:val="single" w:sz="12" w:space="0" w:color="auto"/>
            </w:tcBorders>
            <w:shd w:val="clear" w:color="auto" w:fill="auto"/>
            <w:noWrap/>
            <w:vAlign w:val="bottom"/>
            <w:hideMark/>
          </w:tcPr>
          <w:p w14:paraId="3EC5E0CC" w14:textId="6ABD7ADE" w:rsidR="0054367B" w:rsidRPr="0054367B" w:rsidRDefault="0054367B" w:rsidP="00807741">
            <w:pPr>
              <w:keepNext/>
              <w:suppressAutoHyphens w:val="0"/>
              <w:spacing w:before="80" w:after="80" w:line="220" w:lineRule="exact"/>
              <w:ind w:right="113"/>
              <w:jc w:val="right"/>
              <w:rPr>
                <w:b/>
                <w:bCs/>
                <w:sz w:val="18"/>
                <w:szCs w:val="18"/>
              </w:rPr>
            </w:pPr>
            <w:r w:rsidRPr="0054367B">
              <w:rPr>
                <w:b/>
                <w:bCs/>
                <w:sz w:val="18"/>
                <w:szCs w:val="18"/>
                <w:lang w:val="fr-FR"/>
              </w:rPr>
              <w:t>330,1</w:t>
            </w:r>
          </w:p>
        </w:tc>
      </w:tr>
    </w:tbl>
    <w:p w14:paraId="72DB036E" w14:textId="35FAC07F" w:rsidR="00560776" w:rsidRPr="0054367B" w:rsidRDefault="00560776" w:rsidP="0054367B">
      <w:pPr>
        <w:pStyle w:val="SingleTxtG"/>
        <w:spacing w:before="120"/>
        <w:ind w:firstLine="170"/>
        <w:rPr>
          <w:sz w:val="18"/>
          <w:szCs w:val="18"/>
        </w:rPr>
      </w:pPr>
      <w:r w:rsidRPr="0054367B">
        <w:rPr>
          <w:i/>
          <w:iCs/>
          <w:sz w:val="18"/>
          <w:szCs w:val="18"/>
        </w:rPr>
        <w:t>Source</w:t>
      </w:r>
      <w:r w:rsidR="00A737F5">
        <w:rPr>
          <w:i/>
          <w:iCs/>
          <w:sz w:val="18"/>
          <w:szCs w:val="18"/>
        </w:rPr>
        <w:t> </w:t>
      </w:r>
      <w:r w:rsidRPr="0054367B">
        <w:rPr>
          <w:sz w:val="18"/>
          <w:szCs w:val="18"/>
        </w:rPr>
        <w:t>: Rapport de la caisse d</w:t>
      </w:r>
      <w:r w:rsidR="009C7759">
        <w:rPr>
          <w:sz w:val="18"/>
          <w:szCs w:val="18"/>
        </w:rPr>
        <w:t>’</w:t>
      </w:r>
      <w:r w:rsidRPr="0054367B">
        <w:rPr>
          <w:sz w:val="18"/>
          <w:szCs w:val="18"/>
        </w:rPr>
        <w:t>assurance maladie.</w:t>
      </w:r>
    </w:p>
    <w:p w14:paraId="571F7DE2" w14:textId="4DC98592" w:rsidR="00560776" w:rsidRPr="008D553A" w:rsidRDefault="00560776" w:rsidP="004F7E31">
      <w:pPr>
        <w:pStyle w:val="H23G"/>
        <w:rPr>
          <w:lang w:val="fr-FR"/>
        </w:rPr>
      </w:pPr>
      <w:r>
        <w:rPr>
          <w:lang w:val="fr-FR"/>
        </w:rPr>
        <w:tab/>
      </w:r>
      <w:r>
        <w:rPr>
          <w:lang w:val="fr-FR"/>
        </w:rPr>
        <w:tab/>
        <w:t>Programme d</w:t>
      </w:r>
      <w:r w:rsidR="009C7759">
        <w:rPr>
          <w:lang w:val="fr-FR"/>
        </w:rPr>
        <w:t>’</w:t>
      </w:r>
      <w:r>
        <w:rPr>
          <w:lang w:val="fr-FR"/>
        </w:rPr>
        <w:t xml:space="preserve">allocations pour mères ou pères célibataires </w:t>
      </w:r>
      <w:r w:rsidR="004F7E31">
        <w:rPr>
          <w:lang w:val="fr-FR"/>
        </w:rPr>
        <w:br/>
      </w:r>
      <w:r>
        <w:rPr>
          <w:lang w:val="fr-FR"/>
        </w:rPr>
        <w:t>à la tête d</w:t>
      </w:r>
      <w:r w:rsidR="009C7759">
        <w:rPr>
          <w:lang w:val="fr-FR"/>
        </w:rPr>
        <w:t>’</w:t>
      </w:r>
      <w:r>
        <w:rPr>
          <w:lang w:val="fr-FR"/>
        </w:rPr>
        <w:t>une famille nombreuse</w:t>
      </w:r>
    </w:p>
    <w:p w14:paraId="6E2D28BB" w14:textId="238E724F" w:rsidR="00560776" w:rsidRPr="008D553A" w:rsidRDefault="00560776" w:rsidP="00560776">
      <w:pPr>
        <w:pStyle w:val="SingleTxtG"/>
        <w:rPr>
          <w:lang w:val="fr-FR"/>
        </w:rPr>
      </w:pPr>
      <w:r>
        <w:rPr>
          <w:lang w:val="fr-FR"/>
        </w:rPr>
        <w:t>29.</w:t>
      </w:r>
      <w:r>
        <w:rPr>
          <w:lang w:val="fr-FR"/>
        </w:rPr>
        <w:tab/>
        <w:t xml:space="preserve">Le Grand </w:t>
      </w:r>
      <w:proofErr w:type="spellStart"/>
      <w:r>
        <w:rPr>
          <w:lang w:val="fr-FR"/>
        </w:rPr>
        <w:t>Khoural</w:t>
      </w:r>
      <w:proofErr w:type="spellEnd"/>
      <w:r>
        <w:rPr>
          <w:lang w:val="fr-FR"/>
        </w:rPr>
        <w:t xml:space="preserve"> d</w:t>
      </w:r>
      <w:r w:rsidR="009C7759">
        <w:rPr>
          <w:lang w:val="fr-FR"/>
        </w:rPr>
        <w:t>’</w:t>
      </w:r>
      <w:r>
        <w:rPr>
          <w:lang w:val="fr-FR"/>
        </w:rPr>
        <w:t>État a adopté en 2017 la loi sur l</w:t>
      </w:r>
      <w:r w:rsidR="009C7759">
        <w:rPr>
          <w:lang w:val="fr-FR"/>
        </w:rPr>
        <w:t>’</w:t>
      </w:r>
      <w:r>
        <w:rPr>
          <w:lang w:val="fr-FR"/>
        </w:rPr>
        <w:t>octroi d</w:t>
      </w:r>
      <w:r w:rsidR="009C7759">
        <w:rPr>
          <w:lang w:val="fr-FR"/>
        </w:rPr>
        <w:t>’</w:t>
      </w:r>
      <w:r>
        <w:rPr>
          <w:lang w:val="fr-FR"/>
        </w:rPr>
        <w:t>allocations aux mères ou pères célibataires à la tête d</w:t>
      </w:r>
      <w:r w:rsidR="009C7759">
        <w:rPr>
          <w:lang w:val="fr-FR"/>
        </w:rPr>
        <w:t>’</w:t>
      </w:r>
      <w:r>
        <w:rPr>
          <w:lang w:val="fr-FR"/>
        </w:rPr>
        <w:t>une famille nombreuse, qui est entrée en vigueur en 2018. Selon cette loi, les femmes enceintes ont droit à une allocation mensuelle de 40</w:t>
      </w:r>
      <w:r w:rsidR="00431286">
        <w:rPr>
          <w:lang w:val="fr-FR"/>
        </w:rPr>
        <w:t> </w:t>
      </w:r>
      <w:r>
        <w:rPr>
          <w:lang w:val="fr-FR"/>
        </w:rPr>
        <w:t>000</w:t>
      </w:r>
      <w:r w:rsidR="00431286">
        <w:rPr>
          <w:lang w:val="fr-FR"/>
        </w:rPr>
        <w:t> </w:t>
      </w:r>
      <w:proofErr w:type="spellStart"/>
      <w:r>
        <w:rPr>
          <w:lang w:val="fr-FR"/>
        </w:rPr>
        <w:t>togrogs</w:t>
      </w:r>
      <w:proofErr w:type="spellEnd"/>
      <w:r>
        <w:rPr>
          <w:lang w:val="fr-FR"/>
        </w:rPr>
        <w:t xml:space="preserve"> à partir du cinquième mois de grossesse et jusqu</w:t>
      </w:r>
      <w:r w:rsidR="009C7759">
        <w:rPr>
          <w:lang w:val="fr-FR"/>
        </w:rPr>
        <w:t>’</w:t>
      </w:r>
      <w:r>
        <w:rPr>
          <w:lang w:val="fr-FR"/>
        </w:rPr>
        <w:t>à l</w:t>
      </w:r>
      <w:r w:rsidR="009C7759">
        <w:rPr>
          <w:lang w:val="fr-FR"/>
        </w:rPr>
        <w:t>’</w:t>
      </w:r>
      <w:r>
        <w:rPr>
          <w:lang w:val="fr-FR"/>
        </w:rPr>
        <w:t>accouchement et les mères qui s</w:t>
      </w:r>
      <w:r w:rsidR="009C7759">
        <w:rPr>
          <w:lang w:val="fr-FR"/>
        </w:rPr>
        <w:t>’</w:t>
      </w:r>
      <w:r>
        <w:rPr>
          <w:lang w:val="fr-FR"/>
        </w:rPr>
        <w:t>occupent de leur enfant de zéro à trois ans ont droit à une allocation mensuelle de 50</w:t>
      </w:r>
      <w:r w:rsidR="00431286">
        <w:rPr>
          <w:lang w:val="fr-FR"/>
        </w:rPr>
        <w:t> </w:t>
      </w:r>
      <w:r>
        <w:rPr>
          <w:lang w:val="fr-FR"/>
        </w:rPr>
        <w:t>000</w:t>
      </w:r>
      <w:r w:rsidR="00431286">
        <w:rPr>
          <w:lang w:val="fr-FR"/>
        </w:rPr>
        <w:t> </w:t>
      </w:r>
      <w:proofErr w:type="spellStart"/>
      <w:r>
        <w:rPr>
          <w:lang w:val="fr-FR"/>
        </w:rPr>
        <w:t>togrogs</w:t>
      </w:r>
      <w:proofErr w:type="spellEnd"/>
      <w:r>
        <w:rPr>
          <w:lang w:val="fr-FR"/>
        </w:rPr>
        <w:t>. Les mères de jumeaux ont droit à une allocation forfaitaire d</w:t>
      </w:r>
      <w:r w:rsidR="009C7759">
        <w:rPr>
          <w:lang w:val="fr-FR"/>
        </w:rPr>
        <w:t>’</w:t>
      </w:r>
      <w:r>
        <w:rPr>
          <w:lang w:val="fr-FR"/>
        </w:rPr>
        <w:t xml:space="preserve">un million de </w:t>
      </w:r>
      <w:proofErr w:type="spellStart"/>
      <w:r>
        <w:rPr>
          <w:lang w:val="fr-FR"/>
        </w:rPr>
        <w:t>togrogs</w:t>
      </w:r>
      <w:proofErr w:type="spellEnd"/>
      <w:r>
        <w:rPr>
          <w:lang w:val="fr-FR"/>
        </w:rPr>
        <w:t xml:space="preserve"> par enfant, qui est portée à trois millions par enfant dans le cas de triplés ou d</w:t>
      </w:r>
      <w:r w:rsidR="009C7759">
        <w:rPr>
          <w:lang w:val="fr-FR"/>
        </w:rPr>
        <w:t>’</w:t>
      </w:r>
      <w:r>
        <w:rPr>
          <w:lang w:val="fr-FR"/>
        </w:rPr>
        <w:t>un plus grand nombre de naissances multiples. Les mères et les pères célibataires à la tête d</w:t>
      </w:r>
      <w:r w:rsidR="009C7759">
        <w:rPr>
          <w:lang w:val="fr-FR"/>
        </w:rPr>
        <w:t>’</w:t>
      </w:r>
      <w:r>
        <w:rPr>
          <w:lang w:val="fr-FR"/>
        </w:rPr>
        <w:t>un ménage comptant trois enfants ou plus de moins de 18</w:t>
      </w:r>
      <w:r w:rsidR="00431286">
        <w:rPr>
          <w:lang w:val="fr-FR"/>
        </w:rPr>
        <w:t> </w:t>
      </w:r>
      <w:r>
        <w:rPr>
          <w:lang w:val="fr-FR"/>
        </w:rPr>
        <w:t>ans ont droit à une allocation trimestrielle égale au salaire minimum. En outre, les primes d</w:t>
      </w:r>
      <w:r w:rsidR="009C7759">
        <w:rPr>
          <w:lang w:val="fr-FR"/>
        </w:rPr>
        <w:t>’</w:t>
      </w:r>
      <w:r>
        <w:rPr>
          <w:lang w:val="fr-FR"/>
        </w:rPr>
        <w:t>assurance des mères qui s</w:t>
      </w:r>
      <w:r w:rsidR="009C7759">
        <w:rPr>
          <w:lang w:val="fr-FR"/>
        </w:rPr>
        <w:t>’</w:t>
      </w:r>
      <w:r>
        <w:rPr>
          <w:lang w:val="fr-FR"/>
        </w:rPr>
        <w:t>occupent de leur enfant de zéro à trois ans sont réglées entièrement ou partiellement par l</w:t>
      </w:r>
      <w:r w:rsidR="009C7759">
        <w:rPr>
          <w:lang w:val="fr-FR"/>
        </w:rPr>
        <w:t>’</w:t>
      </w:r>
      <w:r>
        <w:rPr>
          <w:lang w:val="fr-FR"/>
        </w:rPr>
        <w:t>État, les employeurs et la caisse d</w:t>
      </w:r>
      <w:r w:rsidR="009C7759">
        <w:rPr>
          <w:lang w:val="fr-FR"/>
        </w:rPr>
        <w:t>’</w:t>
      </w:r>
      <w:r>
        <w:rPr>
          <w:lang w:val="fr-FR"/>
        </w:rPr>
        <w:t>assurance sociale.</w:t>
      </w:r>
    </w:p>
    <w:p w14:paraId="3DFF5BE0" w14:textId="35A0A826" w:rsidR="00560776" w:rsidRDefault="00560776" w:rsidP="004F7E31">
      <w:pPr>
        <w:pStyle w:val="Titre1"/>
        <w:spacing w:after="120"/>
        <w:rPr>
          <w:b/>
          <w:bCs/>
          <w:lang w:val="fr-FR"/>
        </w:rPr>
      </w:pPr>
      <w:r>
        <w:rPr>
          <w:lang w:val="fr-FR"/>
        </w:rPr>
        <w:lastRenderedPageBreak/>
        <w:t>Tableau 10</w:t>
      </w:r>
      <w:r w:rsidR="004F7E31">
        <w:rPr>
          <w:lang w:val="fr-FR"/>
        </w:rPr>
        <w:t xml:space="preserve"> </w:t>
      </w:r>
      <w:r w:rsidR="004F7E31">
        <w:rPr>
          <w:lang w:val="fr-FR"/>
        </w:rPr>
        <w:br/>
      </w:r>
      <w:r>
        <w:rPr>
          <w:b/>
          <w:bCs/>
          <w:lang w:val="fr-FR"/>
        </w:rPr>
        <w:t>Nombre de bénéficiaires des allocations de l</w:t>
      </w:r>
      <w:r w:rsidR="009C7759">
        <w:rPr>
          <w:b/>
          <w:bCs/>
          <w:lang w:val="fr-FR"/>
        </w:rPr>
        <w:t>’</w:t>
      </w:r>
      <w:r>
        <w:rPr>
          <w:b/>
          <w:bCs/>
          <w:lang w:val="fr-FR"/>
        </w:rPr>
        <w:t xml:space="preserve">État (en milliers) et dépenses engagées </w:t>
      </w:r>
      <w:r w:rsidR="004F7E31">
        <w:rPr>
          <w:b/>
          <w:bCs/>
          <w:lang w:val="fr-FR"/>
        </w:rPr>
        <w:br/>
      </w:r>
      <w:r>
        <w:rPr>
          <w:b/>
          <w:bCs/>
          <w:lang w:val="fr-FR"/>
        </w:rPr>
        <w:t xml:space="preserve">à ce titre (en milliards de </w:t>
      </w:r>
      <w:proofErr w:type="spellStart"/>
      <w:r>
        <w:rPr>
          <w:b/>
          <w:bCs/>
          <w:lang w:val="fr-FR"/>
        </w:rPr>
        <w:t>togrogs</w:t>
      </w:r>
      <w:proofErr w:type="spellEnd"/>
      <w:r>
        <w:rPr>
          <w:b/>
          <w:bCs/>
          <w:lang w:val="fr-F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93"/>
        <w:gridCol w:w="1464"/>
        <w:gridCol w:w="1479"/>
        <w:gridCol w:w="1444"/>
        <w:gridCol w:w="1390"/>
      </w:tblGrid>
      <w:tr w:rsidR="004F7E31" w:rsidRPr="00DF0A94" w14:paraId="0B9CE81E" w14:textId="77777777" w:rsidTr="004C0B14">
        <w:trPr>
          <w:tblHeader/>
        </w:trPr>
        <w:tc>
          <w:tcPr>
            <w:tcW w:w="1593" w:type="dxa"/>
            <w:vMerge w:val="restart"/>
            <w:tcBorders>
              <w:top w:val="single" w:sz="4" w:space="0" w:color="auto"/>
              <w:bottom w:val="single" w:sz="12" w:space="0" w:color="auto"/>
            </w:tcBorders>
            <w:shd w:val="clear" w:color="auto" w:fill="auto"/>
            <w:vAlign w:val="bottom"/>
          </w:tcPr>
          <w:p w14:paraId="0E76341E" w14:textId="3D267B5A" w:rsidR="004F7E31" w:rsidRPr="00DF0A94" w:rsidRDefault="004F7E31" w:rsidP="004C0B14">
            <w:pPr>
              <w:suppressAutoHyphens w:val="0"/>
              <w:spacing w:before="80" w:after="80" w:line="200" w:lineRule="exact"/>
              <w:ind w:right="113"/>
              <w:rPr>
                <w:i/>
                <w:sz w:val="16"/>
              </w:rPr>
            </w:pPr>
            <w:r w:rsidRPr="00653B32">
              <w:rPr>
                <w:i/>
                <w:iCs/>
                <w:sz w:val="16"/>
                <w:szCs w:val="16"/>
                <w:lang w:val="fr-FR"/>
              </w:rPr>
              <w:t>Type d</w:t>
            </w:r>
            <w:r w:rsidR="009C7759">
              <w:rPr>
                <w:i/>
                <w:iCs/>
                <w:sz w:val="16"/>
                <w:szCs w:val="16"/>
                <w:lang w:val="fr-FR"/>
              </w:rPr>
              <w:t>’</w:t>
            </w:r>
            <w:r w:rsidRPr="00653B32">
              <w:rPr>
                <w:i/>
                <w:iCs/>
                <w:sz w:val="16"/>
                <w:szCs w:val="16"/>
                <w:lang w:val="fr-FR"/>
              </w:rPr>
              <w:t>allocation</w:t>
            </w:r>
          </w:p>
        </w:tc>
        <w:tc>
          <w:tcPr>
            <w:tcW w:w="2943" w:type="dxa"/>
            <w:gridSpan w:val="2"/>
            <w:tcBorders>
              <w:top w:val="single" w:sz="4" w:space="0" w:color="auto"/>
              <w:bottom w:val="single" w:sz="4" w:space="0" w:color="auto"/>
              <w:right w:val="single" w:sz="24" w:space="0" w:color="FFFFFF" w:themeColor="background1"/>
            </w:tcBorders>
            <w:shd w:val="clear" w:color="auto" w:fill="auto"/>
            <w:vAlign w:val="bottom"/>
          </w:tcPr>
          <w:p w14:paraId="67BA1EB0" w14:textId="77777777" w:rsidR="004F7E31" w:rsidRPr="00DF0A94" w:rsidRDefault="004F7E31" w:rsidP="004C0B14">
            <w:pPr>
              <w:suppressAutoHyphens w:val="0"/>
              <w:spacing w:before="80" w:after="80" w:line="200" w:lineRule="exact"/>
              <w:ind w:right="113"/>
              <w:jc w:val="center"/>
              <w:rPr>
                <w:i/>
                <w:sz w:val="16"/>
              </w:rPr>
            </w:pPr>
            <w:r w:rsidRPr="00DF0A94">
              <w:rPr>
                <w:i/>
                <w:sz w:val="16"/>
              </w:rPr>
              <w:t>2018</w:t>
            </w:r>
          </w:p>
        </w:tc>
        <w:tc>
          <w:tcPr>
            <w:tcW w:w="2834" w:type="dxa"/>
            <w:gridSpan w:val="2"/>
            <w:tcBorders>
              <w:top w:val="single" w:sz="4" w:space="0" w:color="auto"/>
              <w:left w:val="single" w:sz="24" w:space="0" w:color="FFFFFF" w:themeColor="background1"/>
              <w:bottom w:val="single" w:sz="4" w:space="0" w:color="auto"/>
            </w:tcBorders>
            <w:shd w:val="clear" w:color="auto" w:fill="auto"/>
            <w:vAlign w:val="bottom"/>
          </w:tcPr>
          <w:p w14:paraId="6A384430" w14:textId="77777777" w:rsidR="004F7E31" w:rsidRPr="00DF0A94" w:rsidRDefault="004F7E31" w:rsidP="004C0B14">
            <w:pPr>
              <w:suppressAutoHyphens w:val="0"/>
              <w:spacing w:before="80" w:after="80" w:line="200" w:lineRule="exact"/>
              <w:ind w:right="113"/>
              <w:jc w:val="center"/>
              <w:rPr>
                <w:i/>
                <w:sz w:val="16"/>
              </w:rPr>
            </w:pPr>
            <w:r w:rsidRPr="00DF0A94">
              <w:rPr>
                <w:i/>
                <w:sz w:val="16"/>
              </w:rPr>
              <w:t>2019</w:t>
            </w:r>
          </w:p>
        </w:tc>
      </w:tr>
      <w:tr w:rsidR="004F7E31" w:rsidRPr="00DF0A94" w14:paraId="249B7A6F" w14:textId="77777777" w:rsidTr="004C0B14">
        <w:trPr>
          <w:tblHeader/>
        </w:trPr>
        <w:tc>
          <w:tcPr>
            <w:tcW w:w="1593" w:type="dxa"/>
            <w:vMerge/>
            <w:tcBorders>
              <w:top w:val="single" w:sz="12" w:space="0" w:color="auto"/>
              <w:bottom w:val="nil"/>
            </w:tcBorders>
            <w:shd w:val="clear" w:color="auto" w:fill="auto"/>
            <w:vAlign w:val="bottom"/>
          </w:tcPr>
          <w:p w14:paraId="1D8171FC" w14:textId="77777777" w:rsidR="004F7E31" w:rsidRPr="00DF0A94" w:rsidRDefault="004F7E31" w:rsidP="004F7E31">
            <w:pPr>
              <w:suppressAutoHyphens w:val="0"/>
              <w:spacing w:before="40" w:after="40" w:line="220" w:lineRule="exact"/>
              <w:ind w:right="113"/>
              <w:rPr>
                <w:sz w:val="18"/>
              </w:rPr>
            </w:pPr>
          </w:p>
        </w:tc>
        <w:tc>
          <w:tcPr>
            <w:tcW w:w="1464" w:type="dxa"/>
            <w:tcBorders>
              <w:top w:val="single" w:sz="4" w:space="0" w:color="auto"/>
              <w:bottom w:val="nil"/>
            </w:tcBorders>
            <w:shd w:val="clear" w:color="auto" w:fill="auto"/>
            <w:vAlign w:val="bottom"/>
          </w:tcPr>
          <w:p w14:paraId="09FE9509" w14:textId="3F802433" w:rsidR="004F7E31" w:rsidRPr="00DF0A94" w:rsidRDefault="004F7E31" w:rsidP="004F7E31">
            <w:pPr>
              <w:suppressAutoHyphens w:val="0"/>
              <w:spacing w:before="80" w:after="80" w:line="200" w:lineRule="exact"/>
              <w:ind w:right="113"/>
              <w:jc w:val="right"/>
              <w:rPr>
                <w:i/>
                <w:iCs/>
                <w:sz w:val="16"/>
                <w:szCs w:val="16"/>
              </w:rPr>
            </w:pPr>
            <w:r w:rsidRPr="00653B32">
              <w:rPr>
                <w:i/>
                <w:iCs/>
                <w:sz w:val="16"/>
                <w:szCs w:val="16"/>
                <w:lang w:val="fr-FR"/>
              </w:rPr>
              <w:t>Nombre de bénéficiaires</w:t>
            </w:r>
          </w:p>
        </w:tc>
        <w:tc>
          <w:tcPr>
            <w:tcW w:w="1479" w:type="dxa"/>
            <w:tcBorders>
              <w:top w:val="single" w:sz="4" w:space="0" w:color="auto"/>
              <w:bottom w:val="nil"/>
              <w:right w:val="single" w:sz="24" w:space="0" w:color="FFFFFF" w:themeColor="background1"/>
            </w:tcBorders>
            <w:shd w:val="clear" w:color="auto" w:fill="auto"/>
            <w:vAlign w:val="bottom"/>
          </w:tcPr>
          <w:p w14:paraId="06A82E80" w14:textId="4DF27783" w:rsidR="004F7E31" w:rsidRPr="00DF0A94" w:rsidRDefault="004F7E31" w:rsidP="004F7E31">
            <w:pPr>
              <w:suppressAutoHyphens w:val="0"/>
              <w:spacing w:before="80" w:after="80" w:line="200" w:lineRule="exact"/>
              <w:ind w:right="113"/>
              <w:jc w:val="right"/>
              <w:rPr>
                <w:i/>
                <w:iCs/>
                <w:sz w:val="16"/>
                <w:szCs w:val="16"/>
              </w:rPr>
            </w:pPr>
            <w:r w:rsidRPr="00653B32">
              <w:rPr>
                <w:i/>
                <w:iCs/>
                <w:sz w:val="16"/>
                <w:szCs w:val="16"/>
                <w:lang w:val="fr-FR"/>
              </w:rPr>
              <w:t>Dépenses engagées à ce titre</w:t>
            </w:r>
            <w:r w:rsidRPr="00653B32">
              <w:rPr>
                <w:sz w:val="16"/>
                <w:szCs w:val="16"/>
                <w:lang w:val="fr-FR"/>
              </w:rPr>
              <w:t xml:space="preserve"> </w:t>
            </w:r>
          </w:p>
        </w:tc>
        <w:tc>
          <w:tcPr>
            <w:tcW w:w="1444" w:type="dxa"/>
            <w:tcBorders>
              <w:top w:val="single" w:sz="4" w:space="0" w:color="auto"/>
              <w:left w:val="single" w:sz="24" w:space="0" w:color="FFFFFF" w:themeColor="background1"/>
              <w:bottom w:val="nil"/>
            </w:tcBorders>
            <w:shd w:val="clear" w:color="auto" w:fill="auto"/>
            <w:vAlign w:val="bottom"/>
          </w:tcPr>
          <w:p w14:paraId="7D0C88C3" w14:textId="44C2BE84" w:rsidR="004F7E31" w:rsidRPr="00DF0A94" w:rsidRDefault="004F7E31" w:rsidP="004F7E31">
            <w:pPr>
              <w:suppressAutoHyphens w:val="0"/>
              <w:spacing w:before="80" w:after="80" w:line="200" w:lineRule="exact"/>
              <w:ind w:right="113"/>
              <w:jc w:val="right"/>
              <w:rPr>
                <w:i/>
                <w:iCs/>
                <w:sz w:val="16"/>
                <w:szCs w:val="16"/>
              </w:rPr>
            </w:pPr>
            <w:r w:rsidRPr="00653B32">
              <w:rPr>
                <w:i/>
                <w:iCs/>
                <w:sz w:val="16"/>
                <w:szCs w:val="16"/>
                <w:lang w:val="fr-FR"/>
              </w:rPr>
              <w:t>Nombre de bénéficiaires</w:t>
            </w:r>
          </w:p>
        </w:tc>
        <w:tc>
          <w:tcPr>
            <w:tcW w:w="1390" w:type="dxa"/>
            <w:tcBorders>
              <w:top w:val="single" w:sz="4" w:space="0" w:color="auto"/>
              <w:bottom w:val="nil"/>
            </w:tcBorders>
            <w:shd w:val="clear" w:color="auto" w:fill="auto"/>
            <w:vAlign w:val="bottom"/>
          </w:tcPr>
          <w:p w14:paraId="64E79DBE" w14:textId="5135FE25" w:rsidR="004F7E31" w:rsidRPr="00DF0A94" w:rsidRDefault="004F7E31" w:rsidP="004F7E31">
            <w:pPr>
              <w:suppressAutoHyphens w:val="0"/>
              <w:spacing w:before="80" w:after="80" w:line="200" w:lineRule="exact"/>
              <w:ind w:right="113"/>
              <w:jc w:val="right"/>
              <w:rPr>
                <w:i/>
                <w:iCs/>
                <w:sz w:val="16"/>
                <w:szCs w:val="16"/>
              </w:rPr>
            </w:pPr>
            <w:r w:rsidRPr="00653B32">
              <w:rPr>
                <w:i/>
                <w:iCs/>
                <w:sz w:val="16"/>
                <w:szCs w:val="16"/>
                <w:lang w:val="fr-FR"/>
              </w:rPr>
              <w:t>Dépenses engagées à ce titre</w:t>
            </w:r>
            <w:r w:rsidRPr="00653B32">
              <w:rPr>
                <w:sz w:val="16"/>
                <w:szCs w:val="16"/>
                <w:lang w:val="fr-FR"/>
              </w:rPr>
              <w:t xml:space="preserve"> </w:t>
            </w:r>
          </w:p>
        </w:tc>
      </w:tr>
      <w:tr w:rsidR="004F7E31" w:rsidRPr="00DF0A94" w14:paraId="7BD2200C" w14:textId="77777777" w:rsidTr="004C0B14">
        <w:trPr>
          <w:trHeight w:hRule="exact" w:val="113"/>
          <w:tblHeader/>
        </w:trPr>
        <w:tc>
          <w:tcPr>
            <w:tcW w:w="1593" w:type="dxa"/>
            <w:tcBorders>
              <w:top w:val="nil"/>
              <w:bottom w:val="single" w:sz="12" w:space="0" w:color="auto"/>
            </w:tcBorders>
            <w:shd w:val="clear" w:color="auto" w:fill="auto"/>
            <w:vAlign w:val="bottom"/>
          </w:tcPr>
          <w:p w14:paraId="7BB4CA30" w14:textId="77777777" w:rsidR="004F7E31" w:rsidRPr="00DF0A94" w:rsidRDefault="004F7E31" w:rsidP="004C0B14">
            <w:pPr>
              <w:suppressAutoHyphens w:val="0"/>
              <w:spacing w:before="40" w:after="40" w:line="220" w:lineRule="exact"/>
              <w:ind w:right="113"/>
              <w:rPr>
                <w:sz w:val="18"/>
              </w:rPr>
            </w:pPr>
          </w:p>
        </w:tc>
        <w:tc>
          <w:tcPr>
            <w:tcW w:w="1464" w:type="dxa"/>
            <w:tcBorders>
              <w:top w:val="nil"/>
              <w:bottom w:val="single" w:sz="12" w:space="0" w:color="auto"/>
            </w:tcBorders>
            <w:shd w:val="clear" w:color="auto" w:fill="auto"/>
            <w:vAlign w:val="bottom"/>
          </w:tcPr>
          <w:p w14:paraId="61BD99C8" w14:textId="77777777" w:rsidR="004F7E31" w:rsidRPr="00DF0A94" w:rsidRDefault="004F7E31" w:rsidP="004C0B14">
            <w:pPr>
              <w:suppressAutoHyphens w:val="0"/>
              <w:spacing w:before="80" w:after="80" w:line="200" w:lineRule="exact"/>
              <w:ind w:right="113"/>
              <w:jc w:val="right"/>
              <w:rPr>
                <w:i/>
                <w:iCs/>
                <w:sz w:val="16"/>
                <w:szCs w:val="16"/>
              </w:rPr>
            </w:pPr>
          </w:p>
        </w:tc>
        <w:tc>
          <w:tcPr>
            <w:tcW w:w="1479" w:type="dxa"/>
            <w:tcBorders>
              <w:top w:val="nil"/>
              <w:bottom w:val="single" w:sz="12" w:space="0" w:color="auto"/>
              <w:right w:val="single" w:sz="24" w:space="0" w:color="FFFFFF" w:themeColor="background1"/>
            </w:tcBorders>
            <w:shd w:val="clear" w:color="auto" w:fill="auto"/>
            <w:vAlign w:val="bottom"/>
          </w:tcPr>
          <w:p w14:paraId="41C181B8" w14:textId="77777777" w:rsidR="004F7E31" w:rsidRPr="00DF0A94" w:rsidRDefault="004F7E31" w:rsidP="004C0B14">
            <w:pPr>
              <w:suppressAutoHyphens w:val="0"/>
              <w:spacing w:before="80" w:after="80" w:line="200" w:lineRule="exact"/>
              <w:ind w:right="113"/>
              <w:jc w:val="right"/>
              <w:rPr>
                <w:i/>
                <w:iCs/>
                <w:sz w:val="16"/>
                <w:szCs w:val="16"/>
              </w:rPr>
            </w:pPr>
          </w:p>
        </w:tc>
        <w:tc>
          <w:tcPr>
            <w:tcW w:w="1444" w:type="dxa"/>
            <w:tcBorders>
              <w:top w:val="nil"/>
              <w:left w:val="single" w:sz="24" w:space="0" w:color="FFFFFF" w:themeColor="background1"/>
              <w:bottom w:val="single" w:sz="12" w:space="0" w:color="auto"/>
            </w:tcBorders>
            <w:shd w:val="clear" w:color="auto" w:fill="auto"/>
            <w:vAlign w:val="bottom"/>
          </w:tcPr>
          <w:p w14:paraId="379A578C" w14:textId="77777777" w:rsidR="004F7E31" w:rsidRPr="00DF0A94" w:rsidRDefault="004F7E31" w:rsidP="004C0B14">
            <w:pPr>
              <w:suppressAutoHyphens w:val="0"/>
              <w:spacing w:before="80" w:after="80" w:line="200" w:lineRule="exact"/>
              <w:ind w:right="113"/>
              <w:jc w:val="right"/>
              <w:rPr>
                <w:i/>
                <w:iCs/>
                <w:sz w:val="16"/>
                <w:szCs w:val="16"/>
              </w:rPr>
            </w:pPr>
          </w:p>
        </w:tc>
        <w:tc>
          <w:tcPr>
            <w:tcW w:w="1390" w:type="dxa"/>
            <w:tcBorders>
              <w:top w:val="nil"/>
              <w:bottom w:val="single" w:sz="12" w:space="0" w:color="auto"/>
            </w:tcBorders>
            <w:shd w:val="clear" w:color="auto" w:fill="auto"/>
            <w:vAlign w:val="bottom"/>
          </w:tcPr>
          <w:p w14:paraId="371D5852" w14:textId="77777777" w:rsidR="004F7E31" w:rsidRPr="00DF0A94" w:rsidRDefault="004F7E31" w:rsidP="004C0B14">
            <w:pPr>
              <w:suppressAutoHyphens w:val="0"/>
              <w:spacing w:before="80" w:after="80" w:line="200" w:lineRule="exact"/>
              <w:ind w:right="113"/>
              <w:jc w:val="right"/>
              <w:rPr>
                <w:i/>
                <w:iCs/>
                <w:sz w:val="16"/>
                <w:szCs w:val="16"/>
              </w:rPr>
            </w:pPr>
          </w:p>
        </w:tc>
      </w:tr>
      <w:tr w:rsidR="004F7E31" w:rsidRPr="00DF0A94" w14:paraId="04DB8B53" w14:textId="77777777" w:rsidTr="004C0B14">
        <w:tc>
          <w:tcPr>
            <w:tcW w:w="1593" w:type="dxa"/>
            <w:tcBorders>
              <w:top w:val="single" w:sz="12" w:space="0" w:color="auto"/>
            </w:tcBorders>
            <w:shd w:val="clear" w:color="auto" w:fill="auto"/>
          </w:tcPr>
          <w:p w14:paraId="47245988" w14:textId="7C3B16C2" w:rsidR="004F7E31" w:rsidRPr="002424F2" w:rsidRDefault="004F7E31" w:rsidP="004F7E31">
            <w:pPr>
              <w:suppressAutoHyphens w:val="0"/>
              <w:spacing w:before="40" w:after="40" w:line="220" w:lineRule="exact"/>
              <w:ind w:right="113"/>
              <w:rPr>
                <w:sz w:val="18"/>
                <w:szCs w:val="18"/>
              </w:rPr>
            </w:pPr>
            <w:r w:rsidRPr="002424F2">
              <w:rPr>
                <w:sz w:val="18"/>
                <w:szCs w:val="18"/>
                <w:lang w:val="fr-FR"/>
              </w:rPr>
              <w:t>Allocations de grossesse</w:t>
            </w:r>
          </w:p>
        </w:tc>
        <w:tc>
          <w:tcPr>
            <w:tcW w:w="1464" w:type="dxa"/>
            <w:tcBorders>
              <w:top w:val="single" w:sz="12" w:space="0" w:color="auto"/>
            </w:tcBorders>
            <w:shd w:val="clear" w:color="auto" w:fill="auto"/>
            <w:vAlign w:val="bottom"/>
          </w:tcPr>
          <w:p w14:paraId="588B82E8" w14:textId="4867FB71" w:rsidR="004F7E31" w:rsidRPr="002424F2" w:rsidRDefault="004F7E31" w:rsidP="004F7E31">
            <w:pPr>
              <w:suppressAutoHyphens w:val="0"/>
              <w:spacing w:before="40" w:after="40" w:line="220" w:lineRule="exact"/>
              <w:ind w:right="113"/>
              <w:jc w:val="right"/>
              <w:rPr>
                <w:sz w:val="18"/>
                <w:szCs w:val="18"/>
              </w:rPr>
            </w:pPr>
            <w:r w:rsidRPr="002424F2">
              <w:rPr>
                <w:sz w:val="18"/>
                <w:szCs w:val="18"/>
                <w:lang w:val="fr-FR"/>
              </w:rPr>
              <w:t>95,4</w:t>
            </w:r>
          </w:p>
        </w:tc>
        <w:tc>
          <w:tcPr>
            <w:tcW w:w="1479" w:type="dxa"/>
            <w:tcBorders>
              <w:top w:val="single" w:sz="12" w:space="0" w:color="auto"/>
            </w:tcBorders>
            <w:shd w:val="clear" w:color="auto" w:fill="auto"/>
            <w:vAlign w:val="bottom"/>
          </w:tcPr>
          <w:p w14:paraId="7B29E993" w14:textId="451C5D90" w:rsidR="004F7E31" w:rsidRPr="002424F2" w:rsidRDefault="004F7E31" w:rsidP="004F7E31">
            <w:pPr>
              <w:suppressAutoHyphens w:val="0"/>
              <w:spacing w:before="40" w:after="40" w:line="220" w:lineRule="exact"/>
              <w:ind w:right="113"/>
              <w:jc w:val="right"/>
              <w:rPr>
                <w:sz w:val="18"/>
                <w:szCs w:val="18"/>
              </w:rPr>
            </w:pPr>
            <w:r w:rsidRPr="002424F2">
              <w:rPr>
                <w:sz w:val="18"/>
                <w:szCs w:val="18"/>
                <w:lang w:val="fr-FR"/>
              </w:rPr>
              <w:t>12,1</w:t>
            </w:r>
          </w:p>
        </w:tc>
        <w:tc>
          <w:tcPr>
            <w:tcW w:w="1444" w:type="dxa"/>
            <w:tcBorders>
              <w:top w:val="single" w:sz="12" w:space="0" w:color="auto"/>
            </w:tcBorders>
            <w:shd w:val="clear" w:color="auto" w:fill="auto"/>
            <w:vAlign w:val="bottom"/>
          </w:tcPr>
          <w:p w14:paraId="11F2B0CE" w14:textId="27FF3A0D" w:rsidR="004F7E31" w:rsidRPr="002424F2" w:rsidRDefault="004F7E31" w:rsidP="004F7E31">
            <w:pPr>
              <w:suppressAutoHyphens w:val="0"/>
              <w:spacing w:before="40" w:after="40" w:line="220" w:lineRule="exact"/>
              <w:ind w:right="113"/>
              <w:jc w:val="right"/>
              <w:rPr>
                <w:sz w:val="18"/>
                <w:szCs w:val="18"/>
              </w:rPr>
            </w:pPr>
            <w:r w:rsidRPr="002424F2">
              <w:rPr>
                <w:sz w:val="18"/>
                <w:szCs w:val="18"/>
                <w:lang w:val="fr-FR"/>
              </w:rPr>
              <w:t>81,6</w:t>
            </w:r>
          </w:p>
        </w:tc>
        <w:tc>
          <w:tcPr>
            <w:tcW w:w="1390" w:type="dxa"/>
            <w:tcBorders>
              <w:top w:val="single" w:sz="12" w:space="0" w:color="auto"/>
            </w:tcBorders>
            <w:shd w:val="clear" w:color="auto" w:fill="auto"/>
            <w:vAlign w:val="bottom"/>
          </w:tcPr>
          <w:p w14:paraId="267580D1" w14:textId="3AC225DA" w:rsidR="004F7E31" w:rsidRPr="002424F2" w:rsidRDefault="004F7E31" w:rsidP="004F7E31">
            <w:pPr>
              <w:suppressAutoHyphens w:val="0"/>
              <w:spacing w:before="40" w:after="40" w:line="220" w:lineRule="exact"/>
              <w:ind w:right="113"/>
              <w:jc w:val="right"/>
              <w:rPr>
                <w:sz w:val="18"/>
                <w:szCs w:val="18"/>
              </w:rPr>
            </w:pPr>
            <w:r w:rsidRPr="002424F2">
              <w:rPr>
                <w:sz w:val="18"/>
                <w:szCs w:val="18"/>
                <w:lang w:val="fr-FR"/>
              </w:rPr>
              <w:t>13,3</w:t>
            </w:r>
          </w:p>
        </w:tc>
      </w:tr>
      <w:tr w:rsidR="004F7E31" w:rsidRPr="00DF0A94" w14:paraId="5F910B94" w14:textId="77777777" w:rsidTr="004C0B14">
        <w:tc>
          <w:tcPr>
            <w:tcW w:w="1593" w:type="dxa"/>
            <w:tcBorders>
              <w:bottom w:val="nil"/>
            </w:tcBorders>
            <w:shd w:val="clear" w:color="auto" w:fill="auto"/>
          </w:tcPr>
          <w:p w14:paraId="757CA7DF" w14:textId="4C0D6BDC" w:rsidR="004F7E31" w:rsidRPr="002424F2" w:rsidRDefault="004F7E31" w:rsidP="004F7E31">
            <w:pPr>
              <w:suppressAutoHyphens w:val="0"/>
              <w:spacing w:before="40" w:after="40" w:line="220" w:lineRule="exact"/>
              <w:ind w:right="113"/>
              <w:rPr>
                <w:sz w:val="18"/>
                <w:szCs w:val="18"/>
              </w:rPr>
            </w:pPr>
            <w:r w:rsidRPr="002424F2">
              <w:rPr>
                <w:sz w:val="18"/>
                <w:szCs w:val="18"/>
                <w:lang w:val="fr-FR"/>
              </w:rPr>
              <w:t xml:space="preserve">Allocations pour soins à des enfants de zéro à trois ans </w:t>
            </w:r>
          </w:p>
        </w:tc>
        <w:tc>
          <w:tcPr>
            <w:tcW w:w="1464" w:type="dxa"/>
            <w:tcBorders>
              <w:bottom w:val="nil"/>
            </w:tcBorders>
            <w:shd w:val="clear" w:color="auto" w:fill="auto"/>
            <w:vAlign w:val="bottom"/>
          </w:tcPr>
          <w:p w14:paraId="4A41031B" w14:textId="3B517B08" w:rsidR="004F7E31" w:rsidRPr="002424F2" w:rsidRDefault="004F7E31" w:rsidP="004F7E31">
            <w:pPr>
              <w:suppressAutoHyphens w:val="0"/>
              <w:spacing w:before="40" w:after="40" w:line="220" w:lineRule="exact"/>
              <w:ind w:right="113"/>
              <w:jc w:val="right"/>
              <w:rPr>
                <w:sz w:val="18"/>
                <w:szCs w:val="18"/>
              </w:rPr>
            </w:pPr>
            <w:r w:rsidRPr="002424F2">
              <w:rPr>
                <w:sz w:val="18"/>
                <w:szCs w:val="18"/>
                <w:lang w:val="fr-FR"/>
              </w:rPr>
              <w:t>159,6</w:t>
            </w:r>
          </w:p>
        </w:tc>
        <w:tc>
          <w:tcPr>
            <w:tcW w:w="1479" w:type="dxa"/>
            <w:tcBorders>
              <w:bottom w:val="nil"/>
            </w:tcBorders>
            <w:shd w:val="clear" w:color="auto" w:fill="auto"/>
            <w:vAlign w:val="bottom"/>
          </w:tcPr>
          <w:p w14:paraId="3B210EA2" w14:textId="017BC69A" w:rsidR="004F7E31" w:rsidRPr="002424F2" w:rsidRDefault="004F7E31" w:rsidP="004F7E31">
            <w:pPr>
              <w:suppressAutoHyphens w:val="0"/>
              <w:spacing w:before="40" w:after="40" w:line="220" w:lineRule="exact"/>
              <w:ind w:right="113"/>
              <w:jc w:val="right"/>
              <w:rPr>
                <w:sz w:val="18"/>
                <w:szCs w:val="18"/>
              </w:rPr>
            </w:pPr>
            <w:r w:rsidRPr="002424F2">
              <w:rPr>
                <w:sz w:val="18"/>
                <w:szCs w:val="18"/>
                <w:lang w:val="fr-FR"/>
              </w:rPr>
              <w:t>91,5</w:t>
            </w:r>
          </w:p>
        </w:tc>
        <w:tc>
          <w:tcPr>
            <w:tcW w:w="1444" w:type="dxa"/>
            <w:tcBorders>
              <w:bottom w:val="nil"/>
            </w:tcBorders>
            <w:shd w:val="clear" w:color="auto" w:fill="auto"/>
            <w:vAlign w:val="bottom"/>
          </w:tcPr>
          <w:p w14:paraId="7E3B1EEF" w14:textId="0C02C1E9" w:rsidR="004F7E31" w:rsidRPr="002424F2" w:rsidRDefault="004F7E31" w:rsidP="004F7E31">
            <w:pPr>
              <w:suppressAutoHyphens w:val="0"/>
              <w:spacing w:before="40" w:after="40" w:line="220" w:lineRule="exact"/>
              <w:ind w:right="113"/>
              <w:jc w:val="right"/>
              <w:rPr>
                <w:sz w:val="18"/>
                <w:szCs w:val="18"/>
              </w:rPr>
            </w:pPr>
            <w:r w:rsidRPr="002424F2">
              <w:rPr>
                <w:sz w:val="18"/>
                <w:szCs w:val="18"/>
                <w:lang w:val="fr-FR"/>
              </w:rPr>
              <w:t>204,5</w:t>
            </w:r>
          </w:p>
        </w:tc>
        <w:tc>
          <w:tcPr>
            <w:tcW w:w="1390" w:type="dxa"/>
            <w:tcBorders>
              <w:bottom w:val="nil"/>
            </w:tcBorders>
            <w:shd w:val="clear" w:color="auto" w:fill="auto"/>
            <w:vAlign w:val="bottom"/>
          </w:tcPr>
          <w:p w14:paraId="3D1EBEF8" w14:textId="042034E0" w:rsidR="004F7E31" w:rsidRPr="002424F2" w:rsidRDefault="004F7E31" w:rsidP="004F7E31">
            <w:pPr>
              <w:suppressAutoHyphens w:val="0"/>
              <w:spacing w:before="40" w:after="40" w:line="220" w:lineRule="exact"/>
              <w:ind w:right="113"/>
              <w:jc w:val="right"/>
              <w:rPr>
                <w:sz w:val="18"/>
                <w:szCs w:val="18"/>
              </w:rPr>
            </w:pPr>
            <w:r w:rsidRPr="002424F2">
              <w:rPr>
                <w:sz w:val="18"/>
                <w:szCs w:val="18"/>
                <w:lang w:val="fr-FR"/>
              </w:rPr>
              <w:t>92,2</w:t>
            </w:r>
          </w:p>
        </w:tc>
      </w:tr>
      <w:tr w:rsidR="004F7E31" w:rsidRPr="00DF0A94" w14:paraId="0BBBF023" w14:textId="77777777" w:rsidTr="004C0B14">
        <w:tc>
          <w:tcPr>
            <w:tcW w:w="1593" w:type="dxa"/>
            <w:tcBorders>
              <w:top w:val="nil"/>
              <w:bottom w:val="nil"/>
            </w:tcBorders>
            <w:shd w:val="clear" w:color="auto" w:fill="auto"/>
          </w:tcPr>
          <w:p w14:paraId="5A7624A6" w14:textId="283FAAB0" w:rsidR="004F7E31" w:rsidRPr="002424F2" w:rsidRDefault="004F7E31" w:rsidP="004F7E31">
            <w:pPr>
              <w:suppressAutoHyphens w:val="0"/>
              <w:spacing w:before="40" w:after="40" w:line="220" w:lineRule="exact"/>
              <w:ind w:right="113"/>
              <w:rPr>
                <w:sz w:val="18"/>
                <w:szCs w:val="18"/>
              </w:rPr>
            </w:pPr>
            <w:r w:rsidRPr="002424F2">
              <w:rPr>
                <w:sz w:val="18"/>
                <w:szCs w:val="18"/>
                <w:lang w:val="fr-FR"/>
              </w:rPr>
              <w:t>Allocations pour jumeaux</w:t>
            </w:r>
          </w:p>
        </w:tc>
        <w:tc>
          <w:tcPr>
            <w:tcW w:w="1464" w:type="dxa"/>
            <w:tcBorders>
              <w:top w:val="nil"/>
              <w:bottom w:val="nil"/>
            </w:tcBorders>
            <w:shd w:val="clear" w:color="auto" w:fill="auto"/>
            <w:vAlign w:val="bottom"/>
          </w:tcPr>
          <w:p w14:paraId="0168E620" w14:textId="3A593EBC" w:rsidR="004F7E31" w:rsidRPr="002424F2" w:rsidRDefault="004F7E31" w:rsidP="004F7E31">
            <w:pPr>
              <w:suppressAutoHyphens w:val="0"/>
              <w:spacing w:before="40" w:after="40" w:line="220" w:lineRule="exact"/>
              <w:ind w:right="113"/>
              <w:jc w:val="right"/>
              <w:rPr>
                <w:sz w:val="18"/>
                <w:szCs w:val="18"/>
              </w:rPr>
            </w:pPr>
            <w:r w:rsidRPr="002424F2">
              <w:rPr>
                <w:sz w:val="18"/>
                <w:szCs w:val="18"/>
                <w:lang w:val="fr-FR"/>
              </w:rPr>
              <w:t>0,8</w:t>
            </w:r>
          </w:p>
        </w:tc>
        <w:tc>
          <w:tcPr>
            <w:tcW w:w="1479" w:type="dxa"/>
            <w:tcBorders>
              <w:top w:val="nil"/>
              <w:bottom w:val="nil"/>
            </w:tcBorders>
            <w:shd w:val="clear" w:color="auto" w:fill="auto"/>
            <w:vAlign w:val="bottom"/>
          </w:tcPr>
          <w:p w14:paraId="305109BB" w14:textId="03591C0A" w:rsidR="004F7E31" w:rsidRPr="002424F2" w:rsidRDefault="004F7E31" w:rsidP="004F7E31">
            <w:pPr>
              <w:suppressAutoHyphens w:val="0"/>
              <w:spacing w:before="40" w:after="40" w:line="220" w:lineRule="exact"/>
              <w:ind w:right="113"/>
              <w:jc w:val="right"/>
              <w:rPr>
                <w:sz w:val="18"/>
                <w:szCs w:val="18"/>
              </w:rPr>
            </w:pPr>
            <w:r w:rsidRPr="002424F2">
              <w:rPr>
                <w:sz w:val="18"/>
                <w:szCs w:val="18"/>
                <w:lang w:val="fr-FR"/>
              </w:rPr>
              <w:t>1,5</w:t>
            </w:r>
          </w:p>
        </w:tc>
        <w:tc>
          <w:tcPr>
            <w:tcW w:w="1444" w:type="dxa"/>
            <w:tcBorders>
              <w:top w:val="nil"/>
              <w:bottom w:val="nil"/>
            </w:tcBorders>
            <w:shd w:val="clear" w:color="auto" w:fill="auto"/>
            <w:vAlign w:val="bottom"/>
          </w:tcPr>
          <w:p w14:paraId="2FEF15F0" w14:textId="595A67BF" w:rsidR="004F7E31" w:rsidRPr="002424F2" w:rsidRDefault="004F7E31" w:rsidP="004F7E31">
            <w:pPr>
              <w:suppressAutoHyphens w:val="0"/>
              <w:spacing w:before="40" w:after="40" w:line="220" w:lineRule="exact"/>
              <w:ind w:right="113"/>
              <w:jc w:val="right"/>
              <w:rPr>
                <w:sz w:val="18"/>
                <w:szCs w:val="18"/>
              </w:rPr>
            </w:pPr>
            <w:r w:rsidRPr="002424F2">
              <w:rPr>
                <w:sz w:val="18"/>
                <w:szCs w:val="18"/>
                <w:lang w:val="fr-FR"/>
              </w:rPr>
              <w:t>1,0</w:t>
            </w:r>
          </w:p>
        </w:tc>
        <w:tc>
          <w:tcPr>
            <w:tcW w:w="1390" w:type="dxa"/>
            <w:tcBorders>
              <w:top w:val="nil"/>
              <w:bottom w:val="nil"/>
            </w:tcBorders>
            <w:shd w:val="clear" w:color="auto" w:fill="auto"/>
            <w:vAlign w:val="bottom"/>
          </w:tcPr>
          <w:p w14:paraId="022976B7" w14:textId="6463C5BA" w:rsidR="004F7E31" w:rsidRPr="002424F2" w:rsidRDefault="004F7E31" w:rsidP="004F7E31">
            <w:pPr>
              <w:suppressAutoHyphens w:val="0"/>
              <w:spacing w:before="40" w:after="40" w:line="220" w:lineRule="exact"/>
              <w:ind w:right="113"/>
              <w:jc w:val="right"/>
              <w:rPr>
                <w:sz w:val="18"/>
                <w:szCs w:val="18"/>
              </w:rPr>
            </w:pPr>
            <w:r w:rsidRPr="002424F2">
              <w:rPr>
                <w:sz w:val="18"/>
                <w:szCs w:val="18"/>
                <w:lang w:val="fr-FR"/>
              </w:rPr>
              <w:t>1,9</w:t>
            </w:r>
          </w:p>
        </w:tc>
      </w:tr>
      <w:tr w:rsidR="004F7E31" w:rsidRPr="00DF0A94" w14:paraId="69D21E22" w14:textId="77777777" w:rsidTr="004C0B14">
        <w:tc>
          <w:tcPr>
            <w:tcW w:w="1593" w:type="dxa"/>
            <w:tcBorders>
              <w:top w:val="nil"/>
            </w:tcBorders>
            <w:shd w:val="clear" w:color="auto" w:fill="auto"/>
          </w:tcPr>
          <w:p w14:paraId="43F8198A" w14:textId="55E2CD6E" w:rsidR="004F7E31" w:rsidRPr="002424F2" w:rsidRDefault="004F7E31" w:rsidP="004F7E31">
            <w:pPr>
              <w:suppressAutoHyphens w:val="0"/>
              <w:spacing w:before="40" w:after="40" w:line="220" w:lineRule="exact"/>
              <w:ind w:right="113"/>
              <w:rPr>
                <w:sz w:val="18"/>
                <w:szCs w:val="18"/>
              </w:rPr>
            </w:pPr>
            <w:r w:rsidRPr="002424F2">
              <w:rPr>
                <w:sz w:val="18"/>
                <w:szCs w:val="18"/>
                <w:lang w:val="fr-FR"/>
              </w:rPr>
              <w:t>Allocations pour mères ou pères célibataires à la tête d</w:t>
            </w:r>
            <w:r w:rsidR="009C7759">
              <w:rPr>
                <w:sz w:val="18"/>
                <w:szCs w:val="18"/>
                <w:lang w:val="fr-FR"/>
              </w:rPr>
              <w:t>’</w:t>
            </w:r>
            <w:r w:rsidRPr="002424F2">
              <w:rPr>
                <w:sz w:val="18"/>
                <w:szCs w:val="18"/>
                <w:lang w:val="fr-FR"/>
              </w:rPr>
              <w:t>une famille d</w:t>
            </w:r>
            <w:r w:rsidR="009C7759">
              <w:rPr>
                <w:sz w:val="18"/>
                <w:szCs w:val="18"/>
                <w:lang w:val="fr-FR"/>
              </w:rPr>
              <w:t>’</w:t>
            </w:r>
            <w:r w:rsidRPr="002424F2">
              <w:rPr>
                <w:sz w:val="18"/>
                <w:szCs w:val="18"/>
                <w:lang w:val="fr-FR"/>
              </w:rPr>
              <w:t xml:space="preserve">au moins trois enfants </w:t>
            </w:r>
          </w:p>
        </w:tc>
        <w:tc>
          <w:tcPr>
            <w:tcW w:w="1464" w:type="dxa"/>
            <w:tcBorders>
              <w:top w:val="nil"/>
            </w:tcBorders>
            <w:shd w:val="clear" w:color="auto" w:fill="auto"/>
            <w:vAlign w:val="bottom"/>
          </w:tcPr>
          <w:p w14:paraId="1FF89968" w14:textId="7A693484" w:rsidR="004F7E31" w:rsidRPr="002424F2" w:rsidRDefault="004F7E31" w:rsidP="004F7E31">
            <w:pPr>
              <w:suppressAutoHyphens w:val="0"/>
              <w:spacing w:before="40" w:after="40" w:line="220" w:lineRule="exact"/>
              <w:ind w:right="113"/>
              <w:jc w:val="right"/>
              <w:rPr>
                <w:sz w:val="18"/>
                <w:szCs w:val="18"/>
              </w:rPr>
            </w:pPr>
            <w:r w:rsidRPr="002424F2">
              <w:rPr>
                <w:sz w:val="18"/>
                <w:szCs w:val="18"/>
                <w:lang w:val="fr-FR"/>
              </w:rPr>
              <w:t>6,7</w:t>
            </w:r>
          </w:p>
        </w:tc>
        <w:tc>
          <w:tcPr>
            <w:tcW w:w="1479" w:type="dxa"/>
            <w:tcBorders>
              <w:top w:val="nil"/>
            </w:tcBorders>
            <w:shd w:val="clear" w:color="auto" w:fill="auto"/>
            <w:vAlign w:val="bottom"/>
          </w:tcPr>
          <w:p w14:paraId="1F21E84D" w14:textId="66647AF7" w:rsidR="004F7E31" w:rsidRPr="002424F2" w:rsidRDefault="004F7E31" w:rsidP="004F7E31">
            <w:pPr>
              <w:suppressAutoHyphens w:val="0"/>
              <w:spacing w:before="40" w:after="40" w:line="220" w:lineRule="exact"/>
              <w:ind w:right="113"/>
              <w:jc w:val="right"/>
              <w:rPr>
                <w:sz w:val="18"/>
                <w:szCs w:val="18"/>
              </w:rPr>
            </w:pPr>
            <w:r w:rsidRPr="002424F2">
              <w:rPr>
                <w:sz w:val="18"/>
                <w:szCs w:val="18"/>
                <w:lang w:val="fr-FR"/>
              </w:rPr>
              <w:t>5,0</w:t>
            </w:r>
          </w:p>
        </w:tc>
        <w:tc>
          <w:tcPr>
            <w:tcW w:w="1444" w:type="dxa"/>
            <w:tcBorders>
              <w:top w:val="nil"/>
            </w:tcBorders>
            <w:shd w:val="clear" w:color="auto" w:fill="auto"/>
            <w:vAlign w:val="bottom"/>
          </w:tcPr>
          <w:p w14:paraId="72D98A51" w14:textId="7ED5453F" w:rsidR="004F7E31" w:rsidRPr="002424F2" w:rsidRDefault="004F7E31" w:rsidP="004F7E31">
            <w:pPr>
              <w:suppressAutoHyphens w:val="0"/>
              <w:spacing w:before="40" w:after="40" w:line="220" w:lineRule="exact"/>
              <w:ind w:right="113"/>
              <w:jc w:val="right"/>
              <w:rPr>
                <w:sz w:val="18"/>
                <w:szCs w:val="18"/>
              </w:rPr>
            </w:pPr>
            <w:r w:rsidRPr="002424F2">
              <w:rPr>
                <w:sz w:val="18"/>
                <w:szCs w:val="18"/>
                <w:lang w:val="fr-FR"/>
              </w:rPr>
              <w:t>7,0</w:t>
            </w:r>
          </w:p>
        </w:tc>
        <w:tc>
          <w:tcPr>
            <w:tcW w:w="1390" w:type="dxa"/>
            <w:tcBorders>
              <w:top w:val="nil"/>
            </w:tcBorders>
            <w:shd w:val="clear" w:color="auto" w:fill="auto"/>
            <w:vAlign w:val="bottom"/>
          </w:tcPr>
          <w:p w14:paraId="1E9C360C" w14:textId="4B86DC58" w:rsidR="004F7E31" w:rsidRPr="002424F2" w:rsidRDefault="004F7E31" w:rsidP="004F7E31">
            <w:pPr>
              <w:suppressAutoHyphens w:val="0"/>
              <w:spacing w:before="40" w:after="40" w:line="220" w:lineRule="exact"/>
              <w:ind w:right="113"/>
              <w:jc w:val="right"/>
              <w:rPr>
                <w:sz w:val="18"/>
                <w:szCs w:val="18"/>
              </w:rPr>
            </w:pPr>
            <w:r w:rsidRPr="002424F2">
              <w:rPr>
                <w:sz w:val="18"/>
                <w:szCs w:val="18"/>
                <w:lang w:val="fr-FR"/>
              </w:rPr>
              <w:t>7,9</w:t>
            </w:r>
          </w:p>
        </w:tc>
      </w:tr>
    </w:tbl>
    <w:p w14:paraId="261A6577" w14:textId="2ADB601F" w:rsidR="00560776" w:rsidRPr="002424F2" w:rsidRDefault="00560776" w:rsidP="002424F2">
      <w:pPr>
        <w:pStyle w:val="SingleTxtG"/>
        <w:spacing w:before="120"/>
        <w:ind w:firstLine="170"/>
        <w:rPr>
          <w:sz w:val="18"/>
          <w:szCs w:val="18"/>
        </w:rPr>
      </w:pPr>
      <w:r w:rsidRPr="002424F2">
        <w:rPr>
          <w:i/>
          <w:iCs/>
          <w:sz w:val="18"/>
          <w:szCs w:val="18"/>
        </w:rPr>
        <w:t>Source</w:t>
      </w:r>
      <w:r w:rsidR="00A737F5">
        <w:rPr>
          <w:sz w:val="18"/>
          <w:szCs w:val="18"/>
        </w:rPr>
        <w:t> </w:t>
      </w:r>
      <w:r w:rsidRPr="002424F2">
        <w:rPr>
          <w:sz w:val="18"/>
          <w:szCs w:val="18"/>
        </w:rPr>
        <w:t>: Rapport de la caisse de protection sociale pour 2018</w:t>
      </w:r>
      <w:r w:rsidR="003A7C32">
        <w:rPr>
          <w:sz w:val="18"/>
          <w:szCs w:val="18"/>
        </w:rPr>
        <w:t>-</w:t>
      </w:r>
      <w:r w:rsidRPr="002424F2">
        <w:rPr>
          <w:sz w:val="18"/>
          <w:szCs w:val="18"/>
        </w:rPr>
        <w:t>2019.</w:t>
      </w:r>
    </w:p>
    <w:p w14:paraId="5DB34432" w14:textId="3C3C22FF" w:rsidR="00560776" w:rsidRPr="008D553A" w:rsidRDefault="00560776" w:rsidP="00E916C8">
      <w:pPr>
        <w:pStyle w:val="SingleTxtG"/>
        <w:spacing w:before="240"/>
        <w:rPr>
          <w:lang w:val="fr-FR"/>
        </w:rPr>
      </w:pPr>
      <w:r>
        <w:rPr>
          <w:lang w:val="fr-FR"/>
        </w:rPr>
        <w:t>30.</w:t>
      </w:r>
      <w:r>
        <w:rPr>
          <w:lang w:val="fr-FR"/>
        </w:rPr>
        <w:tab/>
        <w:t>Sur les mères ayant droit à des allocations, 22 000, soit 14,3</w:t>
      </w:r>
      <w:r w:rsidR="003A7C32">
        <w:rPr>
          <w:lang w:val="fr-FR"/>
        </w:rPr>
        <w:t> </w:t>
      </w:r>
      <w:r>
        <w:rPr>
          <w:lang w:val="fr-FR"/>
        </w:rPr>
        <w:t>%, sont employées dans des entités économiques, et 43</w:t>
      </w:r>
      <w:r w:rsidR="003A7C32">
        <w:rPr>
          <w:lang w:val="fr-FR"/>
        </w:rPr>
        <w:t> </w:t>
      </w:r>
      <w:r>
        <w:rPr>
          <w:lang w:val="fr-FR"/>
        </w:rPr>
        <w:t>100, soit 21,4</w:t>
      </w:r>
      <w:r w:rsidR="003A7C32">
        <w:rPr>
          <w:lang w:val="fr-FR"/>
        </w:rPr>
        <w:t> </w:t>
      </w:r>
      <w:r>
        <w:rPr>
          <w:lang w:val="fr-FR"/>
        </w:rPr>
        <w:t>%, sont des éleveurs. Les pères célibataires représentent environ 7,0</w:t>
      </w:r>
      <w:r w:rsidR="003A7C32">
        <w:rPr>
          <w:lang w:val="fr-FR"/>
        </w:rPr>
        <w:t> </w:t>
      </w:r>
      <w:r>
        <w:rPr>
          <w:lang w:val="fr-FR"/>
        </w:rPr>
        <w:t>% des bénéficiaires d</w:t>
      </w:r>
      <w:r w:rsidR="009C7759">
        <w:rPr>
          <w:lang w:val="fr-FR"/>
        </w:rPr>
        <w:t>’</w:t>
      </w:r>
      <w:r>
        <w:rPr>
          <w:lang w:val="fr-FR"/>
        </w:rPr>
        <w:t>allocations octroyées aux célibataires chargés de famille, leur nombre dépassant 400.</w:t>
      </w:r>
    </w:p>
    <w:p w14:paraId="414C1452" w14:textId="77777777" w:rsidR="00560776" w:rsidRPr="008D553A" w:rsidRDefault="00560776" w:rsidP="002424F2">
      <w:pPr>
        <w:pStyle w:val="H1G"/>
        <w:rPr>
          <w:lang w:val="fr-FR"/>
        </w:rPr>
      </w:pPr>
      <w:r>
        <w:rPr>
          <w:lang w:val="fr-FR"/>
        </w:rPr>
        <w:tab/>
      </w:r>
      <w:r>
        <w:rPr>
          <w:lang w:val="fr-FR"/>
        </w:rPr>
        <w:tab/>
        <w:t xml:space="preserve">Paragraphe 2 c) de la liste de points </w:t>
      </w:r>
    </w:p>
    <w:p w14:paraId="1EB465AF" w14:textId="539C6D73" w:rsidR="00560776" w:rsidRPr="008D553A" w:rsidRDefault="00560776" w:rsidP="002424F2">
      <w:pPr>
        <w:pStyle w:val="H23G"/>
        <w:rPr>
          <w:lang w:val="fr-FR"/>
        </w:rPr>
      </w:pPr>
      <w:r>
        <w:rPr>
          <w:lang w:val="fr-FR"/>
        </w:rPr>
        <w:tab/>
      </w:r>
      <w:r>
        <w:rPr>
          <w:lang w:val="fr-FR"/>
        </w:rPr>
        <w:tab/>
        <w:t>Programmes d</w:t>
      </w:r>
      <w:r w:rsidR="009C7759">
        <w:rPr>
          <w:lang w:val="fr-FR"/>
        </w:rPr>
        <w:t>’</w:t>
      </w:r>
      <w:r>
        <w:rPr>
          <w:lang w:val="fr-FR"/>
        </w:rPr>
        <w:t>appui alimentaire et nutritionnel et d</w:t>
      </w:r>
      <w:r w:rsidR="009C7759">
        <w:rPr>
          <w:lang w:val="fr-FR"/>
        </w:rPr>
        <w:t>’</w:t>
      </w:r>
      <w:r>
        <w:rPr>
          <w:lang w:val="fr-FR"/>
        </w:rPr>
        <w:t>aide à l</w:t>
      </w:r>
      <w:r w:rsidR="009C7759">
        <w:rPr>
          <w:lang w:val="fr-FR"/>
        </w:rPr>
        <w:t>’</w:t>
      </w:r>
      <w:r>
        <w:rPr>
          <w:lang w:val="fr-FR"/>
        </w:rPr>
        <w:t xml:space="preserve">emploi </w:t>
      </w:r>
    </w:p>
    <w:p w14:paraId="09ADA087" w14:textId="201493B8" w:rsidR="00560776" w:rsidRPr="008D553A" w:rsidRDefault="00560776" w:rsidP="00560776">
      <w:pPr>
        <w:pStyle w:val="SingleTxtG"/>
        <w:rPr>
          <w:lang w:val="fr-FR"/>
        </w:rPr>
      </w:pPr>
      <w:r>
        <w:rPr>
          <w:lang w:val="fr-FR"/>
        </w:rPr>
        <w:t>31.</w:t>
      </w:r>
      <w:r>
        <w:rPr>
          <w:lang w:val="fr-FR"/>
        </w:rPr>
        <w:tab/>
        <w:t>En 2018 et 2019, des mesures ont été prises pour étendre la portée des programmes d</w:t>
      </w:r>
      <w:r w:rsidR="009C7759">
        <w:rPr>
          <w:lang w:val="fr-FR"/>
        </w:rPr>
        <w:t>’</w:t>
      </w:r>
      <w:r>
        <w:rPr>
          <w:lang w:val="fr-FR"/>
        </w:rPr>
        <w:t>appui alimentaire et nutritionnel tout en subordonnant la distribution de bons alimentaires à certaines conditions (les membres de ménages en âge de travailler doivent participer à des programmes d</w:t>
      </w:r>
      <w:r w:rsidR="009C7759">
        <w:rPr>
          <w:lang w:val="fr-FR"/>
        </w:rPr>
        <w:t>’</w:t>
      </w:r>
      <w:r>
        <w:rPr>
          <w:lang w:val="fr-FR"/>
        </w:rPr>
        <w:t>aide à l</w:t>
      </w:r>
      <w:r w:rsidR="009C7759">
        <w:rPr>
          <w:lang w:val="fr-FR"/>
        </w:rPr>
        <w:t>’</w:t>
      </w:r>
      <w:r>
        <w:rPr>
          <w:lang w:val="fr-FR"/>
        </w:rPr>
        <w:t>emploi et les enfants d</w:t>
      </w:r>
      <w:r w:rsidR="009C7759">
        <w:rPr>
          <w:lang w:val="fr-FR"/>
        </w:rPr>
        <w:t>’</w:t>
      </w:r>
      <w:r>
        <w:rPr>
          <w:lang w:val="fr-FR"/>
        </w:rPr>
        <w:t>âge scolaire être inscrits à l</w:t>
      </w:r>
      <w:r w:rsidR="009C7759">
        <w:rPr>
          <w:lang w:val="fr-FR"/>
        </w:rPr>
        <w:t>’</w:t>
      </w:r>
      <w:r>
        <w:rPr>
          <w:lang w:val="fr-FR"/>
        </w:rPr>
        <w:t>école). Ces</w:t>
      </w:r>
      <w:r w:rsidR="003A7C32">
        <w:rPr>
          <w:lang w:val="fr-FR"/>
        </w:rPr>
        <w:t> </w:t>
      </w:r>
      <w:r>
        <w:rPr>
          <w:lang w:val="fr-FR"/>
        </w:rPr>
        <w:t>conditions ont été imposées pour éliminer l</w:t>
      </w:r>
      <w:r w:rsidR="009C7759">
        <w:rPr>
          <w:lang w:val="fr-FR"/>
        </w:rPr>
        <w:t>’</w:t>
      </w:r>
      <w:r>
        <w:rPr>
          <w:lang w:val="fr-FR"/>
        </w:rPr>
        <w:t xml:space="preserve">attitude qui consiste à recevoir des aides et des soins sans avoir à fournir aucun effort en contrepartie. </w:t>
      </w:r>
    </w:p>
    <w:p w14:paraId="64F40620" w14:textId="545A96B4" w:rsidR="00560776" w:rsidRPr="008D553A" w:rsidRDefault="00560776" w:rsidP="00560776">
      <w:pPr>
        <w:pStyle w:val="SingleTxtG"/>
        <w:rPr>
          <w:lang w:val="fr-FR"/>
        </w:rPr>
      </w:pPr>
      <w:r>
        <w:rPr>
          <w:lang w:val="fr-FR"/>
        </w:rPr>
        <w:t>32.</w:t>
      </w:r>
      <w:r>
        <w:rPr>
          <w:lang w:val="fr-FR"/>
        </w:rPr>
        <w:tab/>
        <w:t>En conséquence, sur l</w:t>
      </w:r>
      <w:r w:rsidR="009C7759">
        <w:rPr>
          <w:lang w:val="fr-FR"/>
        </w:rPr>
        <w:t>’</w:t>
      </w:r>
      <w:r>
        <w:rPr>
          <w:lang w:val="fr-FR"/>
        </w:rPr>
        <w:t>ensemble des membres en âge de travailler des 52</w:t>
      </w:r>
      <w:r w:rsidR="003A7C32">
        <w:rPr>
          <w:lang w:val="fr-FR"/>
        </w:rPr>
        <w:t> </w:t>
      </w:r>
      <w:r>
        <w:rPr>
          <w:lang w:val="fr-FR"/>
        </w:rPr>
        <w:t>000</w:t>
      </w:r>
      <w:r w:rsidR="003A7C32">
        <w:rPr>
          <w:lang w:val="fr-FR"/>
        </w:rPr>
        <w:t> </w:t>
      </w:r>
      <w:r>
        <w:rPr>
          <w:lang w:val="fr-FR"/>
        </w:rPr>
        <w:t>ménages bénéficiant du programme, 31</w:t>
      </w:r>
      <w:r w:rsidR="003A7C32">
        <w:rPr>
          <w:lang w:val="fr-FR"/>
        </w:rPr>
        <w:t> </w:t>
      </w:r>
      <w:r>
        <w:rPr>
          <w:lang w:val="fr-FR"/>
        </w:rPr>
        <w:t>000 ont bénéficié de conseils d</w:t>
      </w:r>
      <w:r w:rsidR="009C7759">
        <w:rPr>
          <w:lang w:val="fr-FR"/>
        </w:rPr>
        <w:t>’</w:t>
      </w:r>
      <w:r>
        <w:rPr>
          <w:lang w:val="fr-FR"/>
        </w:rPr>
        <w:t>orientation professionnelle, 13 000 ont été embauchés dans la fonction publique, 3 700 ont suivi une formation professionnelle et 10 000 ont trouvé un emploi. Les enfants de ces ménages ont commencé à aller à l</w:t>
      </w:r>
      <w:r w:rsidR="009C7759">
        <w:rPr>
          <w:lang w:val="fr-FR"/>
        </w:rPr>
        <w:t>’</w:t>
      </w:r>
      <w:r>
        <w:rPr>
          <w:lang w:val="fr-FR"/>
        </w:rPr>
        <w:t>école.</w:t>
      </w:r>
    </w:p>
    <w:p w14:paraId="009BE47A" w14:textId="6B12CFB1" w:rsidR="00560776" w:rsidRPr="008D553A" w:rsidRDefault="00560776" w:rsidP="002424F2">
      <w:pPr>
        <w:pStyle w:val="H23G"/>
        <w:rPr>
          <w:lang w:val="fr-FR"/>
        </w:rPr>
      </w:pPr>
      <w:r>
        <w:rPr>
          <w:lang w:val="fr-FR"/>
        </w:rPr>
        <w:tab/>
      </w:r>
      <w:r>
        <w:rPr>
          <w:lang w:val="fr-FR"/>
        </w:rPr>
        <w:tab/>
      </w:r>
      <w:r>
        <w:rPr>
          <w:bCs/>
          <w:lang w:val="fr-FR"/>
        </w:rPr>
        <w:t xml:space="preserve">Programmes de </w:t>
      </w:r>
      <w:r w:rsidRPr="002424F2">
        <w:rPr>
          <w:lang w:val="fr-FR"/>
        </w:rPr>
        <w:t>promotion</w:t>
      </w:r>
      <w:r>
        <w:rPr>
          <w:bCs/>
          <w:lang w:val="fr-FR"/>
        </w:rPr>
        <w:t xml:space="preserve"> du développement et d</w:t>
      </w:r>
      <w:r w:rsidR="009C7759">
        <w:rPr>
          <w:bCs/>
          <w:lang w:val="fr-FR"/>
        </w:rPr>
        <w:t>’</w:t>
      </w:r>
      <w:r>
        <w:rPr>
          <w:bCs/>
          <w:lang w:val="fr-FR"/>
        </w:rPr>
        <w:t>amélioration de la protection des</w:t>
      </w:r>
      <w:r w:rsidR="003A7C32">
        <w:rPr>
          <w:bCs/>
          <w:lang w:val="fr-FR"/>
        </w:rPr>
        <w:t> </w:t>
      </w:r>
      <w:r>
        <w:rPr>
          <w:bCs/>
          <w:lang w:val="fr-FR"/>
        </w:rPr>
        <w:t>ménages cibles, et programmes de sécurité sociale, d</w:t>
      </w:r>
      <w:r w:rsidR="009C7759">
        <w:rPr>
          <w:bCs/>
          <w:lang w:val="fr-FR"/>
        </w:rPr>
        <w:t>’</w:t>
      </w:r>
      <w:r>
        <w:rPr>
          <w:bCs/>
          <w:lang w:val="fr-FR"/>
        </w:rPr>
        <w:t>emploi et autres</w:t>
      </w:r>
    </w:p>
    <w:p w14:paraId="7798D08B" w14:textId="4BB6BCBA" w:rsidR="00560776" w:rsidRPr="008D553A" w:rsidRDefault="00560776" w:rsidP="00560776">
      <w:pPr>
        <w:pStyle w:val="SingleTxtG"/>
        <w:rPr>
          <w:lang w:val="fr-FR"/>
        </w:rPr>
      </w:pPr>
      <w:r>
        <w:rPr>
          <w:lang w:val="fr-FR"/>
        </w:rPr>
        <w:t>33.</w:t>
      </w:r>
      <w:r>
        <w:rPr>
          <w:lang w:val="fr-FR"/>
        </w:rPr>
        <w:tab/>
        <w:t>Conformément à la loi relative à la protection sociale, des dispositions ont été prises pour mettre en œuvre, au niveau local, les mesures et programmes nationaux d</w:t>
      </w:r>
      <w:r w:rsidR="009C7759">
        <w:rPr>
          <w:lang w:val="fr-FR"/>
        </w:rPr>
        <w:t>’</w:t>
      </w:r>
      <w:r>
        <w:rPr>
          <w:lang w:val="fr-FR"/>
        </w:rPr>
        <w:t>appui au développement de la population et des ménages, afin de faire bénéficier les ménages cibles de services sociaux groupés en fournissant un emploi à leurs membres en âge et en mesure de travailler et en inscrivant respectivement les enfants, les personnes âgées et autres membres de ces ménage</w:t>
      </w:r>
      <w:r w:rsidR="003A7C32">
        <w:rPr>
          <w:lang w:val="fr-FR"/>
        </w:rPr>
        <w:t>s</w:t>
      </w:r>
      <w:r>
        <w:rPr>
          <w:lang w:val="fr-FR"/>
        </w:rPr>
        <w:t xml:space="preserve"> à des écoles maternelles, des établissements scolaires ou des services de protection sociale et de santé en vue d</w:t>
      </w:r>
      <w:r w:rsidR="009C7759">
        <w:rPr>
          <w:lang w:val="fr-FR"/>
        </w:rPr>
        <w:t>’</w:t>
      </w:r>
      <w:r>
        <w:rPr>
          <w:lang w:val="fr-FR"/>
        </w:rPr>
        <w:t>instaurer les conditions nécessaires à l</w:t>
      </w:r>
      <w:r w:rsidR="009C7759">
        <w:rPr>
          <w:lang w:val="fr-FR"/>
        </w:rPr>
        <w:t>’</w:t>
      </w:r>
      <w:r>
        <w:rPr>
          <w:lang w:val="fr-FR"/>
        </w:rPr>
        <w:t>indépendance.</w:t>
      </w:r>
    </w:p>
    <w:p w14:paraId="3C85557D" w14:textId="7C1729C4" w:rsidR="00560776" w:rsidRPr="008D553A" w:rsidRDefault="00560776" w:rsidP="002424F2">
      <w:pPr>
        <w:pStyle w:val="H23G"/>
        <w:rPr>
          <w:lang w:val="fr-FR"/>
        </w:rPr>
      </w:pPr>
      <w:r>
        <w:rPr>
          <w:lang w:val="fr-FR"/>
        </w:rPr>
        <w:lastRenderedPageBreak/>
        <w:tab/>
      </w:r>
      <w:r>
        <w:rPr>
          <w:lang w:val="fr-FR"/>
        </w:rPr>
        <w:tab/>
      </w:r>
      <w:r>
        <w:rPr>
          <w:bCs/>
          <w:lang w:val="fr-FR"/>
        </w:rPr>
        <w:t>Programme de pensions et d</w:t>
      </w:r>
      <w:r w:rsidR="009C7759">
        <w:rPr>
          <w:bCs/>
          <w:lang w:val="fr-FR"/>
        </w:rPr>
        <w:t>’</w:t>
      </w:r>
      <w:r>
        <w:rPr>
          <w:bCs/>
          <w:lang w:val="fr-FR"/>
        </w:rPr>
        <w:t>allocations d</w:t>
      </w:r>
      <w:r w:rsidR="009C7759">
        <w:rPr>
          <w:bCs/>
          <w:lang w:val="fr-FR"/>
        </w:rPr>
        <w:t>’</w:t>
      </w:r>
      <w:r>
        <w:rPr>
          <w:bCs/>
          <w:lang w:val="fr-FR"/>
        </w:rPr>
        <w:t>assurance et de protection sociales</w:t>
      </w:r>
    </w:p>
    <w:p w14:paraId="622D7E7D" w14:textId="16265A4F" w:rsidR="00560776" w:rsidRPr="008D553A" w:rsidRDefault="00560776" w:rsidP="003A7C32">
      <w:pPr>
        <w:pStyle w:val="SingleTxtG"/>
        <w:keepNext/>
        <w:keepLines/>
        <w:rPr>
          <w:lang w:val="fr-FR"/>
        </w:rPr>
      </w:pPr>
      <w:r>
        <w:rPr>
          <w:lang w:val="fr-FR"/>
        </w:rPr>
        <w:t>34.</w:t>
      </w:r>
      <w:r>
        <w:rPr>
          <w:lang w:val="fr-FR"/>
        </w:rPr>
        <w:tab/>
        <w:t>Lorsque les membres de groupes vulnérables n</w:t>
      </w:r>
      <w:r w:rsidR="009C7759">
        <w:rPr>
          <w:lang w:val="fr-FR"/>
        </w:rPr>
        <w:t>’</w:t>
      </w:r>
      <w:r>
        <w:rPr>
          <w:lang w:val="fr-FR"/>
        </w:rPr>
        <w:t>ont pas droit à des pensions ou à certaines allocations (pour obsèques) de la caisse d</w:t>
      </w:r>
      <w:r w:rsidR="009C7759">
        <w:rPr>
          <w:lang w:val="fr-FR"/>
        </w:rPr>
        <w:t>’</w:t>
      </w:r>
      <w:r>
        <w:rPr>
          <w:lang w:val="fr-FR"/>
        </w:rPr>
        <w:t xml:space="preserve">assurance sociale, les personnes âgées, les personnes handicapées et les enfants sans famille perçoivent des allocations de la caisse de protection sociale visant à leur garantir un revenu. Les personnes âgées vivant en Mongolie sont ainsi intégralement couvertes par le système de retraite. </w:t>
      </w:r>
    </w:p>
    <w:p w14:paraId="57D52518" w14:textId="12B1240D" w:rsidR="00560776" w:rsidRPr="008D553A" w:rsidRDefault="00560776" w:rsidP="002424F2">
      <w:pPr>
        <w:pStyle w:val="Titre1"/>
        <w:spacing w:after="120"/>
        <w:rPr>
          <w:b/>
          <w:bCs/>
          <w:lang w:val="fr-FR"/>
        </w:rPr>
      </w:pPr>
      <w:r>
        <w:rPr>
          <w:lang w:val="fr-FR"/>
        </w:rPr>
        <w:t>Tableau 11</w:t>
      </w:r>
      <w:r w:rsidR="002424F2">
        <w:rPr>
          <w:lang w:val="fr-FR"/>
        </w:rPr>
        <w:t xml:space="preserve"> </w:t>
      </w:r>
      <w:r w:rsidR="002424F2">
        <w:rPr>
          <w:lang w:val="fr-FR"/>
        </w:rPr>
        <w:br/>
      </w:r>
      <w:r>
        <w:rPr>
          <w:b/>
          <w:bCs/>
          <w:lang w:val="fr-FR"/>
        </w:rPr>
        <w:t>Nombre de retraités (en milliers de personnes)</w:t>
      </w:r>
    </w:p>
    <w:tbl>
      <w:tblPr>
        <w:tblW w:w="7370" w:type="dxa"/>
        <w:tblInd w:w="1134" w:type="dxa"/>
        <w:tblLayout w:type="fixed"/>
        <w:tblCellMar>
          <w:left w:w="0" w:type="dxa"/>
          <w:right w:w="0" w:type="dxa"/>
        </w:tblCellMar>
        <w:tblLook w:val="04A0" w:firstRow="1" w:lastRow="0" w:firstColumn="1" w:lastColumn="0" w:noHBand="0" w:noVBand="1"/>
      </w:tblPr>
      <w:tblGrid>
        <w:gridCol w:w="2127"/>
        <w:gridCol w:w="850"/>
        <w:gridCol w:w="1134"/>
        <w:gridCol w:w="991"/>
        <w:gridCol w:w="1134"/>
        <w:gridCol w:w="1134"/>
      </w:tblGrid>
      <w:tr w:rsidR="002424F2" w:rsidRPr="002424F2" w14:paraId="09B8EE39" w14:textId="77777777" w:rsidTr="00721AED">
        <w:trPr>
          <w:tblHeader/>
        </w:trPr>
        <w:tc>
          <w:tcPr>
            <w:tcW w:w="2127" w:type="dxa"/>
            <w:tcBorders>
              <w:top w:val="single" w:sz="4" w:space="0" w:color="auto"/>
              <w:bottom w:val="single" w:sz="12" w:space="0" w:color="auto"/>
            </w:tcBorders>
            <w:shd w:val="clear" w:color="auto" w:fill="auto"/>
            <w:vAlign w:val="bottom"/>
          </w:tcPr>
          <w:p w14:paraId="26FD0128" w14:textId="77777777" w:rsidR="00560776" w:rsidRPr="002424F2" w:rsidRDefault="00560776" w:rsidP="002424F2">
            <w:pPr>
              <w:suppressAutoHyphens w:val="0"/>
              <w:spacing w:before="80" w:after="80" w:line="200" w:lineRule="exact"/>
              <w:rPr>
                <w:i/>
                <w:sz w:val="16"/>
              </w:rPr>
            </w:pPr>
            <w:r w:rsidRPr="002424F2">
              <w:rPr>
                <w:i/>
                <w:sz w:val="16"/>
                <w:lang w:val="fr-FR"/>
              </w:rPr>
              <w:t>Année</w:t>
            </w:r>
          </w:p>
        </w:tc>
        <w:tc>
          <w:tcPr>
            <w:tcW w:w="850" w:type="dxa"/>
            <w:tcBorders>
              <w:top w:val="single" w:sz="4" w:space="0" w:color="auto"/>
              <w:bottom w:val="single" w:sz="12" w:space="0" w:color="auto"/>
            </w:tcBorders>
            <w:shd w:val="clear" w:color="auto" w:fill="auto"/>
            <w:vAlign w:val="bottom"/>
          </w:tcPr>
          <w:p w14:paraId="53222389" w14:textId="77777777" w:rsidR="00560776" w:rsidRPr="002424F2" w:rsidRDefault="00560776" w:rsidP="002424F2">
            <w:pPr>
              <w:suppressAutoHyphens w:val="0"/>
              <w:spacing w:before="80" w:after="80" w:line="200" w:lineRule="exact"/>
              <w:jc w:val="right"/>
              <w:rPr>
                <w:i/>
                <w:sz w:val="16"/>
              </w:rPr>
            </w:pPr>
            <w:r w:rsidRPr="002424F2">
              <w:rPr>
                <w:i/>
                <w:sz w:val="16"/>
                <w:lang w:val="fr-FR"/>
              </w:rPr>
              <w:t>2015</w:t>
            </w:r>
          </w:p>
        </w:tc>
        <w:tc>
          <w:tcPr>
            <w:tcW w:w="1134" w:type="dxa"/>
            <w:tcBorders>
              <w:top w:val="single" w:sz="4" w:space="0" w:color="auto"/>
              <w:bottom w:val="single" w:sz="12" w:space="0" w:color="auto"/>
            </w:tcBorders>
            <w:shd w:val="clear" w:color="auto" w:fill="auto"/>
            <w:vAlign w:val="bottom"/>
          </w:tcPr>
          <w:p w14:paraId="5FBA2DF6" w14:textId="77777777" w:rsidR="00560776" w:rsidRPr="002424F2" w:rsidRDefault="00560776" w:rsidP="002424F2">
            <w:pPr>
              <w:suppressAutoHyphens w:val="0"/>
              <w:spacing w:before="80" w:after="80" w:line="200" w:lineRule="exact"/>
              <w:jc w:val="right"/>
              <w:rPr>
                <w:i/>
                <w:sz w:val="16"/>
              </w:rPr>
            </w:pPr>
            <w:r w:rsidRPr="002424F2">
              <w:rPr>
                <w:i/>
                <w:sz w:val="16"/>
                <w:lang w:val="fr-FR"/>
              </w:rPr>
              <w:t>2016</w:t>
            </w:r>
          </w:p>
        </w:tc>
        <w:tc>
          <w:tcPr>
            <w:tcW w:w="991" w:type="dxa"/>
            <w:tcBorders>
              <w:top w:val="single" w:sz="4" w:space="0" w:color="auto"/>
              <w:bottom w:val="single" w:sz="12" w:space="0" w:color="auto"/>
            </w:tcBorders>
            <w:shd w:val="clear" w:color="auto" w:fill="auto"/>
            <w:vAlign w:val="bottom"/>
          </w:tcPr>
          <w:p w14:paraId="0482257D" w14:textId="77777777" w:rsidR="00560776" w:rsidRPr="002424F2" w:rsidRDefault="00560776" w:rsidP="002424F2">
            <w:pPr>
              <w:suppressAutoHyphens w:val="0"/>
              <w:spacing w:before="80" w:after="80" w:line="200" w:lineRule="exact"/>
              <w:jc w:val="right"/>
              <w:rPr>
                <w:i/>
                <w:sz w:val="16"/>
              </w:rPr>
            </w:pPr>
            <w:r w:rsidRPr="002424F2">
              <w:rPr>
                <w:i/>
                <w:sz w:val="16"/>
                <w:lang w:val="fr-FR"/>
              </w:rPr>
              <w:t>2017</w:t>
            </w:r>
          </w:p>
        </w:tc>
        <w:tc>
          <w:tcPr>
            <w:tcW w:w="1134" w:type="dxa"/>
            <w:tcBorders>
              <w:top w:val="single" w:sz="4" w:space="0" w:color="auto"/>
              <w:bottom w:val="single" w:sz="12" w:space="0" w:color="auto"/>
            </w:tcBorders>
            <w:shd w:val="clear" w:color="auto" w:fill="auto"/>
            <w:vAlign w:val="bottom"/>
          </w:tcPr>
          <w:p w14:paraId="0FE4EE33" w14:textId="77777777" w:rsidR="00560776" w:rsidRPr="002424F2" w:rsidRDefault="00560776" w:rsidP="002424F2">
            <w:pPr>
              <w:suppressAutoHyphens w:val="0"/>
              <w:spacing w:before="80" w:after="80" w:line="200" w:lineRule="exact"/>
              <w:jc w:val="right"/>
              <w:rPr>
                <w:i/>
                <w:sz w:val="16"/>
              </w:rPr>
            </w:pPr>
            <w:r w:rsidRPr="002424F2">
              <w:rPr>
                <w:i/>
                <w:sz w:val="16"/>
                <w:lang w:val="fr-FR"/>
              </w:rPr>
              <w:t>2018</w:t>
            </w:r>
          </w:p>
        </w:tc>
        <w:tc>
          <w:tcPr>
            <w:tcW w:w="1134" w:type="dxa"/>
            <w:tcBorders>
              <w:top w:val="single" w:sz="4" w:space="0" w:color="auto"/>
              <w:bottom w:val="single" w:sz="12" w:space="0" w:color="auto"/>
            </w:tcBorders>
            <w:shd w:val="clear" w:color="auto" w:fill="auto"/>
            <w:vAlign w:val="bottom"/>
          </w:tcPr>
          <w:p w14:paraId="5C92E06F" w14:textId="77777777" w:rsidR="00560776" w:rsidRPr="002424F2" w:rsidRDefault="00560776" w:rsidP="002424F2">
            <w:pPr>
              <w:suppressAutoHyphens w:val="0"/>
              <w:spacing w:before="80" w:after="80" w:line="200" w:lineRule="exact"/>
              <w:jc w:val="right"/>
              <w:rPr>
                <w:i/>
                <w:sz w:val="16"/>
              </w:rPr>
            </w:pPr>
            <w:r w:rsidRPr="002424F2">
              <w:rPr>
                <w:i/>
                <w:sz w:val="16"/>
                <w:lang w:val="fr-FR"/>
              </w:rPr>
              <w:t>2019</w:t>
            </w:r>
          </w:p>
        </w:tc>
      </w:tr>
      <w:tr w:rsidR="002424F2" w:rsidRPr="002424F2" w14:paraId="75802410" w14:textId="77777777" w:rsidTr="00721AED">
        <w:tc>
          <w:tcPr>
            <w:tcW w:w="2127" w:type="dxa"/>
            <w:shd w:val="clear" w:color="auto" w:fill="auto"/>
          </w:tcPr>
          <w:p w14:paraId="151F001E" w14:textId="7324EF37" w:rsidR="00560776" w:rsidRPr="002424F2" w:rsidRDefault="00560776" w:rsidP="002424F2">
            <w:pPr>
              <w:suppressAutoHyphens w:val="0"/>
              <w:spacing w:before="40" w:after="40" w:line="220" w:lineRule="exact"/>
              <w:rPr>
                <w:sz w:val="18"/>
                <w:lang w:val="fr-FR"/>
              </w:rPr>
            </w:pPr>
            <w:r w:rsidRPr="002424F2">
              <w:rPr>
                <w:sz w:val="18"/>
                <w:lang w:val="fr-FR"/>
              </w:rPr>
              <w:t>Personnes âgées recevant une pension de la caisse d</w:t>
            </w:r>
            <w:r w:rsidR="009C7759">
              <w:rPr>
                <w:sz w:val="18"/>
                <w:lang w:val="fr-FR"/>
              </w:rPr>
              <w:t>’</w:t>
            </w:r>
            <w:r w:rsidRPr="002424F2">
              <w:rPr>
                <w:sz w:val="18"/>
                <w:lang w:val="fr-FR"/>
              </w:rPr>
              <w:t>assurance sociale</w:t>
            </w:r>
          </w:p>
        </w:tc>
        <w:tc>
          <w:tcPr>
            <w:tcW w:w="850" w:type="dxa"/>
            <w:shd w:val="clear" w:color="auto" w:fill="auto"/>
            <w:vAlign w:val="bottom"/>
          </w:tcPr>
          <w:p w14:paraId="615443C1" w14:textId="77777777" w:rsidR="00560776" w:rsidRPr="002424F2" w:rsidRDefault="00560776" w:rsidP="002424F2">
            <w:pPr>
              <w:suppressAutoHyphens w:val="0"/>
              <w:spacing w:before="40" w:after="40" w:line="220" w:lineRule="exact"/>
              <w:jc w:val="right"/>
              <w:rPr>
                <w:sz w:val="18"/>
              </w:rPr>
            </w:pPr>
            <w:r w:rsidRPr="002424F2">
              <w:rPr>
                <w:sz w:val="18"/>
                <w:lang w:val="fr-FR"/>
              </w:rPr>
              <w:t>268,4</w:t>
            </w:r>
          </w:p>
        </w:tc>
        <w:tc>
          <w:tcPr>
            <w:tcW w:w="1134" w:type="dxa"/>
            <w:shd w:val="clear" w:color="auto" w:fill="auto"/>
            <w:vAlign w:val="bottom"/>
          </w:tcPr>
          <w:p w14:paraId="78B8408A" w14:textId="77777777" w:rsidR="00560776" w:rsidRPr="002424F2" w:rsidRDefault="00560776" w:rsidP="002424F2">
            <w:pPr>
              <w:suppressAutoHyphens w:val="0"/>
              <w:spacing w:before="40" w:after="40" w:line="220" w:lineRule="exact"/>
              <w:jc w:val="right"/>
              <w:rPr>
                <w:sz w:val="18"/>
              </w:rPr>
            </w:pPr>
            <w:r w:rsidRPr="002424F2">
              <w:rPr>
                <w:sz w:val="18"/>
                <w:lang w:val="fr-FR"/>
              </w:rPr>
              <w:t>269,0</w:t>
            </w:r>
          </w:p>
        </w:tc>
        <w:tc>
          <w:tcPr>
            <w:tcW w:w="991" w:type="dxa"/>
            <w:shd w:val="clear" w:color="auto" w:fill="auto"/>
            <w:vAlign w:val="bottom"/>
          </w:tcPr>
          <w:p w14:paraId="4F90F0E2" w14:textId="77777777" w:rsidR="00560776" w:rsidRPr="002424F2" w:rsidRDefault="00560776" w:rsidP="002424F2">
            <w:pPr>
              <w:suppressAutoHyphens w:val="0"/>
              <w:spacing w:before="40" w:after="40" w:line="220" w:lineRule="exact"/>
              <w:jc w:val="right"/>
              <w:rPr>
                <w:sz w:val="18"/>
              </w:rPr>
            </w:pPr>
            <w:r w:rsidRPr="002424F2">
              <w:rPr>
                <w:sz w:val="18"/>
                <w:lang w:val="fr-FR"/>
              </w:rPr>
              <w:t>282,6</w:t>
            </w:r>
          </w:p>
        </w:tc>
        <w:tc>
          <w:tcPr>
            <w:tcW w:w="1134" w:type="dxa"/>
            <w:shd w:val="clear" w:color="auto" w:fill="auto"/>
            <w:vAlign w:val="bottom"/>
          </w:tcPr>
          <w:p w14:paraId="0675E699" w14:textId="77777777" w:rsidR="00560776" w:rsidRPr="002424F2" w:rsidRDefault="00560776" w:rsidP="002424F2">
            <w:pPr>
              <w:suppressAutoHyphens w:val="0"/>
              <w:spacing w:before="40" w:after="40" w:line="220" w:lineRule="exact"/>
              <w:jc w:val="right"/>
              <w:rPr>
                <w:sz w:val="18"/>
              </w:rPr>
            </w:pPr>
            <w:r w:rsidRPr="002424F2">
              <w:rPr>
                <w:sz w:val="18"/>
                <w:lang w:val="fr-FR"/>
              </w:rPr>
              <w:t>308,9</w:t>
            </w:r>
          </w:p>
        </w:tc>
        <w:tc>
          <w:tcPr>
            <w:tcW w:w="1134" w:type="dxa"/>
            <w:shd w:val="clear" w:color="auto" w:fill="auto"/>
            <w:vAlign w:val="bottom"/>
          </w:tcPr>
          <w:p w14:paraId="741C1C8C" w14:textId="77777777" w:rsidR="00560776" w:rsidRPr="002424F2" w:rsidRDefault="00560776" w:rsidP="002424F2">
            <w:pPr>
              <w:suppressAutoHyphens w:val="0"/>
              <w:spacing w:before="40" w:after="40" w:line="220" w:lineRule="exact"/>
              <w:jc w:val="right"/>
              <w:rPr>
                <w:sz w:val="18"/>
              </w:rPr>
            </w:pPr>
            <w:r w:rsidRPr="002424F2">
              <w:rPr>
                <w:sz w:val="18"/>
                <w:lang w:val="fr-FR"/>
              </w:rPr>
              <w:t>307,5</w:t>
            </w:r>
          </w:p>
        </w:tc>
      </w:tr>
      <w:tr w:rsidR="002424F2" w:rsidRPr="002424F2" w14:paraId="3127B001" w14:textId="77777777" w:rsidTr="00721AED">
        <w:tc>
          <w:tcPr>
            <w:tcW w:w="2127" w:type="dxa"/>
            <w:tcBorders>
              <w:bottom w:val="single" w:sz="12" w:space="0" w:color="auto"/>
            </w:tcBorders>
            <w:shd w:val="clear" w:color="auto" w:fill="auto"/>
          </w:tcPr>
          <w:p w14:paraId="4FF467BB" w14:textId="51E100B6" w:rsidR="00560776" w:rsidRPr="002424F2" w:rsidRDefault="00560776" w:rsidP="002424F2">
            <w:pPr>
              <w:suppressAutoHyphens w:val="0"/>
              <w:spacing w:before="40" w:after="40" w:line="220" w:lineRule="exact"/>
              <w:rPr>
                <w:sz w:val="18"/>
                <w:lang w:val="fr-FR"/>
              </w:rPr>
            </w:pPr>
            <w:r w:rsidRPr="002424F2">
              <w:rPr>
                <w:sz w:val="18"/>
                <w:lang w:val="fr-FR"/>
              </w:rPr>
              <w:t>Personnes âgées recevant une pension de la caisse de</w:t>
            </w:r>
            <w:r w:rsidR="00721AED">
              <w:rPr>
                <w:sz w:val="18"/>
                <w:lang w:val="fr-FR"/>
              </w:rPr>
              <w:t> </w:t>
            </w:r>
            <w:r w:rsidRPr="002424F2">
              <w:rPr>
                <w:sz w:val="18"/>
                <w:lang w:val="fr-FR"/>
              </w:rPr>
              <w:t>protection sociale</w:t>
            </w:r>
          </w:p>
        </w:tc>
        <w:tc>
          <w:tcPr>
            <w:tcW w:w="850" w:type="dxa"/>
            <w:tcBorders>
              <w:bottom w:val="single" w:sz="12" w:space="0" w:color="auto"/>
            </w:tcBorders>
            <w:shd w:val="clear" w:color="auto" w:fill="auto"/>
            <w:vAlign w:val="bottom"/>
          </w:tcPr>
          <w:p w14:paraId="6E3C5CC1" w14:textId="77777777" w:rsidR="00560776" w:rsidRPr="002424F2" w:rsidRDefault="00560776" w:rsidP="002424F2">
            <w:pPr>
              <w:suppressAutoHyphens w:val="0"/>
              <w:spacing w:before="40" w:after="40" w:line="220" w:lineRule="exact"/>
              <w:jc w:val="right"/>
              <w:rPr>
                <w:sz w:val="18"/>
              </w:rPr>
            </w:pPr>
            <w:r w:rsidRPr="002424F2">
              <w:rPr>
                <w:sz w:val="18"/>
                <w:lang w:val="fr-FR"/>
              </w:rPr>
              <w:t>2,1</w:t>
            </w:r>
          </w:p>
        </w:tc>
        <w:tc>
          <w:tcPr>
            <w:tcW w:w="1134" w:type="dxa"/>
            <w:tcBorders>
              <w:bottom w:val="single" w:sz="12" w:space="0" w:color="auto"/>
            </w:tcBorders>
            <w:shd w:val="clear" w:color="auto" w:fill="auto"/>
            <w:vAlign w:val="bottom"/>
          </w:tcPr>
          <w:p w14:paraId="1CBF4091" w14:textId="77777777" w:rsidR="00560776" w:rsidRPr="002424F2" w:rsidRDefault="00560776" w:rsidP="002424F2">
            <w:pPr>
              <w:suppressAutoHyphens w:val="0"/>
              <w:spacing w:before="40" w:after="40" w:line="220" w:lineRule="exact"/>
              <w:jc w:val="right"/>
              <w:rPr>
                <w:sz w:val="18"/>
              </w:rPr>
            </w:pPr>
            <w:r w:rsidRPr="002424F2">
              <w:rPr>
                <w:sz w:val="18"/>
                <w:lang w:val="fr-FR"/>
              </w:rPr>
              <w:t>2,3</w:t>
            </w:r>
          </w:p>
        </w:tc>
        <w:tc>
          <w:tcPr>
            <w:tcW w:w="991" w:type="dxa"/>
            <w:tcBorders>
              <w:bottom w:val="single" w:sz="12" w:space="0" w:color="auto"/>
            </w:tcBorders>
            <w:shd w:val="clear" w:color="auto" w:fill="auto"/>
            <w:vAlign w:val="bottom"/>
          </w:tcPr>
          <w:p w14:paraId="701CB63E" w14:textId="77777777" w:rsidR="00560776" w:rsidRPr="002424F2" w:rsidRDefault="00560776" w:rsidP="002424F2">
            <w:pPr>
              <w:suppressAutoHyphens w:val="0"/>
              <w:spacing w:before="40" w:after="40" w:line="220" w:lineRule="exact"/>
              <w:jc w:val="right"/>
              <w:rPr>
                <w:sz w:val="18"/>
              </w:rPr>
            </w:pPr>
            <w:r w:rsidRPr="002424F2">
              <w:rPr>
                <w:sz w:val="18"/>
                <w:lang w:val="fr-FR"/>
              </w:rPr>
              <w:t>2,4</w:t>
            </w:r>
          </w:p>
        </w:tc>
        <w:tc>
          <w:tcPr>
            <w:tcW w:w="1134" w:type="dxa"/>
            <w:tcBorders>
              <w:bottom w:val="single" w:sz="12" w:space="0" w:color="auto"/>
            </w:tcBorders>
            <w:shd w:val="clear" w:color="auto" w:fill="auto"/>
            <w:vAlign w:val="bottom"/>
          </w:tcPr>
          <w:p w14:paraId="188851E0" w14:textId="77777777" w:rsidR="00560776" w:rsidRPr="002424F2" w:rsidRDefault="00560776" w:rsidP="002424F2">
            <w:pPr>
              <w:suppressAutoHyphens w:val="0"/>
              <w:spacing w:before="40" w:after="40" w:line="220" w:lineRule="exact"/>
              <w:jc w:val="right"/>
              <w:rPr>
                <w:sz w:val="18"/>
              </w:rPr>
            </w:pPr>
            <w:r w:rsidRPr="002424F2">
              <w:rPr>
                <w:sz w:val="18"/>
                <w:lang w:val="fr-FR"/>
              </w:rPr>
              <w:t>2,5</w:t>
            </w:r>
          </w:p>
        </w:tc>
        <w:tc>
          <w:tcPr>
            <w:tcW w:w="1134" w:type="dxa"/>
            <w:tcBorders>
              <w:bottom w:val="single" w:sz="12" w:space="0" w:color="auto"/>
            </w:tcBorders>
            <w:shd w:val="clear" w:color="auto" w:fill="auto"/>
            <w:vAlign w:val="bottom"/>
          </w:tcPr>
          <w:p w14:paraId="40B9C0D6" w14:textId="77777777" w:rsidR="00560776" w:rsidRPr="002424F2" w:rsidRDefault="00560776" w:rsidP="002424F2">
            <w:pPr>
              <w:suppressAutoHyphens w:val="0"/>
              <w:spacing w:before="40" w:after="40" w:line="220" w:lineRule="exact"/>
              <w:jc w:val="right"/>
              <w:rPr>
                <w:sz w:val="18"/>
              </w:rPr>
            </w:pPr>
            <w:r w:rsidRPr="002424F2">
              <w:rPr>
                <w:sz w:val="18"/>
                <w:lang w:val="fr-FR"/>
              </w:rPr>
              <w:t>3,6</w:t>
            </w:r>
          </w:p>
        </w:tc>
      </w:tr>
    </w:tbl>
    <w:p w14:paraId="5A97DD2B" w14:textId="047DC389" w:rsidR="00560776" w:rsidRPr="002424F2" w:rsidRDefault="00560776" w:rsidP="002424F2">
      <w:pPr>
        <w:pStyle w:val="SingleTxtG"/>
        <w:spacing w:before="120"/>
        <w:ind w:firstLine="170"/>
        <w:rPr>
          <w:sz w:val="18"/>
          <w:szCs w:val="18"/>
        </w:rPr>
      </w:pPr>
      <w:r w:rsidRPr="002424F2">
        <w:rPr>
          <w:i/>
          <w:iCs/>
          <w:sz w:val="18"/>
          <w:szCs w:val="18"/>
        </w:rPr>
        <w:t>Source</w:t>
      </w:r>
      <w:r w:rsidR="00A737F5">
        <w:rPr>
          <w:sz w:val="18"/>
          <w:szCs w:val="18"/>
        </w:rPr>
        <w:t> </w:t>
      </w:r>
      <w:r w:rsidRPr="002424F2">
        <w:rPr>
          <w:sz w:val="18"/>
          <w:szCs w:val="18"/>
        </w:rPr>
        <w:t>: Rapport de la caisse d</w:t>
      </w:r>
      <w:r w:rsidR="009C7759">
        <w:rPr>
          <w:sz w:val="18"/>
          <w:szCs w:val="18"/>
        </w:rPr>
        <w:t>’</w:t>
      </w:r>
      <w:r w:rsidRPr="002424F2">
        <w:rPr>
          <w:sz w:val="18"/>
          <w:szCs w:val="18"/>
        </w:rPr>
        <w:t>assurance sociale et rapport de la caisse de protection sociale.</w:t>
      </w:r>
    </w:p>
    <w:p w14:paraId="0F0CAD6A" w14:textId="25A3E99F" w:rsidR="00560776" w:rsidRPr="008D553A" w:rsidRDefault="00560776" w:rsidP="002424F2">
      <w:pPr>
        <w:pStyle w:val="H1G"/>
        <w:rPr>
          <w:lang w:val="fr-FR"/>
        </w:rPr>
      </w:pPr>
      <w:r>
        <w:rPr>
          <w:lang w:val="fr-FR"/>
        </w:rPr>
        <w:tab/>
      </w:r>
      <w:r>
        <w:rPr>
          <w:lang w:val="fr-FR"/>
        </w:rPr>
        <w:tab/>
        <w:t xml:space="preserve">Paragraphe 3 de la liste de points </w:t>
      </w:r>
    </w:p>
    <w:p w14:paraId="74657978" w14:textId="6A9ECA8E" w:rsidR="00560776" w:rsidRPr="008D553A" w:rsidRDefault="00560776" w:rsidP="00560776">
      <w:pPr>
        <w:pStyle w:val="SingleTxtG"/>
        <w:rPr>
          <w:lang w:val="fr-FR"/>
        </w:rPr>
      </w:pPr>
      <w:r>
        <w:rPr>
          <w:lang w:val="fr-FR"/>
        </w:rPr>
        <w:t>35.</w:t>
      </w:r>
      <w:r>
        <w:rPr>
          <w:lang w:val="fr-FR"/>
        </w:rPr>
        <w:tab/>
        <w:t>Selon la législation actuelle, tout titulaire d</w:t>
      </w:r>
      <w:r w:rsidR="009C7759">
        <w:rPr>
          <w:lang w:val="fr-FR"/>
        </w:rPr>
        <w:t>’</w:t>
      </w:r>
      <w:r>
        <w:rPr>
          <w:lang w:val="fr-FR"/>
        </w:rPr>
        <w:t>un permis d</w:t>
      </w:r>
      <w:r w:rsidR="009C7759">
        <w:rPr>
          <w:lang w:val="fr-FR"/>
        </w:rPr>
        <w:t>’</w:t>
      </w:r>
      <w:r>
        <w:rPr>
          <w:lang w:val="fr-FR"/>
        </w:rPr>
        <w:t>exploitation minière doit, avant d</w:t>
      </w:r>
      <w:r w:rsidR="009C7759">
        <w:rPr>
          <w:lang w:val="fr-FR"/>
        </w:rPr>
        <w:t>’</w:t>
      </w:r>
      <w:r>
        <w:rPr>
          <w:lang w:val="fr-FR"/>
        </w:rPr>
        <w:t>entreprendre des activités d</w:t>
      </w:r>
      <w:r w:rsidR="009C7759">
        <w:rPr>
          <w:lang w:val="fr-FR"/>
        </w:rPr>
        <w:t>’</w:t>
      </w:r>
      <w:r>
        <w:rPr>
          <w:lang w:val="fr-FR"/>
        </w:rPr>
        <w:t>extraction, présenter plus de 30 documents, dont une étude de faisabilité, une évaluation détaillée de l</w:t>
      </w:r>
      <w:r w:rsidR="009C7759">
        <w:rPr>
          <w:lang w:val="fr-FR"/>
        </w:rPr>
        <w:t>’</w:t>
      </w:r>
      <w:r>
        <w:rPr>
          <w:lang w:val="fr-FR"/>
        </w:rPr>
        <w:t>impact sur l</w:t>
      </w:r>
      <w:r w:rsidR="009C7759">
        <w:rPr>
          <w:lang w:val="fr-FR"/>
        </w:rPr>
        <w:t>’</w:t>
      </w:r>
      <w:r>
        <w:rPr>
          <w:lang w:val="fr-FR"/>
        </w:rPr>
        <w:t>environnement, un plan de travail valide pour l</w:t>
      </w:r>
      <w:r w:rsidR="009C7759">
        <w:rPr>
          <w:lang w:val="fr-FR"/>
        </w:rPr>
        <w:t>’</w:t>
      </w:r>
      <w:r>
        <w:rPr>
          <w:lang w:val="fr-FR"/>
        </w:rPr>
        <w:t>année considérée, un rapport des travaux de l</w:t>
      </w:r>
      <w:r w:rsidR="009C7759">
        <w:rPr>
          <w:lang w:val="fr-FR"/>
        </w:rPr>
        <w:t>’</w:t>
      </w:r>
      <w:r>
        <w:rPr>
          <w:lang w:val="fr-FR"/>
        </w:rPr>
        <w:t>année précédente, un plan de gestion environnementale pour l</w:t>
      </w:r>
      <w:r w:rsidR="009C7759">
        <w:rPr>
          <w:lang w:val="fr-FR"/>
        </w:rPr>
        <w:t>’</w:t>
      </w:r>
      <w:r>
        <w:rPr>
          <w:lang w:val="fr-FR"/>
        </w:rPr>
        <w:t>année considérée, un accord conclu avec l</w:t>
      </w:r>
      <w:r w:rsidR="009C7759">
        <w:rPr>
          <w:lang w:val="fr-FR"/>
        </w:rPr>
        <w:t>’</w:t>
      </w:r>
      <w:r>
        <w:rPr>
          <w:lang w:val="fr-FR"/>
        </w:rPr>
        <w:t>administration locale et un contrat d</w:t>
      </w:r>
      <w:r w:rsidR="009C7759">
        <w:rPr>
          <w:lang w:val="fr-FR"/>
        </w:rPr>
        <w:t>’</w:t>
      </w:r>
      <w:r>
        <w:rPr>
          <w:lang w:val="fr-FR"/>
        </w:rPr>
        <w:t>utilisation de l</w:t>
      </w:r>
      <w:r w:rsidR="009C7759">
        <w:rPr>
          <w:lang w:val="fr-FR"/>
        </w:rPr>
        <w:t>’</w:t>
      </w:r>
      <w:r>
        <w:rPr>
          <w:lang w:val="fr-FR"/>
        </w:rPr>
        <w:t>eau et de règlement de factures.</w:t>
      </w:r>
    </w:p>
    <w:p w14:paraId="73F1F91C" w14:textId="7658BFD8" w:rsidR="00560776" w:rsidRPr="008D553A" w:rsidRDefault="00560776" w:rsidP="00560776">
      <w:pPr>
        <w:pStyle w:val="SingleTxtG"/>
        <w:rPr>
          <w:lang w:val="fr-FR"/>
        </w:rPr>
      </w:pPr>
      <w:r>
        <w:rPr>
          <w:lang w:val="fr-FR"/>
        </w:rPr>
        <w:t>36.</w:t>
      </w:r>
      <w:r>
        <w:rPr>
          <w:lang w:val="fr-FR"/>
        </w:rPr>
        <w:tab/>
        <w:t>Ces documents doivent être conformes aux conditions énoncées dans les lois sur les minerais, le pétrole et les études d</w:t>
      </w:r>
      <w:r w:rsidR="009C7759">
        <w:rPr>
          <w:lang w:val="fr-FR"/>
        </w:rPr>
        <w:t>’</w:t>
      </w:r>
      <w:r>
        <w:rPr>
          <w:lang w:val="fr-FR"/>
        </w:rPr>
        <w:t>impact sur l</w:t>
      </w:r>
      <w:r w:rsidR="009C7759">
        <w:rPr>
          <w:lang w:val="fr-FR"/>
        </w:rPr>
        <w:t>’</w:t>
      </w:r>
      <w:r>
        <w:rPr>
          <w:lang w:val="fr-FR"/>
        </w:rPr>
        <w:t>environnement. D</w:t>
      </w:r>
      <w:r w:rsidR="009C7759">
        <w:rPr>
          <w:lang w:val="fr-FR"/>
        </w:rPr>
        <w:t>’</w:t>
      </w:r>
      <w:r>
        <w:rPr>
          <w:lang w:val="fr-FR"/>
        </w:rPr>
        <w:t>après l</w:t>
      </w:r>
      <w:r w:rsidR="009C7759">
        <w:rPr>
          <w:lang w:val="fr-FR"/>
        </w:rPr>
        <w:t>’</w:t>
      </w:r>
      <w:r>
        <w:rPr>
          <w:lang w:val="fr-FR"/>
        </w:rPr>
        <w:t>article</w:t>
      </w:r>
      <w:r w:rsidR="00197877">
        <w:rPr>
          <w:lang w:val="fr-FR"/>
        </w:rPr>
        <w:t> </w:t>
      </w:r>
      <w:r>
        <w:rPr>
          <w:lang w:val="fr-FR"/>
        </w:rPr>
        <w:t>17.1 de la loi sur les minerais, lors de la définition d</w:t>
      </w:r>
      <w:r w:rsidR="009C7759">
        <w:rPr>
          <w:lang w:val="fr-FR"/>
        </w:rPr>
        <w:t>’</w:t>
      </w:r>
      <w:r>
        <w:rPr>
          <w:lang w:val="fr-FR"/>
        </w:rPr>
        <w:t>une éventuelle zone de prospection et d</w:t>
      </w:r>
      <w:r w:rsidR="009C7759">
        <w:rPr>
          <w:lang w:val="fr-FR"/>
        </w:rPr>
        <w:t>’</w:t>
      </w:r>
      <w:r>
        <w:rPr>
          <w:lang w:val="fr-FR"/>
        </w:rPr>
        <w:t>exploitation minières qui ferait l</w:t>
      </w:r>
      <w:r w:rsidR="009C7759">
        <w:rPr>
          <w:lang w:val="fr-FR"/>
        </w:rPr>
        <w:t>’</w:t>
      </w:r>
      <w:r>
        <w:rPr>
          <w:lang w:val="fr-FR"/>
        </w:rPr>
        <w:t>objet d</w:t>
      </w:r>
      <w:r w:rsidR="009C7759">
        <w:rPr>
          <w:lang w:val="fr-FR"/>
        </w:rPr>
        <w:t>’</w:t>
      </w:r>
      <w:r>
        <w:rPr>
          <w:lang w:val="fr-FR"/>
        </w:rPr>
        <w:t>un permis, une notification écrite, accompagnée d</w:t>
      </w:r>
      <w:r w:rsidR="009C7759">
        <w:rPr>
          <w:lang w:val="fr-FR"/>
        </w:rPr>
        <w:t>’</w:t>
      </w:r>
      <w:r>
        <w:rPr>
          <w:lang w:val="fr-FR"/>
        </w:rPr>
        <w:t>une carte de la zone, doit être adressée au gouverneur de l</w:t>
      </w:r>
      <w:r w:rsidR="009C7759">
        <w:rPr>
          <w:lang w:val="fr-FR"/>
        </w:rPr>
        <w:t>’</w:t>
      </w:r>
      <w:r>
        <w:rPr>
          <w:lang w:val="fr-FR"/>
        </w:rPr>
        <w:t>aïmag concerné ou de la capitale. D</w:t>
      </w:r>
      <w:r w:rsidR="009C7759">
        <w:rPr>
          <w:lang w:val="fr-FR"/>
        </w:rPr>
        <w:t>’</w:t>
      </w:r>
      <w:r>
        <w:rPr>
          <w:lang w:val="fr-FR"/>
        </w:rPr>
        <w:t>après l</w:t>
      </w:r>
      <w:r w:rsidR="009C7759">
        <w:rPr>
          <w:lang w:val="fr-FR"/>
        </w:rPr>
        <w:t>’</w:t>
      </w:r>
      <w:r>
        <w:rPr>
          <w:lang w:val="fr-FR"/>
        </w:rPr>
        <w:t>article 17.2 de cette loi, le gouverneur doit, dès réception d</w:t>
      </w:r>
      <w:r w:rsidR="009C7759">
        <w:rPr>
          <w:lang w:val="fr-FR"/>
        </w:rPr>
        <w:t>’</w:t>
      </w:r>
      <w:r>
        <w:rPr>
          <w:lang w:val="fr-FR"/>
        </w:rPr>
        <w:t xml:space="preserve">une telle notification, tenir des consultations avec le </w:t>
      </w:r>
      <w:proofErr w:type="spellStart"/>
      <w:r>
        <w:rPr>
          <w:lang w:val="fr-FR"/>
        </w:rPr>
        <w:t>Khoural</w:t>
      </w:r>
      <w:proofErr w:type="spellEnd"/>
      <w:r>
        <w:rPr>
          <w:lang w:val="fr-FR"/>
        </w:rPr>
        <w:t xml:space="preserve"> de représentants des citoyens et le présidium du </w:t>
      </w:r>
      <w:proofErr w:type="spellStart"/>
      <w:r>
        <w:rPr>
          <w:lang w:val="fr-FR"/>
        </w:rPr>
        <w:t>Khoural</w:t>
      </w:r>
      <w:proofErr w:type="spellEnd"/>
      <w:r>
        <w:rPr>
          <w:lang w:val="fr-FR"/>
        </w:rPr>
        <w:t xml:space="preserve"> du soum ou du district dans lequel se trouve la zone de prospection et répondre à l</w:t>
      </w:r>
      <w:r w:rsidR="009C7759">
        <w:rPr>
          <w:lang w:val="fr-FR"/>
        </w:rPr>
        <w:t>’</w:t>
      </w:r>
      <w:r>
        <w:rPr>
          <w:lang w:val="fr-FR"/>
        </w:rPr>
        <w:t>organisation administrative de l</w:t>
      </w:r>
      <w:r w:rsidR="009C7759">
        <w:rPr>
          <w:lang w:val="fr-FR"/>
        </w:rPr>
        <w:t>’</w:t>
      </w:r>
      <w:r>
        <w:rPr>
          <w:lang w:val="fr-FR"/>
        </w:rPr>
        <w:t xml:space="preserve">État dans un délai de </w:t>
      </w:r>
      <w:r w:rsidR="00197877">
        <w:rPr>
          <w:lang w:val="fr-FR"/>
        </w:rPr>
        <w:t>quarante-cinq</w:t>
      </w:r>
      <w:r>
        <w:rPr>
          <w:lang w:val="fr-FR"/>
        </w:rPr>
        <w:t xml:space="preserve"> jours. Passé ce délai, l</w:t>
      </w:r>
      <w:r w:rsidR="009C7759">
        <w:rPr>
          <w:lang w:val="fr-FR"/>
        </w:rPr>
        <w:t>’</w:t>
      </w:r>
      <w:r>
        <w:rPr>
          <w:lang w:val="fr-FR"/>
        </w:rPr>
        <w:t>absence de réponse vaut approbation de la demande. Le gouverneur peut rejeter la demande pour des motifs prévus par la loi.</w:t>
      </w:r>
    </w:p>
    <w:p w14:paraId="24EEA594" w14:textId="02C83A32" w:rsidR="00560776" w:rsidRPr="008D553A" w:rsidRDefault="00560776" w:rsidP="00560776">
      <w:pPr>
        <w:pStyle w:val="SingleTxtG"/>
        <w:rPr>
          <w:lang w:val="fr-FR"/>
        </w:rPr>
      </w:pPr>
      <w:r>
        <w:rPr>
          <w:lang w:val="fr-FR"/>
        </w:rPr>
        <w:t>37.</w:t>
      </w:r>
      <w:r>
        <w:rPr>
          <w:lang w:val="fr-FR"/>
        </w:rPr>
        <w:tab/>
        <w:t>Comme le prévoit l</w:t>
      </w:r>
      <w:r w:rsidR="009C7759">
        <w:rPr>
          <w:lang w:val="fr-FR"/>
        </w:rPr>
        <w:t>’</w:t>
      </w:r>
      <w:r>
        <w:rPr>
          <w:lang w:val="fr-FR"/>
        </w:rPr>
        <w:t>article 7.1 de la loi sur les études d</w:t>
      </w:r>
      <w:r w:rsidR="009C7759">
        <w:rPr>
          <w:lang w:val="fr-FR"/>
        </w:rPr>
        <w:t>’</w:t>
      </w:r>
      <w:r>
        <w:rPr>
          <w:lang w:val="fr-FR"/>
        </w:rPr>
        <w:t>impact sur l</w:t>
      </w:r>
      <w:r w:rsidR="009C7759">
        <w:rPr>
          <w:lang w:val="fr-FR"/>
        </w:rPr>
        <w:t>’</w:t>
      </w:r>
      <w:r>
        <w:rPr>
          <w:lang w:val="fr-FR"/>
        </w:rPr>
        <w:t>environnement, ces études sont des évaluations à la fois générales et détaillées. D</w:t>
      </w:r>
      <w:r w:rsidR="009C7759">
        <w:rPr>
          <w:lang w:val="fr-FR"/>
        </w:rPr>
        <w:t>’</w:t>
      </w:r>
      <w:r>
        <w:rPr>
          <w:lang w:val="fr-FR"/>
        </w:rPr>
        <w:t>après l</w:t>
      </w:r>
      <w:r w:rsidR="009C7759">
        <w:rPr>
          <w:lang w:val="fr-FR"/>
        </w:rPr>
        <w:t>’</w:t>
      </w:r>
      <w:r>
        <w:rPr>
          <w:lang w:val="fr-FR"/>
        </w:rPr>
        <w:t>article 7.3 de la loi, le promoteur d</w:t>
      </w:r>
      <w:r w:rsidR="009C7759">
        <w:rPr>
          <w:lang w:val="fr-FR"/>
        </w:rPr>
        <w:t>’</w:t>
      </w:r>
      <w:r>
        <w:rPr>
          <w:lang w:val="fr-FR"/>
        </w:rPr>
        <w:t>un projet doit déposer les documents requis, tels que l</w:t>
      </w:r>
      <w:r w:rsidR="009C7759">
        <w:rPr>
          <w:lang w:val="fr-FR"/>
        </w:rPr>
        <w:t>’</w:t>
      </w:r>
      <w:r>
        <w:rPr>
          <w:lang w:val="fr-FR"/>
        </w:rPr>
        <w:t>étude de faisabilité approuvée par une organisation compétente, la description et les plans du projet, la déclaration sur l</w:t>
      </w:r>
      <w:r w:rsidR="009C7759">
        <w:rPr>
          <w:lang w:val="fr-FR"/>
        </w:rPr>
        <w:t>’</w:t>
      </w:r>
      <w:r>
        <w:rPr>
          <w:lang w:val="fr-FR"/>
        </w:rPr>
        <w:t>état actuel de l</w:t>
      </w:r>
      <w:r w:rsidR="009C7759">
        <w:rPr>
          <w:lang w:val="fr-FR"/>
        </w:rPr>
        <w:t>’</w:t>
      </w:r>
      <w:r>
        <w:rPr>
          <w:lang w:val="fr-FR"/>
        </w:rPr>
        <w:t>environnement dans la zone d</w:t>
      </w:r>
      <w:r w:rsidR="009C7759">
        <w:rPr>
          <w:lang w:val="fr-FR"/>
        </w:rPr>
        <w:t>’</w:t>
      </w:r>
      <w:r>
        <w:rPr>
          <w:lang w:val="fr-FR"/>
        </w:rPr>
        <w:t>exécution du projet, l</w:t>
      </w:r>
      <w:r w:rsidR="009C7759">
        <w:rPr>
          <w:lang w:val="fr-FR"/>
        </w:rPr>
        <w:t>’</w:t>
      </w:r>
      <w:r>
        <w:rPr>
          <w:lang w:val="fr-FR"/>
        </w:rPr>
        <w:t>avis du gouverneur du soum ou du district concerné et d</w:t>
      </w:r>
      <w:r w:rsidR="009C7759">
        <w:rPr>
          <w:lang w:val="fr-FR"/>
        </w:rPr>
        <w:t>’</w:t>
      </w:r>
      <w:r>
        <w:rPr>
          <w:lang w:val="fr-FR"/>
        </w:rPr>
        <w:t>autres documents connexes, et les soumettre à l</w:t>
      </w:r>
      <w:r w:rsidR="009C7759">
        <w:rPr>
          <w:lang w:val="fr-FR"/>
        </w:rPr>
        <w:t>’</w:t>
      </w:r>
      <w:r>
        <w:rPr>
          <w:lang w:val="fr-FR"/>
        </w:rPr>
        <w:t>examen de l</w:t>
      </w:r>
      <w:r w:rsidR="009C7759">
        <w:rPr>
          <w:lang w:val="fr-FR"/>
        </w:rPr>
        <w:t>’</w:t>
      </w:r>
      <w:r>
        <w:rPr>
          <w:lang w:val="fr-FR"/>
        </w:rPr>
        <w:t>organisation centrale administrative de l</w:t>
      </w:r>
      <w:r w:rsidR="009C7759">
        <w:rPr>
          <w:lang w:val="fr-FR"/>
        </w:rPr>
        <w:t>’</w:t>
      </w:r>
      <w:r>
        <w:rPr>
          <w:lang w:val="fr-FR"/>
        </w:rPr>
        <w:t>État chargée de la nature et de l</w:t>
      </w:r>
      <w:r w:rsidR="009C7759">
        <w:rPr>
          <w:lang w:val="fr-FR"/>
        </w:rPr>
        <w:t>’</w:t>
      </w:r>
      <w:r>
        <w:rPr>
          <w:lang w:val="fr-FR"/>
        </w:rPr>
        <w:t>environnement ou de l</w:t>
      </w:r>
      <w:r w:rsidR="009C7759">
        <w:rPr>
          <w:lang w:val="fr-FR"/>
        </w:rPr>
        <w:t>’</w:t>
      </w:r>
      <w:r>
        <w:rPr>
          <w:lang w:val="fr-FR"/>
        </w:rPr>
        <w:t>agence environnementale. L</w:t>
      </w:r>
      <w:r w:rsidR="009C7759">
        <w:rPr>
          <w:lang w:val="fr-FR"/>
        </w:rPr>
        <w:t>’</w:t>
      </w:r>
      <w:r>
        <w:rPr>
          <w:lang w:val="fr-FR"/>
        </w:rPr>
        <w:t>article 8.4 dispose que le rapport d</w:t>
      </w:r>
      <w:r w:rsidR="009C7759">
        <w:rPr>
          <w:lang w:val="fr-FR"/>
        </w:rPr>
        <w:t>’</w:t>
      </w:r>
      <w:r>
        <w:rPr>
          <w:lang w:val="fr-FR"/>
        </w:rPr>
        <w:t>évaluation de l</w:t>
      </w:r>
      <w:r w:rsidR="009C7759">
        <w:rPr>
          <w:lang w:val="fr-FR"/>
        </w:rPr>
        <w:t>’</w:t>
      </w:r>
      <w:r>
        <w:rPr>
          <w:lang w:val="fr-FR"/>
        </w:rPr>
        <w:t>impact sur l</w:t>
      </w:r>
      <w:r w:rsidR="009C7759">
        <w:rPr>
          <w:lang w:val="fr-FR"/>
        </w:rPr>
        <w:t>’</w:t>
      </w:r>
      <w:r>
        <w:rPr>
          <w:lang w:val="fr-FR"/>
        </w:rPr>
        <w:t>environnement doit refléter les points de vue et les avis de l</w:t>
      </w:r>
      <w:r w:rsidR="009C7759">
        <w:rPr>
          <w:lang w:val="fr-FR"/>
        </w:rPr>
        <w:t>’</w:t>
      </w:r>
      <w:r>
        <w:rPr>
          <w:lang w:val="fr-FR"/>
        </w:rPr>
        <w:t>administration locale de la zone d</w:t>
      </w:r>
      <w:r w:rsidR="009C7759">
        <w:rPr>
          <w:lang w:val="fr-FR"/>
        </w:rPr>
        <w:t>’</w:t>
      </w:r>
      <w:r>
        <w:rPr>
          <w:lang w:val="fr-FR"/>
        </w:rPr>
        <w:t xml:space="preserve">exécution du projet et les comptes rendus des réunions des habitants de la zone. </w:t>
      </w:r>
    </w:p>
    <w:p w14:paraId="7252E2B9" w14:textId="11567248" w:rsidR="00560776" w:rsidRPr="008D553A" w:rsidRDefault="00560776" w:rsidP="00560776">
      <w:pPr>
        <w:pStyle w:val="SingleTxtG"/>
        <w:rPr>
          <w:lang w:val="fr-FR"/>
        </w:rPr>
      </w:pPr>
      <w:r>
        <w:rPr>
          <w:lang w:val="fr-FR"/>
        </w:rPr>
        <w:t>38.</w:t>
      </w:r>
      <w:r>
        <w:rPr>
          <w:lang w:val="fr-FR"/>
        </w:rPr>
        <w:tab/>
        <w:t>En d</w:t>
      </w:r>
      <w:r w:rsidR="009C7759">
        <w:rPr>
          <w:lang w:val="fr-FR"/>
        </w:rPr>
        <w:t>’</w:t>
      </w:r>
      <w:r>
        <w:rPr>
          <w:lang w:val="fr-FR"/>
        </w:rPr>
        <w:t>autres termes, le promoteur d</w:t>
      </w:r>
      <w:r w:rsidR="009C7759">
        <w:rPr>
          <w:lang w:val="fr-FR"/>
        </w:rPr>
        <w:t>’</w:t>
      </w:r>
      <w:r>
        <w:rPr>
          <w:lang w:val="fr-FR"/>
        </w:rPr>
        <w:t>un projet d</w:t>
      </w:r>
      <w:r w:rsidR="009C7759">
        <w:rPr>
          <w:lang w:val="fr-FR"/>
        </w:rPr>
        <w:t>’</w:t>
      </w:r>
      <w:r>
        <w:rPr>
          <w:lang w:val="fr-FR"/>
        </w:rPr>
        <w:t>extraction minière doit, avant d</w:t>
      </w:r>
      <w:r w:rsidR="009C7759">
        <w:rPr>
          <w:lang w:val="fr-FR"/>
        </w:rPr>
        <w:t>’</w:t>
      </w:r>
      <w:r>
        <w:rPr>
          <w:lang w:val="fr-FR"/>
        </w:rPr>
        <w:t>entreprendre des activités de prospection et d</w:t>
      </w:r>
      <w:r w:rsidR="009C7759">
        <w:rPr>
          <w:lang w:val="fr-FR"/>
        </w:rPr>
        <w:t>’</w:t>
      </w:r>
      <w:r>
        <w:rPr>
          <w:lang w:val="fr-FR"/>
        </w:rPr>
        <w:t>exploitation, procéder à un examen et à une étude détaillée de l</w:t>
      </w:r>
      <w:r w:rsidR="009C7759">
        <w:rPr>
          <w:lang w:val="fr-FR"/>
        </w:rPr>
        <w:t>’</w:t>
      </w:r>
      <w:r>
        <w:rPr>
          <w:lang w:val="fr-FR"/>
        </w:rPr>
        <w:t>impact du projet sur l</w:t>
      </w:r>
      <w:r w:rsidR="009C7759">
        <w:rPr>
          <w:lang w:val="fr-FR"/>
        </w:rPr>
        <w:t>’</w:t>
      </w:r>
      <w:r>
        <w:rPr>
          <w:lang w:val="fr-FR"/>
        </w:rPr>
        <w:t>environnement, demander officiellement l</w:t>
      </w:r>
      <w:r w:rsidR="009C7759">
        <w:rPr>
          <w:lang w:val="fr-FR"/>
        </w:rPr>
        <w:t>’</w:t>
      </w:r>
      <w:r>
        <w:rPr>
          <w:lang w:val="fr-FR"/>
        </w:rPr>
        <w:t>avis des habitants de la zone susceptibles de subir les effets des activités d</w:t>
      </w:r>
      <w:r w:rsidR="009C7759">
        <w:rPr>
          <w:lang w:val="fr-FR"/>
        </w:rPr>
        <w:t>’</w:t>
      </w:r>
      <w:r>
        <w:rPr>
          <w:lang w:val="fr-FR"/>
        </w:rPr>
        <w:t>extraction, obtenir un compte rendu officiel de la réunion des habitants et joindre ces documents au rapport détaillé de l</w:t>
      </w:r>
      <w:r w:rsidR="009C7759">
        <w:rPr>
          <w:lang w:val="fr-FR"/>
        </w:rPr>
        <w:t>’</w:t>
      </w:r>
      <w:r>
        <w:rPr>
          <w:lang w:val="fr-FR"/>
        </w:rPr>
        <w:t>étude d</w:t>
      </w:r>
      <w:r w:rsidR="009C7759">
        <w:rPr>
          <w:lang w:val="fr-FR"/>
        </w:rPr>
        <w:t>’</w:t>
      </w:r>
      <w:r>
        <w:rPr>
          <w:lang w:val="fr-FR"/>
        </w:rPr>
        <w:t>impact sur l</w:t>
      </w:r>
      <w:r w:rsidR="009C7759">
        <w:rPr>
          <w:lang w:val="fr-FR"/>
        </w:rPr>
        <w:t>’</w:t>
      </w:r>
      <w:r>
        <w:rPr>
          <w:lang w:val="fr-FR"/>
        </w:rPr>
        <w:t xml:space="preserve">environnement. Compte tenu de ces avis, le Ministre de </w:t>
      </w:r>
      <w:r>
        <w:rPr>
          <w:lang w:val="fr-FR"/>
        </w:rPr>
        <w:lastRenderedPageBreak/>
        <w:t>l</w:t>
      </w:r>
      <w:r w:rsidR="009C7759">
        <w:rPr>
          <w:lang w:val="fr-FR"/>
        </w:rPr>
        <w:t>’</w:t>
      </w:r>
      <w:r>
        <w:rPr>
          <w:lang w:val="fr-FR"/>
        </w:rPr>
        <w:t>environnement et du tourisme examine le dossier et décide d</w:t>
      </w:r>
      <w:r w:rsidR="009C7759">
        <w:rPr>
          <w:lang w:val="fr-FR"/>
        </w:rPr>
        <w:t>’</w:t>
      </w:r>
      <w:r>
        <w:rPr>
          <w:lang w:val="fr-FR"/>
        </w:rPr>
        <w:t>approuver ou de refuser l</w:t>
      </w:r>
      <w:r w:rsidR="009C7759">
        <w:rPr>
          <w:lang w:val="fr-FR"/>
        </w:rPr>
        <w:t>’</w:t>
      </w:r>
      <w:r>
        <w:rPr>
          <w:lang w:val="fr-FR"/>
        </w:rPr>
        <w:t>examen préalable et l</w:t>
      </w:r>
      <w:r w:rsidR="009C7759">
        <w:rPr>
          <w:lang w:val="fr-FR"/>
        </w:rPr>
        <w:t>’</w:t>
      </w:r>
      <w:r>
        <w:rPr>
          <w:lang w:val="fr-FR"/>
        </w:rPr>
        <w:t>étude détaillée de l</w:t>
      </w:r>
      <w:r w:rsidR="009C7759">
        <w:rPr>
          <w:lang w:val="fr-FR"/>
        </w:rPr>
        <w:t>’</w:t>
      </w:r>
      <w:r>
        <w:rPr>
          <w:lang w:val="fr-FR"/>
        </w:rPr>
        <w:t>impact sur l</w:t>
      </w:r>
      <w:r w:rsidR="009C7759">
        <w:rPr>
          <w:lang w:val="fr-FR"/>
        </w:rPr>
        <w:t>’</w:t>
      </w:r>
      <w:r>
        <w:rPr>
          <w:lang w:val="fr-FR"/>
        </w:rPr>
        <w:t xml:space="preserve">environnement. </w:t>
      </w:r>
    </w:p>
    <w:p w14:paraId="70D0C9BE" w14:textId="7CA01E58" w:rsidR="00560776" w:rsidRPr="008D553A" w:rsidRDefault="00560776" w:rsidP="00560776">
      <w:pPr>
        <w:pStyle w:val="SingleTxtG"/>
        <w:rPr>
          <w:lang w:val="fr-FR"/>
        </w:rPr>
      </w:pPr>
      <w:r>
        <w:rPr>
          <w:lang w:val="fr-FR"/>
        </w:rPr>
        <w:t>39.</w:t>
      </w:r>
      <w:r>
        <w:rPr>
          <w:lang w:val="fr-FR"/>
        </w:rPr>
        <w:tab/>
        <w:t>Conformément à ces dispositions, le promoteur d</w:t>
      </w:r>
      <w:r w:rsidR="009C7759">
        <w:rPr>
          <w:lang w:val="fr-FR"/>
        </w:rPr>
        <w:t>’</w:t>
      </w:r>
      <w:r>
        <w:rPr>
          <w:lang w:val="fr-FR"/>
        </w:rPr>
        <w:t>un projet d</w:t>
      </w:r>
      <w:r w:rsidR="009C7759">
        <w:rPr>
          <w:lang w:val="fr-FR"/>
        </w:rPr>
        <w:t>’</w:t>
      </w:r>
      <w:r>
        <w:rPr>
          <w:lang w:val="fr-FR"/>
        </w:rPr>
        <w:t>extraction minière parvient à un accord sur la protection des droits des citoyens concernés et la sauvegarde des intérêts des habitants de la zone en question, qui passe par le versement d</w:t>
      </w:r>
      <w:r w:rsidR="009C7759">
        <w:rPr>
          <w:lang w:val="fr-FR"/>
        </w:rPr>
        <w:t>’</w:t>
      </w:r>
      <w:r>
        <w:rPr>
          <w:lang w:val="fr-FR"/>
        </w:rPr>
        <w:t>indemnités ou l</w:t>
      </w:r>
      <w:r w:rsidR="009C7759">
        <w:rPr>
          <w:lang w:val="fr-FR"/>
        </w:rPr>
        <w:t>’</w:t>
      </w:r>
      <w:r>
        <w:rPr>
          <w:lang w:val="fr-FR"/>
        </w:rPr>
        <w:t>évacuation des habitants.</w:t>
      </w:r>
    </w:p>
    <w:p w14:paraId="14D865A7" w14:textId="461084B3" w:rsidR="00560776" w:rsidRPr="008D553A" w:rsidRDefault="00560776" w:rsidP="00560776">
      <w:pPr>
        <w:pStyle w:val="SingleTxtG"/>
        <w:rPr>
          <w:lang w:val="fr-FR"/>
        </w:rPr>
      </w:pPr>
      <w:r>
        <w:rPr>
          <w:lang w:val="fr-FR"/>
        </w:rPr>
        <w:t>40.</w:t>
      </w:r>
      <w:r>
        <w:rPr>
          <w:lang w:val="fr-FR"/>
        </w:rPr>
        <w:tab/>
        <w:t>On trouvera ci-après des exemples qui illustrent les mesures prises pour protéger les droits des citoyens touchés par un projet d</w:t>
      </w:r>
      <w:r w:rsidR="009C7759">
        <w:rPr>
          <w:lang w:val="fr-FR"/>
        </w:rPr>
        <w:t>’</w:t>
      </w:r>
      <w:r>
        <w:rPr>
          <w:lang w:val="fr-FR"/>
        </w:rPr>
        <w:t xml:space="preserve">extraction minière et pour améliorer leur situation. </w:t>
      </w:r>
    </w:p>
    <w:p w14:paraId="4CC0733C" w14:textId="20062854" w:rsidR="00560776" w:rsidRPr="008D553A" w:rsidRDefault="00560776" w:rsidP="00560776">
      <w:pPr>
        <w:pStyle w:val="SingleTxtG"/>
        <w:rPr>
          <w:lang w:val="fr-FR"/>
        </w:rPr>
      </w:pPr>
      <w:r>
        <w:rPr>
          <w:lang w:val="fr-FR"/>
        </w:rPr>
        <w:t>41.</w:t>
      </w:r>
      <w:r>
        <w:rPr>
          <w:lang w:val="fr-FR"/>
        </w:rPr>
        <w:tab/>
        <w:t xml:space="preserve">En 2018, </w:t>
      </w:r>
      <w:proofErr w:type="spellStart"/>
      <w:r>
        <w:rPr>
          <w:lang w:val="fr-FR"/>
        </w:rPr>
        <w:t>Petrochina</w:t>
      </w:r>
      <w:proofErr w:type="spellEnd"/>
      <w:r>
        <w:rPr>
          <w:lang w:val="fr-FR"/>
        </w:rPr>
        <w:t xml:space="preserve"> </w:t>
      </w:r>
      <w:proofErr w:type="spellStart"/>
      <w:r>
        <w:rPr>
          <w:lang w:val="fr-FR"/>
        </w:rPr>
        <w:t>Dachin</w:t>
      </w:r>
      <w:proofErr w:type="spellEnd"/>
      <w:r>
        <w:rPr>
          <w:lang w:val="fr-FR"/>
        </w:rPr>
        <w:t xml:space="preserve"> </w:t>
      </w:r>
      <w:proofErr w:type="spellStart"/>
      <w:r>
        <w:rPr>
          <w:lang w:val="fr-FR"/>
        </w:rPr>
        <w:t>Tamsag</w:t>
      </w:r>
      <w:proofErr w:type="spellEnd"/>
      <w:r>
        <w:rPr>
          <w:lang w:val="fr-FR"/>
        </w:rPr>
        <w:t xml:space="preserve"> LLC, qui menait, dans le cadre d</w:t>
      </w:r>
      <w:r w:rsidR="009C7759">
        <w:rPr>
          <w:lang w:val="fr-FR"/>
        </w:rPr>
        <w:t>’</w:t>
      </w:r>
      <w:r>
        <w:rPr>
          <w:lang w:val="fr-FR"/>
        </w:rPr>
        <w:t>un accord de partage de la production, des activités d</w:t>
      </w:r>
      <w:r w:rsidR="009C7759">
        <w:rPr>
          <w:lang w:val="fr-FR"/>
        </w:rPr>
        <w:t>’</w:t>
      </w:r>
      <w:r>
        <w:rPr>
          <w:lang w:val="fr-FR"/>
        </w:rPr>
        <w:t xml:space="preserve">exploitation pétrolière des lots pétroliers </w:t>
      </w:r>
      <w:proofErr w:type="spellStart"/>
      <w:r>
        <w:rPr>
          <w:lang w:val="fr-FR"/>
        </w:rPr>
        <w:t>Toson-Uul</w:t>
      </w:r>
      <w:proofErr w:type="spellEnd"/>
      <w:r>
        <w:rPr>
          <w:lang w:val="fr-FR"/>
        </w:rPr>
        <w:t xml:space="preserve"> XIX et </w:t>
      </w:r>
      <w:proofErr w:type="spellStart"/>
      <w:r>
        <w:rPr>
          <w:lang w:val="fr-FR"/>
        </w:rPr>
        <w:t>Tamsag</w:t>
      </w:r>
      <w:proofErr w:type="spellEnd"/>
      <w:r>
        <w:rPr>
          <w:lang w:val="fr-FR"/>
        </w:rPr>
        <w:t xml:space="preserve"> XXI des soums de </w:t>
      </w:r>
      <w:proofErr w:type="spellStart"/>
      <w:r>
        <w:rPr>
          <w:lang w:val="fr-FR"/>
        </w:rPr>
        <w:t>Khalkhgol</w:t>
      </w:r>
      <w:proofErr w:type="spellEnd"/>
      <w:r>
        <w:rPr>
          <w:lang w:val="fr-FR"/>
        </w:rPr>
        <w:t xml:space="preserve"> et </w:t>
      </w:r>
      <w:proofErr w:type="spellStart"/>
      <w:r>
        <w:rPr>
          <w:lang w:val="fr-FR"/>
        </w:rPr>
        <w:t>Matad</w:t>
      </w:r>
      <w:proofErr w:type="spellEnd"/>
      <w:r>
        <w:rPr>
          <w:lang w:val="fr-FR"/>
        </w:rPr>
        <w:t xml:space="preserve"> de l</w:t>
      </w:r>
      <w:r w:rsidR="009C7759">
        <w:rPr>
          <w:lang w:val="fr-FR"/>
        </w:rPr>
        <w:t>’</w:t>
      </w:r>
      <w:r>
        <w:rPr>
          <w:lang w:val="fr-FR"/>
        </w:rPr>
        <w:t xml:space="preserve">aïmag de </w:t>
      </w:r>
      <w:proofErr w:type="spellStart"/>
      <w:r>
        <w:rPr>
          <w:lang w:val="fr-FR"/>
        </w:rPr>
        <w:t>Dornod</w:t>
      </w:r>
      <w:proofErr w:type="spellEnd"/>
      <w:r>
        <w:rPr>
          <w:lang w:val="fr-FR"/>
        </w:rPr>
        <w:t xml:space="preserve">, a conclu un accord trilatéral avec le gouverneur </w:t>
      </w:r>
      <w:r w:rsidRPr="00D53C65">
        <w:rPr>
          <w:lang w:val="fr-FR"/>
        </w:rPr>
        <w:t>de l</w:t>
      </w:r>
      <w:r w:rsidR="009C7759">
        <w:rPr>
          <w:lang w:val="fr-FR"/>
        </w:rPr>
        <w:t>’</w:t>
      </w:r>
      <w:r w:rsidRPr="00D53C65">
        <w:rPr>
          <w:lang w:val="fr-FR"/>
        </w:rPr>
        <w:t>a</w:t>
      </w:r>
      <w:r>
        <w:rPr>
          <w:lang w:val="fr-FR"/>
        </w:rPr>
        <w:t>ï</w:t>
      </w:r>
      <w:r w:rsidRPr="00D53C65">
        <w:rPr>
          <w:lang w:val="fr-FR"/>
        </w:rPr>
        <w:t xml:space="preserve">mag de </w:t>
      </w:r>
      <w:proofErr w:type="spellStart"/>
      <w:r w:rsidRPr="00D53C65">
        <w:rPr>
          <w:lang w:val="fr-FR"/>
        </w:rPr>
        <w:t>Dornod</w:t>
      </w:r>
      <w:proofErr w:type="spellEnd"/>
      <w:r w:rsidRPr="00D53C65">
        <w:rPr>
          <w:lang w:val="fr-FR"/>
        </w:rPr>
        <w:t xml:space="preserve"> et l</w:t>
      </w:r>
      <w:r w:rsidR="009C7759">
        <w:rPr>
          <w:lang w:val="fr-FR"/>
        </w:rPr>
        <w:t>’</w:t>
      </w:r>
      <w:r w:rsidRPr="00D53C65">
        <w:rPr>
          <w:lang w:val="fr-FR"/>
        </w:rPr>
        <w:t xml:space="preserve">Agence des minerais et du pétrole. </w:t>
      </w:r>
      <w:r>
        <w:rPr>
          <w:lang w:val="fr-FR"/>
        </w:rPr>
        <w:t>Conformément à l</w:t>
      </w:r>
      <w:r w:rsidR="009C7759">
        <w:rPr>
          <w:lang w:val="fr-FR"/>
        </w:rPr>
        <w:t>’</w:t>
      </w:r>
      <w:r>
        <w:rPr>
          <w:lang w:val="fr-FR"/>
        </w:rPr>
        <w:t>article</w:t>
      </w:r>
      <w:r w:rsidR="00D54C49">
        <w:rPr>
          <w:lang w:val="fr-FR"/>
        </w:rPr>
        <w:t> </w:t>
      </w:r>
      <w:r>
        <w:rPr>
          <w:lang w:val="fr-FR"/>
        </w:rPr>
        <w:t xml:space="preserve">11.2.17 de la loi sur le pétrole, cette société a également signé des accords avec les gouverneurs des soums de </w:t>
      </w:r>
      <w:proofErr w:type="spellStart"/>
      <w:r>
        <w:rPr>
          <w:lang w:val="fr-FR"/>
        </w:rPr>
        <w:t>Matad</w:t>
      </w:r>
      <w:proofErr w:type="spellEnd"/>
      <w:r>
        <w:rPr>
          <w:lang w:val="fr-FR"/>
        </w:rPr>
        <w:t xml:space="preserve"> et </w:t>
      </w:r>
      <w:proofErr w:type="spellStart"/>
      <w:r>
        <w:rPr>
          <w:lang w:val="fr-FR"/>
        </w:rPr>
        <w:t>Khalkhgol</w:t>
      </w:r>
      <w:proofErr w:type="spellEnd"/>
      <w:r>
        <w:rPr>
          <w:lang w:val="fr-FR"/>
        </w:rPr>
        <w:t xml:space="preserve"> sur la protection de l</w:t>
      </w:r>
      <w:r w:rsidR="009C7759">
        <w:rPr>
          <w:lang w:val="fr-FR"/>
        </w:rPr>
        <w:t>’</w:t>
      </w:r>
      <w:r>
        <w:rPr>
          <w:lang w:val="fr-FR"/>
        </w:rPr>
        <w:t>environnement et l</w:t>
      </w:r>
      <w:r w:rsidR="009C7759">
        <w:rPr>
          <w:lang w:val="fr-FR"/>
        </w:rPr>
        <w:t>’</w:t>
      </w:r>
      <w:r>
        <w:rPr>
          <w:lang w:val="fr-FR"/>
        </w:rPr>
        <w:t>aide au développement local. Par ces accords, la société s</w:t>
      </w:r>
      <w:r w:rsidR="009C7759">
        <w:rPr>
          <w:lang w:val="fr-FR"/>
        </w:rPr>
        <w:t>’</w:t>
      </w:r>
      <w:r>
        <w:rPr>
          <w:lang w:val="fr-FR"/>
        </w:rPr>
        <w:t>est notamment engagée à approvisionner gratuitement en énergie les ménages vivant à proximité de la zone de prospection minière, à leur fournir de l</w:t>
      </w:r>
      <w:r w:rsidR="009C7759">
        <w:rPr>
          <w:lang w:val="fr-FR"/>
        </w:rPr>
        <w:t>’</w:t>
      </w:r>
      <w:r>
        <w:rPr>
          <w:lang w:val="fr-FR"/>
        </w:rPr>
        <w:t>eau potable deux fois par semaine, à recruter en priorité les habitants de la zone qui remplissent les conditions requises, à préserver les sources d</w:t>
      </w:r>
      <w:r w:rsidR="009C7759">
        <w:rPr>
          <w:lang w:val="fr-FR"/>
        </w:rPr>
        <w:t>’</w:t>
      </w:r>
      <w:r>
        <w:rPr>
          <w:lang w:val="fr-FR"/>
        </w:rPr>
        <w:t>eau, la flore et la faune et à maintenir l</w:t>
      </w:r>
      <w:r w:rsidR="009C7759">
        <w:rPr>
          <w:lang w:val="fr-FR"/>
        </w:rPr>
        <w:t>’</w:t>
      </w:r>
      <w:r>
        <w:rPr>
          <w:lang w:val="fr-FR"/>
        </w:rPr>
        <w:t>équilibre écologique pendant la phase d</w:t>
      </w:r>
      <w:r w:rsidR="009C7759">
        <w:rPr>
          <w:lang w:val="fr-FR"/>
        </w:rPr>
        <w:t>’</w:t>
      </w:r>
      <w:r>
        <w:rPr>
          <w:lang w:val="fr-FR"/>
        </w:rPr>
        <w:t>exploitation, à protéger le patrimoine historique et culturel, à utiliser des technologies de pointe reconnues au niveau international qui permettent de consommer le moins d</w:t>
      </w:r>
      <w:r w:rsidR="009C7759">
        <w:rPr>
          <w:lang w:val="fr-FR"/>
        </w:rPr>
        <w:t>’</w:t>
      </w:r>
      <w:r>
        <w:rPr>
          <w:lang w:val="fr-FR"/>
        </w:rPr>
        <w:t>eau possible lors de l</w:t>
      </w:r>
      <w:r w:rsidR="009C7759">
        <w:rPr>
          <w:lang w:val="fr-FR"/>
        </w:rPr>
        <w:t>’</w:t>
      </w:r>
      <w:r>
        <w:rPr>
          <w:lang w:val="fr-FR"/>
        </w:rPr>
        <w:t>extraction du pétrole et à réutiliser les eaux du cycle de production. Dans le cadre de l</w:t>
      </w:r>
      <w:r w:rsidR="009C7759">
        <w:rPr>
          <w:lang w:val="fr-FR"/>
        </w:rPr>
        <w:t>’</w:t>
      </w:r>
      <w:r>
        <w:rPr>
          <w:lang w:val="fr-FR"/>
        </w:rPr>
        <w:t>accord d</w:t>
      </w:r>
      <w:r w:rsidR="009C7759">
        <w:rPr>
          <w:lang w:val="fr-FR"/>
        </w:rPr>
        <w:t>’</w:t>
      </w:r>
      <w:r>
        <w:rPr>
          <w:lang w:val="fr-FR"/>
        </w:rPr>
        <w:t>aide au développement local et de l</w:t>
      </w:r>
      <w:r w:rsidR="009C7759">
        <w:rPr>
          <w:lang w:val="fr-FR"/>
        </w:rPr>
        <w:t>’</w:t>
      </w:r>
      <w:r>
        <w:rPr>
          <w:lang w:val="fr-FR"/>
        </w:rPr>
        <w:t>accord trilatéral susmentionnés, la société verse annuellement pour chaque lot pétrolier 450</w:t>
      </w:r>
      <w:r w:rsidR="00D54C49">
        <w:rPr>
          <w:lang w:val="fr-FR"/>
        </w:rPr>
        <w:t> </w:t>
      </w:r>
      <w:r>
        <w:rPr>
          <w:lang w:val="fr-FR"/>
        </w:rPr>
        <w:t>000</w:t>
      </w:r>
      <w:r w:rsidR="00D54C49">
        <w:rPr>
          <w:lang w:val="fr-FR"/>
        </w:rPr>
        <w:t> </w:t>
      </w:r>
      <w:r>
        <w:rPr>
          <w:lang w:val="fr-FR"/>
        </w:rPr>
        <w:t>dollars des États-Unis au fonds de développement du soum et 250</w:t>
      </w:r>
      <w:r w:rsidR="00D54C49">
        <w:rPr>
          <w:lang w:val="fr-FR"/>
        </w:rPr>
        <w:t> </w:t>
      </w:r>
      <w:r>
        <w:rPr>
          <w:lang w:val="fr-FR"/>
        </w:rPr>
        <w:t>000</w:t>
      </w:r>
      <w:r w:rsidR="00D54C49">
        <w:rPr>
          <w:lang w:val="fr-FR"/>
        </w:rPr>
        <w:t> </w:t>
      </w:r>
      <w:r>
        <w:rPr>
          <w:lang w:val="fr-FR"/>
        </w:rPr>
        <w:t>dollars au fonds de développement de l</w:t>
      </w:r>
      <w:r w:rsidR="009C7759">
        <w:rPr>
          <w:lang w:val="fr-FR"/>
        </w:rPr>
        <w:t>’</w:t>
      </w:r>
      <w:r>
        <w:rPr>
          <w:lang w:val="fr-FR"/>
        </w:rPr>
        <w:t xml:space="preserve">aïmag de </w:t>
      </w:r>
      <w:proofErr w:type="spellStart"/>
      <w:r>
        <w:rPr>
          <w:lang w:val="fr-FR"/>
        </w:rPr>
        <w:t>Dornod</w:t>
      </w:r>
      <w:proofErr w:type="spellEnd"/>
      <w:r>
        <w:rPr>
          <w:lang w:val="fr-FR"/>
        </w:rPr>
        <w:t>. Ces fonds sont consacrés au développement local, à la création d</w:t>
      </w:r>
      <w:r w:rsidR="009C7759">
        <w:rPr>
          <w:lang w:val="fr-FR"/>
        </w:rPr>
        <w:t>’</w:t>
      </w:r>
      <w:r>
        <w:rPr>
          <w:lang w:val="fr-FR"/>
        </w:rPr>
        <w:t>emplois, à la protection des droits des habitants de la zone concernée et à l</w:t>
      </w:r>
      <w:r w:rsidR="009C7759">
        <w:rPr>
          <w:lang w:val="fr-FR"/>
        </w:rPr>
        <w:t>’</w:t>
      </w:r>
      <w:r>
        <w:rPr>
          <w:lang w:val="fr-FR"/>
        </w:rPr>
        <w:t xml:space="preserve">amélioration de leur situation. </w:t>
      </w:r>
    </w:p>
    <w:p w14:paraId="0E11AE26" w14:textId="353C974F" w:rsidR="00560776" w:rsidRPr="008D553A" w:rsidRDefault="00560776" w:rsidP="00560776">
      <w:pPr>
        <w:pStyle w:val="SingleTxtG"/>
        <w:rPr>
          <w:lang w:val="fr-FR"/>
        </w:rPr>
      </w:pPr>
      <w:r>
        <w:rPr>
          <w:lang w:val="fr-FR"/>
        </w:rPr>
        <w:t>42.</w:t>
      </w:r>
      <w:r>
        <w:rPr>
          <w:lang w:val="fr-FR"/>
        </w:rPr>
        <w:tab/>
        <w:t xml:space="preserve">En 2015-2017, une route bitumée de 211 kilomètres de long a été construite pour relier le lot pétrolier </w:t>
      </w:r>
      <w:proofErr w:type="spellStart"/>
      <w:r>
        <w:rPr>
          <w:lang w:val="fr-FR"/>
        </w:rPr>
        <w:t>Toson-Uul</w:t>
      </w:r>
      <w:proofErr w:type="spellEnd"/>
      <w:r>
        <w:rPr>
          <w:lang w:val="fr-FR"/>
        </w:rPr>
        <w:t xml:space="preserve"> XIX au point frontalier de </w:t>
      </w:r>
      <w:proofErr w:type="spellStart"/>
      <w:r>
        <w:rPr>
          <w:lang w:val="fr-FR"/>
        </w:rPr>
        <w:t>Bayankhoshuu</w:t>
      </w:r>
      <w:proofErr w:type="spellEnd"/>
      <w:r>
        <w:rPr>
          <w:lang w:val="fr-FR"/>
        </w:rPr>
        <w:t>. Ce projet a été important non seulement sur le plan de la protection de l</w:t>
      </w:r>
      <w:r w:rsidR="009C7759">
        <w:rPr>
          <w:lang w:val="fr-FR"/>
        </w:rPr>
        <w:t>’</w:t>
      </w:r>
      <w:r>
        <w:rPr>
          <w:lang w:val="fr-FR"/>
        </w:rPr>
        <w:t>environnement local et de la réduction de la poussière, mais aussi parce qu</w:t>
      </w:r>
      <w:r w:rsidR="009C7759">
        <w:rPr>
          <w:lang w:val="fr-FR"/>
        </w:rPr>
        <w:t>’</w:t>
      </w:r>
      <w:r>
        <w:rPr>
          <w:lang w:val="fr-FR"/>
        </w:rPr>
        <w:t xml:space="preserve">il a aidé les habitants de la zone à se rendre plus facilement dans les principales agglomérations des soums. </w:t>
      </w:r>
    </w:p>
    <w:p w14:paraId="5752AA1D" w14:textId="3C2840EC" w:rsidR="00560776" w:rsidRPr="008D553A" w:rsidRDefault="00560776" w:rsidP="00560776">
      <w:pPr>
        <w:pStyle w:val="SingleTxtG"/>
        <w:rPr>
          <w:lang w:val="fr-FR"/>
        </w:rPr>
      </w:pPr>
      <w:r>
        <w:rPr>
          <w:lang w:val="fr-FR"/>
        </w:rPr>
        <w:t>43.</w:t>
      </w:r>
      <w:r>
        <w:rPr>
          <w:lang w:val="fr-FR"/>
        </w:rPr>
        <w:tab/>
      </w:r>
      <w:proofErr w:type="spellStart"/>
      <w:r>
        <w:rPr>
          <w:lang w:val="fr-FR"/>
        </w:rPr>
        <w:t>Dongsheng</w:t>
      </w:r>
      <w:proofErr w:type="spellEnd"/>
      <w:r>
        <w:rPr>
          <w:lang w:val="fr-FR"/>
        </w:rPr>
        <w:t xml:space="preserve"> </w:t>
      </w:r>
      <w:proofErr w:type="spellStart"/>
      <w:r>
        <w:rPr>
          <w:lang w:val="fr-FR"/>
        </w:rPr>
        <w:t>Oil</w:t>
      </w:r>
      <w:proofErr w:type="spellEnd"/>
      <w:r>
        <w:rPr>
          <w:lang w:val="fr-FR"/>
        </w:rPr>
        <w:t xml:space="preserve"> </w:t>
      </w:r>
      <w:proofErr w:type="spellStart"/>
      <w:r>
        <w:rPr>
          <w:lang w:val="fr-FR"/>
        </w:rPr>
        <w:t>Mongolia</w:t>
      </w:r>
      <w:proofErr w:type="spellEnd"/>
      <w:r>
        <w:rPr>
          <w:lang w:val="fr-FR"/>
        </w:rPr>
        <w:t xml:space="preserve"> LLC, qui mène des activités de prospection dans la zone du gisement de pétrole BHG-97 située dans le soum de </w:t>
      </w:r>
      <w:proofErr w:type="spellStart"/>
      <w:r>
        <w:rPr>
          <w:lang w:val="fr-FR"/>
        </w:rPr>
        <w:t>Sainshand</w:t>
      </w:r>
      <w:proofErr w:type="spellEnd"/>
      <w:r>
        <w:rPr>
          <w:lang w:val="fr-FR"/>
        </w:rPr>
        <w:t xml:space="preserve"> de l</w:t>
      </w:r>
      <w:r w:rsidR="009C7759">
        <w:rPr>
          <w:lang w:val="fr-FR"/>
        </w:rPr>
        <w:t>’</w:t>
      </w:r>
      <w:r>
        <w:rPr>
          <w:lang w:val="fr-FR"/>
        </w:rPr>
        <w:t xml:space="preserve">aïmag de </w:t>
      </w:r>
      <w:proofErr w:type="spellStart"/>
      <w:r>
        <w:rPr>
          <w:lang w:val="fr-FR"/>
        </w:rPr>
        <w:t>Dornod</w:t>
      </w:r>
      <w:proofErr w:type="spellEnd"/>
      <w:r>
        <w:rPr>
          <w:lang w:val="fr-FR"/>
        </w:rPr>
        <w:t>, a conclu un accord de protection de l</w:t>
      </w:r>
      <w:r w:rsidR="009C7759">
        <w:rPr>
          <w:lang w:val="fr-FR"/>
        </w:rPr>
        <w:t>’</w:t>
      </w:r>
      <w:r>
        <w:rPr>
          <w:lang w:val="fr-FR"/>
        </w:rPr>
        <w:t>environnement et d</w:t>
      </w:r>
      <w:r w:rsidR="009C7759">
        <w:rPr>
          <w:lang w:val="fr-FR"/>
        </w:rPr>
        <w:t>’</w:t>
      </w:r>
      <w:r>
        <w:rPr>
          <w:lang w:val="fr-FR"/>
        </w:rPr>
        <w:t>aide au développement local avec le gouverneur de ce soum. L</w:t>
      </w:r>
      <w:r w:rsidR="009C7759">
        <w:rPr>
          <w:lang w:val="fr-FR"/>
        </w:rPr>
        <w:t>’</w:t>
      </w:r>
      <w:r>
        <w:rPr>
          <w:lang w:val="fr-FR"/>
        </w:rPr>
        <w:t>entreprise a contribué à mettre en place des conditions d</w:t>
      </w:r>
      <w:r w:rsidR="009C7759">
        <w:rPr>
          <w:lang w:val="fr-FR"/>
        </w:rPr>
        <w:t>’</w:t>
      </w:r>
      <w:r>
        <w:rPr>
          <w:lang w:val="fr-FR"/>
        </w:rPr>
        <w:t xml:space="preserve">apprentissage, de travail et de vie favorables pour les adultes, les enfants et les jeunes des environs en investissant 500 millions de </w:t>
      </w:r>
      <w:proofErr w:type="spellStart"/>
      <w:r>
        <w:rPr>
          <w:lang w:val="fr-FR"/>
        </w:rPr>
        <w:t>togrogs</w:t>
      </w:r>
      <w:proofErr w:type="spellEnd"/>
      <w:r>
        <w:rPr>
          <w:lang w:val="fr-FR"/>
        </w:rPr>
        <w:t xml:space="preserve"> dans la construction d</w:t>
      </w:r>
      <w:r w:rsidR="009C7759">
        <w:rPr>
          <w:lang w:val="fr-FR"/>
        </w:rPr>
        <w:t>’</w:t>
      </w:r>
      <w:r>
        <w:rPr>
          <w:lang w:val="fr-FR"/>
        </w:rPr>
        <w:t xml:space="preserve">une école maternelle de 50 lits dans le sous-district de </w:t>
      </w:r>
      <w:proofErr w:type="spellStart"/>
      <w:r>
        <w:rPr>
          <w:lang w:val="fr-FR"/>
        </w:rPr>
        <w:t>Zuunbayan</w:t>
      </w:r>
      <w:proofErr w:type="spellEnd"/>
      <w:r>
        <w:rPr>
          <w:lang w:val="fr-FR"/>
        </w:rPr>
        <w:t xml:space="preserve"> en 2018 et 270 millions dans la réparation et la rénovation d</w:t>
      </w:r>
      <w:r w:rsidR="009C7759">
        <w:rPr>
          <w:lang w:val="fr-FR"/>
        </w:rPr>
        <w:t>’</w:t>
      </w:r>
      <w:r>
        <w:rPr>
          <w:lang w:val="fr-FR"/>
        </w:rPr>
        <w:t>une piscine de ce même sous-district en 2019.</w:t>
      </w:r>
    </w:p>
    <w:p w14:paraId="19551139" w14:textId="11902A43" w:rsidR="00560776" w:rsidRPr="008D553A" w:rsidRDefault="00560776" w:rsidP="00560776">
      <w:pPr>
        <w:pStyle w:val="SingleTxtG"/>
        <w:rPr>
          <w:lang w:val="fr-FR"/>
        </w:rPr>
      </w:pPr>
      <w:r>
        <w:rPr>
          <w:lang w:val="fr-FR"/>
        </w:rPr>
        <w:t>44.</w:t>
      </w:r>
      <w:r>
        <w:rPr>
          <w:lang w:val="fr-FR"/>
        </w:rPr>
        <w:tab/>
        <w:t>L</w:t>
      </w:r>
      <w:r w:rsidR="009C7759">
        <w:rPr>
          <w:lang w:val="fr-FR"/>
        </w:rPr>
        <w:t>’</w:t>
      </w:r>
      <w:r>
        <w:rPr>
          <w:lang w:val="fr-FR"/>
        </w:rPr>
        <w:t>article 41.1 de la loi sur les minerais dispose que les détenteurs de permis d</w:t>
      </w:r>
      <w:r w:rsidR="009C7759">
        <w:rPr>
          <w:lang w:val="fr-FR"/>
        </w:rPr>
        <w:t>’</w:t>
      </w:r>
      <w:r>
        <w:rPr>
          <w:lang w:val="fr-FR"/>
        </w:rPr>
        <w:t>exploitation doivent indemniser pleinement les propriétaires et les occupants ou usagers d</w:t>
      </w:r>
      <w:r w:rsidR="009C7759">
        <w:rPr>
          <w:lang w:val="fr-FR"/>
        </w:rPr>
        <w:t>’</w:t>
      </w:r>
      <w:r>
        <w:rPr>
          <w:lang w:val="fr-FR"/>
        </w:rPr>
        <w:t>habitations privées ou publiques, de puits, d</w:t>
      </w:r>
      <w:r w:rsidR="009C7759">
        <w:rPr>
          <w:lang w:val="fr-FR"/>
        </w:rPr>
        <w:t>’</w:t>
      </w:r>
      <w:r>
        <w:rPr>
          <w:lang w:val="fr-FR"/>
        </w:rPr>
        <w:t>abris hivernaux pour animaux, d</w:t>
      </w:r>
      <w:r w:rsidR="009C7759">
        <w:rPr>
          <w:lang w:val="fr-FR"/>
        </w:rPr>
        <w:t>’</w:t>
      </w:r>
      <w:r>
        <w:rPr>
          <w:lang w:val="fr-FR"/>
        </w:rPr>
        <w:t>autres structures et de sites historiques et culturels pour les dommages causés par les activités de prospection ou d</w:t>
      </w:r>
      <w:r w:rsidR="009C7759">
        <w:rPr>
          <w:lang w:val="fr-FR"/>
        </w:rPr>
        <w:t>’</w:t>
      </w:r>
      <w:r>
        <w:rPr>
          <w:lang w:val="fr-FR"/>
        </w:rPr>
        <w:t xml:space="preserve">exploitation minières, y compris en prenant en charge si besoin est leurs frais de réinstallation. Conformément à cet article, la société </w:t>
      </w:r>
      <w:proofErr w:type="spellStart"/>
      <w:r>
        <w:rPr>
          <w:lang w:val="fr-FR"/>
        </w:rPr>
        <w:t>Moenco</w:t>
      </w:r>
      <w:proofErr w:type="spellEnd"/>
      <w:r>
        <w:rPr>
          <w:lang w:val="fr-FR"/>
        </w:rPr>
        <w:t xml:space="preserve"> LLC, qui mène des activités de prospection dans la zone du gisement de charbon de </w:t>
      </w:r>
      <w:proofErr w:type="spellStart"/>
      <w:r>
        <w:rPr>
          <w:lang w:val="fr-FR"/>
        </w:rPr>
        <w:t>Hushuut</w:t>
      </w:r>
      <w:proofErr w:type="spellEnd"/>
      <w:r>
        <w:rPr>
          <w:lang w:val="fr-FR"/>
        </w:rPr>
        <w:t xml:space="preserve">, située dans le soum de </w:t>
      </w:r>
      <w:proofErr w:type="spellStart"/>
      <w:r>
        <w:rPr>
          <w:lang w:val="fr-FR"/>
        </w:rPr>
        <w:t>Tsetseg</w:t>
      </w:r>
      <w:proofErr w:type="spellEnd"/>
      <w:r>
        <w:rPr>
          <w:lang w:val="fr-FR"/>
        </w:rPr>
        <w:t xml:space="preserve"> de l</w:t>
      </w:r>
      <w:r w:rsidR="009C7759">
        <w:rPr>
          <w:lang w:val="fr-FR"/>
        </w:rPr>
        <w:t>’</w:t>
      </w:r>
      <w:r>
        <w:rPr>
          <w:lang w:val="fr-FR"/>
        </w:rPr>
        <w:t xml:space="preserve">aïmag de </w:t>
      </w:r>
      <w:proofErr w:type="spellStart"/>
      <w:r>
        <w:rPr>
          <w:lang w:val="fr-FR"/>
        </w:rPr>
        <w:t>Hovd</w:t>
      </w:r>
      <w:proofErr w:type="spellEnd"/>
      <w:r>
        <w:rPr>
          <w:lang w:val="fr-FR"/>
        </w:rPr>
        <w:t xml:space="preserve">, a conclu en 2018 un accord et a coopéré avec le gouverneur de cet aïmag aux fins de la réinstallation de la population du chef-lieu du sous-district de </w:t>
      </w:r>
      <w:proofErr w:type="spellStart"/>
      <w:r>
        <w:rPr>
          <w:lang w:val="fr-FR"/>
        </w:rPr>
        <w:t>Hushuut</w:t>
      </w:r>
      <w:proofErr w:type="spellEnd"/>
      <w:r>
        <w:rPr>
          <w:lang w:val="fr-FR"/>
        </w:rPr>
        <w:t>, en vue de garantir le droit des ménages et des citoyens de ce sous-district de vivre dans un environnement sain et sûr et de les protéger des effets préjudiciables de la poussière et des nuisances sonores.</w:t>
      </w:r>
    </w:p>
    <w:p w14:paraId="6F8286C1" w14:textId="632295EA" w:rsidR="00560776" w:rsidRPr="008D553A" w:rsidRDefault="00560776" w:rsidP="00560776">
      <w:pPr>
        <w:pStyle w:val="SingleTxtG"/>
        <w:rPr>
          <w:lang w:val="fr-FR"/>
        </w:rPr>
      </w:pPr>
      <w:r>
        <w:rPr>
          <w:lang w:val="fr-FR"/>
        </w:rPr>
        <w:t>45.</w:t>
      </w:r>
      <w:r>
        <w:rPr>
          <w:lang w:val="fr-FR"/>
        </w:rPr>
        <w:tab/>
        <w:t xml:space="preserve">Dans le cadre de cette opération de réinstallation, un recensement des habitants du sous-district de </w:t>
      </w:r>
      <w:proofErr w:type="spellStart"/>
      <w:r>
        <w:rPr>
          <w:lang w:val="fr-FR"/>
        </w:rPr>
        <w:t>Hushuut</w:t>
      </w:r>
      <w:proofErr w:type="spellEnd"/>
      <w:r>
        <w:rPr>
          <w:lang w:val="fr-FR"/>
        </w:rPr>
        <w:t xml:space="preserve"> et de leurs propriétés a été effectué. Au total, 174 ménages, propriétaires de 111 parcelles de terre, ont été recensés et des investissements d</w:t>
      </w:r>
      <w:r w:rsidR="009C7759">
        <w:rPr>
          <w:lang w:val="fr-FR"/>
        </w:rPr>
        <w:t>’</w:t>
      </w:r>
      <w:r>
        <w:rPr>
          <w:lang w:val="fr-FR"/>
        </w:rPr>
        <w:t xml:space="preserve">une valeur de plus de 10 milliards de </w:t>
      </w:r>
      <w:proofErr w:type="spellStart"/>
      <w:r>
        <w:rPr>
          <w:lang w:val="fr-FR"/>
        </w:rPr>
        <w:t>togrogs</w:t>
      </w:r>
      <w:proofErr w:type="spellEnd"/>
      <w:r>
        <w:rPr>
          <w:lang w:val="fr-FR"/>
        </w:rPr>
        <w:t xml:space="preserve"> ont été réalisés à ce jour.</w:t>
      </w:r>
    </w:p>
    <w:p w14:paraId="7D788C27" w14:textId="1C464857" w:rsidR="00560776" w:rsidRPr="008D553A" w:rsidRDefault="00560776" w:rsidP="002424F2">
      <w:pPr>
        <w:pStyle w:val="H1G"/>
        <w:rPr>
          <w:lang w:val="fr-FR"/>
        </w:rPr>
      </w:pPr>
      <w:r>
        <w:rPr>
          <w:lang w:val="fr-FR"/>
        </w:rPr>
        <w:lastRenderedPageBreak/>
        <w:tab/>
      </w:r>
      <w:r>
        <w:rPr>
          <w:lang w:val="fr-FR"/>
        </w:rPr>
        <w:tab/>
        <w:t>Paragraphe 4 de la liste de points</w:t>
      </w:r>
    </w:p>
    <w:p w14:paraId="14A59FB1" w14:textId="32B6E36B" w:rsidR="00560776" w:rsidRPr="008D553A" w:rsidRDefault="00560776" w:rsidP="00560776">
      <w:pPr>
        <w:pStyle w:val="SingleTxtG"/>
        <w:rPr>
          <w:lang w:val="fr-FR"/>
        </w:rPr>
      </w:pPr>
      <w:r>
        <w:rPr>
          <w:lang w:val="fr-FR"/>
        </w:rPr>
        <w:t>46.</w:t>
      </w:r>
      <w:r>
        <w:rPr>
          <w:lang w:val="fr-FR"/>
        </w:rPr>
        <w:tab/>
        <w:t>La Constitution mongole donne aux citoyens le droit de circuler et d</w:t>
      </w:r>
      <w:r w:rsidR="009C7759">
        <w:rPr>
          <w:lang w:val="fr-FR"/>
        </w:rPr>
        <w:t>’</w:t>
      </w:r>
      <w:r>
        <w:rPr>
          <w:lang w:val="fr-FR"/>
        </w:rPr>
        <w:t>établir leur résidence librement. Du fait des mutations que connaît la société depuis le début des années 1990, la migration de la population vers les villes s</w:t>
      </w:r>
      <w:r w:rsidR="009C7759">
        <w:rPr>
          <w:lang w:val="fr-FR"/>
        </w:rPr>
        <w:t>’</w:t>
      </w:r>
      <w:r>
        <w:rPr>
          <w:lang w:val="fr-FR"/>
        </w:rPr>
        <w:t>est intensifiée, ce qui entraîne une urbanisation importante. Actuellement, 1,6 million de personnes, soit 46,7</w:t>
      </w:r>
      <w:r w:rsidR="00400617">
        <w:rPr>
          <w:lang w:val="fr-FR"/>
        </w:rPr>
        <w:t> </w:t>
      </w:r>
      <w:r>
        <w:rPr>
          <w:lang w:val="fr-FR"/>
        </w:rPr>
        <w:t>% de l</w:t>
      </w:r>
      <w:r w:rsidR="009C7759">
        <w:rPr>
          <w:lang w:val="fr-FR"/>
        </w:rPr>
        <w:t>’</w:t>
      </w:r>
      <w:r>
        <w:rPr>
          <w:lang w:val="fr-FR"/>
        </w:rPr>
        <w:t xml:space="preserve">ensemble de la population, vivent dans la capitale, Oulan-Bator. Du fait de ces migrations, 15 zones à forte concentration de </w:t>
      </w:r>
      <w:proofErr w:type="spellStart"/>
      <w:r w:rsidRPr="00C75AA3">
        <w:rPr>
          <w:i/>
          <w:iCs/>
          <w:lang w:val="fr-FR"/>
        </w:rPr>
        <w:t>gers</w:t>
      </w:r>
      <w:proofErr w:type="spellEnd"/>
      <w:r>
        <w:rPr>
          <w:lang w:val="fr-FR"/>
        </w:rPr>
        <w:t xml:space="preserve"> (yourtes) sont apparues à Oulan-Bator sans aucune planification de l</w:t>
      </w:r>
      <w:r w:rsidR="009C7759">
        <w:rPr>
          <w:lang w:val="fr-FR"/>
        </w:rPr>
        <w:t>’</w:t>
      </w:r>
      <w:r>
        <w:rPr>
          <w:lang w:val="fr-FR"/>
        </w:rPr>
        <w:t>habitat, ce qui entraîne des violations des droits fondamentaux des personnes qui y vivent, notamment de leur droit de vivre dans un environnement sain et sûr, d</w:t>
      </w:r>
      <w:r w:rsidR="009C7759">
        <w:rPr>
          <w:lang w:val="fr-FR"/>
        </w:rPr>
        <w:t>’</w:t>
      </w:r>
      <w:r>
        <w:rPr>
          <w:lang w:val="fr-FR"/>
        </w:rPr>
        <w:t>être protégées des catastrophes naturelles et d</w:t>
      </w:r>
      <w:r w:rsidR="009C7759">
        <w:rPr>
          <w:lang w:val="fr-FR"/>
        </w:rPr>
        <w:t>’</w:t>
      </w:r>
      <w:r>
        <w:rPr>
          <w:lang w:val="fr-FR"/>
        </w:rPr>
        <w:t>autres aléas et d</w:t>
      </w:r>
      <w:r w:rsidR="009C7759">
        <w:rPr>
          <w:lang w:val="fr-FR"/>
        </w:rPr>
        <w:t>’</w:t>
      </w:r>
      <w:r>
        <w:rPr>
          <w:lang w:val="fr-FR"/>
        </w:rPr>
        <w:t>accéder dans des conditions d</w:t>
      </w:r>
      <w:r w:rsidR="009C7759">
        <w:rPr>
          <w:lang w:val="fr-FR"/>
        </w:rPr>
        <w:t>’</w:t>
      </w:r>
      <w:r>
        <w:rPr>
          <w:lang w:val="fr-FR"/>
        </w:rPr>
        <w:t>égalité aux services sociaux. Afin de résoudre ce problème, les mesures et projets suivants ont été mis en œuvre en vue de procéder au réaménagement de ces zones, de faire construire des logements et d</w:t>
      </w:r>
      <w:r w:rsidR="009C7759">
        <w:rPr>
          <w:lang w:val="fr-FR"/>
        </w:rPr>
        <w:t>’</w:t>
      </w:r>
      <w:r>
        <w:rPr>
          <w:lang w:val="fr-FR"/>
        </w:rPr>
        <w:t>installer les infrastructures nécessaires :</w:t>
      </w:r>
    </w:p>
    <w:p w14:paraId="30EC15F4" w14:textId="02E43A41" w:rsidR="00560776" w:rsidRPr="008D553A" w:rsidRDefault="00560776" w:rsidP="002424F2">
      <w:pPr>
        <w:pStyle w:val="H23G"/>
        <w:rPr>
          <w:lang w:val="fr-FR"/>
        </w:rPr>
      </w:pPr>
      <w:r>
        <w:rPr>
          <w:lang w:val="fr-FR"/>
        </w:rPr>
        <w:tab/>
      </w:r>
      <w:r>
        <w:rPr>
          <w:lang w:val="fr-FR"/>
        </w:rPr>
        <w:tab/>
        <w:t>Mise en place de l</w:t>
      </w:r>
      <w:r w:rsidR="009C7759">
        <w:rPr>
          <w:lang w:val="fr-FR"/>
        </w:rPr>
        <w:t>’</w:t>
      </w:r>
      <w:r>
        <w:rPr>
          <w:lang w:val="fr-FR"/>
        </w:rPr>
        <w:t>environnement juridique adéquat</w:t>
      </w:r>
    </w:p>
    <w:p w14:paraId="6C130482" w14:textId="3EFC4AF3" w:rsidR="00560776" w:rsidRPr="008D553A" w:rsidRDefault="00560776" w:rsidP="00560776">
      <w:pPr>
        <w:pStyle w:val="SingleTxtG"/>
        <w:rPr>
          <w:lang w:val="fr-FR"/>
        </w:rPr>
      </w:pPr>
      <w:r>
        <w:rPr>
          <w:lang w:val="fr-FR"/>
        </w:rPr>
        <w:t>47.</w:t>
      </w:r>
      <w:r>
        <w:rPr>
          <w:lang w:val="fr-FR"/>
        </w:rPr>
        <w:tab/>
        <w:t xml:space="preserve">Le Grand </w:t>
      </w:r>
      <w:proofErr w:type="spellStart"/>
      <w:r>
        <w:rPr>
          <w:lang w:val="fr-FR"/>
        </w:rPr>
        <w:t>Khoural</w:t>
      </w:r>
      <w:proofErr w:type="spellEnd"/>
      <w:r>
        <w:rPr>
          <w:lang w:val="fr-FR"/>
        </w:rPr>
        <w:t xml:space="preserve"> d</w:t>
      </w:r>
      <w:r w:rsidR="009C7759">
        <w:rPr>
          <w:lang w:val="fr-FR"/>
        </w:rPr>
        <w:t>’</w:t>
      </w:r>
      <w:r>
        <w:rPr>
          <w:lang w:val="fr-FR"/>
        </w:rPr>
        <w:t>État a approuvé en 2016 la loi sur le réaménagement des zones urbaines et d</w:t>
      </w:r>
      <w:r w:rsidR="009C7759">
        <w:rPr>
          <w:lang w:val="fr-FR"/>
        </w:rPr>
        <w:t>’</w:t>
      </w:r>
      <w:r>
        <w:rPr>
          <w:lang w:val="fr-FR"/>
        </w:rPr>
        <w:t>habitation. Les dispositions réglementaires suivantes ont été adoptées en application de cette loi</w:t>
      </w:r>
      <w:r w:rsidR="00A737F5">
        <w:rPr>
          <w:lang w:val="fr-FR"/>
        </w:rPr>
        <w:t> </w:t>
      </w:r>
      <w:r>
        <w:rPr>
          <w:lang w:val="fr-FR"/>
        </w:rPr>
        <w:t>:</w:t>
      </w:r>
    </w:p>
    <w:p w14:paraId="30A0EB62" w14:textId="2D2C8543" w:rsidR="00560776" w:rsidRPr="008D553A" w:rsidRDefault="00560776" w:rsidP="002424F2">
      <w:pPr>
        <w:pStyle w:val="Bullet1G"/>
        <w:rPr>
          <w:lang w:val="fr-FR"/>
        </w:rPr>
      </w:pPr>
      <w:r>
        <w:rPr>
          <w:lang w:val="fr-FR"/>
        </w:rPr>
        <w:t>Règlement type relatif à la sélection des sites de réalisation du projet de réaménagement des zones urbaines et d</w:t>
      </w:r>
      <w:r w:rsidR="009C7759">
        <w:rPr>
          <w:lang w:val="fr-FR"/>
        </w:rPr>
        <w:t>’</w:t>
      </w:r>
      <w:r>
        <w:rPr>
          <w:lang w:val="fr-FR"/>
        </w:rPr>
        <w:t>habitation (arrêté n</w:t>
      </w:r>
      <w:r w:rsidR="00400617" w:rsidRPr="00400617">
        <w:rPr>
          <w:vertAlign w:val="superscript"/>
          <w:lang w:val="fr-FR"/>
        </w:rPr>
        <w:t>o</w:t>
      </w:r>
      <w:r w:rsidR="00400617">
        <w:rPr>
          <w:lang w:val="fr-FR"/>
        </w:rPr>
        <w:t> </w:t>
      </w:r>
      <w:r>
        <w:rPr>
          <w:lang w:val="fr-FR"/>
        </w:rPr>
        <w:t xml:space="preserve">84 (2016) du Ministre de la construction et du développement urbain) ; </w:t>
      </w:r>
      <w:bookmarkStart w:id="0" w:name="_Hlk55463229"/>
      <w:bookmarkEnd w:id="0"/>
    </w:p>
    <w:p w14:paraId="2872E7B1" w14:textId="05041F9F" w:rsidR="00560776" w:rsidRPr="008D553A" w:rsidRDefault="00560776" w:rsidP="002424F2">
      <w:pPr>
        <w:pStyle w:val="Bullet1G"/>
        <w:rPr>
          <w:lang w:val="fr-FR"/>
        </w:rPr>
      </w:pPr>
      <w:r>
        <w:rPr>
          <w:lang w:val="fr-FR"/>
        </w:rPr>
        <w:t>Modèle d</w:t>
      </w:r>
      <w:r w:rsidR="009C7759">
        <w:rPr>
          <w:lang w:val="fr-FR"/>
        </w:rPr>
        <w:t>’</w:t>
      </w:r>
      <w:r>
        <w:rPr>
          <w:lang w:val="fr-FR"/>
        </w:rPr>
        <w:t>accord trilatéral entre les parties prenantes du projet de réaménagement des zones urbaines et d</w:t>
      </w:r>
      <w:r w:rsidR="009C7759">
        <w:rPr>
          <w:lang w:val="fr-FR"/>
        </w:rPr>
        <w:t>’</w:t>
      </w:r>
      <w:r>
        <w:rPr>
          <w:lang w:val="fr-FR"/>
        </w:rPr>
        <w:t>habitation (arrêté n</w:t>
      </w:r>
      <w:r w:rsidR="00400617" w:rsidRPr="00400617">
        <w:rPr>
          <w:vertAlign w:val="superscript"/>
          <w:lang w:val="fr-FR"/>
        </w:rPr>
        <w:t>o</w:t>
      </w:r>
      <w:r w:rsidR="00400617">
        <w:rPr>
          <w:lang w:val="fr-FR"/>
        </w:rPr>
        <w:t> </w:t>
      </w:r>
      <w:r>
        <w:rPr>
          <w:lang w:val="fr-FR"/>
        </w:rPr>
        <w:t>125 (2016) du Ministre de la construction et du développement urbain) ;</w:t>
      </w:r>
    </w:p>
    <w:p w14:paraId="5B2F4A04" w14:textId="50F8759D" w:rsidR="00560776" w:rsidRPr="008D553A" w:rsidRDefault="00560776" w:rsidP="002424F2">
      <w:pPr>
        <w:pStyle w:val="Bullet1G"/>
        <w:rPr>
          <w:lang w:val="fr-FR"/>
        </w:rPr>
      </w:pPr>
      <w:bookmarkStart w:id="1" w:name="_Hlk55464419"/>
      <w:r>
        <w:rPr>
          <w:lang w:val="fr-FR"/>
        </w:rPr>
        <w:t>Règlement relatif à la démolition et la reconstruction du parc de logements publics qui ne répondent pas aux normes d</w:t>
      </w:r>
      <w:r w:rsidR="009C7759">
        <w:rPr>
          <w:lang w:val="fr-FR"/>
        </w:rPr>
        <w:t>’</w:t>
      </w:r>
      <w:r>
        <w:rPr>
          <w:lang w:val="fr-FR"/>
        </w:rPr>
        <w:t>exploitation (arrêté n</w:t>
      </w:r>
      <w:r w:rsidR="00400617" w:rsidRPr="00400617">
        <w:rPr>
          <w:vertAlign w:val="superscript"/>
          <w:lang w:val="fr-FR"/>
        </w:rPr>
        <w:t>o</w:t>
      </w:r>
      <w:r w:rsidR="00400617">
        <w:rPr>
          <w:lang w:val="fr-FR"/>
        </w:rPr>
        <w:t> </w:t>
      </w:r>
      <w:r>
        <w:rPr>
          <w:lang w:val="fr-FR"/>
        </w:rPr>
        <w:t xml:space="preserve">126 (2016) du Ministre de la construction et du développement urbain) ; </w:t>
      </w:r>
    </w:p>
    <w:bookmarkEnd w:id="1"/>
    <w:p w14:paraId="403757B1" w14:textId="08E03E8D" w:rsidR="00560776" w:rsidRPr="008D553A" w:rsidRDefault="00560776" w:rsidP="002424F2">
      <w:pPr>
        <w:pStyle w:val="Bullet1G"/>
        <w:rPr>
          <w:lang w:val="fr-FR"/>
        </w:rPr>
      </w:pPr>
      <w:r>
        <w:rPr>
          <w:lang w:val="fr-FR"/>
        </w:rPr>
        <w:t xml:space="preserve">Règlement relatif au réaménagement des parcelles des districts à forte concentration de </w:t>
      </w:r>
      <w:proofErr w:type="spellStart"/>
      <w:r w:rsidRPr="00E23392">
        <w:rPr>
          <w:i/>
          <w:lang w:val="fr-FR"/>
        </w:rPr>
        <w:t>gers</w:t>
      </w:r>
      <w:proofErr w:type="spellEnd"/>
      <w:r>
        <w:rPr>
          <w:lang w:val="fr-FR"/>
        </w:rPr>
        <w:t xml:space="preserve"> et à la réalisation des travaux de construction (arrêté n</w:t>
      </w:r>
      <w:r w:rsidR="00400617" w:rsidRPr="00400617">
        <w:rPr>
          <w:vertAlign w:val="superscript"/>
          <w:lang w:val="fr-FR"/>
        </w:rPr>
        <w:t>o</w:t>
      </w:r>
      <w:r w:rsidR="00400617">
        <w:rPr>
          <w:lang w:val="fr-FR"/>
        </w:rPr>
        <w:t> </w:t>
      </w:r>
      <w:r>
        <w:rPr>
          <w:lang w:val="fr-FR"/>
        </w:rPr>
        <w:t xml:space="preserve">46 (2018) du Ministre de la construction et du développement urbain) ; </w:t>
      </w:r>
    </w:p>
    <w:p w14:paraId="262BEBC8" w14:textId="12A82EF6" w:rsidR="00560776" w:rsidRPr="008D553A" w:rsidRDefault="00560776" w:rsidP="002424F2">
      <w:pPr>
        <w:pStyle w:val="Bullet1G"/>
        <w:rPr>
          <w:lang w:val="fr-FR"/>
        </w:rPr>
      </w:pPr>
      <w:r>
        <w:rPr>
          <w:lang w:val="fr-FR"/>
        </w:rPr>
        <w:t>Règlement relatif à l</w:t>
      </w:r>
      <w:r w:rsidR="009C7759">
        <w:rPr>
          <w:lang w:val="fr-FR"/>
        </w:rPr>
        <w:t>’</w:t>
      </w:r>
      <w:r>
        <w:rPr>
          <w:lang w:val="fr-FR"/>
        </w:rPr>
        <w:t>octroi d</w:t>
      </w:r>
      <w:r w:rsidR="009C7759">
        <w:rPr>
          <w:lang w:val="fr-FR"/>
        </w:rPr>
        <w:t>’</w:t>
      </w:r>
      <w:r>
        <w:rPr>
          <w:lang w:val="fr-FR"/>
        </w:rPr>
        <w:t>indemnités dû aux activités de réaménagement des zones urbaines et d</w:t>
      </w:r>
      <w:r w:rsidR="009C7759">
        <w:rPr>
          <w:lang w:val="fr-FR"/>
        </w:rPr>
        <w:t>’</w:t>
      </w:r>
      <w:r>
        <w:rPr>
          <w:lang w:val="fr-FR"/>
        </w:rPr>
        <w:t>habitation (résolution gouvernementale n</w:t>
      </w:r>
      <w:r w:rsidR="00400617" w:rsidRPr="00400617">
        <w:rPr>
          <w:vertAlign w:val="superscript"/>
          <w:lang w:val="fr-FR"/>
        </w:rPr>
        <w:t>o</w:t>
      </w:r>
      <w:r w:rsidR="00400617">
        <w:rPr>
          <w:lang w:val="fr-FR"/>
        </w:rPr>
        <w:t> </w:t>
      </w:r>
      <w:r>
        <w:rPr>
          <w:lang w:val="fr-FR"/>
        </w:rPr>
        <w:t>222 de 2018) ;</w:t>
      </w:r>
    </w:p>
    <w:p w14:paraId="7E012042" w14:textId="37211503" w:rsidR="00560776" w:rsidRPr="008D553A" w:rsidRDefault="00560776" w:rsidP="002424F2">
      <w:pPr>
        <w:pStyle w:val="Bullet1G"/>
        <w:rPr>
          <w:lang w:val="fr-FR"/>
        </w:rPr>
      </w:pPr>
      <w:r>
        <w:rPr>
          <w:lang w:val="fr-FR"/>
        </w:rPr>
        <w:t xml:space="preserve">Règlement relatif au partage des parcelles entre les propriétaires et les usagers aux fins de la réorganisation des terrains des districts à forte concentration de </w:t>
      </w:r>
      <w:proofErr w:type="spellStart"/>
      <w:r w:rsidRPr="00E23392">
        <w:rPr>
          <w:i/>
          <w:lang w:val="fr-FR"/>
        </w:rPr>
        <w:t>gers</w:t>
      </w:r>
      <w:proofErr w:type="spellEnd"/>
      <w:r>
        <w:rPr>
          <w:lang w:val="fr-FR"/>
        </w:rPr>
        <w:t xml:space="preserve"> (résolution gouvernementale n</w:t>
      </w:r>
      <w:r w:rsidR="00400617" w:rsidRPr="00400617">
        <w:rPr>
          <w:vertAlign w:val="superscript"/>
          <w:lang w:val="fr-FR"/>
        </w:rPr>
        <w:t>o</w:t>
      </w:r>
      <w:r w:rsidR="00400617">
        <w:rPr>
          <w:lang w:val="fr-FR"/>
        </w:rPr>
        <w:t> </w:t>
      </w:r>
      <w:r>
        <w:rPr>
          <w:lang w:val="fr-FR"/>
        </w:rPr>
        <w:t>341 de 2018) ;</w:t>
      </w:r>
    </w:p>
    <w:p w14:paraId="0C3F848F" w14:textId="78E47DB9" w:rsidR="00560776" w:rsidRPr="008D553A" w:rsidRDefault="00560776" w:rsidP="002424F2">
      <w:pPr>
        <w:pStyle w:val="Bullet1G"/>
        <w:rPr>
          <w:lang w:val="fr-FR"/>
        </w:rPr>
      </w:pPr>
      <w:r>
        <w:rPr>
          <w:lang w:val="fr-FR"/>
        </w:rPr>
        <w:t xml:space="preserve">Règlement relatif à la réorganisation des terrains des districts à forte concentration de </w:t>
      </w:r>
      <w:proofErr w:type="spellStart"/>
      <w:r w:rsidRPr="00E23392">
        <w:rPr>
          <w:i/>
          <w:lang w:val="fr-FR"/>
        </w:rPr>
        <w:t>gers</w:t>
      </w:r>
      <w:proofErr w:type="spellEnd"/>
      <w:r>
        <w:rPr>
          <w:lang w:val="fr-FR"/>
        </w:rPr>
        <w:t xml:space="preserve"> (arrêté n</w:t>
      </w:r>
      <w:r w:rsidR="00400617" w:rsidRPr="00400617">
        <w:rPr>
          <w:vertAlign w:val="superscript"/>
          <w:lang w:val="fr-FR"/>
        </w:rPr>
        <w:t>o</w:t>
      </w:r>
      <w:r w:rsidR="00400617">
        <w:rPr>
          <w:lang w:val="fr-FR"/>
        </w:rPr>
        <w:t> </w:t>
      </w:r>
      <w:r>
        <w:rPr>
          <w:lang w:val="fr-FR"/>
        </w:rPr>
        <w:t xml:space="preserve">202 (2018) du Ministre de la construction et du développement urbain). </w:t>
      </w:r>
    </w:p>
    <w:p w14:paraId="7BCD09BC" w14:textId="3FA8A44B" w:rsidR="00560776" w:rsidRPr="008D553A" w:rsidRDefault="00560776" w:rsidP="00D0092F">
      <w:pPr>
        <w:pStyle w:val="H23G"/>
        <w:rPr>
          <w:lang w:val="fr-FR"/>
        </w:rPr>
      </w:pPr>
      <w:r>
        <w:rPr>
          <w:lang w:val="fr-FR"/>
        </w:rPr>
        <w:tab/>
      </w:r>
      <w:r>
        <w:rPr>
          <w:lang w:val="fr-FR"/>
        </w:rPr>
        <w:tab/>
        <w:t>État d</w:t>
      </w:r>
      <w:r w:rsidR="009C7759">
        <w:rPr>
          <w:lang w:val="fr-FR"/>
        </w:rPr>
        <w:t>’</w:t>
      </w:r>
      <w:r>
        <w:rPr>
          <w:lang w:val="fr-FR"/>
        </w:rPr>
        <w:t xml:space="preserve">avancement du projet de réaménagement des zones </w:t>
      </w:r>
      <w:r w:rsidR="00D0092F">
        <w:rPr>
          <w:lang w:val="fr-FR"/>
        </w:rPr>
        <w:br/>
      </w:r>
      <w:r>
        <w:rPr>
          <w:lang w:val="fr-FR"/>
        </w:rPr>
        <w:t xml:space="preserve">à forte concentration de </w:t>
      </w:r>
      <w:proofErr w:type="spellStart"/>
      <w:r w:rsidRPr="00E23392">
        <w:rPr>
          <w:i/>
          <w:lang w:val="fr-FR"/>
        </w:rPr>
        <w:t>gers</w:t>
      </w:r>
      <w:proofErr w:type="spellEnd"/>
    </w:p>
    <w:p w14:paraId="03FB5C73" w14:textId="0FD3BAE3" w:rsidR="00560776" w:rsidRPr="008D553A" w:rsidRDefault="00560776" w:rsidP="00560776">
      <w:pPr>
        <w:pStyle w:val="SingleTxtG"/>
        <w:rPr>
          <w:lang w:val="fr-FR"/>
        </w:rPr>
      </w:pPr>
      <w:r>
        <w:rPr>
          <w:lang w:val="fr-FR"/>
        </w:rPr>
        <w:t>48.</w:t>
      </w:r>
      <w:r>
        <w:rPr>
          <w:lang w:val="fr-FR"/>
        </w:rPr>
        <w:tab/>
        <w:t xml:space="preserve">Lors du choix des lieux de réalisation des projets de réaménagement des districts à forte concentration de </w:t>
      </w:r>
      <w:proofErr w:type="spellStart"/>
      <w:r w:rsidRPr="00E23392">
        <w:rPr>
          <w:i/>
          <w:lang w:val="fr-FR"/>
        </w:rPr>
        <w:t>gers</w:t>
      </w:r>
      <w:proofErr w:type="spellEnd"/>
      <w:r>
        <w:rPr>
          <w:lang w:val="fr-FR"/>
        </w:rPr>
        <w:t>, les avis et les souhaits des citoyens, les conditions techniques d</w:t>
      </w:r>
      <w:r w:rsidR="009C7759">
        <w:rPr>
          <w:lang w:val="fr-FR"/>
        </w:rPr>
        <w:t>’</w:t>
      </w:r>
      <w:r>
        <w:rPr>
          <w:lang w:val="fr-FR"/>
        </w:rPr>
        <w:t>exécution des projets et leur faisabilité économique sont pris en compte. Il a été décidé dans les résolutions</w:t>
      </w:r>
      <w:r w:rsidR="00400617">
        <w:rPr>
          <w:lang w:val="fr-FR"/>
        </w:rPr>
        <w:t> </w:t>
      </w:r>
      <w:r>
        <w:rPr>
          <w:lang w:val="fr-FR"/>
        </w:rPr>
        <w:t xml:space="preserve">7/29, 12/43 et 14/02 de 2013 ainsi que dans la résolution 19/23 de 2014 du </w:t>
      </w:r>
      <w:proofErr w:type="spellStart"/>
      <w:r>
        <w:rPr>
          <w:lang w:val="fr-FR"/>
        </w:rPr>
        <w:t>Khoural</w:t>
      </w:r>
      <w:proofErr w:type="spellEnd"/>
      <w:r>
        <w:rPr>
          <w:lang w:val="fr-FR"/>
        </w:rPr>
        <w:t xml:space="preserve"> de représentants des citoyens de la capitale que, au total, 24 endroits situés dans des districts à forte concentration de </w:t>
      </w:r>
      <w:proofErr w:type="spellStart"/>
      <w:r w:rsidRPr="00E23392">
        <w:rPr>
          <w:i/>
          <w:lang w:val="fr-FR"/>
        </w:rPr>
        <w:t>gers</w:t>
      </w:r>
      <w:proofErr w:type="spellEnd"/>
      <w:r>
        <w:rPr>
          <w:lang w:val="fr-FR"/>
        </w:rPr>
        <w:t xml:space="preserve"> feraient l</w:t>
      </w:r>
      <w:r w:rsidR="009C7759">
        <w:rPr>
          <w:lang w:val="fr-FR"/>
        </w:rPr>
        <w:t>’</w:t>
      </w:r>
      <w:r>
        <w:rPr>
          <w:lang w:val="fr-FR"/>
        </w:rPr>
        <w:t>objet d</w:t>
      </w:r>
      <w:r w:rsidR="009C7759">
        <w:rPr>
          <w:lang w:val="fr-FR"/>
        </w:rPr>
        <w:t>’</w:t>
      </w:r>
      <w:r>
        <w:rPr>
          <w:lang w:val="fr-FR"/>
        </w:rPr>
        <w:t>un réaménagement. Ces lieux ont ensuite été divisés en 75 sites aux fins de l</w:t>
      </w:r>
      <w:r w:rsidR="009C7759">
        <w:rPr>
          <w:lang w:val="fr-FR"/>
        </w:rPr>
        <w:t>’</w:t>
      </w:r>
      <w:r>
        <w:rPr>
          <w:lang w:val="fr-FR"/>
        </w:rPr>
        <w:t>exécution des projets. Le réaménagement porte sur 1</w:t>
      </w:r>
      <w:r w:rsidR="00166306">
        <w:rPr>
          <w:lang w:val="fr-FR"/>
        </w:rPr>
        <w:t> </w:t>
      </w:r>
      <w:r>
        <w:rPr>
          <w:lang w:val="fr-FR"/>
        </w:rPr>
        <w:t>506,1</w:t>
      </w:r>
      <w:r w:rsidR="00166306">
        <w:rPr>
          <w:lang w:val="fr-FR"/>
        </w:rPr>
        <w:t> </w:t>
      </w:r>
      <w:r>
        <w:rPr>
          <w:lang w:val="fr-FR"/>
        </w:rPr>
        <w:t>hectares de terres et 16</w:t>
      </w:r>
      <w:r w:rsidR="00166306">
        <w:rPr>
          <w:lang w:val="fr-FR"/>
        </w:rPr>
        <w:t> </w:t>
      </w:r>
      <w:r>
        <w:rPr>
          <w:lang w:val="fr-FR"/>
        </w:rPr>
        <w:t>109</w:t>
      </w:r>
      <w:r w:rsidR="00166306">
        <w:rPr>
          <w:lang w:val="fr-FR"/>
        </w:rPr>
        <w:t> </w:t>
      </w:r>
      <w:r>
        <w:rPr>
          <w:lang w:val="fr-FR"/>
        </w:rPr>
        <w:t>sites, soit 14</w:t>
      </w:r>
      <w:r w:rsidR="00166306">
        <w:rPr>
          <w:lang w:val="fr-FR"/>
        </w:rPr>
        <w:t> </w:t>
      </w:r>
      <w:r>
        <w:rPr>
          <w:lang w:val="fr-FR"/>
        </w:rPr>
        <w:t xml:space="preserve">% de la superficie totale des zones à forte concentration de </w:t>
      </w:r>
      <w:proofErr w:type="spellStart"/>
      <w:r w:rsidRPr="00E23392">
        <w:rPr>
          <w:i/>
          <w:lang w:val="fr-FR"/>
        </w:rPr>
        <w:t>gers</w:t>
      </w:r>
      <w:proofErr w:type="spellEnd"/>
      <w:r>
        <w:rPr>
          <w:i/>
          <w:lang w:val="fr-FR"/>
        </w:rPr>
        <w:t>,</w:t>
      </w:r>
      <w:r>
        <w:rPr>
          <w:lang w:val="fr-FR"/>
        </w:rPr>
        <w:t xml:space="preserve"> et concerne 9</w:t>
      </w:r>
      <w:r w:rsidR="00166306">
        <w:rPr>
          <w:lang w:val="fr-FR"/>
        </w:rPr>
        <w:t> </w:t>
      </w:r>
      <w:r>
        <w:rPr>
          <w:lang w:val="fr-FR"/>
        </w:rPr>
        <w:t>% de la population.</w:t>
      </w:r>
    </w:p>
    <w:p w14:paraId="5D1651A9" w14:textId="24B9698C" w:rsidR="00560776" w:rsidRPr="008D553A" w:rsidRDefault="00560776" w:rsidP="00560776">
      <w:pPr>
        <w:pStyle w:val="SingleTxtG"/>
        <w:rPr>
          <w:lang w:val="fr-FR"/>
        </w:rPr>
      </w:pPr>
      <w:r>
        <w:rPr>
          <w:lang w:val="fr-FR"/>
        </w:rPr>
        <w:t>49.</w:t>
      </w:r>
      <w:r>
        <w:rPr>
          <w:lang w:val="fr-FR"/>
        </w:rPr>
        <w:tab/>
        <w:t xml:space="preserve">Dans le cadre du projet de réaménagement et de reconstruction des districts à forte concentration de </w:t>
      </w:r>
      <w:proofErr w:type="spellStart"/>
      <w:r w:rsidRPr="00E23392">
        <w:rPr>
          <w:i/>
          <w:lang w:val="fr-FR"/>
        </w:rPr>
        <w:t>gers</w:t>
      </w:r>
      <w:proofErr w:type="spellEnd"/>
      <w:r>
        <w:rPr>
          <w:lang w:val="fr-FR"/>
        </w:rPr>
        <w:t>, les citoyens doivent quitter leur lieu de résidence et leurs biens doivent en être retirés. Les habitants d</w:t>
      </w:r>
      <w:r w:rsidR="009C7759">
        <w:rPr>
          <w:lang w:val="fr-FR"/>
        </w:rPr>
        <w:t>’</w:t>
      </w:r>
      <w:r>
        <w:rPr>
          <w:lang w:val="fr-FR"/>
        </w:rPr>
        <w:t>un lieu ainsi évacué sont transférés temporairement dans des logements loués jusqu</w:t>
      </w:r>
      <w:r w:rsidR="009C7759">
        <w:rPr>
          <w:lang w:val="fr-FR"/>
        </w:rPr>
        <w:t>’</w:t>
      </w:r>
      <w:r>
        <w:rPr>
          <w:lang w:val="fr-FR"/>
        </w:rPr>
        <w:t>à ce que de nouveaux logements soient disponibles ou qu</w:t>
      </w:r>
      <w:r w:rsidR="009C7759">
        <w:rPr>
          <w:lang w:val="fr-FR"/>
        </w:rPr>
        <w:t>’</w:t>
      </w:r>
      <w:r>
        <w:rPr>
          <w:lang w:val="fr-FR"/>
        </w:rPr>
        <w:t xml:space="preserve">ils </w:t>
      </w:r>
      <w:r>
        <w:rPr>
          <w:lang w:val="fr-FR"/>
        </w:rPr>
        <w:lastRenderedPageBreak/>
        <w:t>parviennent à un accord avec l</w:t>
      </w:r>
      <w:r w:rsidR="009C7759">
        <w:rPr>
          <w:lang w:val="fr-FR"/>
        </w:rPr>
        <w:t>’</w:t>
      </w:r>
      <w:r>
        <w:rPr>
          <w:lang w:val="fr-FR"/>
        </w:rPr>
        <w:t>investisseur du projet sur la vente de leur terrain et de leurs biens. En 2020, 1</w:t>
      </w:r>
      <w:r w:rsidR="00166306">
        <w:rPr>
          <w:lang w:val="fr-FR"/>
        </w:rPr>
        <w:t> </w:t>
      </w:r>
      <w:r>
        <w:rPr>
          <w:lang w:val="fr-FR"/>
        </w:rPr>
        <w:t>899</w:t>
      </w:r>
      <w:r w:rsidR="00166306">
        <w:rPr>
          <w:lang w:val="fr-FR"/>
        </w:rPr>
        <w:t> </w:t>
      </w:r>
      <w:r>
        <w:rPr>
          <w:lang w:val="fr-FR"/>
        </w:rPr>
        <w:t xml:space="preserve">parcelles ont été évacuées dans le cadre du réaménagement des zones à forte concentration de </w:t>
      </w:r>
      <w:proofErr w:type="spellStart"/>
      <w:r w:rsidRPr="00E23392">
        <w:rPr>
          <w:i/>
          <w:lang w:val="fr-FR"/>
        </w:rPr>
        <w:t>gers</w:t>
      </w:r>
      <w:proofErr w:type="spellEnd"/>
      <w:r>
        <w:rPr>
          <w:lang w:val="fr-FR"/>
        </w:rPr>
        <w:t>. Des appartements ont été construits sur les terrains ainsi évacués et mis à la disposition de 9</w:t>
      </w:r>
      <w:r w:rsidR="00166306">
        <w:rPr>
          <w:lang w:val="fr-FR"/>
        </w:rPr>
        <w:t> </w:t>
      </w:r>
      <w:r>
        <w:rPr>
          <w:lang w:val="fr-FR"/>
        </w:rPr>
        <w:t>229</w:t>
      </w:r>
      <w:r w:rsidR="00166306">
        <w:rPr>
          <w:lang w:val="fr-FR"/>
        </w:rPr>
        <w:t> </w:t>
      </w:r>
      <w:r>
        <w:rPr>
          <w:lang w:val="fr-FR"/>
        </w:rPr>
        <w:t>ménages. Sur l</w:t>
      </w:r>
      <w:r w:rsidR="009C7759">
        <w:rPr>
          <w:lang w:val="fr-FR"/>
        </w:rPr>
        <w:t>’</w:t>
      </w:r>
      <w:r>
        <w:rPr>
          <w:lang w:val="fr-FR"/>
        </w:rPr>
        <w:t>ensemble des ménages qui vivaient auparavant sur ces terrains, 1</w:t>
      </w:r>
      <w:r w:rsidR="00166306">
        <w:rPr>
          <w:lang w:val="fr-FR"/>
        </w:rPr>
        <w:t> </w:t>
      </w:r>
      <w:r>
        <w:rPr>
          <w:lang w:val="fr-FR"/>
        </w:rPr>
        <w:t>488 ont emménagé dans de nouveaux appartements, 34 ont vendu leurs parcelles et les autres ont été transférés dans des appartements loués.</w:t>
      </w:r>
    </w:p>
    <w:p w14:paraId="3C47AED7" w14:textId="7056803E" w:rsidR="00560776" w:rsidRPr="008D553A" w:rsidRDefault="00560776" w:rsidP="00560776">
      <w:pPr>
        <w:pStyle w:val="SingleTxtG"/>
        <w:rPr>
          <w:lang w:val="fr-FR"/>
        </w:rPr>
      </w:pPr>
      <w:r w:rsidRPr="00E83C46">
        <w:rPr>
          <w:lang w:val="fr-FR"/>
        </w:rPr>
        <w:t>50.</w:t>
      </w:r>
      <w:r w:rsidRPr="00E83C46">
        <w:rPr>
          <w:lang w:val="fr-FR"/>
        </w:rPr>
        <w:tab/>
        <w:t>Conformément</w:t>
      </w:r>
      <w:r>
        <w:rPr>
          <w:lang w:val="fr-FR"/>
        </w:rPr>
        <w:t xml:space="preserve"> aux engagements pris dans le cadre de l</w:t>
      </w:r>
      <w:r w:rsidR="009C7759">
        <w:rPr>
          <w:lang w:val="fr-FR"/>
        </w:rPr>
        <w:t>’</w:t>
      </w:r>
      <w:r>
        <w:rPr>
          <w:lang w:val="fr-FR"/>
        </w:rPr>
        <w:t>accord trilatéral, la capitale a consacré 117,3</w:t>
      </w:r>
      <w:r w:rsidR="00E83C46">
        <w:rPr>
          <w:lang w:val="fr-FR"/>
        </w:rPr>
        <w:t> </w:t>
      </w:r>
      <w:r>
        <w:rPr>
          <w:lang w:val="fr-FR"/>
        </w:rPr>
        <w:t xml:space="preserve">milliards de </w:t>
      </w:r>
      <w:proofErr w:type="spellStart"/>
      <w:r>
        <w:rPr>
          <w:lang w:val="fr-FR"/>
        </w:rPr>
        <w:t>togrogs</w:t>
      </w:r>
      <w:proofErr w:type="spellEnd"/>
      <w:r>
        <w:rPr>
          <w:lang w:val="fr-FR"/>
        </w:rPr>
        <w:t>, prélevés sur les budgets de l</w:t>
      </w:r>
      <w:r w:rsidR="009C7759">
        <w:rPr>
          <w:lang w:val="fr-FR"/>
        </w:rPr>
        <w:t>’</w:t>
      </w:r>
      <w:r>
        <w:rPr>
          <w:lang w:val="fr-FR"/>
        </w:rPr>
        <w:t xml:space="preserve">État et de la ville, à la mise en place de systèmes de communication et à la réalisation de travaux de construction dans le cadre du projet de réaménagement et de reconstruction des zones à forte concentration de </w:t>
      </w:r>
      <w:proofErr w:type="spellStart"/>
      <w:r w:rsidRPr="00E23392">
        <w:rPr>
          <w:i/>
          <w:lang w:val="fr-FR"/>
        </w:rPr>
        <w:t>gers</w:t>
      </w:r>
      <w:proofErr w:type="spellEnd"/>
      <w:r>
        <w:rPr>
          <w:lang w:val="fr-FR"/>
        </w:rPr>
        <w:t>. Dans sa résolution n</w:t>
      </w:r>
      <w:r w:rsidR="00E83C46" w:rsidRPr="00E83C46">
        <w:rPr>
          <w:vertAlign w:val="superscript"/>
          <w:lang w:val="fr-FR"/>
        </w:rPr>
        <w:t>o</w:t>
      </w:r>
      <w:r w:rsidR="00E83C46">
        <w:rPr>
          <w:lang w:val="fr-FR"/>
        </w:rPr>
        <w:t> </w:t>
      </w:r>
      <w:r>
        <w:rPr>
          <w:lang w:val="fr-FR"/>
        </w:rPr>
        <w:t>179 de 2017, le Gouvernement a décidé d</w:t>
      </w:r>
      <w:r w:rsidR="009C7759">
        <w:rPr>
          <w:lang w:val="fr-FR"/>
        </w:rPr>
        <w:t>’</w:t>
      </w:r>
      <w:r>
        <w:rPr>
          <w:lang w:val="fr-FR"/>
        </w:rPr>
        <w:t xml:space="preserve">allouer au projet un montant nécessaire supplémentaire de 192 milliards de </w:t>
      </w:r>
      <w:proofErr w:type="spellStart"/>
      <w:r>
        <w:rPr>
          <w:lang w:val="fr-FR"/>
        </w:rPr>
        <w:t>togrogs</w:t>
      </w:r>
      <w:proofErr w:type="spellEnd"/>
      <w:r>
        <w:rPr>
          <w:lang w:val="fr-FR"/>
        </w:rPr>
        <w:t xml:space="preserve"> financé par l</w:t>
      </w:r>
      <w:r w:rsidR="009C7759">
        <w:rPr>
          <w:lang w:val="fr-FR"/>
        </w:rPr>
        <w:t>’</w:t>
      </w:r>
      <w:r>
        <w:rPr>
          <w:lang w:val="fr-FR"/>
        </w:rPr>
        <w:t>aide accordée sous forme de don par le Gouvernement de la République populaire de Chine. De 2017 à 2020, la création progressive de micro-sous-centres dotés d</w:t>
      </w:r>
      <w:r w:rsidR="009C7759">
        <w:rPr>
          <w:lang w:val="fr-FR"/>
        </w:rPr>
        <w:t>’</w:t>
      </w:r>
      <w:r>
        <w:rPr>
          <w:lang w:val="fr-FR"/>
        </w:rPr>
        <w:t>infrastructures collectives et sociales dans le cadre du projet de réaménagement de la ville d</w:t>
      </w:r>
      <w:r w:rsidR="009C7759">
        <w:rPr>
          <w:lang w:val="fr-FR"/>
        </w:rPr>
        <w:t>’</w:t>
      </w:r>
      <w:r>
        <w:rPr>
          <w:lang w:val="fr-FR"/>
        </w:rPr>
        <w:t>Oulan-Bator et l</w:t>
      </w:r>
      <w:r w:rsidR="009C7759">
        <w:rPr>
          <w:lang w:val="fr-FR"/>
        </w:rPr>
        <w:t>’</w:t>
      </w:r>
      <w:r>
        <w:rPr>
          <w:lang w:val="fr-FR"/>
        </w:rPr>
        <w:t>expansion et la rénovation des réseaux centralisés doivent se réaliser conformément à un plan comprenant 6 sections et 55 mesures groupées.</w:t>
      </w:r>
    </w:p>
    <w:p w14:paraId="250B3DE8" w14:textId="00BF2A0C" w:rsidR="00560776" w:rsidRPr="008D553A" w:rsidRDefault="00560776" w:rsidP="00560776">
      <w:pPr>
        <w:pStyle w:val="SingleTxtG"/>
        <w:rPr>
          <w:lang w:val="fr-FR"/>
        </w:rPr>
      </w:pPr>
      <w:r>
        <w:rPr>
          <w:lang w:val="fr-FR"/>
        </w:rPr>
        <w:t>51.</w:t>
      </w:r>
      <w:r>
        <w:rPr>
          <w:lang w:val="fr-FR"/>
        </w:rPr>
        <w:tab/>
        <w:t>La taille moyenne d</w:t>
      </w:r>
      <w:r w:rsidR="009C7759">
        <w:rPr>
          <w:lang w:val="fr-FR"/>
        </w:rPr>
        <w:t>’</w:t>
      </w:r>
      <w:r>
        <w:rPr>
          <w:lang w:val="fr-FR"/>
        </w:rPr>
        <w:t>un site d</w:t>
      </w:r>
      <w:r w:rsidR="009C7759">
        <w:rPr>
          <w:lang w:val="fr-FR"/>
        </w:rPr>
        <w:t>’</w:t>
      </w:r>
      <w:r>
        <w:rPr>
          <w:lang w:val="fr-FR"/>
        </w:rPr>
        <w:t>exécution du projet est de 401,3 mètres carrés. En accord avec les citoyens, le responsable de l</w:t>
      </w:r>
      <w:r w:rsidR="009C7759">
        <w:rPr>
          <w:lang w:val="fr-FR"/>
        </w:rPr>
        <w:t>’</w:t>
      </w:r>
      <w:r>
        <w:rPr>
          <w:lang w:val="fr-FR"/>
        </w:rPr>
        <w:t>exécution du projet verse, lors de l</w:t>
      </w:r>
      <w:r w:rsidR="009C7759">
        <w:rPr>
          <w:lang w:val="fr-FR"/>
        </w:rPr>
        <w:t>’</w:t>
      </w:r>
      <w:r>
        <w:rPr>
          <w:lang w:val="fr-FR"/>
        </w:rPr>
        <w:t>évacuation des terrains, une indemnité mensuelle de 350 000 à 450</w:t>
      </w:r>
      <w:r w:rsidR="00E83C46">
        <w:rPr>
          <w:lang w:val="fr-FR"/>
        </w:rPr>
        <w:t> </w:t>
      </w:r>
      <w:r>
        <w:rPr>
          <w:lang w:val="fr-FR"/>
        </w:rPr>
        <w:t>000</w:t>
      </w:r>
      <w:r w:rsidR="00E83C46">
        <w:rPr>
          <w:lang w:val="fr-FR"/>
        </w:rPr>
        <w:t> </w:t>
      </w:r>
      <w:proofErr w:type="spellStart"/>
      <w:r>
        <w:rPr>
          <w:lang w:val="fr-FR"/>
        </w:rPr>
        <w:t>togrogs</w:t>
      </w:r>
      <w:proofErr w:type="spellEnd"/>
      <w:r>
        <w:rPr>
          <w:lang w:val="fr-FR"/>
        </w:rPr>
        <w:t xml:space="preserve"> en moyenne au titre des loyers d</w:t>
      </w:r>
      <w:r w:rsidR="009C7759">
        <w:rPr>
          <w:lang w:val="fr-FR"/>
        </w:rPr>
        <w:t>’</w:t>
      </w:r>
      <w:r>
        <w:rPr>
          <w:lang w:val="fr-FR"/>
        </w:rPr>
        <w:t>appartement à régler jusqu</w:t>
      </w:r>
      <w:r w:rsidR="009C7759">
        <w:rPr>
          <w:lang w:val="fr-FR"/>
        </w:rPr>
        <w:t>’</w:t>
      </w:r>
      <w:r>
        <w:rPr>
          <w:lang w:val="fr-FR"/>
        </w:rPr>
        <w:t>à la mise à disposition d</w:t>
      </w:r>
      <w:r w:rsidR="009C7759">
        <w:rPr>
          <w:lang w:val="fr-FR"/>
        </w:rPr>
        <w:t>’</w:t>
      </w:r>
      <w:r>
        <w:rPr>
          <w:lang w:val="fr-FR"/>
        </w:rPr>
        <w:t>un nouvel appartement et est convenu de fournir un appartement d</w:t>
      </w:r>
      <w:r w:rsidR="009C7759">
        <w:rPr>
          <w:lang w:val="fr-FR"/>
        </w:rPr>
        <w:t>’</w:t>
      </w:r>
      <w:r>
        <w:rPr>
          <w:lang w:val="fr-FR"/>
        </w:rPr>
        <w:t>une superficie de 55,08 mètres carrés au coût moyen de 1</w:t>
      </w:r>
      <w:r w:rsidR="00E83C46">
        <w:rPr>
          <w:lang w:val="fr-FR"/>
        </w:rPr>
        <w:t> </w:t>
      </w:r>
      <w:r>
        <w:rPr>
          <w:lang w:val="fr-FR"/>
        </w:rPr>
        <w:t>722</w:t>
      </w:r>
      <w:r w:rsidR="00E83C46">
        <w:rPr>
          <w:lang w:val="fr-FR"/>
        </w:rPr>
        <w:t> </w:t>
      </w:r>
      <w:r>
        <w:rPr>
          <w:lang w:val="fr-FR"/>
        </w:rPr>
        <w:t>494</w:t>
      </w:r>
      <w:r w:rsidR="00E83C46">
        <w:rPr>
          <w:lang w:val="fr-FR"/>
        </w:rPr>
        <w:t> </w:t>
      </w:r>
      <w:proofErr w:type="spellStart"/>
      <w:r>
        <w:rPr>
          <w:lang w:val="fr-FR"/>
        </w:rPr>
        <w:t>togrogs</w:t>
      </w:r>
      <w:proofErr w:type="spellEnd"/>
      <w:r>
        <w:rPr>
          <w:lang w:val="fr-FR"/>
        </w:rPr>
        <w:t xml:space="preserve"> par mètre carré.</w:t>
      </w:r>
    </w:p>
    <w:p w14:paraId="3B52B1EB" w14:textId="6FC711DD" w:rsidR="00560776" w:rsidRPr="008D553A" w:rsidRDefault="00560776" w:rsidP="00560776">
      <w:pPr>
        <w:pStyle w:val="SingleTxtG"/>
        <w:rPr>
          <w:lang w:val="fr-FR"/>
        </w:rPr>
      </w:pPr>
      <w:r>
        <w:rPr>
          <w:lang w:val="fr-FR"/>
        </w:rPr>
        <w:t>52.</w:t>
      </w:r>
      <w:r>
        <w:rPr>
          <w:lang w:val="fr-FR"/>
        </w:rPr>
        <w:tab/>
        <w:t>Il a été décidé d</w:t>
      </w:r>
      <w:r w:rsidR="009C7759">
        <w:rPr>
          <w:lang w:val="fr-FR"/>
        </w:rPr>
        <w:t>’</w:t>
      </w:r>
      <w:r>
        <w:rPr>
          <w:lang w:val="fr-FR"/>
        </w:rPr>
        <w:t>établir des « centres d</w:t>
      </w:r>
      <w:r w:rsidR="009C7759">
        <w:rPr>
          <w:lang w:val="fr-FR"/>
        </w:rPr>
        <w:t>’</w:t>
      </w:r>
      <w:r>
        <w:rPr>
          <w:lang w:val="fr-FR"/>
        </w:rPr>
        <w:t xml:space="preserve">infrastructure » pour permettre aux citoyens des districts à forte concentration de </w:t>
      </w:r>
      <w:proofErr w:type="spellStart"/>
      <w:r w:rsidRPr="00E23392">
        <w:rPr>
          <w:i/>
          <w:lang w:val="fr-FR"/>
        </w:rPr>
        <w:t>gers</w:t>
      </w:r>
      <w:proofErr w:type="spellEnd"/>
      <w:r>
        <w:rPr>
          <w:lang w:val="fr-FR"/>
        </w:rPr>
        <w:t xml:space="preserve"> qui ne peuvent pas être raccordés aux réseaux collectifs centralisés ou qui ne peuvent l</w:t>
      </w:r>
      <w:r w:rsidR="009C7759">
        <w:rPr>
          <w:lang w:val="fr-FR"/>
        </w:rPr>
        <w:t>’</w:t>
      </w:r>
      <w:r>
        <w:rPr>
          <w:lang w:val="fr-FR"/>
        </w:rPr>
        <w:t>être que partiellement d</w:t>
      </w:r>
      <w:r w:rsidR="009C7759">
        <w:rPr>
          <w:lang w:val="fr-FR"/>
        </w:rPr>
        <w:t>’</w:t>
      </w:r>
      <w:r>
        <w:rPr>
          <w:lang w:val="fr-FR"/>
        </w:rPr>
        <w:t>avoir accès aux infrastructures dans des conditions d</w:t>
      </w:r>
      <w:r w:rsidR="009C7759">
        <w:rPr>
          <w:lang w:val="fr-FR"/>
        </w:rPr>
        <w:t>’</w:t>
      </w:r>
      <w:r>
        <w:rPr>
          <w:lang w:val="fr-FR"/>
        </w:rPr>
        <w:t>égalité. Ces centres d</w:t>
      </w:r>
      <w:r w:rsidR="009C7759">
        <w:rPr>
          <w:lang w:val="fr-FR"/>
        </w:rPr>
        <w:t>’</w:t>
      </w:r>
      <w:r>
        <w:rPr>
          <w:lang w:val="fr-FR"/>
        </w:rPr>
        <w:t xml:space="preserve">infrastructure visent à fournir à la fois des services collectifs et des services sociaux en établissant des installations dotées de systèmes de services collectifs partiels dans les zones à forte concentration de </w:t>
      </w:r>
      <w:proofErr w:type="spellStart"/>
      <w:r w:rsidRPr="00E23392">
        <w:rPr>
          <w:i/>
          <w:lang w:val="fr-FR"/>
        </w:rPr>
        <w:t>gers</w:t>
      </w:r>
      <w:proofErr w:type="spellEnd"/>
      <w:r>
        <w:rPr>
          <w:lang w:val="fr-FR"/>
        </w:rPr>
        <w:t xml:space="preserve">, pour améliorer les conditions de vie des habitants et créer des emplois. </w:t>
      </w:r>
    </w:p>
    <w:p w14:paraId="6E804688" w14:textId="1332E3CC" w:rsidR="00560776" w:rsidRPr="008D553A" w:rsidRDefault="00560776" w:rsidP="00560776">
      <w:pPr>
        <w:pStyle w:val="SingleTxtG"/>
        <w:rPr>
          <w:lang w:val="fr-FR"/>
        </w:rPr>
      </w:pPr>
      <w:r>
        <w:rPr>
          <w:lang w:val="fr-FR"/>
        </w:rPr>
        <w:t>53.</w:t>
      </w:r>
      <w:r>
        <w:rPr>
          <w:lang w:val="fr-FR"/>
        </w:rPr>
        <w:tab/>
        <w:t>Dans le cadre du programme national de logement pour 150</w:t>
      </w:r>
      <w:r w:rsidR="00E83C46">
        <w:rPr>
          <w:lang w:val="fr-FR"/>
        </w:rPr>
        <w:t> </w:t>
      </w:r>
      <w:r>
        <w:rPr>
          <w:lang w:val="fr-FR"/>
        </w:rPr>
        <w:t>000</w:t>
      </w:r>
      <w:r w:rsidR="00E83C46">
        <w:rPr>
          <w:lang w:val="fr-FR"/>
        </w:rPr>
        <w:t> </w:t>
      </w:r>
      <w:r>
        <w:rPr>
          <w:lang w:val="fr-FR"/>
        </w:rPr>
        <w:t>ménages, approuvé par la résolution gouvernementale n</w:t>
      </w:r>
      <w:r w:rsidR="00E83C46" w:rsidRPr="00E83C46">
        <w:rPr>
          <w:vertAlign w:val="superscript"/>
          <w:lang w:val="fr-FR"/>
        </w:rPr>
        <w:t>o</w:t>
      </w:r>
      <w:r w:rsidR="00E83C46">
        <w:rPr>
          <w:lang w:val="fr-FR"/>
        </w:rPr>
        <w:t> </w:t>
      </w:r>
      <w:r>
        <w:rPr>
          <w:lang w:val="fr-FR"/>
        </w:rPr>
        <w:t>202 de 2019, il est prévu d</w:t>
      </w:r>
      <w:r w:rsidR="009C7759">
        <w:rPr>
          <w:lang w:val="fr-FR"/>
        </w:rPr>
        <w:t>’</w:t>
      </w:r>
      <w:r>
        <w:rPr>
          <w:lang w:val="fr-FR"/>
        </w:rPr>
        <w:t>améliorer les sources de services collectifs et d</w:t>
      </w:r>
      <w:r w:rsidR="009C7759">
        <w:rPr>
          <w:lang w:val="fr-FR"/>
        </w:rPr>
        <w:t>’</w:t>
      </w:r>
      <w:r>
        <w:rPr>
          <w:lang w:val="fr-FR"/>
        </w:rPr>
        <w:t xml:space="preserve">augmenter la puissance des réseaux existants. Dans le cadre du projet de réorganisation des zones à forte concentration de </w:t>
      </w:r>
      <w:proofErr w:type="spellStart"/>
      <w:r w:rsidRPr="00E23392">
        <w:rPr>
          <w:i/>
          <w:lang w:val="fr-FR"/>
        </w:rPr>
        <w:t>gers</w:t>
      </w:r>
      <w:proofErr w:type="spellEnd"/>
      <w:r>
        <w:rPr>
          <w:lang w:val="fr-FR"/>
        </w:rPr>
        <w:t>, 10 000 ménages doivent bénéficier d</w:t>
      </w:r>
      <w:r w:rsidR="009C7759">
        <w:rPr>
          <w:lang w:val="fr-FR"/>
        </w:rPr>
        <w:t>’</w:t>
      </w:r>
      <w:r>
        <w:rPr>
          <w:lang w:val="fr-FR"/>
        </w:rPr>
        <w:t>un raccordement intégral aux réseaux collectifs, et dans le cadre du projet de réaménagement et de reconstruction de ces zones, il est prévu de construire de nouveaux logements publics pour 45</w:t>
      </w:r>
      <w:r w:rsidR="00E83C46">
        <w:rPr>
          <w:lang w:val="fr-FR"/>
        </w:rPr>
        <w:t> </w:t>
      </w:r>
      <w:r>
        <w:rPr>
          <w:lang w:val="fr-FR"/>
        </w:rPr>
        <w:t>000</w:t>
      </w:r>
      <w:r w:rsidR="00E83C46">
        <w:rPr>
          <w:lang w:val="fr-FR"/>
        </w:rPr>
        <w:t> </w:t>
      </w:r>
      <w:r>
        <w:rPr>
          <w:lang w:val="fr-FR"/>
        </w:rPr>
        <w:t>ménages. Grâce à ce plan, 289</w:t>
      </w:r>
      <w:r w:rsidR="00E83C46">
        <w:rPr>
          <w:lang w:val="fr-FR"/>
        </w:rPr>
        <w:t> </w:t>
      </w:r>
      <w:r>
        <w:rPr>
          <w:lang w:val="fr-FR"/>
        </w:rPr>
        <w:t>ménages de la capitale, 55 ménages de l</w:t>
      </w:r>
      <w:r w:rsidR="009C7759">
        <w:rPr>
          <w:lang w:val="fr-FR"/>
        </w:rPr>
        <w:t>’</w:t>
      </w:r>
      <w:r>
        <w:rPr>
          <w:lang w:val="fr-FR"/>
        </w:rPr>
        <w:t>aïmag d</w:t>
      </w:r>
      <w:r w:rsidR="009C7759">
        <w:rPr>
          <w:lang w:val="fr-FR"/>
        </w:rPr>
        <w:t>’</w:t>
      </w:r>
      <w:proofErr w:type="spellStart"/>
      <w:r>
        <w:rPr>
          <w:lang w:val="fr-FR"/>
        </w:rPr>
        <w:t>Uvurkhangai</w:t>
      </w:r>
      <w:proofErr w:type="spellEnd"/>
      <w:r>
        <w:rPr>
          <w:lang w:val="fr-FR"/>
        </w:rPr>
        <w:t xml:space="preserve"> et 87 ménages de l</w:t>
      </w:r>
      <w:r w:rsidR="009C7759">
        <w:rPr>
          <w:lang w:val="fr-FR"/>
        </w:rPr>
        <w:t>’</w:t>
      </w:r>
      <w:r>
        <w:rPr>
          <w:lang w:val="fr-FR"/>
        </w:rPr>
        <w:t xml:space="preserve">aïmag de </w:t>
      </w:r>
      <w:proofErr w:type="spellStart"/>
      <w:r>
        <w:rPr>
          <w:lang w:val="fr-FR"/>
        </w:rPr>
        <w:t>Tuv</w:t>
      </w:r>
      <w:proofErr w:type="spellEnd"/>
      <w:r>
        <w:rPr>
          <w:lang w:val="fr-FR"/>
        </w:rPr>
        <w:t xml:space="preserve"> ont accès à l</w:t>
      </w:r>
      <w:r w:rsidR="009C7759">
        <w:rPr>
          <w:lang w:val="fr-FR"/>
        </w:rPr>
        <w:t>’</w:t>
      </w:r>
      <w:r>
        <w:rPr>
          <w:lang w:val="fr-FR"/>
        </w:rPr>
        <w:t>intégralité des services collectifs, 517 ménages ont été raccordés au système de chauffage centralisé et 948 ménages ont vu leurs conditions de vie améliorées. Le projet de centres d</w:t>
      </w:r>
      <w:r w:rsidR="009C7759">
        <w:rPr>
          <w:lang w:val="fr-FR"/>
        </w:rPr>
        <w:t>’</w:t>
      </w:r>
      <w:r>
        <w:rPr>
          <w:lang w:val="fr-FR"/>
        </w:rPr>
        <w:t>infrastructure a été exécuté sur 220 sites dans le 7</w:t>
      </w:r>
      <w:r w:rsidRPr="00110477">
        <w:rPr>
          <w:vertAlign w:val="superscript"/>
          <w:lang w:val="fr-FR"/>
        </w:rPr>
        <w:t>e</w:t>
      </w:r>
      <w:r w:rsidR="00110477">
        <w:rPr>
          <w:lang w:val="fr-FR"/>
        </w:rPr>
        <w:t> </w:t>
      </w:r>
      <w:proofErr w:type="spellStart"/>
      <w:r>
        <w:rPr>
          <w:lang w:val="fr-FR"/>
        </w:rPr>
        <w:t>khoroo</w:t>
      </w:r>
      <w:proofErr w:type="spellEnd"/>
      <w:r>
        <w:rPr>
          <w:lang w:val="fr-FR"/>
        </w:rPr>
        <w:t xml:space="preserve"> du district de </w:t>
      </w:r>
      <w:proofErr w:type="spellStart"/>
      <w:r>
        <w:rPr>
          <w:lang w:val="fr-FR"/>
        </w:rPr>
        <w:t>Chingelgei</w:t>
      </w:r>
      <w:proofErr w:type="spellEnd"/>
      <w:r>
        <w:rPr>
          <w:lang w:val="fr-FR"/>
        </w:rPr>
        <w:t xml:space="preserve"> de la capitale et a permis de raccorder 285 ménages à l</w:t>
      </w:r>
      <w:r w:rsidR="009C7759">
        <w:rPr>
          <w:lang w:val="fr-FR"/>
        </w:rPr>
        <w:t>’</w:t>
      </w:r>
      <w:r>
        <w:rPr>
          <w:lang w:val="fr-FR"/>
        </w:rPr>
        <w:t>intégralité des services collectifs.</w:t>
      </w:r>
    </w:p>
    <w:p w14:paraId="4A1EB828" w14:textId="3F331797" w:rsidR="00560776" w:rsidRPr="008D553A" w:rsidRDefault="00560776" w:rsidP="00D0092F">
      <w:pPr>
        <w:pStyle w:val="H23G"/>
        <w:rPr>
          <w:lang w:val="fr-FR"/>
        </w:rPr>
      </w:pPr>
      <w:r>
        <w:rPr>
          <w:lang w:val="fr-FR"/>
        </w:rPr>
        <w:tab/>
      </w:r>
      <w:r>
        <w:rPr>
          <w:lang w:val="fr-FR"/>
        </w:rPr>
        <w:tab/>
        <w:t>Programmes d</w:t>
      </w:r>
      <w:r w:rsidR="009C7759">
        <w:rPr>
          <w:lang w:val="fr-FR"/>
        </w:rPr>
        <w:t>’</w:t>
      </w:r>
      <w:r>
        <w:rPr>
          <w:lang w:val="fr-FR"/>
        </w:rPr>
        <w:t>énergie et d</w:t>
      </w:r>
      <w:r w:rsidR="009C7759">
        <w:rPr>
          <w:lang w:val="fr-FR"/>
        </w:rPr>
        <w:t>’</w:t>
      </w:r>
      <w:r>
        <w:rPr>
          <w:lang w:val="fr-FR"/>
        </w:rPr>
        <w:t>infrastructure de base</w:t>
      </w:r>
    </w:p>
    <w:p w14:paraId="178BADFA" w14:textId="3F360AD7" w:rsidR="00560776" w:rsidRPr="008D553A" w:rsidRDefault="00560776" w:rsidP="00560776">
      <w:pPr>
        <w:pStyle w:val="SingleTxtG"/>
        <w:rPr>
          <w:lang w:val="fr-FR"/>
        </w:rPr>
      </w:pPr>
      <w:r>
        <w:rPr>
          <w:lang w:val="fr-FR"/>
        </w:rPr>
        <w:t>54.</w:t>
      </w:r>
      <w:r>
        <w:rPr>
          <w:lang w:val="fr-FR"/>
        </w:rPr>
        <w:tab/>
        <w:t>Afin de réduire la pollution de l</w:t>
      </w:r>
      <w:r w:rsidR="009C7759">
        <w:rPr>
          <w:lang w:val="fr-FR"/>
        </w:rPr>
        <w:t>’</w:t>
      </w:r>
      <w:r>
        <w:rPr>
          <w:lang w:val="fr-FR"/>
        </w:rPr>
        <w:t>air dans la capitale, et à la suite de la décision prise par le Gouvernement en la matière, le Comité de coordination de l</w:t>
      </w:r>
      <w:r w:rsidR="009C7759">
        <w:rPr>
          <w:lang w:val="fr-FR"/>
        </w:rPr>
        <w:t>’</w:t>
      </w:r>
      <w:r>
        <w:rPr>
          <w:lang w:val="fr-FR"/>
        </w:rPr>
        <w:t>énergie a adopté en 2016 une résolution visant à assurer la gratuité de l</w:t>
      </w:r>
      <w:r w:rsidR="009C7759">
        <w:rPr>
          <w:lang w:val="fr-FR"/>
        </w:rPr>
        <w:t>’</w:t>
      </w:r>
      <w:r>
        <w:rPr>
          <w:lang w:val="fr-FR"/>
        </w:rPr>
        <w:t xml:space="preserve">électricité la nuit (de 21 heures à 6 heures) pour les ménages des zones à forte concentration de </w:t>
      </w:r>
      <w:proofErr w:type="spellStart"/>
      <w:r w:rsidRPr="00E23392">
        <w:rPr>
          <w:i/>
          <w:lang w:val="fr-FR"/>
        </w:rPr>
        <w:t>gers</w:t>
      </w:r>
      <w:proofErr w:type="spellEnd"/>
      <w:r>
        <w:rPr>
          <w:lang w:val="fr-FR"/>
        </w:rPr>
        <w:t xml:space="preserve"> ayant un compteur à double tarification. Le tarif de nuit de l</w:t>
      </w:r>
      <w:r w:rsidR="009C7759">
        <w:rPr>
          <w:lang w:val="fr-FR"/>
        </w:rPr>
        <w:t>’</w:t>
      </w:r>
      <w:r>
        <w:rPr>
          <w:lang w:val="fr-FR"/>
        </w:rPr>
        <w:t>électricité a ainsi été ramené à zéro à compter du 1</w:t>
      </w:r>
      <w:r w:rsidRPr="00EB3A82">
        <w:rPr>
          <w:vertAlign w:val="superscript"/>
          <w:lang w:val="fr-FR"/>
        </w:rPr>
        <w:t>er</w:t>
      </w:r>
      <w:r>
        <w:rPr>
          <w:lang w:val="fr-FR"/>
        </w:rPr>
        <w:t xml:space="preserve"> janvier 2017. Cette mesure s</w:t>
      </w:r>
      <w:r w:rsidR="009C7759">
        <w:rPr>
          <w:lang w:val="fr-FR"/>
        </w:rPr>
        <w:t>’</w:t>
      </w:r>
      <w:r>
        <w:rPr>
          <w:lang w:val="fr-FR"/>
        </w:rPr>
        <w:t>applique à une consommation mensuelle plafonnée à 700 KW/h pour l</w:t>
      </w:r>
      <w:r w:rsidR="009C7759">
        <w:rPr>
          <w:lang w:val="fr-FR"/>
        </w:rPr>
        <w:t>’</w:t>
      </w:r>
      <w:r>
        <w:rPr>
          <w:lang w:val="fr-FR"/>
        </w:rPr>
        <w:t>alimentation en 200 W et à 1</w:t>
      </w:r>
      <w:r w:rsidR="00110477">
        <w:rPr>
          <w:lang w:val="fr-FR"/>
        </w:rPr>
        <w:t> </w:t>
      </w:r>
      <w:r>
        <w:rPr>
          <w:lang w:val="fr-FR"/>
        </w:rPr>
        <w:t>500</w:t>
      </w:r>
      <w:r w:rsidR="00110477">
        <w:rPr>
          <w:lang w:val="fr-FR"/>
        </w:rPr>
        <w:t> </w:t>
      </w:r>
      <w:r>
        <w:rPr>
          <w:lang w:val="fr-FR"/>
        </w:rPr>
        <w:t>KW/h pour l</w:t>
      </w:r>
      <w:r w:rsidR="009C7759">
        <w:rPr>
          <w:lang w:val="fr-FR"/>
        </w:rPr>
        <w:t>’</w:t>
      </w:r>
      <w:r>
        <w:rPr>
          <w:lang w:val="fr-FR"/>
        </w:rPr>
        <w:t>alimentation en 380 W. Au-delà de ces plafonds, la consommation fait l</w:t>
      </w:r>
      <w:r w:rsidR="009C7759">
        <w:rPr>
          <w:lang w:val="fr-FR"/>
        </w:rPr>
        <w:t>’</w:t>
      </w:r>
      <w:r>
        <w:rPr>
          <w:lang w:val="fr-FR"/>
        </w:rPr>
        <w:t>objet d</w:t>
      </w:r>
      <w:r w:rsidR="009C7759">
        <w:rPr>
          <w:lang w:val="fr-FR"/>
        </w:rPr>
        <w:t>’</w:t>
      </w:r>
      <w:r>
        <w:rPr>
          <w:lang w:val="fr-FR"/>
        </w:rPr>
        <w:t>une réduction tarifaire de 50</w:t>
      </w:r>
      <w:r w:rsidR="00110477">
        <w:rPr>
          <w:lang w:val="fr-FR"/>
        </w:rPr>
        <w:t> </w:t>
      </w:r>
      <w:r>
        <w:rPr>
          <w:lang w:val="fr-FR"/>
        </w:rPr>
        <w:t>%. Il a également été décidé d</w:t>
      </w:r>
      <w:r w:rsidR="009C7759">
        <w:rPr>
          <w:lang w:val="fr-FR"/>
        </w:rPr>
        <w:t>’</w:t>
      </w:r>
      <w:r>
        <w:rPr>
          <w:lang w:val="fr-FR"/>
        </w:rPr>
        <w:t>accorder une réduction de 50</w:t>
      </w:r>
      <w:r w:rsidR="00110477">
        <w:rPr>
          <w:lang w:val="fr-FR"/>
        </w:rPr>
        <w:t> </w:t>
      </w:r>
      <w:r>
        <w:rPr>
          <w:lang w:val="fr-FR"/>
        </w:rPr>
        <w:t>% entre 21 heures et 6 heures aux ménages disposant d</w:t>
      </w:r>
      <w:r w:rsidR="009C7759">
        <w:rPr>
          <w:lang w:val="fr-FR"/>
        </w:rPr>
        <w:t>’</w:t>
      </w:r>
      <w:r>
        <w:rPr>
          <w:lang w:val="fr-FR"/>
        </w:rPr>
        <w:t xml:space="preserve">un compteur à double tarification vivant dans les districts à forte concentration de </w:t>
      </w:r>
      <w:proofErr w:type="spellStart"/>
      <w:r w:rsidRPr="00E23392">
        <w:rPr>
          <w:i/>
          <w:lang w:val="fr-FR"/>
        </w:rPr>
        <w:t>gers</w:t>
      </w:r>
      <w:proofErr w:type="spellEnd"/>
      <w:r>
        <w:rPr>
          <w:lang w:val="fr-FR"/>
        </w:rPr>
        <w:t xml:space="preserve"> de 21 aïmags ainsi que des soums et des zones de peuplement de plus de 10</w:t>
      </w:r>
      <w:r w:rsidR="00110477">
        <w:rPr>
          <w:lang w:val="fr-FR"/>
        </w:rPr>
        <w:t> </w:t>
      </w:r>
      <w:r>
        <w:rPr>
          <w:lang w:val="fr-FR"/>
        </w:rPr>
        <w:t>000</w:t>
      </w:r>
      <w:r w:rsidR="00110477">
        <w:rPr>
          <w:lang w:val="fr-FR"/>
        </w:rPr>
        <w:t> </w:t>
      </w:r>
      <w:r>
        <w:rPr>
          <w:lang w:val="fr-FR"/>
        </w:rPr>
        <w:t>habitants. Aucun plafond de consommation n</w:t>
      </w:r>
      <w:r w:rsidR="009C7759">
        <w:rPr>
          <w:lang w:val="fr-FR"/>
        </w:rPr>
        <w:t>’</w:t>
      </w:r>
      <w:r>
        <w:rPr>
          <w:lang w:val="fr-FR"/>
        </w:rPr>
        <w:t>est fixé dans le barème de réduction applicable aux zones rurales. En 2017, des réductions des tarifs de l</w:t>
      </w:r>
      <w:r w:rsidR="009C7759">
        <w:rPr>
          <w:lang w:val="fr-FR"/>
        </w:rPr>
        <w:t>’</w:t>
      </w:r>
      <w:r>
        <w:rPr>
          <w:lang w:val="fr-FR"/>
        </w:rPr>
        <w:t>électricité d</w:t>
      </w:r>
      <w:r w:rsidR="009C7759">
        <w:rPr>
          <w:lang w:val="fr-FR"/>
        </w:rPr>
        <w:t>’</w:t>
      </w:r>
      <w:r>
        <w:rPr>
          <w:lang w:val="fr-FR"/>
        </w:rPr>
        <w:t>un montant total de 6,9</w:t>
      </w:r>
      <w:r w:rsidR="00110477">
        <w:rPr>
          <w:lang w:val="fr-FR"/>
        </w:rPr>
        <w:t> </w:t>
      </w:r>
      <w:r>
        <w:rPr>
          <w:lang w:val="fr-FR"/>
        </w:rPr>
        <w:t xml:space="preserve">milliards </w:t>
      </w:r>
      <w:r>
        <w:rPr>
          <w:lang w:val="fr-FR"/>
        </w:rPr>
        <w:lastRenderedPageBreak/>
        <w:t xml:space="preserve">de </w:t>
      </w:r>
      <w:proofErr w:type="spellStart"/>
      <w:r>
        <w:rPr>
          <w:lang w:val="fr-FR"/>
        </w:rPr>
        <w:t>togrogs</w:t>
      </w:r>
      <w:proofErr w:type="spellEnd"/>
      <w:r>
        <w:rPr>
          <w:lang w:val="fr-FR"/>
        </w:rPr>
        <w:t xml:space="preserve"> ont été accordées pour 94,54 millions de KW/h. En 2018, 9,3</w:t>
      </w:r>
      <w:r w:rsidR="00110477">
        <w:rPr>
          <w:lang w:val="fr-FR"/>
        </w:rPr>
        <w:t> </w:t>
      </w:r>
      <w:r>
        <w:rPr>
          <w:lang w:val="fr-FR"/>
        </w:rPr>
        <w:t xml:space="preserve">milliards de </w:t>
      </w:r>
      <w:proofErr w:type="spellStart"/>
      <w:r>
        <w:rPr>
          <w:lang w:val="fr-FR"/>
        </w:rPr>
        <w:t>togrogs</w:t>
      </w:r>
      <w:proofErr w:type="spellEnd"/>
      <w:r>
        <w:rPr>
          <w:lang w:val="fr-FR"/>
        </w:rPr>
        <w:t xml:space="preserve"> et en 2019, 16,4 milliards de </w:t>
      </w:r>
      <w:proofErr w:type="spellStart"/>
      <w:r>
        <w:rPr>
          <w:lang w:val="fr-FR"/>
        </w:rPr>
        <w:t>togrogs</w:t>
      </w:r>
      <w:proofErr w:type="spellEnd"/>
      <w:r>
        <w:rPr>
          <w:lang w:val="fr-FR"/>
        </w:rPr>
        <w:t xml:space="preserve"> ont été prélevés sur le budget de l</w:t>
      </w:r>
      <w:r w:rsidR="009C7759">
        <w:rPr>
          <w:lang w:val="fr-FR"/>
        </w:rPr>
        <w:t>’</w:t>
      </w:r>
      <w:r>
        <w:rPr>
          <w:lang w:val="fr-FR"/>
        </w:rPr>
        <w:t xml:space="preserve">État à cette fin. </w:t>
      </w:r>
    </w:p>
    <w:p w14:paraId="649E0252" w14:textId="0B6CABAA" w:rsidR="00560776" w:rsidRPr="008D553A" w:rsidRDefault="00560776" w:rsidP="00560776">
      <w:pPr>
        <w:pStyle w:val="SingleTxtG"/>
        <w:rPr>
          <w:lang w:val="fr-FR"/>
        </w:rPr>
      </w:pPr>
      <w:r w:rsidRPr="008B138A">
        <w:rPr>
          <w:lang w:val="fr-FR"/>
        </w:rPr>
        <w:t>55.</w:t>
      </w:r>
      <w:r w:rsidRPr="008B138A">
        <w:rPr>
          <w:lang w:val="fr-FR"/>
        </w:rPr>
        <w:tab/>
        <w:t>En vue</w:t>
      </w:r>
      <w:r>
        <w:rPr>
          <w:lang w:val="fr-FR"/>
        </w:rPr>
        <w:t xml:space="preserve"> de réduire la pollution de l</w:t>
      </w:r>
      <w:r w:rsidR="009C7759">
        <w:rPr>
          <w:lang w:val="fr-FR"/>
        </w:rPr>
        <w:t>’</w:t>
      </w:r>
      <w:r>
        <w:rPr>
          <w:lang w:val="fr-FR"/>
        </w:rPr>
        <w:t>air et de l</w:t>
      </w:r>
      <w:r w:rsidR="009C7759">
        <w:rPr>
          <w:lang w:val="fr-FR"/>
        </w:rPr>
        <w:t>’</w:t>
      </w:r>
      <w:r>
        <w:rPr>
          <w:lang w:val="fr-FR"/>
        </w:rPr>
        <w:t>environnement, des travaux ont été effectués en 2017 et 2018 pour mettre en place les conditions techniques permettant de fournir à 20</w:t>
      </w:r>
      <w:r w:rsidR="008B138A">
        <w:rPr>
          <w:lang w:val="fr-FR"/>
        </w:rPr>
        <w:t> </w:t>
      </w:r>
      <w:r>
        <w:rPr>
          <w:lang w:val="fr-FR"/>
        </w:rPr>
        <w:t>000</w:t>
      </w:r>
      <w:r w:rsidR="008B138A">
        <w:rPr>
          <w:lang w:val="fr-FR"/>
        </w:rPr>
        <w:t> </w:t>
      </w:r>
      <w:r>
        <w:rPr>
          <w:lang w:val="fr-FR"/>
        </w:rPr>
        <w:t>ménages des chauffages électriques de 4 kW. En 2018, 20</w:t>
      </w:r>
      <w:r w:rsidR="008B138A">
        <w:rPr>
          <w:lang w:val="fr-FR"/>
        </w:rPr>
        <w:t> </w:t>
      </w:r>
      <w:r>
        <w:rPr>
          <w:lang w:val="fr-FR"/>
        </w:rPr>
        <w:t>602</w:t>
      </w:r>
      <w:r w:rsidR="008B138A">
        <w:rPr>
          <w:lang w:val="fr-FR"/>
        </w:rPr>
        <w:t> </w:t>
      </w:r>
      <w:r>
        <w:rPr>
          <w:lang w:val="fr-FR"/>
        </w:rPr>
        <w:t>ménages supplémentaires ont bénéficié de cette possibilité.</w:t>
      </w:r>
    </w:p>
    <w:p w14:paraId="1CCBEDF7" w14:textId="26109CFD" w:rsidR="00560776" w:rsidRPr="008D553A" w:rsidRDefault="00560776" w:rsidP="00560776">
      <w:pPr>
        <w:pStyle w:val="SingleTxtG"/>
        <w:rPr>
          <w:lang w:val="fr-FR"/>
        </w:rPr>
      </w:pPr>
      <w:r>
        <w:rPr>
          <w:lang w:val="fr-FR"/>
        </w:rPr>
        <w:t>56.</w:t>
      </w:r>
      <w:r>
        <w:rPr>
          <w:lang w:val="fr-FR"/>
        </w:rPr>
        <w:tab/>
        <w:t>L</w:t>
      </w:r>
      <w:r w:rsidR="009C7759">
        <w:rPr>
          <w:lang w:val="fr-FR"/>
        </w:rPr>
        <w:t>’</w:t>
      </w:r>
      <w:r>
        <w:rPr>
          <w:lang w:val="fr-FR"/>
        </w:rPr>
        <w:t>installation de nouvelles canalisations de chauffage dans les zones nouvellement planifiées de la ville d</w:t>
      </w:r>
      <w:r w:rsidR="009C7759">
        <w:rPr>
          <w:lang w:val="fr-FR"/>
        </w:rPr>
        <w:t>’</w:t>
      </w:r>
      <w:r>
        <w:rPr>
          <w:lang w:val="fr-FR"/>
        </w:rPr>
        <w:t>Oulan-Bator, le passage au système SCADA de contrôle et de surveillance à distance des principaux points du réseau de chauffage et l</w:t>
      </w:r>
      <w:r w:rsidR="009C7759">
        <w:rPr>
          <w:lang w:val="fr-FR"/>
        </w:rPr>
        <w:t>’</w:t>
      </w:r>
      <w:r>
        <w:rPr>
          <w:lang w:val="fr-FR"/>
        </w:rPr>
        <w:t>introduction de compteurs intelligents dans le cadre du projet de système de chauffage d</w:t>
      </w:r>
      <w:r w:rsidR="009C7759">
        <w:rPr>
          <w:lang w:val="fr-FR"/>
        </w:rPr>
        <w:t>’</w:t>
      </w:r>
      <w:r>
        <w:rPr>
          <w:lang w:val="fr-FR"/>
        </w:rPr>
        <w:t>Oulan-Bator (exécuté au titre de l</w:t>
      </w:r>
      <w:r w:rsidR="009C7759">
        <w:rPr>
          <w:lang w:val="fr-FR"/>
        </w:rPr>
        <w:t>’</w:t>
      </w:r>
      <w:r>
        <w:rPr>
          <w:lang w:val="fr-FR"/>
        </w:rPr>
        <w:t>accord général de financement conclu entre le Gouvernement mongol et la Banque européenne pour la reconstruction et le développement sur la base d</w:t>
      </w:r>
      <w:r w:rsidR="009C7759">
        <w:rPr>
          <w:lang w:val="fr-FR"/>
        </w:rPr>
        <w:t>’</w:t>
      </w:r>
      <w:r>
        <w:rPr>
          <w:lang w:val="fr-FR"/>
        </w:rPr>
        <w:t>un accord de prêt ultérieur conclu le 10 janvier 2020) ont débuté en 2020. Des études ont été entreprises en vue de réduire les émissions de gaz à effet de serre dues à la production de chaleur et d</w:t>
      </w:r>
      <w:r w:rsidR="009C7759">
        <w:rPr>
          <w:lang w:val="fr-FR"/>
        </w:rPr>
        <w:t>’</w:t>
      </w:r>
      <w:r>
        <w:rPr>
          <w:lang w:val="fr-FR"/>
        </w:rPr>
        <w:t>augmenter la part des sources d</w:t>
      </w:r>
      <w:r w:rsidR="009C7759">
        <w:rPr>
          <w:lang w:val="fr-FR"/>
        </w:rPr>
        <w:t>’</w:t>
      </w:r>
      <w:r>
        <w:rPr>
          <w:lang w:val="fr-FR"/>
        </w:rPr>
        <w:t>énergie renouvelables dans la production de chaleur, conformément aux objectifs de développement durable fixés à l</w:t>
      </w:r>
      <w:r w:rsidR="009C7759">
        <w:rPr>
          <w:lang w:val="fr-FR"/>
        </w:rPr>
        <w:t>’</w:t>
      </w:r>
      <w:r>
        <w:rPr>
          <w:lang w:val="fr-FR"/>
        </w:rPr>
        <w:t xml:space="preserve">échelle mondiale. </w:t>
      </w:r>
    </w:p>
    <w:p w14:paraId="5674DEF7" w14:textId="57B30EEA" w:rsidR="00560776" w:rsidRPr="008D553A" w:rsidRDefault="00560776" w:rsidP="00560776">
      <w:pPr>
        <w:pStyle w:val="SingleTxtG"/>
        <w:rPr>
          <w:lang w:val="fr-FR"/>
        </w:rPr>
      </w:pPr>
      <w:r>
        <w:rPr>
          <w:lang w:val="fr-FR"/>
        </w:rPr>
        <w:t>57.</w:t>
      </w:r>
      <w:r>
        <w:rPr>
          <w:lang w:val="fr-FR"/>
        </w:rPr>
        <w:tab/>
        <w:t>Des travaux ont été réalisés en coopération avec la Banque mondiale pour accroître le rendement des systèmes de chauffage et élargir l</w:t>
      </w:r>
      <w:r w:rsidR="009C7759">
        <w:rPr>
          <w:lang w:val="fr-FR"/>
        </w:rPr>
        <w:t>’</w:t>
      </w:r>
      <w:r>
        <w:rPr>
          <w:lang w:val="fr-FR"/>
        </w:rPr>
        <w:t xml:space="preserve">accès aux réseaux centralisés de chauffage. Ces travaux visent également à améliorer la qualité des services de chauffage dans les districts à forte concentration de </w:t>
      </w:r>
      <w:proofErr w:type="spellStart"/>
      <w:r w:rsidRPr="00E23392">
        <w:rPr>
          <w:i/>
          <w:lang w:val="fr-FR"/>
        </w:rPr>
        <w:t>gers</w:t>
      </w:r>
      <w:proofErr w:type="spellEnd"/>
      <w:r>
        <w:rPr>
          <w:lang w:val="fr-FR"/>
        </w:rPr>
        <w:t>, en rénovant les canalisations et en prolongeant leur durée d</w:t>
      </w:r>
      <w:r w:rsidR="009C7759">
        <w:rPr>
          <w:lang w:val="fr-FR"/>
        </w:rPr>
        <w:t>’</w:t>
      </w:r>
      <w:r>
        <w:rPr>
          <w:lang w:val="fr-FR"/>
        </w:rPr>
        <w:t>exploitation afin d</w:t>
      </w:r>
      <w:r w:rsidR="009C7759">
        <w:rPr>
          <w:lang w:val="fr-FR"/>
        </w:rPr>
        <w:t>’</w:t>
      </w:r>
      <w:r>
        <w:rPr>
          <w:lang w:val="fr-FR"/>
        </w:rPr>
        <w:t>acheminer l</w:t>
      </w:r>
      <w:r w:rsidR="009C7759">
        <w:rPr>
          <w:lang w:val="fr-FR"/>
        </w:rPr>
        <w:t>’</w:t>
      </w:r>
      <w:r>
        <w:rPr>
          <w:lang w:val="fr-FR"/>
        </w:rPr>
        <w:t xml:space="preserve">énergie thermique de façon efficiente entre les sources existantes et les districts éloignés. </w:t>
      </w:r>
    </w:p>
    <w:p w14:paraId="5C9A9972" w14:textId="5B9F584F" w:rsidR="00560776" w:rsidRPr="008D553A" w:rsidRDefault="00560776" w:rsidP="00560776">
      <w:pPr>
        <w:pStyle w:val="SingleTxtG"/>
        <w:rPr>
          <w:lang w:val="fr-FR"/>
        </w:rPr>
      </w:pPr>
      <w:r>
        <w:rPr>
          <w:lang w:val="fr-FR"/>
        </w:rPr>
        <w:t>58.</w:t>
      </w:r>
      <w:r>
        <w:rPr>
          <w:lang w:val="fr-FR"/>
        </w:rPr>
        <w:tab/>
        <w:t>L</w:t>
      </w:r>
      <w:r w:rsidR="009C7759">
        <w:rPr>
          <w:lang w:val="fr-FR"/>
        </w:rPr>
        <w:t>’</w:t>
      </w:r>
      <w:r>
        <w:rPr>
          <w:lang w:val="fr-FR"/>
        </w:rPr>
        <w:t>expansion et la rénovation des canalisations de chauffage dont la durée d</w:t>
      </w:r>
      <w:r w:rsidR="009C7759">
        <w:rPr>
          <w:lang w:val="fr-FR"/>
        </w:rPr>
        <w:t>’</w:t>
      </w:r>
      <w:r>
        <w:rPr>
          <w:lang w:val="fr-FR"/>
        </w:rPr>
        <w:t>exploitation est arrivée à échéance et qui connaissent de fréquentes chutes de pression ont permis d</w:t>
      </w:r>
      <w:r w:rsidR="009C7759">
        <w:rPr>
          <w:lang w:val="fr-FR"/>
        </w:rPr>
        <w:t>’</w:t>
      </w:r>
      <w:r>
        <w:rPr>
          <w:lang w:val="fr-FR"/>
        </w:rPr>
        <w:t>augmenter de 40 à 100</w:t>
      </w:r>
      <w:r w:rsidR="008B138A">
        <w:rPr>
          <w:lang w:val="fr-FR"/>
        </w:rPr>
        <w:t> </w:t>
      </w:r>
      <w:proofErr w:type="spellStart"/>
      <w:r>
        <w:rPr>
          <w:lang w:val="fr-FR"/>
        </w:rPr>
        <w:t>Gcal</w:t>
      </w:r>
      <w:proofErr w:type="spellEnd"/>
      <w:r>
        <w:rPr>
          <w:lang w:val="fr-FR"/>
        </w:rPr>
        <w:t>/h leur capacité de débit et de pouvoir ainsi fournir de l</w:t>
      </w:r>
      <w:r w:rsidR="009C7759">
        <w:rPr>
          <w:lang w:val="fr-FR"/>
        </w:rPr>
        <w:t>’</w:t>
      </w:r>
      <w:r>
        <w:rPr>
          <w:lang w:val="fr-FR"/>
        </w:rPr>
        <w:t>énergie thermique aux logements de 20</w:t>
      </w:r>
      <w:r w:rsidR="008B138A">
        <w:rPr>
          <w:lang w:val="fr-FR"/>
        </w:rPr>
        <w:t> </w:t>
      </w:r>
      <w:r>
        <w:rPr>
          <w:lang w:val="fr-FR"/>
        </w:rPr>
        <w:t>000</w:t>
      </w:r>
      <w:r w:rsidR="008B138A">
        <w:rPr>
          <w:lang w:val="fr-FR"/>
        </w:rPr>
        <w:t> </w:t>
      </w:r>
      <w:r>
        <w:rPr>
          <w:lang w:val="fr-FR"/>
        </w:rPr>
        <w:t>ménages, à des établissements scolaires accueillant 30</w:t>
      </w:r>
      <w:r w:rsidR="008B138A">
        <w:rPr>
          <w:lang w:val="fr-FR"/>
        </w:rPr>
        <w:t> </w:t>
      </w:r>
      <w:r>
        <w:rPr>
          <w:lang w:val="fr-FR"/>
        </w:rPr>
        <w:t>000</w:t>
      </w:r>
      <w:r w:rsidR="008B138A">
        <w:rPr>
          <w:lang w:val="fr-FR"/>
        </w:rPr>
        <w:t> </w:t>
      </w:r>
      <w:r>
        <w:rPr>
          <w:lang w:val="fr-FR"/>
        </w:rPr>
        <w:t>enfants, à des écoles maternelles accueillant 7</w:t>
      </w:r>
      <w:r w:rsidR="008B138A">
        <w:rPr>
          <w:lang w:val="fr-FR"/>
        </w:rPr>
        <w:t> </w:t>
      </w:r>
      <w:r>
        <w:rPr>
          <w:lang w:val="fr-FR"/>
        </w:rPr>
        <w:t>000</w:t>
      </w:r>
      <w:r w:rsidR="008B138A">
        <w:rPr>
          <w:lang w:val="fr-FR"/>
        </w:rPr>
        <w:t> </w:t>
      </w:r>
      <w:r>
        <w:rPr>
          <w:lang w:val="fr-FR"/>
        </w:rPr>
        <w:t>enfants et à 10</w:t>
      </w:r>
      <w:r w:rsidR="008B138A">
        <w:rPr>
          <w:lang w:val="fr-FR"/>
        </w:rPr>
        <w:t> </w:t>
      </w:r>
      <w:r>
        <w:rPr>
          <w:lang w:val="fr-FR"/>
        </w:rPr>
        <w:t>000</w:t>
      </w:r>
      <w:r w:rsidR="008B138A">
        <w:rPr>
          <w:lang w:val="fr-FR"/>
        </w:rPr>
        <w:t> </w:t>
      </w:r>
      <w:r>
        <w:rPr>
          <w:lang w:val="fr-FR"/>
        </w:rPr>
        <w:t>lieux de travail, conformément au plan général.</w:t>
      </w:r>
    </w:p>
    <w:p w14:paraId="31FDA3F3" w14:textId="2C5406EC" w:rsidR="00560776" w:rsidRPr="008D553A" w:rsidRDefault="00560776" w:rsidP="00560776">
      <w:pPr>
        <w:pStyle w:val="SingleTxtG"/>
        <w:rPr>
          <w:lang w:val="fr-FR"/>
        </w:rPr>
      </w:pPr>
      <w:r>
        <w:rPr>
          <w:lang w:val="fr-FR"/>
        </w:rPr>
        <w:t>59.</w:t>
      </w:r>
      <w:r>
        <w:rPr>
          <w:lang w:val="fr-FR"/>
        </w:rPr>
        <w:tab/>
        <w:t>L</w:t>
      </w:r>
      <w:r w:rsidR="009C7759">
        <w:rPr>
          <w:lang w:val="fr-FR"/>
        </w:rPr>
        <w:t>’</w:t>
      </w:r>
      <w:r>
        <w:rPr>
          <w:lang w:val="fr-FR"/>
        </w:rPr>
        <w:t>exécution du projet d</w:t>
      </w:r>
      <w:r w:rsidR="009C7759">
        <w:rPr>
          <w:lang w:val="fr-FR"/>
        </w:rPr>
        <w:t>’</w:t>
      </w:r>
      <w:r>
        <w:rPr>
          <w:lang w:val="fr-FR"/>
        </w:rPr>
        <w:t>approvisionnement en chaleur de la ville d</w:t>
      </w:r>
      <w:r w:rsidR="009C7759">
        <w:rPr>
          <w:lang w:val="fr-FR"/>
        </w:rPr>
        <w:t>’</w:t>
      </w:r>
      <w:r>
        <w:rPr>
          <w:lang w:val="fr-FR"/>
        </w:rPr>
        <w:t>Oulan-Bator facilite la réalisation du programme national à moyen terme du secteur de l</w:t>
      </w:r>
      <w:r w:rsidR="009C7759">
        <w:rPr>
          <w:lang w:val="fr-FR"/>
        </w:rPr>
        <w:t>’</w:t>
      </w:r>
      <w:r>
        <w:rPr>
          <w:lang w:val="fr-FR"/>
        </w:rPr>
        <w:t>énergie pour 2018-2023 et du programme national de réduction de la pollution de l</w:t>
      </w:r>
      <w:r w:rsidR="009C7759">
        <w:rPr>
          <w:lang w:val="fr-FR"/>
        </w:rPr>
        <w:t>’</w:t>
      </w:r>
      <w:r>
        <w:rPr>
          <w:lang w:val="fr-FR"/>
        </w:rPr>
        <w:t xml:space="preserve">air et du milieu naturel. Dans le cadre du plan général de réaménagement et de reconstruction des districts à forte concentration de </w:t>
      </w:r>
      <w:proofErr w:type="spellStart"/>
      <w:r w:rsidRPr="00E23392">
        <w:rPr>
          <w:i/>
          <w:lang w:val="fr-FR"/>
        </w:rPr>
        <w:t>gers</w:t>
      </w:r>
      <w:proofErr w:type="spellEnd"/>
      <w:r>
        <w:rPr>
          <w:lang w:val="fr-FR"/>
        </w:rPr>
        <w:t xml:space="preserve"> de la capitale, on s</w:t>
      </w:r>
      <w:r w:rsidR="009C7759">
        <w:rPr>
          <w:lang w:val="fr-FR"/>
        </w:rPr>
        <w:t>’</w:t>
      </w:r>
      <w:r>
        <w:rPr>
          <w:lang w:val="fr-FR"/>
        </w:rPr>
        <w:t>efforce de mettre en place les moyens techniques nécessaires pour raccorder au système de chauffage centralisé les appartements, les structures économiques et autres bâtiments équipés de poêles de petite et moyenne capacité et pour doter le système d</w:t>
      </w:r>
      <w:r w:rsidR="009C7759">
        <w:rPr>
          <w:lang w:val="fr-FR"/>
        </w:rPr>
        <w:t>’</w:t>
      </w:r>
      <w:r>
        <w:rPr>
          <w:lang w:val="fr-FR"/>
        </w:rPr>
        <w:t>approvisionnement en chaleur de technologies modernes de niveau avancé afin d</w:t>
      </w:r>
      <w:r w:rsidR="009C7759">
        <w:rPr>
          <w:lang w:val="fr-FR"/>
        </w:rPr>
        <w:t>’</w:t>
      </w:r>
      <w:r>
        <w:rPr>
          <w:lang w:val="fr-FR"/>
        </w:rPr>
        <w:t xml:space="preserve">en améliorer le rendement. </w:t>
      </w:r>
    </w:p>
    <w:p w14:paraId="6A876C94" w14:textId="4F51E156" w:rsidR="00560776" w:rsidRPr="008D553A" w:rsidRDefault="00560776" w:rsidP="00D0092F">
      <w:pPr>
        <w:pStyle w:val="H1G"/>
        <w:rPr>
          <w:lang w:val="fr-FR"/>
        </w:rPr>
      </w:pPr>
      <w:r>
        <w:rPr>
          <w:lang w:val="fr-FR"/>
        </w:rPr>
        <w:tab/>
      </w:r>
      <w:r>
        <w:rPr>
          <w:lang w:val="fr-FR"/>
        </w:rPr>
        <w:tab/>
        <w:t xml:space="preserve">Paragraphe 5 de la liste de points </w:t>
      </w:r>
    </w:p>
    <w:p w14:paraId="685D58A8" w14:textId="0C47A89B" w:rsidR="00560776" w:rsidRPr="008D553A" w:rsidRDefault="00560776" w:rsidP="00560776">
      <w:pPr>
        <w:pStyle w:val="SingleTxtG"/>
        <w:rPr>
          <w:lang w:val="fr-FR"/>
        </w:rPr>
      </w:pPr>
      <w:r>
        <w:rPr>
          <w:lang w:val="fr-FR"/>
        </w:rPr>
        <w:t>60.</w:t>
      </w:r>
      <w:r>
        <w:rPr>
          <w:lang w:val="fr-FR"/>
        </w:rPr>
        <w:tab/>
        <w:t>Le paragraphe 2 de l</w:t>
      </w:r>
      <w:r w:rsidR="009C7759">
        <w:rPr>
          <w:lang w:val="fr-FR"/>
        </w:rPr>
        <w:t>’</w:t>
      </w:r>
      <w:r>
        <w:rPr>
          <w:lang w:val="fr-FR"/>
        </w:rPr>
        <w:t>article 10 de la Constitution mongole dispose que la Mongolie doit s</w:t>
      </w:r>
      <w:r w:rsidR="009C7759">
        <w:rPr>
          <w:lang w:val="fr-FR"/>
        </w:rPr>
        <w:t>’</w:t>
      </w:r>
      <w:r>
        <w:rPr>
          <w:lang w:val="fr-FR"/>
        </w:rPr>
        <w:t>acquitter de bonne foi des obligations mises à sa charge par les traités internationaux auxquels elle est partie et le paragraphe 3 du même article que les traités internationaux auxquels la Mongolie est partie prennent effet en droit interne dès l</w:t>
      </w:r>
      <w:r w:rsidR="009C7759">
        <w:rPr>
          <w:lang w:val="fr-FR"/>
        </w:rPr>
        <w:t>’</w:t>
      </w:r>
      <w:r>
        <w:rPr>
          <w:lang w:val="fr-FR"/>
        </w:rPr>
        <w:t>entrée en vigueur des lois relatives à leur ratification ou à leur signature.</w:t>
      </w:r>
    </w:p>
    <w:p w14:paraId="601F1EA3" w14:textId="3B829CB7" w:rsidR="00560776" w:rsidRPr="008D553A" w:rsidRDefault="00560776" w:rsidP="00560776">
      <w:pPr>
        <w:pStyle w:val="SingleTxtG"/>
        <w:rPr>
          <w:lang w:val="fr-FR"/>
        </w:rPr>
      </w:pPr>
      <w:r>
        <w:rPr>
          <w:lang w:val="fr-FR"/>
        </w:rPr>
        <w:t>61.</w:t>
      </w:r>
      <w:r>
        <w:rPr>
          <w:lang w:val="fr-FR"/>
        </w:rPr>
        <w:tab/>
        <w:t>L</w:t>
      </w:r>
      <w:r w:rsidR="009C7759">
        <w:rPr>
          <w:lang w:val="fr-FR"/>
        </w:rPr>
        <w:t>’</w:t>
      </w:r>
      <w:r>
        <w:rPr>
          <w:lang w:val="fr-FR"/>
        </w:rPr>
        <w:t>article 7.3 de la loi sur les tribunaux légitime l</w:t>
      </w:r>
      <w:r w:rsidR="009C7759">
        <w:rPr>
          <w:lang w:val="fr-FR"/>
        </w:rPr>
        <w:t>’</w:t>
      </w:r>
      <w:r>
        <w:rPr>
          <w:lang w:val="fr-FR"/>
        </w:rPr>
        <w:t xml:space="preserve">application des lois et des traités internationaux de la Mongolie qui sont en vigueur et ont été officiellement publiés. </w:t>
      </w:r>
    </w:p>
    <w:p w14:paraId="24E74BDA" w14:textId="1FC26733" w:rsidR="00560776" w:rsidRPr="008D553A" w:rsidRDefault="00560776" w:rsidP="00560776">
      <w:pPr>
        <w:pStyle w:val="SingleTxtG"/>
        <w:rPr>
          <w:lang w:val="fr-FR"/>
        </w:rPr>
      </w:pPr>
      <w:r>
        <w:rPr>
          <w:lang w:val="fr-FR"/>
        </w:rPr>
        <w:t>62.</w:t>
      </w:r>
      <w:r>
        <w:rPr>
          <w:lang w:val="fr-FR"/>
        </w:rPr>
        <w:tab/>
        <w:t>L</w:t>
      </w:r>
      <w:r w:rsidR="009C7759">
        <w:rPr>
          <w:lang w:val="fr-FR"/>
        </w:rPr>
        <w:t>’</w:t>
      </w:r>
      <w:r>
        <w:rPr>
          <w:lang w:val="fr-FR"/>
        </w:rPr>
        <w:t>article 33 de la loi sur les traités internationaux dispose que les tribunaux mongols doivent appliquer les traités internationaux officiellement publiés par la Mongolie conformément aux règles énoncées dans les lois pertinentes. Si besoin est, la Cour suprême mongole publiera une explication officielle de l</w:t>
      </w:r>
      <w:r w:rsidR="009C7759">
        <w:rPr>
          <w:lang w:val="fr-FR"/>
        </w:rPr>
        <w:t>’</w:t>
      </w:r>
      <w:r>
        <w:rPr>
          <w:lang w:val="fr-FR"/>
        </w:rPr>
        <w:t>application correcte du traité international auquel l</w:t>
      </w:r>
      <w:r w:rsidR="009C7759">
        <w:rPr>
          <w:lang w:val="fr-FR"/>
        </w:rPr>
        <w:t>’</w:t>
      </w:r>
      <w:r>
        <w:rPr>
          <w:lang w:val="fr-FR"/>
        </w:rPr>
        <w:t xml:space="preserve">État a adhéré. </w:t>
      </w:r>
    </w:p>
    <w:p w14:paraId="5855AE9B" w14:textId="48482B57" w:rsidR="00560776" w:rsidRPr="008D553A" w:rsidRDefault="00560776" w:rsidP="00560776">
      <w:pPr>
        <w:pStyle w:val="SingleTxtG"/>
        <w:rPr>
          <w:lang w:val="fr-FR"/>
        </w:rPr>
      </w:pPr>
      <w:r>
        <w:rPr>
          <w:lang w:val="fr-FR"/>
        </w:rPr>
        <w:t>63.</w:t>
      </w:r>
      <w:r>
        <w:rPr>
          <w:lang w:val="fr-FR"/>
        </w:rPr>
        <w:tab/>
        <w:t>Il n</w:t>
      </w:r>
      <w:r w:rsidR="009C7759">
        <w:rPr>
          <w:lang w:val="fr-FR"/>
        </w:rPr>
        <w:t>’</w:t>
      </w:r>
      <w:r>
        <w:rPr>
          <w:lang w:val="fr-FR"/>
        </w:rPr>
        <w:t xml:space="preserve">y a eu, au cours de la période considérée, aucune affaire dans laquelle le Pacte a été invoqué devant les tribunaux nationaux ou appliqué par ceux-ci. </w:t>
      </w:r>
    </w:p>
    <w:p w14:paraId="6A1843ED" w14:textId="6CA1025F" w:rsidR="00560776" w:rsidRPr="008D553A" w:rsidRDefault="00560776" w:rsidP="00560776">
      <w:pPr>
        <w:pStyle w:val="SingleTxtG"/>
        <w:rPr>
          <w:lang w:val="fr-FR"/>
        </w:rPr>
      </w:pPr>
      <w:r>
        <w:rPr>
          <w:lang w:val="fr-FR"/>
        </w:rPr>
        <w:lastRenderedPageBreak/>
        <w:t>64.</w:t>
      </w:r>
      <w:r>
        <w:rPr>
          <w:lang w:val="fr-FR"/>
        </w:rPr>
        <w:tab/>
        <w:t>Conformément aux principes relatifs aux droits de l</w:t>
      </w:r>
      <w:r w:rsidR="009C7759">
        <w:rPr>
          <w:lang w:val="fr-FR"/>
        </w:rPr>
        <w:t>’</w:t>
      </w:r>
      <w:r>
        <w:rPr>
          <w:lang w:val="fr-FR"/>
        </w:rPr>
        <w:t>homme et aux engagements qu</w:t>
      </w:r>
      <w:r w:rsidR="009C7759">
        <w:rPr>
          <w:lang w:val="fr-FR"/>
        </w:rPr>
        <w:t>’</w:t>
      </w:r>
      <w:r>
        <w:rPr>
          <w:lang w:val="fr-FR"/>
        </w:rPr>
        <w:t>elle a pris dans le cadre de traité</w:t>
      </w:r>
      <w:r w:rsidR="003519D8">
        <w:rPr>
          <w:lang w:val="fr-FR"/>
        </w:rPr>
        <w:t>s</w:t>
      </w:r>
      <w:r>
        <w:rPr>
          <w:lang w:val="fr-FR"/>
        </w:rPr>
        <w:t xml:space="preserve"> internationaux, la Mongolie a révisé ou approuvé de nouveau les dispositions législatives suivantes afin d</w:t>
      </w:r>
      <w:r w:rsidR="009C7759">
        <w:rPr>
          <w:lang w:val="fr-FR"/>
        </w:rPr>
        <w:t>’</w:t>
      </w:r>
      <w:r>
        <w:rPr>
          <w:lang w:val="fr-FR"/>
        </w:rPr>
        <w:t>améliorer le droit interne et d</w:t>
      </w:r>
      <w:r w:rsidR="009C7759">
        <w:rPr>
          <w:lang w:val="fr-FR"/>
        </w:rPr>
        <w:t>’</w:t>
      </w:r>
      <w:r>
        <w:rPr>
          <w:lang w:val="fr-FR"/>
        </w:rPr>
        <w:t>appliquer la législation visant à promouvoir et protéger les droits de l</w:t>
      </w:r>
      <w:r w:rsidR="009C7759">
        <w:rPr>
          <w:lang w:val="fr-FR"/>
        </w:rPr>
        <w:t>’</w:t>
      </w:r>
      <w:r>
        <w:rPr>
          <w:lang w:val="fr-FR"/>
        </w:rPr>
        <w:t>homme à tous les niveaux</w:t>
      </w:r>
      <w:r w:rsidR="00A737F5">
        <w:rPr>
          <w:lang w:val="fr-FR"/>
        </w:rPr>
        <w:t> </w:t>
      </w:r>
      <w:r>
        <w:rPr>
          <w:lang w:val="fr-FR"/>
        </w:rPr>
        <w:t>: le</w:t>
      </w:r>
      <w:r w:rsidR="003519D8">
        <w:rPr>
          <w:lang w:val="fr-FR"/>
        </w:rPr>
        <w:t> </w:t>
      </w:r>
      <w:r>
        <w:rPr>
          <w:lang w:val="fr-FR"/>
        </w:rPr>
        <w:t>Code pénal et la loi sur le réaménagement des zones urbaines et d</w:t>
      </w:r>
      <w:r w:rsidR="009C7759">
        <w:rPr>
          <w:lang w:val="fr-FR"/>
        </w:rPr>
        <w:t>’</w:t>
      </w:r>
      <w:r>
        <w:rPr>
          <w:lang w:val="fr-FR"/>
        </w:rPr>
        <w:t>habitation (en 2015), les lois sur les droits de l</w:t>
      </w:r>
      <w:r w:rsidR="009C7759">
        <w:rPr>
          <w:lang w:val="fr-FR"/>
        </w:rPr>
        <w:t>’</w:t>
      </w:r>
      <w:r>
        <w:rPr>
          <w:lang w:val="fr-FR"/>
        </w:rPr>
        <w:t>enfant, la protection de l</w:t>
      </w:r>
      <w:r w:rsidR="009C7759">
        <w:rPr>
          <w:lang w:val="fr-FR"/>
        </w:rPr>
        <w:t>’</w:t>
      </w:r>
      <w:r>
        <w:rPr>
          <w:lang w:val="fr-FR"/>
        </w:rPr>
        <w:t>enfance, les droits des personnes handicapées, les aliments organiques, l</w:t>
      </w:r>
      <w:r w:rsidR="009C7759">
        <w:rPr>
          <w:lang w:val="fr-FR"/>
        </w:rPr>
        <w:t>’</w:t>
      </w:r>
      <w:r>
        <w:rPr>
          <w:lang w:val="fr-FR"/>
        </w:rPr>
        <w:t>assistance et les services médicaux et l</w:t>
      </w:r>
      <w:r w:rsidR="009C7759">
        <w:rPr>
          <w:lang w:val="fr-FR"/>
        </w:rPr>
        <w:t>’</w:t>
      </w:r>
      <w:r>
        <w:rPr>
          <w:lang w:val="fr-FR"/>
        </w:rPr>
        <w:t>assurance santé (loi révisée) (en 2016), les lois sur l</w:t>
      </w:r>
      <w:r w:rsidR="009C7759">
        <w:rPr>
          <w:lang w:val="fr-FR"/>
        </w:rPr>
        <w:t>’</w:t>
      </w:r>
      <w:r>
        <w:rPr>
          <w:lang w:val="fr-FR"/>
        </w:rPr>
        <w:t>appui au développement de la jeunesse, les personnes âgées, l</w:t>
      </w:r>
      <w:r w:rsidR="009C7759">
        <w:rPr>
          <w:lang w:val="fr-FR"/>
        </w:rPr>
        <w:t>’</w:t>
      </w:r>
      <w:r>
        <w:rPr>
          <w:lang w:val="fr-FR"/>
        </w:rPr>
        <w:t>octroi d</w:t>
      </w:r>
      <w:r w:rsidR="009C7759">
        <w:rPr>
          <w:lang w:val="fr-FR"/>
        </w:rPr>
        <w:t>’</w:t>
      </w:r>
      <w:r>
        <w:rPr>
          <w:lang w:val="fr-FR"/>
        </w:rPr>
        <w:t>allocations de maternité et d</w:t>
      </w:r>
      <w:r w:rsidR="009C7759">
        <w:rPr>
          <w:lang w:val="fr-FR"/>
        </w:rPr>
        <w:t>’</w:t>
      </w:r>
      <w:r>
        <w:rPr>
          <w:lang w:val="fr-FR"/>
        </w:rPr>
        <w:t>allocations aux chargés de famille nombreuse des deux sexes, le remboursement des primes d</w:t>
      </w:r>
      <w:r w:rsidR="009C7759">
        <w:rPr>
          <w:lang w:val="fr-FR"/>
        </w:rPr>
        <w:t>’</w:t>
      </w:r>
      <w:r>
        <w:rPr>
          <w:lang w:val="fr-FR"/>
        </w:rPr>
        <w:t>assurance aux éleveurs et aux travailleurs indépendants, la culture physique et le sport, et les infractions (en 2017), la loi sur les aliments enrichis (en 2018), la loi portant modification de la loi relative aux taxes liées à la pollution des eaux (en 2019), les lois sur la propriété intellectuelle, la prévention et la lutte contre le coronavirus (COVID-19) et l</w:t>
      </w:r>
      <w:r w:rsidR="009C7759">
        <w:rPr>
          <w:lang w:val="fr-FR"/>
        </w:rPr>
        <w:t>’</w:t>
      </w:r>
      <w:r>
        <w:rPr>
          <w:lang w:val="fr-FR"/>
        </w:rPr>
        <w:t xml:space="preserve">atténuation de ses effets négatifs sur le développement </w:t>
      </w:r>
      <w:proofErr w:type="spellStart"/>
      <w:r>
        <w:rPr>
          <w:lang w:val="fr-FR"/>
        </w:rPr>
        <w:t>socioéconomique</w:t>
      </w:r>
      <w:proofErr w:type="spellEnd"/>
      <w:r>
        <w:rPr>
          <w:lang w:val="fr-FR"/>
        </w:rPr>
        <w:t xml:space="preserve"> et la Commission des droits de l</w:t>
      </w:r>
      <w:r w:rsidR="009C7759">
        <w:rPr>
          <w:lang w:val="fr-FR"/>
        </w:rPr>
        <w:t>’</w:t>
      </w:r>
      <w:r>
        <w:rPr>
          <w:lang w:val="fr-FR"/>
        </w:rPr>
        <w:t xml:space="preserve">homme (loi révisée) (en 2020). </w:t>
      </w:r>
    </w:p>
    <w:p w14:paraId="3FF2D036" w14:textId="681960EC" w:rsidR="00560776" w:rsidRPr="008D553A" w:rsidRDefault="00560776" w:rsidP="00560776">
      <w:pPr>
        <w:pStyle w:val="SingleTxtG"/>
        <w:rPr>
          <w:lang w:val="fr-FR"/>
        </w:rPr>
      </w:pPr>
      <w:r>
        <w:rPr>
          <w:lang w:val="fr-FR"/>
        </w:rPr>
        <w:t>65.</w:t>
      </w:r>
      <w:r>
        <w:rPr>
          <w:lang w:val="fr-FR"/>
        </w:rPr>
        <w:tab/>
        <w:t>Des dispositions sont actuellement prises pour améliorer le Code du travail, la loi relative à l</w:t>
      </w:r>
      <w:r w:rsidR="009C7759">
        <w:rPr>
          <w:lang w:val="fr-FR"/>
        </w:rPr>
        <w:t>’</w:t>
      </w:r>
      <w:r>
        <w:rPr>
          <w:lang w:val="fr-FR"/>
        </w:rPr>
        <w:t>aide à l</w:t>
      </w:r>
      <w:r w:rsidR="009C7759">
        <w:rPr>
          <w:lang w:val="fr-FR"/>
        </w:rPr>
        <w:t>’</w:t>
      </w:r>
      <w:r>
        <w:rPr>
          <w:lang w:val="fr-FR"/>
        </w:rPr>
        <w:t>emploi, les lois relatives à l</w:t>
      </w:r>
      <w:r w:rsidR="009C7759">
        <w:rPr>
          <w:lang w:val="fr-FR"/>
        </w:rPr>
        <w:t>’</w:t>
      </w:r>
      <w:r>
        <w:rPr>
          <w:lang w:val="fr-FR"/>
        </w:rPr>
        <w:t>assurance sociale et à la protection sociale et la loi relative à l</w:t>
      </w:r>
      <w:r w:rsidR="009C7759">
        <w:rPr>
          <w:lang w:val="fr-FR"/>
        </w:rPr>
        <w:t>’</w:t>
      </w:r>
      <w:r>
        <w:rPr>
          <w:lang w:val="fr-FR"/>
        </w:rPr>
        <w:t>enseignement et à la formation professionnels.</w:t>
      </w:r>
    </w:p>
    <w:p w14:paraId="612A7DC8" w14:textId="133E6EC5" w:rsidR="00560776" w:rsidRPr="008D553A" w:rsidRDefault="00560776" w:rsidP="00D0092F">
      <w:pPr>
        <w:pStyle w:val="H1G"/>
        <w:rPr>
          <w:lang w:val="fr-FR"/>
        </w:rPr>
      </w:pPr>
      <w:r>
        <w:rPr>
          <w:lang w:val="fr-FR"/>
        </w:rPr>
        <w:tab/>
      </w:r>
      <w:r>
        <w:rPr>
          <w:lang w:val="fr-FR"/>
        </w:rPr>
        <w:tab/>
        <w:t>Paragraphe 6 de la liste de points</w:t>
      </w:r>
    </w:p>
    <w:p w14:paraId="36285D83" w14:textId="420794F0" w:rsidR="00560776" w:rsidRPr="008D553A" w:rsidRDefault="00560776" w:rsidP="00560776">
      <w:pPr>
        <w:pStyle w:val="SingleTxtG"/>
        <w:rPr>
          <w:lang w:val="fr-FR"/>
        </w:rPr>
      </w:pPr>
      <w:r>
        <w:rPr>
          <w:lang w:val="fr-FR"/>
        </w:rPr>
        <w:t>66.</w:t>
      </w:r>
      <w:r>
        <w:rPr>
          <w:lang w:val="fr-FR"/>
        </w:rPr>
        <w:tab/>
        <w:t>La loi révisée relative à la Commission nationale des droits de l</w:t>
      </w:r>
      <w:r w:rsidR="009C7759">
        <w:rPr>
          <w:lang w:val="fr-FR"/>
        </w:rPr>
        <w:t>’</w:t>
      </w:r>
      <w:r>
        <w:rPr>
          <w:lang w:val="fr-FR"/>
        </w:rPr>
        <w:t xml:space="preserve">homme a été approuvée par le Grand </w:t>
      </w:r>
      <w:proofErr w:type="spellStart"/>
      <w:r>
        <w:rPr>
          <w:lang w:val="fr-FR"/>
        </w:rPr>
        <w:t>Khoural</w:t>
      </w:r>
      <w:proofErr w:type="spellEnd"/>
      <w:r>
        <w:rPr>
          <w:lang w:val="fr-FR"/>
        </w:rPr>
        <w:t xml:space="preserve"> d</w:t>
      </w:r>
      <w:r w:rsidR="009C7759">
        <w:rPr>
          <w:lang w:val="fr-FR"/>
        </w:rPr>
        <w:t>’</w:t>
      </w:r>
      <w:r>
        <w:rPr>
          <w:lang w:val="fr-FR"/>
        </w:rPr>
        <w:t>État le 23 janvier 2020.</w:t>
      </w:r>
    </w:p>
    <w:p w14:paraId="45984E18" w14:textId="71F47AB5" w:rsidR="00560776" w:rsidRPr="008D553A" w:rsidRDefault="00560776" w:rsidP="00560776">
      <w:pPr>
        <w:pStyle w:val="SingleTxtG"/>
        <w:rPr>
          <w:lang w:val="fr-FR"/>
        </w:rPr>
      </w:pPr>
      <w:r>
        <w:rPr>
          <w:lang w:val="fr-FR"/>
        </w:rPr>
        <w:t>67.</w:t>
      </w:r>
      <w:r>
        <w:rPr>
          <w:lang w:val="fr-FR"/>
        </w:rPr>
        <w:tab/>
        <w:t>La nouvelle loi prévoit de porter à cinq le nombre de membres de la Commission. L</w:t>
      </w:r>
      <w:r w:rsidR="009C7759">
        <w:rPr>
          <w:lang w:val="fr-FR"/>
        </w:rPr>
        <w:t>’</w:t>
      </w:r>
      <w:r>
        <w:rPr>
          <w:lang w:val="fr-FR"/>
        </w:rPr>
        <w:t xml:space="preserve">article 31.1 dispose que les fonctions relatives à la lutte contre la torture et autres peines ou traitements cruels, inhumains ou dégradants sont exercées par le membre de la commission chargé des questions de prévention de la torture. La loi prévoit que ce membre présente un rapport annuel sur les activités visant à prévenir la torture au Comité judiciaire permanent du Grand </w:t>
      </w:r>
      <w:proofErr w:type="spellStart"/>
      <w:r>
        <w:rPr>
          <w:lang w:val="fr-FR"/>
        </w:rPr>
        <w:t>Khoural</w:t>
      </w:r>
      <w:proofErr w:type="spellEnd"/>
      <w:r>
        <w:rPr>
          <w:lang w:val="fr-FR"/>
        </w:rPr>
        <w:t xml:space="preserve"> d</w:t>
      </w:r>
      <w:r w:rsidR="009C7759">
        <w:rPr>
          <w:lang w:val="fr-FR"/>
        </w:rPr>
        <w:t>’</w:t>
      </w:r>
      <w:r>
        <w:rPr>
          <w:lang w:val="fr-FR"/>
        </w:rPr>
        <w:t xml:space="preserve">État. </w:t>
      </w:r>
    </w:p>
    <w:p w14:paraId="7EF8D0F2" w14:textId="45EDA1C2" w:rsidR="00560776" w:rsidRPr="008D553A" w:rsidRDefault="00560776" w:rsidP="00560776">
      <w:pPr>
        <w:pStyle w:val="SingleTxtG"/>
        <w:rPr>
          <w:lang w:val="fr-FR"/>
        </w:rPr>
      </w:pPr>
      <w:r>
        <w:rPr>
          <w:lang w:val="fr-FR"/>
        </w:rPr>
        <w:t>68.</w:t>
      </w:r>
      <w:r>
        <w:rPr>
          <w:lang w:val="fr-FR"/>
        </w:rPr>
        <w:tab/>
        <w:t>La loi sur les organisations non gouvernementales adoptée en 1997 est en cours de révision. Elle devrait être modifiée par une loi actuellement à l</w:t>
      </w:r>
      <w:r w:rsidR="009C7759">
        <w:rPr>
          <w:lang w:val="fr-FR"/>
        </w:rPr>
        <w:t>’</w:t>
      </w:r>
      <w:r>
        <w:rPr>
          <w:lang w:val="fr-FR"/>
        </w:rPr>
        <w:t>état de projet portant sur les personnes morales à but non lucratif, qui vise à améliorer la réglementation juridique relative aux ONG, à garantir l</w:t>
      </w:r>
      <w:r w:rsidR="009C7759">
        <w:rPr>
          <w:lang w:val="fr-FR"/>
        </w:rPr>
        <w:t>’</w:t>
      </w:r>
      <w:r>
        <w:rPr>
          <w:lang w:val="fr-FR"/>
        </w:rPr>
        <w:t>indépendance des ONG en matière de contrôle des activités de l</w:t>
      </w:r>
      <w:r w:rsidR="009C7759">
        <w:rPr>
          <w:lang w:val="fr-FR"/>
        </w:rPr>
        <w:t>’</w:t>
      </w:r>
      <w:r>
        <w:rPr>
          <w:lang w:val="fr-FR"/>
        </w:rPr>
        <w:t>État, à soutenir les activités qu</w:t>
      </w:r>
      <w:r w:rsidR="009C7759">
        <w:rPr>
          <w:lang w:val="fr-FR"/>
        </w:rPr>
        <w:t>’</w:t>
      </w:r>
      <w:r>
        <w:rPr>
          <w:lang w:val="fr-FR"/>
        </w:rPr>
        <w:t>elles mènent en faveur du public et à créer un environnement juridique favorable au transfert de certaines fonctions de l</w:t>
      </w:r>
      <w:r w:rsidR="009C7759">
        <w:rPr>
          <w:lang w:val="fr-FR"/>
        </w:rPr>
        <w:t>’</w:t>
      </w:r>
      <w:r>
        <w:rPr>
          <w:lang w:val="fr-FR"/>
        </w:rPr>
        <w:t xml:space="preserve">État aux organisations de la société civile et aux associations professionnelles. </w:t>
      </w:r>
    </w:p>
    <w:p w14:paraId="2A74D923" w14:textId="37484775" w:rsidR="00560776" w:rsidRPr="008D553A" w:rsidRDefault="00560776" w:rsidP="00560776">
      <w:pPr>
        <w:pStyle w:val="SingleTxtG"/>
        <w:rPr>
          <w:lang w:val="fr-FR"/>
        </w:rPr>
      </w:pPr>
      <w:r>
        <w:rPr>
          <w:lang w:val="fr-FR"/>
        </w:rPr>
        <w:t>69.</w:t>
      </w:r>
      <w:r>
        <w:rPr>
          <w:lang w:val="fr-FR"/>
        </w:rPr>
        <w:tab/>
        <w:t>Un groupe de travail chargé d</w:t>
      </w:r>
      <w:r w:rsidR="009C7759">
        <w:rPr>
          <w:lang w:val="fr-FR"/>
        </w:rPr>
        <w:t>’</w:t>
      </w:r>
      <w:r>
        <w:rPr>
          <w:lang w:val="fr-FR"/>
        </w:rPr>
        <w:t>élaborer ce projet de loi a été constitué par l</w:t>
      </w:r>
      <w:r w:rsidR="009C7759">
        <w:rPr>
          <w:lang w:val="fr-FR"/>
        </w:rPr>
        <w:t>’</w:t>
      </w:r>
      <w:r>
        <w:rPr>
          <w:lang w:val="fr-FR"/>
        </w:rPr>
        <w:t>arrêté A/257 de 2017 du Ministre de la justice et des affaires intérieures. Quarante pour cent des membres de ce groupe sont des représentants d</w:t>
      </w:r>
      <w:r w:rsidR="009C7759">
        <w:rPr>
          <w:lang w:val="fr-FR"/>
        </w:rPr>
        <w:t>’</w:t>
      </w:r>
      <w:r>
        <w:rPr>
          <w:lang w:val="fr-FR"/>
        </w:rPr>
        <w:t xml:space="preserve">ONG. Le projet de loi sur les personnes morales sans but lucratif comprend 7 parties et 52 articles. Le projet a été examiné lors de la réunion du Gouvernement du 25 septembre 2019 et soumis ensuite au Grand </w:t>
      </w:r>
      <w:proofErr w:type="spellStart"/>
      <w:r>
        <w:rPr>
          <w:lang w:val="fr-FR"/>
        </w:rPr>
        <w:t>Khoural</w:t>
      </w:r>
      <w:proofErr w:type="spellEnd"/>
      <w:r>
        <w:rPr>
          <w:lang w:val="fr-FR"/>
        </w:rPr>
        <w:t xml:space="preserve"> d</w:t>
      </w:r>
      <w:r w:rsidR="009C7759">
        <w:rPr>
          <w:lang w:val="fr-FR"/>
        </w:rPr>
        <w:t>’</w:t>
      </w:r>
      <w:r>
        <w:rPr>
          <w:lang w:val="fr-FR"/>
        </w:rPr>
        <w:t>État le 2 décembre 2019. Le projet de loi vise à encadrer les relations entre l</w:t>
      </w:r>
      <w:r w:rsidR="009C7759">
        <w:rPr>
          <w:lang w:val="fr-FR"/>
        </w:rPr>
        <w:t>’</w:t>
      </w:r>
      <w:r>
        <w:rPr>
          <w:lang w:val="fr-FR"/>
        </w:rPr>
        <w:t>État et les personnes morales à but non lucratif, ainsi que leurs droits et leurs devoirs, à faire en sorte que ces personnes morales mènent des activités indépendamment de l</w:t>
      </w:r>
      <w:r w:rsidR="009C7759">
        <w:rPr>
          <w:lang w:val="fr-FR"/>
        </w:rPr>
        <w:t>’</w:t>
      </w:r>
      <w:r>
        <w:rPr>
          <w:lang w:val="fr-FR"/>
        </w:rPr>
        <w:t>État dans le respect du droit, à promouvoir les relations et la coopération sur la base de la non-discrimination, de l</w:t>
      </w:r>
      <w:r w:rsidR="009C7759">
        <w:rPr>
          <w:lang w:val="fr-FR"/>
        </w:rPr>
        <w:t>’</w:t>
      </w:r>
      <w:r>
        <w:rPr>
          <w:lang w:val="fr-FR"/>
        </w:rPr>
        <w:t>égalité des chances et de la transparence, afin qu</w:t>
      </w:r>
      <w:r w:rsidR="009C7759">
        <w:rPr>
          <w:lang w:val="fr-FR"/>
        </w:rPr>
        <w:t>’</w:t>
      </w:r>
      <w:r>
        <w:rPr>
          <w:lang w:val="fr-FR"/>
        </w:rPr>
        <w:t>elles participent à l</w:t>
      </w:r>
      <w:r w:rsidR="009C7759">
        <w:rPr>
          <w:lang w:val="fr-FR"/>
        </w:rPr>
        <w:t>’</w:t>
      </w:r>
      <w:r>
        <w:rPr>
          <w:lang w:val="fr-FR"/>
        </w:rPr>
        <w:t>élaboration et à l</w:t>
      </w:r>
      <w:r w:rsidR="009C7759">
        <w:rPr>
          <w:lang w:val="fr-FR"/>
        </w:rPr>
        <w:t>’</w:t>
      </w:r>
      <w:r>
        <w:rPr>
          <w:lang w:val="fr-FR"/>
        </w:rPr>
        <w:t>exécution des politiques de l</w:t>
      </w:r>
      <w:r w:rsidR="009C7759">
        <w:rPr>
          <w:lang w:val="fr-FR"/>
        </w:rPr>
        <w:t>’</w:t>
      </w:r>
      <w:r>
        <w:rPr>
          <w:lang w:val="fr-FR"/>
        </w:rPr>
        <w:t>État, exercent un contrôle sur les activités de celui-ci et aient le droit d</w:t>
      </w:r>
      <w:r w:rsidR="009C7759">
        <w:rPr>
          <w:lang w:val="fr-FR"/>
        </w:rPr>
        <w:t>’</w:t>
      </w:r>
      <w:r>
        <w:rPr>
          <w:lang w:val="fr-FR"/>
        </w:rPr>
        <w:t>agir en faveur des intérêts de clients. Le projet de loi comporte également des dispositions relatives aux activités d</w:t>
      </w:r>
      <w:r w:rsidR="009C7759">
        <w:rPr>
          <w:lang w:val="fr-FR"/>
        </w:rPr>
        <w:t>’</w:t>
      </w:r>
      <w:r>
        <w:rPr>
          <w:lang w:val="fr-FR"/>
        </w:rPr>
        <w:t>intérêt général des personnes morales à but non lucratif, notamment en matière d</w:t>
      </w:r>
      <w:r w:rsidR="009C7759">
        <w:rPr>
          <w:lang w:val="fr-FR"/>
        </w:rPr>
        <w:t>’</w:t>
      </w:r>
      <w:r>
        <w:rPr>
          <w:lang w:val="fr-FR"/>
        </w:rPr>
        <w:t>aide sociale, de santé, d</w:t>
      </w:r>
      <w:r w:rsidR="009C7759">
        <w:rPr>
          <w:lang w:val="fr-FR"/>
        </w:rPr>
        <w:t>’</w:t>
      </w:r>
      <w:r>
        <w:rPr>
          <w:lang w:val="fr-FR"/>
        </w:rPr>
        <w:t>éducation (soutien à l</w:t>
      </w:r>
      <w:r w:rsidR="009C7759">
        <w:rPr>
          <w:lang w:val="fr-FR"/>
        </w:rPr>
        <w:t>’</w:t>
      </w:r>
      <w:r>
        <w:rPr>
          <w:lang w:val="fr-FR"/>
        </w:rPr>
        <w:t>éducation civique et aux droits de l</w:t>
      </w:r>
      <w:r w:rsidR="009C7759">
        <w:rPr>
          <w:lang w:val="fr-FR"/>
        </w:rPr>
        <w:t>’</w:t>
      </w:r>
      <w:r>
        <w:rPr>
          <w:lang w:val="fr-FR"/>
        </w:rPr>
        <w:t>homme), de protection des droits de l</w:t>
      </w:r>
      <w:r w:rsidR="009C7759">
        <w:rPr>
          <w:lang w:val="fr-FR"/>
        </w:rPr>
        <w:t>’</w:t>
      </w:r>
      <w:r>
        <w:rPr>
          <w:lang w:val="fr-FR"/>
        </w:rPr>
        <w:t>homme et libertés fondamentales, d</w:t>
      </w:r>
      <w:r w:rsidR="009C7759">
        <w:rPr>
          <w:lang w:val="fr-FR"/>
        </w:rPr>
        <w:t>’</w:t>
      </w:r>
      <w:r>
        <w:rPr>
          <w:lang w:val="fr-FR"/>
        </w:rPr>
        <w:t>élimination de la discrimination, de protection de la nature et de l</w:t>
      </w:r>
      <w:r w:rsidR="009C7759">
        <w:rPr>
          <w:lang w:val="fr-FR"/>
        </w:rPr>
        <w:t>’</w:t>
      </w:r>
      <w:r>
        <w:rPr>
          <w:lang w:val="fr-FR"/>
        </w:rPr>
        <w:t>environnement, d</w:t>
      </w:r>
      <w:r w:rsidR="009C7759">
        <w:rPr>
          <w:lang w:val="fr-FR"/>
        </w:rPr>
        <w:t>’</w:t>
      </w:r>
      <w:r>
        <w:rPr>
          <w:lang w:val="fr-FR"/>
        </w:rPr>
        <w:t xml:space="preserve">appui au développement </w:t>
      </w:r>
      <w:proofErr w:type="spellStart"/>
      <w:r>
        <w:rPr>
          <w:lang w:val="fr-FR"/>
        </w:rPr>
        <w:t>socioéconomique</w:t>
      </w:r>
      <w:proofErr w:type="spellEnd"/>
      <w:r>
        <w:rPr>
          <w:lang w:val="fr-FR"/>
        </w:rPr>
        <w:t>, de protection contre les catastrophes et de protection des défenseurs des droits de l</w:t>
      </w:r>
      <w:r w:rsidR="009C7759">
        <w:rPr>
          <w:lang w:val="fr-FR"/>
        </w:rPr>
        <w:t>’</w:t>
      </w:r>
      <w:r>
        <w:rPr>
          <w:lang w:val="fr-FR"/>
        </w:rPr>
        <w:t xml:space="preserve">homme. </w:t>
      </w:r>
    </w:p>
    <w:p w14:paraId="5FBAEC0E" w14:textId="13A72FA3" w:rsidR="00560776" w:rsidRPr="008D553A" w:rsidRDefault="00560776" w:rsidP="00D0092F">
      <w:pPr>
        <w:pStyle w:val="H23G"/>
        <w:rPr>
          <w:lang w:val="fr-FR"/>
        </w:rPr>
      </w:pPr>
      <w:r>
        <w:rPr>
          <w:lang w:val="fr-FR"/>
        </w:rPr>
        <w:lastRenderedPageBreak/>
        <w:tab/>
      </w:r>
      <w:r>
        <w:rPr>
          <w:lang w:val="fr-FR"/>
        </w:rPr>
        <w:tab/>
        <w:t>Projet de loi sur le statut juridique des défenseurs des droits de l</w:t>
      </w:r>
      <w:r w:rsidR="009C7759">
        <w:rPr>
          <w:lang w:val="fr-FR"/>
        </w:rPr>
        <w:t>’</w:t>
      </w:r>
      <w:r>
        <w:rPr>
          <w:lang w:val="fr-FR"/>
        </w:rPr>
        <w:t>homme</w:t>
      </w:r>
    </w:p>
    <w:p w14:paraId="20FEB4D9" w14:textId="0BFF5D4B" w:rsidR="00560776" w:rsidRPr="008D553A" w:rsidRDefault="00560776" w:rsidP="00560776">
      <w:pPr>
        <w:pStyle w:val="SingleTxtG"/>
        <w:rPr>
          <w:lang w:val="fr-FR"/>
        </w:rPr>
      </w:pPr>
      <w:r>
        <w:rPr>
          <w:lang w:val="fr-FR"/>
        </w:rPr>
        <w:t>70.</w:t>
      </w:r>
      <w:r>
        <w:rPr>
          <w:lang w:val="fr-FR"/>
        </w:rPr>
        <w:tab/>
        <w:t>Le préambule de la Constitution mongole prévoit d</w:t>
      </w:r>
      <w:r w:rsidR="009C7759">
        <w:rPr>
          <w:lang w:val="fr-FR"/>
        </w:rPr>
        <w:t>’</w:t>
      </w:r>
      <w:r>
        <w:rPr>
          <w:lang w:val="fr-FR"/>
        </w:rPr>
        <w:t>accorder la plus haute importance aux droits de l</w:t>
      </w:r>
      <w:r w:rsidR="009C7759">
        <w:rPr>
          <w:lang w:val="fr-FR"/>
        </w:rPr>
        <w:t>’</w:t>
      </w:r>
      <w:r>
        <w:rPr>
          <w:lang w:val="fr-FR"/>
        </w:rPr>
        <w:t>homme, aux libertés, à la justice et à l</w:t>
      </w:r>
      <w:r w:rsidR="009C7759">
        <w:rPr>
          <w:lang w:val="fr-FR"/>
        </w:rPr>
        <w:t>’</w:t>
      </w:r>
      <w:r>
        <w:rPr>
          <w:lang w:val="fr-FR"/>
        </w:rPr>
        <w:t>unité nationale et l</w:t>
      </w:r>
      <w:r w:rsidR="009C7759">
        <w:rPr>
          <w:lang w:val="fr-FR"/>
        </w:rPr>
        <w:t>’</w:t>
      </w:r>
      <w:r>
        <w:rPr>
          <w:lang w:val="fr-FR"/>
        </w:rPr>
        <w:t>article 19 dispose que l</w:t>
      </w:r>
      <w:r w:rsidR="009C7759">
        <w:rPr>
          <w:lang w:val="fr-FR"/>
        </w:rPr>
        <w:t>’</w:t>
      </w:r>
      <w:r>
        <w:rPr>
          <w:lang w:val="fr-FR"/>
        </w:rPr>
        <w:t>État a pour responsabilité envers les citoyens de mettre en place des conditions économiques, sociales, juridiques et autres garantissant le respect des droits de l</w:t>
      </w:r>
      <w:r w:rsidR="009C7759">
        <w:rPr>
          <w:lang w:val="fr-FR"/>
        </w:rPr>
        <w:t>’</w:t>
      </w:r>
      <w:r>
        <w:rPr>
          <w:lang w:val="fr-FR"/>
        </w:rPr>
        <w:t>homme et des libertés, de combattre les violations des droits de l</w:t>
      </w:r>
      <w:r w:rsidR="009C7759">
        <w:rPr>
          <w:lang w:val="fr-FR"/>
        </w:rPr>
        <w:t>’</w:t>
      </w:r>
      <w:r>
        <w:rPr>
          <w:lang w:val="fr-FR"/>
        </w:rPr>
        <w:t xml:space="preserve">homme et des libertés et de rétablir les droits bafoués. </w:t>
      </w:r>
    </w:p>
    <w:p w14:paraId="666CA18D" w14:textId="602467AB" w:rsidR="00560776" w:rsidRPr="008D553A" w:rsidRDefault="00560776" w:rsidP="00560776">
      <w:pPr>
        <w:pStyle w:val="SingleTxtG"/>
        <w:rPr>
          <w:lang w:val="fr-FR"/>
        </w:rPr>
      </w:pPr>
      <w:r>
        <w:rPr>
          <w:lang w:val="fr-FR"/>
        </w:rPr>
        <w:t>71.</w:t>
      </w:r>
      <w:r>
        <w:rPr>
          <w:lang w:val="fr-FR"/>
        </w:rPr>
        <w:tab/>
        <w:t>Le Conseil des droits de l</w:t>
      </w:r>
      <w:r w:rsidR="009C7759">
        <w:rPr>
          <w:lang w:val="fr-FR"/>
        </w:rPr>
        <w:t>’</w:t>
      </w:r>
      <w:r>
        <w:rPr>
          <w:lang w:val="fr-FR"/>
        </w:rPr>
        <w:t>homme de l</w:t>
      </w:r>
      <w:r w:rsidR="009C7759">
        <w:rPr>
          <w:lang w:val="fr-FR"/>
        </w:rPr>
        <w:t>’</w:t>
      </w:r>
      <w:r>
        <w:rPr>
          <w:lang w:val="fr-FR"/>
        </w:rPr>
        <w:t>ONU ayant adressé en 2010 au Gouvernement une recommandation portant sur la protection des défenseurs des droits de l</w:t>
      </w:r>
      <w:r w:rsidR="009C7759">
        <w:rPr>
          <w:lang w:val="fr-FR"/>
        </w:rPr>
        <w:t>’</w:t>
      </w:r>
      <w:r>
        <w:rPr>
          <w:lang w:val="fr-FR"/>
        </w:rPr>
        <w:t>homme, des dispositions ont été prises pour instaurer un environnement juridique propice. Un projet de loi sur le statut juridique des défenseurs des droits de l</w:t>
      </w:r>
      <w:r w:rsidR="009C7759">
        <w:rPr>
          <w:lang w:val="fr-FR"/>
        </w:rPr>
        <w:t>’</w:t>
      </w:r>
      <w:r>
        <w:rPr>
          <w:lang w:val="fr-FR"/>
        </w:rPr>
        <w:t xml:space="preserve">homme a été élaboré et soumis au Grand </w:t>
      </w:r>
      <w:proofErr w:type="spellStart"/>
      <w:r>
        <w:rPr>
          <w:lang w:val="fr-FR"/>
        </w:rPr>
        <w:t>Khoural</w:t>
      </w:r>
      <w:proofErr w:type="spellEnd"/>
      <w:r>
        <w:rPr>
          <w:lang w:val="fr-FR"/>
        </w:rPr>
        <w:t xml:space="preserve"> d</w:t>
      </w:r>
      <w:r w:rsidR="009C7759">
        <w:rPr>
          <w:lang w:val="fr-FR"/>
        </w:rPr>
        <w:t>’</w:t>
      </w:r>
      <w:r>
        <w:rPr>
          <w:lang w:val="fr-FR"/>
        </w:rPr>
        <w:t>État le 11 mai 2020. Ce projet de loi comporte des dispositions portant sur la définition des défenseurs des droits de l</w:t>
      </w:r>
      <w:r w:rsidR="009C7759">
        <w:rPr>
          <w:lang w:val="fr-FR"/>
        </w:rPr>
        <w:t>’</w:t>
      </w:r>
      <w:r>
        <w:rPr>
          <w:lang w:val="fr-FR"/>
        </w:rPr>
        <w:t>homme, leurs droits et le respect, la protection et la garantie de ces droits, les interdictions et la sensibilisation du public, qui visent à renforcer le statut juridique des défenseurs des droits de l</w:t>
      </w:r>
      <w:r w:rsidR="009C7759">
        <w:rPr>
          <w:lang w:val="fr-FR"/>
        </w:rPr>
        <w:t>’</w:t>
      </w:r>
      <w:r>
        <w:rPr>
          <w:lang w:val="fr-FR"/>
        </w:rPr>
        <w:t xml:space="preserve">homme. </w:t>
      </w:r>
      <w:bookmarkStart w:id="2" w:name="_Hlk55507039"/>
      <w:bookmarkEnd w:id="2"/>
    </w:p>
    <w:p w14:paraId="707E8B51" w14:textId="23B78B29" w:rsidR="00560776" w:rsidRPr="008D553A" w:rsidRDefault="00560776" w:rsidP="00560776">
      <w:pPr>
        <w:pStyle w:val="SingleTxtG"/>
        <w:rPr>
          <w:lang w:val="fr-FR"/>
        </w:rPr>
      </w:pPr>
      <w:r>
        <w:rPr>
          <w:lang w:val="fr-FR"/>
        </w:rPr>
        <w:t>72.</w:t>
      </w:r>
      <w:r>
        <w:rPr>
          <w:lang w:val="fr-FR"/>
        </w:rPr>
        <w:tab/>
        <w:t>Le projet de loi prévoit la création d</w:t>
      </w:r>
      <w:r w:rsidR="009C7759">
        <w:rPr>
          <w:lang w:val="fr-FR"/>
        </w:rPr>
        <w:t>’</w:t>
      </w:r>
      <w:r>
        <w:rPr>
          <w:lang w:val="fr-FR"/>
        </w:rPr>
        <w:t>un comité de protection des défenseurs des droits de l</w:t>
      </w:r>
      <w:r w:rsidR="009C7759">
        <w:rPr>
          <w:lang w:val="fr-FR"/>
        </w:rPr>
        <w:t>’</w:t>
      </w:r>
      <w:r>
        <w:rPr>
          <w:lang w:val="fr-FR"/>
        </w:rPr>
        <w:t>homme au sein de la Commission nationale des droits de l</w:t>
      </w:r>
      <w:r w:rsidR="009C7759">
        <w:rPr>
          <w:lang w:val="fr-FR"/>
        </w:rPr>
        <w:t>’</w:t>
      </w:r>
      <w:r>
        <w:rPr>
          <w:lang w:val="fr-FR"/>
        </w:rPr>
        <w:t>homme, qui sera composé de représentants de l</w:t>
      </w:r>
      <w:r w:rsidR="009C7759">
        <w:rPr>
          <w:lang w:val="fr-FR"/>
        </w:rPr>
        <w:t>’</w:t>
      </w:r>
      <w:r>
        <w:rPr>
          <w:lang w:val="fr-FR"/>
        </w:rPr>
        <w:t>État et d</w:t>
      </w:r>
      <w:r w:rsidR="009C7759">
        <w:rPr>
          <w:lang w:val="fr-FR"/>
        </w:rPr>
        <w:t>’</w:t>
      </w:r>
      <w:r>
        <w:rPr>
          <w:lang w:val="fr-FR"/>
        </w:rPr>
        <w:t>organisations de la société civile en exercice. Les représentants de la société civile doivent répondre à certains critères, qui permettent à ces organisations de proposer un candidat au terme d</w:t>
      </w:r>
      <w:r w:rsidR="009C7759">
        <w:rPr>
          <w:lang w:val="fr-FR"/>
        </w:rPr>
        <w:t>’</w:t>
      </w:r>
      <w:r>
        <w:rPr>
          <w:lang w:val="fr-FR"/>
        </w:rPr>
        <w:t xml:space="preserve">une décision commune. </w:t>
      </w:r>
    </w:p>
    <w:p w14:paraId="41B38E3F" w14:textId="6CB2747C" w:rsidR="00560776" w:rsidRPr="008D553A" w:rsidRDefault="00560776" w:rsidP="00560776">
      <w:pPr>
        <w:pStyle w:val="SingleTxtG"/>
        <w:rPr>
          <w:lang w:val="fr-FR"/>
        </w:rPr>
      </w:pPr>
      <w:r>
        <w:rPr>
          <w:lang w:val="fr-FR"/>
        </w:rPr>
        <w:t>73.</w:t>
      </w:r>
      <w:r>
        <w:rPr>
          <w:lang w:val="fr-FR"/>
        </w:rPr>
        <w:tab/>
        <w:t>L</w:t>
      </w:r>
      <w:r w:rsidR="009C7759">
        <w:rPr>
          <w:lang w:val="fr-FR"/>
        </w:rPr>
        <w:t>’</w:t>
      </w:r>
      <w:r>
        <w:rPr>
          <w:lang w:val="fr-FR"/>
        </w:rPr>
        <w:t>approbation du projet de loi permettra de définir plus précisément les activités des défenseurs des droits de l</w:t>
      </w:r>
      <w:r w:rsidR="009C7759">
        <w:rPr>
          <w:lang w:val="fr-FR"/>
        </w:rPr>
        <w:t>’</w:t>
      </w:r>
      <w:r>
        <w:rPr>
          <w:lang w:val="fr-FR"/>
        </w:rPr>
        <w:t>homme, d</w:t>
      </w:r>
      <w:r w:rsidR="009C7759">
        <w:rPr>
          <w:lang w:val="fr-FR"/>
        </w:rPr>
        <w:t>’</w:t>
      </w:r>
      <w:r>
        <w:rPr>
          <w:lang w:val="fr-FR"/>
        </w:rPr>
        <w:t>encourager la société civile et de favoriser l</w:t>
      </w:r>
      <w:r w:rsidR="009C7759">
        <w:rPr>
          <w:lang w:val="fr-FR"/>
        </w:rPr>
        <w:t>’</w:t>
      </w:r>
      <w:r>
        <w:rPr>
          <w:lang w:val="fr-FR"/>
        </w:rPr>
        <w:t>indépendance de ses activités, de protéger les victimes de discrimination, de rétablir les droits bafoués et de créer ainsi les conditions nécessaires à la promotion de la culture universelle des droits de l</w:t>
      </w:r>
      <w:r w:rsidR="009C7759">
        <w:rPr>
          <w:lang w:val="fr-FR"/>
        </w:rPr>
        <w:t>’</w:t>
      </w:r>
      <w:r>
        <w:rPr>
          <w:lang w:val="fr-FR"/>
        </w:rPr>
        <w:t>homme.</w:t>
      </w:r>
    </w:p>
    <w:p w14:paraId="2064EF6A" w14:textId="6AEA288C" w:rsidR="00560776" w:rsidRPr="008D553A" w:rsidRDefault="00560776" w:rsidP="00D0092F">
      <w:pPr>
        <w:pStyle w:val="H1G"/>
        <w:rPr>
          <w:lang w:val="fr-FR"/>
        </w:rPr>
      </w:pPr>
      <w:r>
        <w:rPr>
          <w:lang w:val="fr-FR"/>
        </w:rPr>
        <w:tab/>
      </w:r>
      <w:r>
        <w:rPr>
          <w:lang w:val="fr-FR"/>
        </w:rPr>
        <w:tab/>
        <w:t>Paragraphe 7 a) de la liste de points</w:t>
      </w:r>
    </w:p>
    <w:p w14:paraId="79A1637B" w14:textId="34A0F3A3" w:rsidR="00560776" w:rsidRPr="008D553A" w:rsidRDefault="00560776" w:rsidP="00D0092F">
      <w:pPr>
        <w:pStyle w:val="Titre1"/>
        <w:spacing w:after="120"/>
        <w:rPr>
          <w:b/>
          <w:bCs/>
          <w:lang w:val="fr-FR"/>
        </w:rPr>
      </w:pPr>
      <w:r>
        <w:rPr>
          <w:lang w:val="fr-FR"/>
        </w:rPr>
        <w:t>Tableau 12</w:t>
      </w:r>
      <w:r w:rsidR="00D0092F">
        <w:rPr>
          <w:lang w:val="fr-FR"/>
        </w:rPr>
        <w:t xml:space="preserve"> </w:t>
      </w:r>
      <w:r w:rsidR="00D0092F">
        <w:rPr>
          <w:lang w:val="fr-FR"/>
        </w:rPr>
        <w:br/>
      </w:r>
      <w:r>
        <w:rPr>
          <w:b/>
          <w:bCs/>
          <w:lang w:val="fr-FR"/>
        </w:rPr>
        <w:t>Taux de pauvreté et écart de revenus au sein de la population</w:t>
      </w:r>
    </w:p>
    <w:tbl>
      <w:tblPr>
        <w:tblW w:w="7370" w:type="dxa"/>
        <w:tblInd w:w="1134" w:type="dxa"/>
        <w:tblLayout w:type="fixed"/>
        <w:tblCellMar>
          <w:left w:w="0" w:type="dxa"/>
          <w:right w:w="0" w:type="dxa"/>
        </w:tblCellMar>
        <w:tblLook w:val="04A0" w:firstRow="1" w:lastRow="0" w:firstColumn="1" w:lastColumn="0" w:noHBand="0" w:noVBand="1"/>
      </w:tblPr>
      <w:tblGrid>
        <w:gridCol w:w="1603"/>
        <w:gridCol w:w="525"/>
        <w:gridCol w:w="525"/>
        <w:gridCol w:w="525"/>
        <w:gridCol w:w="524"/>
        <w:gridCol w:w="524"/>
        <w:gridCol w:w="524"/>
        <w:gridCol w:w="524"/>
        <w:gridCol w:w="524"/>
        <w:gridCol w:w="524"/>
        <w:gridCol w:w="524"/>
        <w:gridCol w:w="524"/>
      </w:tblGrid>
      <w:tr w:rsidR="00AE718A" w:rsidRPr="00AE718A" w14:paraId="158080C6" w14:textId="77777777" w:rsidTr="00AE718A">
        <w:trPr>
          <w:tblHeader/>
        </w:trPr>
        <w:tc>
          <w:tcPr>
            <w:tcW w:w="2215" w:type="dxa"/>
            <w:tcBorders>
              <w:top w:val="single" w:sz="4" w:space="0" w:color="auto"/>
              <w:bottom w:val="single" w:sz="12" w:space="0" w:color="auto"/>
            </w:tcBorders>
            <w:shd w:val="clear" w:color="auto" w:fill="auto"/>
            <w:vAlign w:val="bottom"/>
          </w:tcPr>
          <w:p w14:paraId="3F7256FA" w14:textId="77777777" w:rsidR="00560776" w:rsidRPr="00AE718A" w:rsidRDefault="00560776" w:rsidP="00AE718A">
            <w:pPr>
              <w:suppressAutoHyphens w:val="0"/>
              <w:spacing w:before="80" w:after="80" w:line="200" w:lineRule="exact"/>
              <w:rPr>
                <w:i/>
                <w:sz w:val="16"/>
                <w:lang w:val="fr-FR"/>
              </w:rPr>
            </w:pPr>
          </w:p>
        </w:tc>
        <w:tc>
          <w:tcPr>
            <w:tcW w:w="720" w:type="dxa"/>
            <w:tcBorders>
              <w:top w:val="single" w:sz="4" w:space="0" w:color="auto"/>
              <w:bottom w:val="single" w:sz="12" w:space="0" w:color="auto"/>
            </w:tcBorders>
            <w:shd w:val="clear" w:color="auto" w:fill="auto"/>
            <w:vAlign w:val="bottom"/>
          </w:tcPr>
          <w:p w14:paraId="207F80E0" w14:textId="77777777" w:rsidR="00560776" w:rsidRPr="00AE718A" w:rsidRDefault="00560776" w:rsidP="00AE718A">
            <w:pPr>
              <w:suppressAutoHyphens w:val="0"/>
              <w:spacing w:before="80" w:after="80" w:line="200" w:lineRule="exact"/>
              <w:jc w:val="right"/>
              <w:rPr>
                <w:i/>
                <w:sz w:val="16"/>
              </w:rPr>
            </w:pPr>
            <w:r w:rsidRPr="00AE718A">
              <w:rPr>
                <w:i/>
                <w:iCs/>
                <w:sz w:val="16"/>
                <w:lang w:val="fr-FR"/>
              </w:rPr>
              <w:t>2009</w:t>
            </w:r>
          </w:p>
        </w:tc>
        <w:tc>
          <w:tcPr>
            <w:tcW w:w="720" w:type="dxa"/>
            <w:tcBorders>
              <w:top w:val="single" w:sz="4" w:space="0" w:color="auto"/>
              <w:bottom w:val="single" w:sz="12" w:space="0" w:color="auto"/>
            </w:tcBorders>
            <w:shd w:val="clear" w:color="auto" w:fill="auto"/>
            <w:vAlign w:val="bottom"/>
          </w:tcPr>
          <w:p w14:paraId="567FD2DC" w14:textId="77777777" w:rsidR="00560776" w:rsidRPr="00AE718A" w:rsidRDefault="00560776" w:rsidP="00AE718A">
            <w:pPr>
              <w:suppressAutoHyphens w:val="0"/>
              <w:spacing w:before="80" w:after="80" w:line="200" w:lineRule="exact"/>
              <w:jc w:val="right"/>
              <w:rPr>
                <w:i/>
                <w:sz w:val="16"/>
              </w:rPr>
            </w:pPr>
            <w:r w:rsidRPr="00AE718A">
              <w:rPr>
                <w:i/>
                <w:iCs/>
                <w:sz w:val="16"/>
                <w:lang w:val="fr-FR"/>
              </w:rPr>
              <w:t>2010</w:t>
            </w:r>
          </w:p>
        </w:tc>
        <w:tc>
          <w:tcPr>
            <w:tcW w:w="720" w:type="dxa"/>
            <w:tcBorders>
              <w:top w:val="single" w:sz="4" w:space="0" w:color="auto"/>
              <w:bottom w:val="single" w:sz="12" w:space="0" w:color="auto"/>
            </w:tcBorders>
            <w:shd w:val="clear" w:color="auto" w:fill="auto"/>
            <w:vAlign w:val="bottom"/>
          </w:tcPr>
          <w:p w14:paraId="00C938B0" w14:textId="77777777" w:rsidR="00560776" w:rsidRPr="00AE718A" w:rsidRDefault="00560776" w:rsidP="00AE718A">
            <w:pPr>
              <w:suppressAutoHyphens w:val="0"/>
              <w:spacing w:before="80" w:after="80" w:line="200" w:lineRule="exact"/>
              <w:jc w:val="right"/>
              <w:rPr>
                <w:i/>
                <w:sz w:val="16"/>
              </w:rPr>
            </w:pPr>
            <w:r w:rsidRPr="00AE718A">
              <w:rPr>
                <w:i/>
                <w:iCs/>
                <w:sz w:val="16"/>
                <w:lang w:val="fr-FR"/>
              </w:rPr>
              <w:t>2011</w:t>
            </w:r>
          </w:p>
        </w:tc>
        <w:tc>
          <w:tcPr>
            <w:tcW w:w="720" w:type="dxa"/>
            <w:tcBorders>
              <w:top w:val="single" w:sz="4" w:space="0" w:color="auto"/>
              <w:bottom w:val="single" w:sz="12" w:space="0" w:color="auto"/>
            </w:tcBorders>
            <w:shd w:val="clear" w:color="auto" w:fill="auto"/>
            <w:vAlign w:val="bottom"/>
          </w:tcPr>
          <w:p w14:paraId="42906798" w14:textId="77777777" w:rsidR="00560776" w:rsidRPr="00AE718A" w:rsidRDefault="00560776" w:rsidP="00AE718A">
            <w:pPr>
              <w:suppressAutoHyphens w:val="0"/>
              <w:spacing w:before="80" w:after="80" w:line="200" w:lineRule="exact"/>
              <w:jc w:val="right"/>
              <w:rPr>
                <w:i/>
                <w:sz w:val="16"/>
              </w:rPr>
            </w:pPr>
            <w:r w:rsidRPr="00AE718A">
              <w:rPr>
                <w:i/>
                <w:iCs/>
                <w:sz w:val="16"/>
                <w:lang w:val="fr-FR"/>
              </w:rPr>
              <w:t>2012</w:t>
            </w:r>
          </w:p>
        </w:tc>
        <w:tc>
          <w:tcPr>
            <w:tcW w:w="720" w:type="dxa"/>
            <w:tcBorders>
              <w:top w:val="single" w:sz="4" w:space="0" w:color="auto"/>
              <w:bottom w:val="single" w:sz="12" w:space="0" w:color="auto"/>
            </w:tcBorders>
            <w:shd w:val="clear" w:color="auto" w:fill="auto"/>
            <w:vAlign w:val="bottom"/>
          </w:tcPr>
          <w:p w14:paraId="38E2F9C7" w14:textId="77777777" w:rsidR="00560776" w:rsidRPr="00AE718A" w:rsidRDefault="00560776" w:rsidP="00AE718A">
            <w:pPr>
              <w:suppressAutoHyphens w:val="0"/>
              <w:spacing w:before="80" w:after="80" w:line="200" w:lineRule="exact"/>
              <w:jc w:val="right"/>
              <w:rPr>
                <w:i/>
                <w:sz w:val="16"/>
              </w:rPr>
            </w:pPr>
            <w:r w:rsidRPr="00AE718A">
              <w:rPr>
                <w:i/>
                <w:iCs/>
                <w:sz w:val="16"/>
                <w:lang w:val="fr-FR"/>
              </w:rPr>
              <w:t>2013</w:t>
            </w:r>
          </w:p>
        </w:tc>
        <w:tc>
          <w:tcPr>
            <w:tcW w:w="720" w:type="dxa"/>
            <w:tcBorders>
              <w:top w:val="single" w:sz="4" w:space="0" w:color="auto"/>
              <w:bottom w:val="single" w:sz="12" w:space="0" w:color="auto"/>
            </w:tcBorders>
            <w:shd w:val="clear" w:color="auto" w:fill="auto"/>
            <w:vAlign w:val="bottom"/>
          </w:tcPr>
          <w:p w14:paraId="76951823" w14:textId="77777777" w:rsidR="00560776" w:rsidRPr="00AE718A" w:rsidRDefault="00560776" w:rsidP="00AE718A">
            <w:pPr>
              <w:suppressAutoHyphens w:val="0"/>
              <w:spacing w:before="80" w:after="80" w:line="200" w:lineRule="exact"/>
              <w:jc w:val="right"/>
              <w:rPr>
                <w:i/>
                <w:sz w:val="16"/>
              </w:rPr>
            </w:pPr>
            <w:r w:rsidRPr="00AE718A">
              <w:rPr>
                <w:i/>
                <w:iCs/>
                <w:sz w:val="16"/>
                <w:lang w:val="fr-FR"/>
              </w:rPr>
              <w:t>2014</w:t>
            </w:r>
          </w:p>
        </w:tc>
        <w:tc>
          <w:tcPr>
            <w:tcW w:w="720" w:type="dxa"/>
            <w:tcBorders>
              <w:top w:val="single" w:sz="4" w:space="0" w:color="auto"/>
              <w:bottom w:val="single" w:sz="12" w:space="0" w:color="auto"/>
            </w:tcBorders>
            <w:shd w:val="clear" w:color="auto" w:fill="auto"/>
            <w:vAlign w:val="bottom"/>
          </w:tcPr>
          <w:p w14:paraId="50CBF68B" w14:textId="77777777" w:rsidR="00560776" w:rsidRPr="00AE718A" w:rsidRDefault="00560776" w:rsidP="00AE718A">
            <w:pPr>
              <w:suppressAutoHyphens w:val="0"/>
              <w:spacing w:before="80" w:after="80" w:line="200" w:lineRule="exact"/>
              <w:jc w:val="right"/>
              <w:rPr>
                <w:i/>
                <w:sz w:val="16"/>
              </w:rPr>
            </w:pPr>
            <w:r w:rsidRPr="00AE718A">
              <w:rPr>
                <w:i/>
                <w:iCs/>
                <w:sz w:val="16"/>
                <w:lang w:val="fr-FR"/>
              </w:rPr>
              <w:t>2015</w:t>
            </w:r>
          </w:p>
        </w:tc>
        <w:tc>
          <w:tcPr>
            <w:tcW w:w="720" w:type="dxa"/>
            <w:tcBorders>
              <w:top w:val="single" w:sz="4" w:space="0" w:color="auto"/>
              <w:bottom w:val="single" w:sz="12" w:space="0" w:color="auto"/>
            </w:tcBorders>
            <w:shd w:val="clear" w:color="auto" w:fill="auto"/>
            <w:vAlign w:val="bottom"/>
          </w:tcPr>
          <w:p w14:paraId="3BBE07D7" w14:textId="77777777" w:rsidR="00560776" w:rsidRPr="00AE718A" w:rsidRDefault="00560776" w:rsidP="00AE718A">
            <w:pPr>
              <w:suppressAutoHyphens w:val="0"/>
              <w:spacing w:before="80" w:after="80" w:line="200" w:lineRule="exact"/>
              <w:jc w:val="right"/>
              <w:rPr>
                <w:i/>
                <w:sz w:val="16"/>
              </w:rPr>
            </w:pPr>
            <w:r w:rsidRPr="00AE718A">
              <w:rPr>
                <w:i/>
                <w:iCs/>
                <w:sz w:val="16"/>
                <w:lang w:val="fr-FR"/>
              </w:rPr>
              <w:t>2016</w:t>
            </w:r>
          </w:p>
        </w:tc>
        <w:tc>
          <w:tcPr>
            <w:tcW w:w="720" w:type="dxa"/>
            <w:tcBorders>
              <w:top w:val="single" w:sz="4" w:space="0" w:color="auto"/>
              <w:bottom w:val="single" w:sz="12" w:space="0" w:color="auto"/>
            </w:tcBorders>
            <w:shd w:val="clear" w:color="auto" w:fill="auto"/>
            <w:vAlign w:val="bottom"/>
          </w:tcPr>
          <w:p w14:paraId="043F98AD" w14:textId="77777777" w:rsidR="00560776" w:rsidRPr="00AE718A" w:rsidRDefault="00560776" w:rsidP="00AE718A">
            <w:pPr>
              <w:suppressAutoHyphens w:val="0"/>
              <w:spacing w:before="80" w:after="80" w:line="200" w:lineRule="exact"/>
              <w:jc w:val="right"/>
              <w:rPr>
                <w:i/>
                <w:sz w:val="16"/>
              </w:rPr>
            </w:pPr>
            <w:r w:rsidRPr="00AE718A">
              <w:rPr>
                <w:i/>
                <w:iCs/>
                <w:sz w:val="16"/>
                <w:lang w:val="fr-FR"/>
              </w:rPr>
              <w:t>2017</w:t>
            </w:r>
          </w:p>
        </w:tc>
        <w:tc>
          <w:tcPr>
            <w:tcW w:w="720" w:type="dxa"/>
            <w:tcBorders>
              <w:top w:val="single" w:sz="4" w:space="0" w:color="auto"/>
              <w:bottom w:val="single" w:sz="12" w:space="0" w:color="auto"/>
            </w:tcBorders>
            <w:shd w:val="clear" w:color="auto" w:fill="auto"/>
            <w:vAlign w:val="bottom"/>
          </w:tcPr>
          <w:p w14:paraId="16D0E8F6" w14:textId="77777777" w:rsidR="00560776" w:rsidRPr="00AE718A" w:rsidRDefault="00560776" w:rsidP="00AE718A">
            <w:pPr>
              <w:suppressAutoHyphens w:val="0"/>
              <w:spacing w:before="80" w:after="80" w:line="200" w:lineRule="exact"/>
              <w:jc w:val="right"/>
              <w:rPr>
                <w:i/>
                <w:sz w:val="16"/>
              </w:rPr>
            </w:pPr>
            <w:r w:rsidRPr="00AE718A">
              <w:rPr>
                <w:i/>
                <w:iCs/>
                <w:sz w:val="16"/>
                <w:lang w:val="fr-FR"/>
              </w:rPr>
              <w:t>2018</w:t>
            </w:r>
          </w:p>
        </w:tc>
        <w:tc>
          <w:tcPr>
            <w:tcW w:w="720" w:type="dxa"/>
            <w:tcBorders>
              <w:top w:val="single" w:sz="4" w:space="0" w:color="auto"/>
              <w:bottom w:val="single" w:sz="12" w:space="0" w:color="auto"/>
            </w:tcBorders>
            <w:shd w:val="clear" w:color="auto" w:fill="auto"/>
            <w:vAlign w:val="bottom"/>
          </w:tcPr>
          <w:p w14:paraId="6785DD1D" w14:textId="77777777" w:rsidR="00560776" w:rsidRPr="00AE718A" w:rsidRDefault="00560776" w:rsidP="00AE718A">
            <w:pPr>
              <w:suppressAutoHyphens w:val="0"/>
              <w:spacing w:before="80" w:after="80" w:line="200" w:lineRule="exact"/>
              <w:jc w:val="right"/>
              <w:rPr>
                <w:i/>
                <w:sz w:val="16"/>
              </w:rPr>
            </w:pPr>
            <w:r w:rsidRPr="00AE718A">
              <w:rPr>
                <w:i/>
                <w:iCs/>
                <w:sz w:val="16"/>
                <w:lang w:val="fr-FR"/>
              </w:rPr>
              <w:t>2019</w:t>
            </w:r>
          </w:p>
        </w:tc>
      </w:tr>
      <w:tr w:rsidR="00AE718A" w:rsidRPr="00AE718A" w14:paraId="54E37993" w14:textId="77777777" w:rsidTr="00AE718A">
        <w:tc>
          <w:tcPr>
            <w:tcW w:w="2215" w:type="dxa"/>
            <w:tcBorders>
              <w:top w:val="single" w:sz="12" w:space="0" w:color="auto"/>
            </w:tcBorders>
            <w:shd w:val="clear" w:color="auto" w:fill="auto"/>
          </w:tcPr>
          <w:p w14:paraId="7DD8DA3B" w14:textId="77777777" w:rsidR="00560776" w:rsidRPr="00AE718A" w:rsidRDefault="00560776" w:rsidP="00AE718A">
            <w:pPr>
              <w:suppressAutoHyphens w:val="0"/>
              <w:spacing w:before="40" w:after="40" w:line="220" w:lineRule="exact"/>
              <w:rPr>
                <w:sz w:val="18"/>
              </w:rPr>
            </w:pPr>
            <w:r w:rsidRPr="00AE718A">
              <w:rPr>
                <w:sz w:val="18"/>
                <w:lang w:val="fr-FR"/>
              </w:rPr>
              <w:t>Étendue de la pauvreté</w:t>
            </w:r>
          </w:p>
        </w:tc>
        <w:tc>
          <w:tcPr>
            <w:tcW w:w="720" w:type="dxa"/>
            <w:tcBorders>
              <w:top w:val="single" w:sz="12" w:space="0" w:color="auto"/>
            </w:tcBorders>
            <w:shd w:val="clear" w:color="auto" w:fill="auto"/>
            <w:vAlign w:val="bottom"/>
          </w:tcPr>
          <w:p w14:paraId="03391361" w14:textId="77777777" w:rsidR="00560776" w:rsidRPr="00AE718A" w:rsidRDefault="00560776" w:rsidP="00AE718A">
            <w:pPr>
              <w:suppressAutoHyphens w:val="0"/>
              <w:spacing w:before="40" w:after="40" w:line="220" w:lineRule="exact"/>
              <w:jc w:val="right"/>
              <w:rPr>
                <w:sz w:val="18"/>
              </w:rPr>
            </w:pPr>
            <w:r w:rsidRPr="00AE718A">
              <w:rPr>
                <w:sz w:val="18"/>
                <w:lang w:val="fr-FR"/>
              </w:rPr>
              <w:t>38,7</w:t>
            </w:r>
          </w:p>
        </w:tc>
        <w:tc>
          <w:tcPr>
            <w:tcW w:w="720" w:type="dxa"/>
            <w:tcBorders>
              <w:top w:val="single" w:sz="12" w:space="0" w:color="auto"/>
            </w:tcBorders>
            <w:shd w:val="clear" w:color="auto" w:fill="auto"/>
            <w:vAlign w:val="bottom"/>
          </w:tcPr>
          <w:p w14:paraId="3FA93326" w14:textId="77777777" w:rsidR="00560776" w:rsidRPr="00AE718A" w:rsidRDefault="00560776" w:rsidP="00AE718A">
            <w:pPr>
              <w:suppressAutoHyphens w:val="0"/>
              <w:spacing w:before="40" w:after="40" w:line="220" w:lineRule="exact"/>
              <w:jc w:val="right"/>
              <w:rPr>
                <w:sz w:val="18"/>
              </w:rPr>
            </w:pPr>
            <w:r w:rsidRPr="00AE718A">
              <w:rPr>
                <w:sz w:val="18"/>
                <w:lang w:val="fr-FR"/>
              </w:rPr>
              <w:t>38,8</w:t>
            </w:r>
          </w:p>
        </w:tc>
        <w:tc>
          <w:tcPr>
            <w:tcW w:w="720" w:type="dxa"/>
            <w:tcBorders>
              <w:top w:val="single" w:sz="12" w:space="0" w:color="auto"/>
            </w:tcBorders>
            <w:shd w:val="clear" w:color="auto" w:fill="auto"/>
            <w:vAlign w:val="bottom"/>
          </w:tcPr>
          <w:p w14:paraId="591C1A83" w14:textId="77777777" w:rsidR="00560776" w:rsidRPr="00AE718A" w:rsidRDefault="00560776" w:rsidP="00AE718A">
            <w:pPr>
              <w:suppressAutoHyphens w:val="0"/>
              <w:spacing w:before="40" w:after="40" w:line="220" w:lineRule="exact"/>
              <w:jc w:val="right"/>
              <w:rPr>
                <w:sz w:val="18"/>
              </w:rPr>
            </w:pPr>
            <w:r w:rsidRPr="00AE718A">
              <w:rPr>
                <w:sz w:val="18"/>
                <w:lang w:val="fr-FR"/>
              </w:rPr>
              <w:t>33,7</w:t>
            </w:r>
          </w:p>
        </w:tc>
        <w:tc>
          <w:tcPr>
            <w:tcW w:w="720" w:type="dxa"/>
            <w:tcBorders>
              <w:top w:val="single" w:sz="12" w:space="0" w:color="auto"/>
            </w:tcBorders>
            <w:shd w:val="clear" w:color="auto" w:fill="auto"/>
            <w:vAlign w:val="bottom"/>
          </w:tcPr>
          <w:p w14:paraId="2631FF0A" w14:textId="77777777" w:rsidR="00560776" w:rsidRPr="00AE718A" w:rsidRDefault="00560776" w:rsidP="00AE718A">
            <w:pPr>
              <w:suppressAutoHyphens w:val="0"/>
              <w:spacing w:before="40" w:after="40" w:line="220" w:lineRule="exact"/>
              <w:jc w:val="right"/>
              <w:rPr>
                <w:sz w:val="18"/>
              </w:rPr>
            </w:pPr>
            <w:r w:rsidRPr="00AE718A">
              <w:rPr>
                <w:sz w:val="18"/>
                <w:lang w:val="fr-FR"/>
              </w:rPr>
              <w:t>27,4</w:t>
            </w:r>
          </w:p>
        </w:tc>
        <w:tc>
          <w:tcPr>
            <w:tcW w:w="720" w:type="dxa"/>
            <w:tcBorders>
              <w:top w:val="single" w:sz="12" w:space="0" w:color="auto"/>
            </w:tcBorders>
            <w:shd w:val="clear" w:color="auto" w:fill="auto"/>
            <w:vAlign w:val="bottom"/>
          </w:tcPr>
          <w:p w14:paraId="6711E83D" w14:textId="77777777" w:rsidR="00560776" w:rsidRPr="00AE718A" w:rsidRDefault="00560776" w:rsidP="00AE718A">
            <w:pPr>
              <w:suppressAutoHyphens w:val="0"/>
              <w:spacing w:before="40" w:after="40" w:line="220" w:lineRule="exact"/>
              <w:jc w:val="right"/>
              <w:rPr>
                <w:sz w:val="18"/>
              </w:rPr>
            </w:pPr>
            <w:r w:rsidRPr="00AE718A">
              <w:rPr>
                <w:sz w:val="18"/>
              </w:rPr>
              <w:t>-</w:t>
            </w:r>
          </w:p>
        </w:tc>
        <w:tc>
          <w:tcPr>
            <w:tcW w:w="720" w:type="dxa"/>
            <w:tcBorders>
              <w:top w:val="single" w:sz="12" w:space="0" w:color="auto"/>
            </w:tcBorders>
            <w:shd w:val="clear" w:color="auto" w:fill="auto"/>
            <w:vAlign w:val="bottom"/>
          </w:tcPr>
          <w:p w14:paraId="3507628C" w14:textId="77777777" w:rsidR="00560776" w:rsidRPr="00AE718A" w:rsidRDefault="00560776" w:rsidP="00AE718A">
            <w:pPr>
              <w:suppressAutoHyphens w:val="0"/>
              <w:spacing w:before="40" w:after="40" w:line="220" w:lineRule="exact"/>
              <w:jc w:val="right"/>
              <w:rPr>
                <w:sz w:val="18"/>
              </w:rPr>
            </w:pPr>
            <w:r w:rsidRPr="00AE718A">
              <w:rPr>
                <w:sz w:val="18"/>
                <w:lang w:val="fr-FR"/>
              </w:rPr>
              <w:t>21,6</w:t>
            </w:r>
          </w:p>
        </w:tc>
        <w:tc>
          <w:tcPr>
            <w:tcW w:w="720" w:type="dxa"/>
            <w:tcBorders>
              <w:top w:val="single" w:sz="12" w:space="0" w:color="auto"/>
            </w:tcBorders>
            <w:shd w:val="clear" w:color="auto" w:fill="auto"/>
            <w:vAlign w:val="bottom"/>
          </w:tcPr>
          <w:p w14:paraId="775C6E65" w14:textId="77777777" w:rsidR="00560776" w:rsidRPr="00AE718A" w:rsidRDefault="00560776" w:rsidP="00AE718A">
            <w:pPr>
              <w:suppressAutoHyphens w:val="0"/>
              <w:spacing w:before="40" w:after="40" w:line="220" w:lineRule="exact"/>
              <w:jc w:val="right"/>
              <w:rPr>
                <w:sz w:val="18"/>
              </w:rPr>
            </w:pPr>
            <w:r w:rsidRPr="00AE718A">
              <w:rPr>
                <w:sz w:val="18"/>
              </w:rPr>
              <w:t>-</w:t>
            </w:r>
          </w:p>
        </w:tc>
        <w:tc>
          <w:tcPr>
            <w:tcW w:w="720" w:type="dxa"/>
            <w:tcBorders>
              <w:top w:val="single" w:sz="12" w:space="0" w:color="auto"/>
            </w:tcBorders>
            <w:shd w:val="clear" w:color="auto" w:fill="auto"/>
            <w:vAlign w:val="bottom"/>
          </w:tcPr>
          <w:p w14:paraId="30041B38" w14:textId="77777777" w:rsidR="00560776" w:rsidRPr="00AE718A" w:rsidRDefault="00560776" w:rsidP="00AE718A">
            <w:pPr>
              <w:suppressAutoHyphens w:val="0"/>
              <w:spacing w:before="40" w:after="40" w:line="220" w:lineRule="exact"/>
              <w:jc w:val="right"/>
              <w:rPr>
                <w:sz w:val="18"/>
              </w:rPr>
            </w:pPr>
            <w:r w:rsidRPr="00AE718A">
              <w:rPr>
                <w:sz w:val="18"/>
                <w:lang w:val="fr-FR"/>
              </w:rPr>
              <w:t>29,6</w:t>
            </w:r>
          </w:p>
        </w:tc>
        <w:tc>
          <w:tcPr>
            <w:tcW w:w="720" w:type="dxa"/>
            <w:tcBorders>
              <w:top w:val="single" w:sz="12" w:space="0" w:color="auto"/>
            </w:tcBorders>
            <w:shd w:val="clear" w:color="auto" w:fill="auto"/>
            <w:vAlign w:val="bottom"/>
          </w:tcPr>
          <w:p w14:paraId="2894F701" w14:textId="77777777" w:rsidR="00560776" w:rsidRPr="00AE718A" w:rsidRDefault="00560776" w:rsidP="00AE718A">
            <w:pPr>
              <w:suppressAutoHyphens w:val="0"/>
              <w:spacing w:before="40" w:after="40" w:line="220" w:lineRule="exact"/>
              <w:jc w:val="right"/>
              <w:rPr>
                <w:sz w:val="18"/>
              </w:rPr>
            </w:pPr>
            <w:r w:rsidRPr="00AE718A">
              <w:rPr>
                <w:sz w:val="18"/>
              </w:rPr>
              <w:t>-</w:t>
            </w:r>
          </w:p>
        </w:tc>
        <w:tc>
          <w:tcPr>
            <w:tcW w:w="720" w:type="dxa"/>
            <w:tcBorders>
              <w:top w:val="single" w:sz="12" w:space="0" w:color="auto"/>
            </w:tcBorders>
            <w:shd w:val="clear" w:color="auto" w:fill="auto"/>
            <w:vAlign w:val="bottom"/>
          </w:tcPr>
          <w:p w14:paraId="75D4BC06" w14:textId="77777777" w:rsidR="00560776" w:rsidRPr="00AE718A" w:rsidRDefault="00560776" w:rsidP="00AE718A">
            <w:pPr>
              <w:suppressAutoHyphens w:val="0"/>
              <w:spacing w:before="40" w:after="40" w:line="220" w:lineRule="exact"/>
              <w:jc w:val="right"/>
              <w:rPr>
                <w:sz w:val="18"/>
              </w:rPr>
            </w:pPr>
            <w:r w:rsidRPr="00AE718A">
              <w:rPr>
                <w:sz w:val="18"/>
                <w:lang w:val="fr-FR"/>
              </w:rPr>
              <w:t>28,4</w:t>
            </w:r>
          </w:p>
        </w:tc>
        <w:tc>
          <w:tcPr>
            <w:tcW w:w="720" w:type="dxa"/>
            <w:tcBorders>
              <w:top w:val="single" w:sz="12" w:space="0" w:color="auto"/>
            </w:tcBorders>
            <w:shd w:val="clear" w:color="auto" w:fill="auto"/>
            <w:vAlign w:val="bottom"/>
          </w:tcPr>
          <w:p w14:paraId="7D3E2A23" w14:textId="77777777" w:rsidR="00560776" w:rsidRPr="00AE718A" w:rsidRDefault="00560776" w:rsidP="00AE718A">
            <w:pPr>
              <w:suppressAutoHyphens w:val="0"/>
              <w:spacing w:before="40" w:after="40" w:line="220" w:lineRule="exact"/>
              <w:jc w:val="right"/>
              <w:rPr>
                <w:sz w:val="18"/>
              </w:rPr>
            </w:pPr>
            <w:r w:rsidRPr="00AE718A">
              <w:rPr>
                <w:sz w:val="18"/>
              </w:rPr>
              <w:t>-</w:t>
            </w:r>
          </w:p>
        </w:tc>
      </w:tr>
      <w:tr w:rsidR="00AE718A" w:rsidRPr="00AE718A" w14:paraId="70CC40C9" w14:textId="77777777" w:rsidTr="00AE718A">
        <w:tc>
          <w:tcPr>
            <w:tcW w:w="2215" w:type="dxa"/>
            <w:tcBorders>
              <w:bottom w:val="single" w:sz="12" w:space="0" w:color="auto"/>
            </w:tcBorders>
            <w:shd w:val="clear" w:color="auto" w:fill="auto"/>
          </w:tcPr>
          <w:p w14:paraId="35BBD5CB" w14:textId="77777777" w:rsidR="00560776" w:rsidRPr="00AE718A" w:rsidRDefault="00560776" w:rsidP="00AE718A">
            <w:pPr>
              <w:suppressAutoHyphens w:val="0"/>
              <w:spacing w:before="40" w:after="40" w:line="220" w:lineRule="exact"/>
              <w:rPr>
                <w:sz w:val="18"/>
                <w:lang w:val="fr-FR"/>
              </w:rPr>
            </w:pPr>
            <w:r w:rsidRPr="00AE718A">
              <w:rPr>
                <w:sz w:val="18"/>
                <w:lang w:val="fr-FR"/>
              </w:rPr>
              <w:t xml:space="preserve">Ratio entre le revenu total du décile le plus riche de la population et le revenu total des 40 % de la population la plus pauvre </w:t>
            </w:r>
          </w:p>
        </w:tc>
        <w:tc>
          <w:tcPr>
            <w:tcW w:w="720" w:type="dxa"/>
            <w:tcBorders>
              <w:bottom w:val="single" w:sz="12" w:space="0" w:color="auto"/>
            </w:tcBorders>
            <w:shd w:val="clear" w:color="auto" w:fill="auto"/>
            <w:vAlign w:val="bottom"/>
          </w:tcPr>
          <w:p w14:paraId="02059AFA" w14:textId="77777777" w:rsidR="00560776" w:rsidRPr="00AE718A" w:rsidRDefault="00560776" w:rsidP="00AE718A">
            <w:pPr>
              <w:suppressAutoHyphens w:val="0"/>
              <w:spacing w:before="40" w:after="40" w:line="220" w:lineRule="exact"/>
              <w:jc w:val="right"/>
              <w:rPr>
                <w:sz w:val="18"/>
              </w:rPr>
            </w:pPr>
            <w:r w:rsidRPr="00AE718A">
              <w:rPr>
                <w:sz w:val="18"/>
                <w:lang w:val="fr-FR"/>
              </w:rPr>
              <w:t>0,92</w:t>
            </w:r>
          </w:p>
        </w:tc>
        <w:tc>
          <w:tcPr>
            <w:tcW w:w="720" w:type="dxa"/>
            <w:tcBorders>
              <w:bottom w:val="single" w:sz="12" w:space="0" w:color="auto"/>
            </w:tcBorders>
            <w:shd w:val="clear" w:color="auto" w:fill="auto"/>
            <w:vAlign w:val="bottom"/>
          </w:tcPr>
          <w:p w14:paraId="2C170E36" w14:textId="77777777" w:rsidR="00560776" w:rsidRPr="00AE718A" w:rsidRDefault="00560776" w:rsidP="00AE718A">
            <w:pPr>
              <w:suppressAutoHyphens w:val="0"/>
              <w:spacing w:before="40" w:after="40" w:line="220" w:lineRule="exact"/>
              <w:jc w:val="right"/>
              <w:rPr>
                <w:sz w:val="18"/>
              </w:rPr>
            </w:pPr>
            <w:r w:rsidRPr="00AE718A">
              <w:rPr>
                <w:sz w:val="18"/>
                <w:lang w:val="fr-FR"/>
              </w:rPr>
              <w:t>0,92</w:t>
            </w:r>
          </w:p>
        </w:tc>
        <w:tc>
          <w:tcPr>
            <w:tcW w:w="720" w:type="dxa"/>
            <w:tcBorders>
              <w:bottom w:val="single" w:sz="12" w:space="0" w:color="auto"/>
            </w:tcBorders>
            <w:shd w:val="clear" w:color="auto" w:fill="auto"/>
            <w:vAlign w:val="bottom"/>
          </w:tcPr>
          <w:p w14:paraId="0B88F99A" w14:textId="77777777" w:rsidR="00560776" w:rsidRPr="00AE718A" w:rsidRDefault="00560776" w:rsidP="00AE718A">
            <w:pPr>
              <w:suppressAutoHyphens w:val="0"/>
              <w:spacing w:before="40" w:after="40" w:line="220" w:lineRule="exact"/>
              <w:jc w:val="right"/>
              <w:rPr>
                <w:sz w:val="18"/>
              </w:rPr>
            </w:pPr>
            <w:r w:rsidRPr="00AE718A">
              <w:rPr>
                <w:sz w:val="18"/>
                <w:lang w:val="fr-FR"/>
              </w:rPr>
              <w:t>0,93</w:t>
            </w:r>
          </w:p>
        </w:tc>
        <w:tc>
          <w:tcPr>
            <w:tcW w:w="720" w:type="dxa"/>
            <w:tcBorders>
              <w:bottom w:val="single" w:sz="12" w:space="0" w:color="auto"/>
            </w:tcBorders>
            <w:shd w:val="clear" w:color="auto" w:fill="auto"/>
            <w:vAlign w:val="bottom"/>
          </w:tcPr>
          <w:p w14:paraId="20DC341B" w14:textId="77777777" w:rsidR="00560776" w:rsidRPr="00AE718A" w:rsidRDefault="00560776" w:rsidP="00AE718A">
            <w:pPr>
              <w:suppressAutoHyphens w:val="0"/>
              <w:spacing w:before="40" w:after="40" w:line="220" w:lineRule="exact"/>
              <w:jc w:val="right"/>
              <w:rPr>
                <w:sz w:val="18"/>
              </w:rPr>
            </w:pPr>
            <w:r w:rsidRPr="00AE718A">
              <w:rPr>
                <w:sz w:val="18"/>
                <w:lang w:val="fr-FR"/>
              </w:rPr>
              <w:t>1,04</w:t>
            </w:r>
          </w:p>
        </w:tc>
        <w:tc>
          <w:tcPr>
            <w:tcW w:w="720" w:type="dxa"/>
            <w:tcBorders>
              <w:bottom w:val="single" w:sz="12" w:space="0" w:color="auto"/>
            </w:tcBorders>
            <w:shd w:val="clear" w:color="auto" w:fill="auto"/>
            <w:vAlign w:val="bottom"/>
          </w:tcPr>
          <w:p w14:paraId="3AC7BB43" w14:textId="77777777" w:rsidR="00560776" w:rsidRPr="00AE718A" w:rsidRDefault="00560776" w:rsidP="00AE718A">
            <w:pPr>
              <w:suppressAutoHyphens w:val="0"/>
              <w:spacing w:before="40" w:after="40" w:line="220" w:lineRule="exact"/>
              <w:jc w:val="right"/>
              <w:rPr>
                <w:sz w:val="18"/>
              </w:rPr>
            </w:pPr>
            <w:r w:rsidRPr="00AE718A">
              <w:rPr>
                <w:sz w:val="18"/>
              </w:rPr>
              <w:t>-</w:t>
            </w:r>
          </w:p>
        </w:tc>
        <w:tc>
          <w:tcPr>
            <w:tcW w:w="720" w:type="dxa"/>
            <w:tcBorders>
              <w:bottom w:val="single" w:sz="12" w:space="0" w:color="auto"/>
            </w:tcBorders>
            <w:shd w:val="clear" w:color="auto" w:fill="auto"/>
            <w:vAlign w:val="bottom"/>
          </w:tcPr>
          <w:p w14:paraId="1B67CFCF" w14:textId="77777777" w:rsidR="00560776" w:rsidRPr="00AE718A" w:rsidRDefault="00560776" w:rsidP="00AE718A">
            <w:pPr>
              <w:suppressAutoHyphens w:val="0"/>
              <w:spacing w:before="40" w:after="40" w:line="220" w:lineRule="exact"/>
              <w:jc w:val="right"/>
              <w:rPr>
                <w:sz w:val="18"/>
              </w:rPr>
            </w:pPr>
            <w:r w:rsidRPr="00AE718A">
              <w:rPr>
                <w:sz w:val="18"/>
                <w:lang w:val="fr-FR"/>
              </w:rPr>
              <w:t>1,04</w:t>
            </w:r>
          </w:p>
        </w:tc>
        <w:tc>
          <w:tcPr>
            <w:tcW w:w="720" w:type="dxa"/>
            <w:tcBorders>
              <w:bottom w:val="single" w:sz="12" w:space="0" w:color="auto"/>
            </w:tcBorders>
            <w:shd w:val="clear" w:color="auto" w:fill="auto"/>
            <w:vAlign w:val="bottom"/>
          </w:tcPr>
          <w:p w14:paraId="789C0333" w14:textId="77777777" w:rsidR="00560776" w:rsidRPr="00AE718A" w:rsidRDefault="00560776" w:rsidP="00AE718A">
            <w:pPr>
              <w:suppressAutoHyphens w:val="0"/>
              <w:spacing w:before="40" w:after="40" w:line="220" w:lineRule="exact"/>
              <w:jc w:val="right"/>
              <w:rPr>
                <w:sz w:val="18"/>
              </w:rPr>
            </w:pPr>
            <w:r w:rsidRPr="00AE718A">
              <w:rPr>
                <w:sz w:val="18"/>
              </w:rPr>
              <w:t>-</w:t>
            </w:r>
          </w:p>
        </w:tc>
        <w:tc>
          <w:tcPr>
            <w:tcW w:w="720" w:type="dxa"/>
            <w:tcBorders>
              <w:bottom w:val="single" w:sz="12" w:space="0" w:color="auto"/>
            </w:tcBorders>
            <w:shd w:val="clear" w:color="auto" w:fill="auto"/>
            <w:vAlign w:val="bottom"/>
          </w:tcPr>
          <w:p w14:paraId="1433B4EA" w14:textId="77777777" w:rsidR="00560776" w:rsidRPr="00AE718A" w:rsidRDefault="00560776" w:rsidP="00AE718A">
            <w:pPr>
              <w:suppressAutoHyphens w:val="0"/>
              <w:spacing w:before="40" w:after="40" w:line="220" w:lineRule="exact"/>
              <w:jc w:val="right"/>
              <w:rPr>
                <w:sz w:val="18"/>
              </w:rPr>
            </w:pPr>
            <w:r w:rsidRPr="00AE718A">
              <w:rPr>
                <w:sz w:val="18"/>
                <w:lang w:val="fr-FR"/>
              </w:rPr>
              <w:t>1,03</w:t>
            </w:r>
          </w:p>
        </w:tc>
        <w:tc>
          <w:tcPr>
            <w:tcW w:w="720" w:type="dxa"/>
            <w:tcBorders>
              <w:bottom w:val="single" w:sz="12" w:space="0" w:color="auto"/>
            </w:tcBorders>
            <w:shd w:val="clear" w:color="auto" w:fill="auto"/>
            <w:vAlign w:val="bottom"/>
          </w:tcPr>
          <w:p w14:paraId="1EB03260" w14:textId="77777777" w:rsidR="00560776" w:rsidRPr="00AE718A" w:rsidRDefault="00560776" w:rsidP="00AE718A">
            <w:pPr>
              <w:suppressAutoHyphens w:val="0"/>
              <w:spacing w:before="40" w:after="40" w:line="220" w:lineRule="exact"/>
              <w:jc w:val="right"/>
              <w:rPr>
                <w:sz w:val="18"/>
              </w:rPr>
            </w:pPr>
            <w:r w:rsidRPr="00AE718A">
              <w:rPr>
                <w:sz w:val="18"/>
              </w:rPr>
              <w:t>-</w:t>
            </w:r>
          </w:p>
        </w:tc>
        <w:tc>
          <w:tcPr>
            <w:tcW w:w="720" w:type="dxa"/>
            <w:tcBorders>
              <w:bottom w:val="single" w:sz="12" w:space="0" w:color="auto"/>
            </w:tcBorders>
            <w:shd w:val="clear" w:color="auto" w:fill="auto"/>
            <w:vAlign w:val="bottom"/>
          </w:tcPr>
          <w:p w14:paraId="68895DA5" w14:textId="77777777" w:rsidR="00560776" w:rsidRPr="00AE718A" w:rsidRDefault="00560776" w:rsidP="00AE718A">
            <w:pPr>
              <w:suppressAutoHyphens w:val="0"/>
              <w:spacing w:before="40" w:after="40" w:line="220" w:lineRule="exact"/>
              <w:jc w:val="right"/>
              <w:rPr>
                <w:sz w:val="18"/>
              </w:rPr>
            </w:pPr>
            <w:r w:rsidRPr="00AE718A">
              <w:rPr>
                <w:sz w:val="18"/>
                <w:lang w:val="fr-FR"/>
              </w:rPr>
              <w:t>0,99</w:t>
            </w:r>
          </w:p>
        </w:tc>
        <w:tc>
          <w:tcPr>
            <w:tcW w:w="720" w:type="dxa"/>
            <w:tcBorders>
              <w:bottom w:val="single" w:sz="12" w:space="0" w:color="auto"/>
            </w:tcBorders>
            <w:shd w:val="clear" w:color="auto" w:fill="auto"/>
            <w:vAlign w:val="bottom"/>
          </w:tcPr>
          <w:p w14:paraId="78DA7BCC" w14:textId="77777777" w:rsidR="00560776" w:rsidRPr="00AE718A" w:rsidRDefault="00560776" w:rsidP="00AE718A">
            <w:pPr>
              <w:suppressAutoHyphens w:val="0"/>
              <w:spacing w:before="40" w:after="40" w:line="220" w:lineRule="exact"/>
              <w:jc w:val="right"/>
              <w:rPr>
                <w:sz w:val="18"/>
              </w:rPr>
            </w:pPr>
            <w:r w:rsidRPr="00AE718A">
              <w:rPr>
                <w:sz w:val="18"/>
              </w:rPr>
              <w:t>-</w:t>
            </w:r>
          </w:p>
        </w:tc>
      </w:tr>
    </w:tbl>
    <w:p w14:paraId="66DE4CA3" w14:textId="1E4F9230" w:rsidR="00560776" w:rsidRPr="00D0092F" w:rsidRDefault="00560776" w:rsidP="00D0092F">
      <w:pPr>
        <w:pStyle w:val="SingleTxtG"/>
        <w:spacing w:before="120"/>
        <w:ind w:firstLine="170"/>
        <w:rPr>
          <w:sz w:val="18"/>
          <w:szCs w:val="18"/>
        </w:rPr>
      </w:pPr>
      <w:r w:rsidRPr="00D0092F">
        <w:rPr>
          <w:i/>
          <w:iCs/>
          <w:sz w:val="18"/>
          <w:szCs w:val="18"/>
        </w:rPr>
        <w:t>Source</w:t>
      </w:r>
      <w:r w:rsidR="00A737F5">
        <w:rPr>
          <w:sz w:val="18"/>
          <w:szCs w:val="18"/>
        </w:rPr>
        <w:t> </w:t>
      </w:r>
      <w:r w:rsidRPr="00D0092F">
        <w:rPr>
          <w:sz w:val="18"/>
          <w:szCs w:val="18"/>
        </w:rPr>
        <w:t>: Base de données statistiques unifiée de l</w:t>
      </w:r>
      <w:r w:rsidR="009C7759">
        <w:rPr>
          <w:sz w:val="18"/>
          <w:szCs w:val="18"/>
        </w:rPr>
        <w:t>’</w:t>
      </w:r>
      <w:r w:rsidRPr="00D0092F">
        <w:rPr>
          <w:sz w:val="18"/>
          <w:szCs w:val="18"/>
        </w:rPr>
        <w:t xml:space="preserve">organisme national de statistique (2009-2019). </w:t>
      </w:r>
    </w:p>
    <w:p w14:paraId="792EFF86" w14:textId="61FAB0D8" w:rsidR="00560776" w:rsidRPr="008D553A" w:rsidRDefault="00560776" w:rsidP="00E916C8">
      <w:pPr>
        <w:pStyle w:val="SingleTxtG"/>
        <w:spacing w:before="240"/>
        <w:rPr>
          <w:lang w:val="fr-FR"/>
        </w:rPr>
      </w:pPr>
      <w:r>
        <w:rPr>
          <w:lang w:val="fr-FR"/>
        </w:rPr>
        <w:t>74.</w:t>
      </w:r>
      <w:r>
        <w:rPr>
          <w:lang w:val="fr-FR"/>
        </w:rPr>
        <w:tab/>
        <w:t>Précision</w:t>
      </w:r>
      <w:r w:rsidR="00A737F5">
        <w:rPr>
          <w:lang w:val="fr-FR"/>
        </w:rPr>
        <w:t> </w:t>
      </w:r>
      <w:r>
        <w:rPr>
          <w:lang w:val="fr-FR"/>
        </w:rPr>
        <w:t>: Depuis 2012, la Mongolie calcule le taux de pauvreté tous les deux ans.</w:t>
      </w:r>
    </w:p>
    <w:p w14:paraId="1B0DB09E" w14:textId="342262EB" w:rsidR="00560776" w:rsidRPr="008D553A" w:rsidRDefault="00560776" w:rsidP="00AE718A">
      <w:pPr>
        <w:pStyle w:val="H1G"/>
        <w:rPr>
          <w:lang w:val="fr-FR"/>
        </w:rPr>
      </w:pPr>
      <w:r>
        <w:rPr>
          <w:lang w:val="fr-FR"/>
        </w:rPr>
        <w:lastRenderedPageBreak/>
        <w:tab/>
      </w:r>
      <w:r>
        <w:rPr>
          <w:lang w:val="fr-FR"/>
        </w:rPr>
        <w:tab/>
        <w:t>Paragraphe 7 b) de la liste de points</w:t>
      </w:r>
    </w:p>
    <w:p w14:paraId="075167AC" w14:textId="2B78FBE6" w:rsidR="00560776" w:rsidRPr="008D553A" w:rsidRDefault="00560776" w:rsidP="00AE718A">
      <w:pPr>
        <w:pStyle w:val="Titre1"/>
        <w:spacing w:after="120"/>
        <w:rPr>
          <w:b/>
          <w:bCs/>
          <w:lang w:val="fr-FR"/>
        </w:rPr>
      </w:pPr>
      <w:r w:rsidRPr="008D553A">
        <w:rPr>
          <w:lang w:val="fr-FR"/>
        </w:rPr>
        <w:t>Table</w:t>
      </w:r>
      <w:r w:rsidR="004B20C9">
        <w:rPr>
          <w:lang w:val="fr-FR"/>
        </w:rPr>
        <w:t>au</w:t>
      </w:r>
      <w:r w:rsidRPr="008D553A">
        <w:rPr>
          <w:lang w:val="fr-FR"/>
        </w:rPr>
        <w:t xml:space="preserve"> 13</w:t>
      </w:r>
      <w:r w:rsidR="00D0092F">
        <w:rPr>
          <w:lang w:val="fr-FR"/>
        </w:rPr>
        <w:t xml:space="preserve"> </w:t>
      </w:r>
      <w:r w:rsidR="00D0092F">
        <w:rPr>
          <w:lang w:val="fr-FR"/>
        </w:rPr>
        <w:br/>
      </w:r>
      <w:r>
        <w:rPr>
          <w:b/>
          <w:bCs/>
          <w:lang w:val="fr-FR"/>
        </w:rPr>
        <w:t>Part des recettes fiscales dans les recettes budgétaires (2009-2019)</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953"/>
        <w:gridCol w:w="584"/>
        <w:gridCol w:w="584"/>
        <w:gridCol w:w="584"/>
        <w:gridCol w:w="584"/>
        <w:gridCol w:w="583"/>
        <w:gridCol w:w="583"/>
        <w:gridCol w:w="583"/>
        <w:gridCol w:w="583"/>
        <w:gridCol w:w="583"/>
        <w:gridCol w:w="583"/>
        <w:gridCol w:w="583"/>
      </w:tblGrid>
      <w:tr w:rsidR="00D0092F" w:rsidRPr="00D0092F" w14:paraId="23E7FB09" w14:textId="77777777" w:rsidTr="00D0092F">
        <w:trPr>
          <w:tblHeader/>
        </w:trPr>
        <w:tc>
          <w:tcPr>
            <w:tcW w:w="993" w:type="dxa"/>
            <w:shd w:val="clear" w:color="auto" w:fill="auto"/>
            <w:vAlign w:val="bottom"/>
            <w:hideMark/>
          </w:tcPr>
          <w:p w14:paraId="5902D347" w14:textId="77777777" w:rsidR="00560776" w:rsidRPr="00D0092F" w:rsidRDefault="00560776" w:rsidP="00AE718A">
            <w:pPr>
              <w:keepNext/>
              <w:suppressAutoHyphens w:val="0"/>
              <w:spacing w:before="80" w:after="80" w:line="200" w:lineRule="exact"/>
              <w:rPr>
                <w:i/>
                <w:sz w:val="16"/>
                <w:lang w:val="fr-FR"/>
              </w:rPr>
            </w:pPr>
          </w:p>
        </w:tc>
        <w:tc>
          <w:tcPr>
            <w:tcW w:w="607" w:type="dxa"/>
            <w:shd w:val="clear" w:color="auto" w:fill="auto"/>
            <w:noWrap/>
            <w:vAlign w:val="bottom"/>
            <w:hideMark/>
          </w:tcPr>
          <w:p w14:paraId="5C70218F" w14:textId="77777777" w:rsidR="00560776" w:rsidRPr="00D0092F" w:rsidRDefault="00560776" w:rsidP="00AE718A">
            <w:pPr>
              <w:keepNext/>
              <w:suppressAutoHyphens w:val="0"/>
              <w:spacing w:before="80" w:after="80" w:line="200" w:lineRule="exact"/>
              <w:jc w:val="right"/>
              <w:rPr>
                <w:i/>
                <w:sz w:val="16"/>
              </w:rPr>
            </w:pPr>
            <w:r w:rsidRPr="00D0092F">
              <w:rPr>
                <w:i/>
                <w:iCs/>
                <w:sz w:val="16"/>
                <w:lang w:val="fr-FR"/>
              </w:rPr>
              <w:t>2009</w:t>
            </w:r>
          </w:p>
        </w:tc>
        <w:tc>
          <w:tcPr>
            <w:tcW w:w="608" w:type="dxa"/>
            <w:shd w:val="clear" w:color="auto" w:fill="auto"/>
            <w:noWrap/>
            <w:vAlign w:val="bottom"/>
            <w:hideMark/>
          </w:tcPr>
          <w:p w14:paraId="54C451D3" w14:textId="77777777" w:rsidR="00560776" w:rsidRPr="00D0092F" w:rsidRDefault="00560776" w:rsidP="00AE718A">
            <w:pPr>
              <w:keepNext/>
              <w:suppressAutoHyphens w:val="0"/>
              <w:spacing w:before="80" w:after="80" w:line="200" w:lineRule="exact"/>
              <w:jc w:val="right"/>
              <w:rPr>
                <w:i/>
                <w:sz w:val="16"/>
              </w:rPr>
            </w:pPr>
            <w:r w:rsidRPr="00D0092F">
              <w:rPr>
                <w:i/>
                <w:iCs/>
                <w:sz w:val="16"/>
                <w:lang w:val="fr-FR"/>
              </w:rPr>
              <w:t>2010</w:t>
            </w:r>
          </w:p>
        </w:tc>
        <w:tc>
          <w:tcPr>
            <w:tcW w:w="608" w:type="dxa"/>
            <w:shd w:val="clear" w:color="auto" w:fill="auto"/>
            <w:noWrap/>
            <w:vAlign w:val="bottom"/>
            <w:hideMark/>
          </w:tcPr>
          <w:p w14:paraId="0A83F48E" w14:textId="77777777" w:rsidR="00560776" w:rsidRPr="00D0092F" w:rsidRDefault="00560776" w:rsidP="00AE718A">
            <w:pPr>
              <w:keepNext/>
              <w:suppressAutoHyphens w:val="0"/>
              <w:spacing w:before="80" w:after="80" w:line="200" w:lineRule="exact"/>
              <w:jc w:val="right"/>
              <w:rPr>
                <w:i/>
                <w:sz w:val="16"/>
              </w:rPr>
            </w:pPr>
            <w:r w:rsidRPr="00D0092F">
              <w:rPr>
                <w:i/>
                <w:iCs/>
                <w:sz w:val="16"/>
                <w:lang w:val="fr-FR"/>
              </w:rPr>
              <w:t>2011</w:t>
            </w:r>
          </w:p>
        </w:tc>
        <w:tc>
          <w:tcPr>
            <w:tcW w:w="608" w:type="dxa"/>
            <w:shd w:val="clear" w:color="auto" w:fill="auto"/>
            <w:noWrap/>
            <w:vAlign w:val="bottom"/>
            <w:hideMark/>
          </w:tcPr>
          <w:p w14:paraId="0349AA74" w14:textId="77777777" w:rsidR="00560776" w:rsidRPr="00D0092F" w:rsidRDefault="00560776" w:rsidP="00AE718A">
            <w:pPr>
              <w:keepNext/>
              <w:suppressAutoHyphens w:val="0"/>
              <w:spacing w:before="80" w:after="80" w:line="200" w:lineRule="exact"/>
              <w:jc w:val="right"/>
              <w:rPr>
                <w:i/>
                <w:sz w:val="16"/>
              </w:rPr>
            </w:pPr>
            <w:r w:rsidRPr="00D0092F">
              <w:rPr>
                <w:i/>
                <w:iCs/>
                <w:sz w:val="16"/>
                <w:lang w:val="fr-FR"/>
              </w:rPr>
              <w:t>2012</w:t>
            </w:r>
          </w:p>
        </w:tc>
        <w:tc>
          <w:tcPr>
            <w:tcW w:w="608" w:type="dxa"/>
            <w:shd w:val="clear" w:color="auto" w:fill="auto"/>
            <w:noWrap/>
            <w:vAlign w:val="bottom"/>
            <w:hideMark/>
          </w:tcPr>
          <w:p w14:paraId="3C1CE6D4" w14:textId="77777777" w:rsidR="00560776" w:rsidRPr="00D0092F" w:rsidRDefault="00560776" w:rsidP="00AE718A">
            <w:pPr>
              <w:keepNext/>
              <w:suppressAutoHyphens w:val="0"/>
              <w:spacing w:before="80" w:after="80" w:line="200" w:lineRule="exact"/>
              <w:jc w:val="right"/>
              <w:rPr>
                <w:i/>
                <w:sz w:val="16"/>
              </w:rPr>
            </w:pPr>
            <w:r w:rsidRPr="00D0092F">
              <w:rPr>
                <w:i/>
                <w:iCs/>
                <w:sz w:val="16"/>
                <w:lang w:val="fr-FR"/>
              </w:rPr>
              <w:t>2013</w:t>
            </w:r>
          </w:p>
        </w:tc>
        <w:tc>
          <w:tcPr>
            <w:tcW w:w="608" w:type="dxa"/>
            <w:shd w:val="clear" w:color="auto" w:fill="auto"/>
            <w:noWrap/>
            <w:vAlign w:val="bottom"/>
            <w:hideMark/>
          </w:tcPr>
          <w:p w14:paraId="3BD01FD2" w14:textId="77777777" w:rsidR="00560776" w:rsidRPr="00D0092F" w:rsidRDefault="00560776" w:rsidP="00AE718A">
            <w:pPr>
              <w:keepNext/>
              <w:suppressAutoHyphens w:val="0"/>
              <w:spacing w:before="80" w:after="80" w:line="200" w:lineRule="exact"/>
              <w:jc w:val="right"/>
              <w:rPr>
                <w:i/>
                <w:sz w:val="16"/>
              </w:rPr>
            </w:pPr>
            <w:r w:rsidRPr="00D0092F">
              <w:rPr>
                <w:i/>
                <w:iCs/>
                <w:sz w:val="16"/>
                <w:lang w:val="fr-FR"/>
              </w:rPr>
              <w:t>2014</w:t>
            </w:r>
          </w:p>
        </w:tc>
        <w:tc>
          <w:tcPr>
            <w:tcW w:w="608" w:type="dxa"/>
            <w:shd w:val="clear" w:color="auto" w:fill="auto"/>
            <w:noWrap/>
            <w:vAlign w:val="bottom"/>
            <w:hideMark/>
          </w:tcPr>
          <w:p w14:paraId="3A618CBD" w14:textId="77777777" w:rsidR="00560776" w:rsidRPr="00D0092F" w:rsidRDefault="00560776" w:rsidP="00AE718A">
            <w:pPr>
              <w:keepNext/>
              <w:suppressAutoHyphens w:val="0"/>
              <w:spacing w:before="80" w:after="80" w:line="200" w:lineRule="exact"/>
              <w:jc w:val="right"/>
              <w:rPr>
                <w:i/>
                <w:sz w:val="16"/>
              </w:rPr>
            </w:pPr>
            <w:r w:rsidRPr="00D0092F">
              <w:rPr>
                <w:i/>
                <w:iCs/>
                <w:sz w:val="16"/>
                <w:lang w:val="fr-FR"/>
              </w:rPr>
              <w:t>2015</w:t>
            </w:r>
          </w:p>
        </w:tc>
        <w:tc>
          <w:tcPr>
            <w:tcW w:w="608" w:type="dxa"/>
            <w:shd w:val="clear" w:color="auto" w:fill="auto"/>
            <w:noWrap/>
            <w:vAlign w:val="bottom"/>
            <w:hideMark/>
          </w:tcPr>
          <w:p w14:paraId="4B60F325" w14:textId="77777777" w:rsidR="00560776" w:rsidRPr="00D0092F" w:rsidRDefault="00560776" w:rsidP="00AE718A">
            <w:pPr>
              <w:keepNext/>
              <w:suppressAutoHyphens w:val="0"/>
              <w:spacing w:before="80" w:after="80" w:line="200" w:lineRule="exact"/>
              <w:jc w:val="right"/>
              <w:rPr>
                <w:i/>
                <w:sz w:val="16"/>
              </w:rPr>
            </w:pPr>
            <w:r w:rsidRPr="00D0092F">
              <w:rPr>
                <w:i/>
                <w:iCs/>
                <w:sz w:val="16"/>
                <w:lang w:val="fr-FR"/>
              </w:rPr>
              <w:t>2016</w:t>
            </w:r>
          </w:p>
        </w:tc>
        <w:tc>
          <w:tcPr>
            <w:tcW w:w="608" w:type="dxa"/>
            <w:shd w:val="clear" w:color="auto" w:fill="auto"/>
            <w:noWrap/>
            <w:vAlign w:val="bottom"/>
            <w:hideMark/>
          </w:tcPr>
          <w:p w14:paraId="615CAD07" w14:textId="77777777" w:rsidR="00560776" w:rsidRPr="00D0092F" w:rsidRDefault="00560776" w:rsidP="00AE718A">
            <w:pPr>
              <w:keepNext/>
              <w:suppressAutoHyphens w:val="0"/>
              <w:spacing w:before="80" w:after="80" w:line="200" w:lineRule="exact"/>
              <w:jc w:val="right"/>
              <w:rPr>
                <w:i/>
                <w:sz w:val="16"/>
              </w:rPr>
            </w:pPr>
            <w:r w:rsidRPr="00D0092F">
              <w:rPr>
                <w:i/>
                <w:iCs/>
                <w:sz w:val="16"/>
                <w:lang w:val="fr-FR"/>
              </w:rPr>
              <w:t>2017</w:t>
            </w:r>
          </w:p>
        </w:tc>
        <w:tc>
          <w:tcPr>
            <w:tcW w:w="608" w:type="dxa"/>
            <w:shd w:val="clear" w:color="auto" w:fill="auto"/>
            <w:noWrap/>
            <w:vAlign w:val="bottom"/>
            <w:hideMark/>
          </w:tcPr>
          <w:p w14:paraId="3B66D689" w14:textId="77777777" w:rsidR="00560776" w:rsidRPr="00D0092F" w:rsidRDefault="00560776" w:rsidP="00AE718A">
            <w:pPr>
              <w:keepNext/>
              <w:suppressAutoHyphens w:val="0"/>
              <w:spacing w:before="80" w:after="80" w:line="200" w:lineRule="exact"/>
              <w:jc w:val="right"/>
              <w:rPr>
                <w:i/>
                <w:sz w:val="16"/>
              </w:rPr>
            </w:pPr>
            <w:r w:rsidRPr="00D0092F">
              <w:rPr>
                <w:i/>
                <w:iCs/>
                <w:sz w:val="16"/>
                <w:lang w:val="fr-FR"/>
              </w:rPr>
              <w:t>2018</w:t>
            </w:r>
          </w:p>
        </w:tc>
        <w:tc>
          <w:tcPr>
            <w:tcW w:w="608" w:type="dxa"/>
            <w:shd w:val="clear" w:color="auto" w:fill="auto"/>
            <w:noWrap/>
            <w:vAlign w:val="bottom"/>
            <w:hideMark/>
          </w:tcPr>
          <w:p w14:paraId="73411C4F" w14:textId="77777777" w:rsidR="00560776" w:rsidRPr="00D0092F" w:rsidRDefault="00560776" w:rsidP="00AE718A">
            <w:pPr>
              <w:keepNext/>
              <w:suppressAutoHyphens w:val="0"/>
              <w:spacing w:before="80" w:after="80" w:line="200" w:lineRule="exact"/>
              <w:jc w:val="right"/>
              <w:rPr>
                <w:i/>
                <w:sz w:val="16"/>
              </w:rPr>
            </w:pPr>
            <w:r w:rsidRPr="00D0092F">
              <w:rPr>
                <w:i/>
                <w:iCs/>
                <w:sz w:val="16"/>
                <w:lang w:val="fr-FR"/>
              </w:rPr>
              <w:t>2019</w:t>
            </w:r>
          </w:p>
        </w:tc>
      </w:tr>
      <w:tr w:rsidR="00D0092F" w:rsidRPr="00D0092F" w14:paraId="40797AF7" w14:textId="77777777" w:rsidTr="00D0092F">
        <w:tc>
          <w:tcPr>
            <w:tcW w:w="993" w:type="dxa"/>
            <w:shd w:val="clear" w:color="auto" w:fill="auto"/>
            <w:hideMark/>
          </w:tcPr>
          <w:p w14:paraId="15965752" w14:textId="77777777" w:rsidR="00560776" w:rsidRPr="00D0092F" w:rsidRDefault="00560776" w:rsidP="00AE718A">
            <w:pPr>
              <w:keepNext/>
              <w:suppressAutoHyphens w:val="0"/>
              <w:spacing w:before="40" w:after="40" w:line="220" w:lineRule="exact"/>
              <w:rPr>
                <w:sz w:val="18"/>
                <w:lang w:val="fr-FR"/>
              </w:rPr>
            </w:pPr>
            <w:r w:rsidRPr="00D0092F">
              <w:rPr>
                <w:sz w:val="18"/>
                <w:lang w:val="fr-FR"/>
              </w:rPr>
              <w:t>Part des recettes fiscales dans les recettes budgétaires</w:t>
            </w:r>
          </w:p>
        </w:tc>
        <w:tc>
          <w:tcPr>
            <w:tcW w:w="607" w:type="dxa"/>
            <w:shd w:val="clear" w:color="auto" w:fill="auto"/>
            <w:noWrap/>
            <w:vAlign w:val="bottom"/>
            <w:hideMark/>
          </w:tcPr>
          <w:p w14:paraId="43A0B077" w14:textId="77777777" w:rsidR="00560776" w:rsidRPr="00D0092F" w:rsidRDefault="00560776" w:rsidP="00AE718A">
            <w:pPr>
              <w:keepNext/>
              <w:suppressAutoHyphens w:val="0"/>
              <w:spacing w:before="40" w:after="40" w:line="220" w:lineRule="exact"/>
              <w:jc w:val="right"/>
              <w:rPr>
                <w:sz w:val="18"/>
              </w:rPr>
            </w:pPr>
            <w:r w:rsidRPr="00D0092F">
              <w:rPr>
                <w:sz w:val="18"/>
                <w:lang w:val="fr-FR"/>
              </w:rPr>
              <w:t>81,3</w:t>
            </w:r>
          </w:p>
        </w:tc>
        <w:tc>
          <w:tcPr>
            <w:tcW w:w="608" w:type="dxa"/>
            <w:shd w:val="clear" w:color="auto" w:fill="auto"/>
            <w:noWrap/>
            <w:vAlign w:val="bottom"/>
            <w:hideMark/>
          </w:tcPr>
          <w:p w14:paraId="069EB09B" w14:textId="77777777" w:rsidR="00560776" w:rsidRPr="00D0092F" w:rsidRDefault="00560776" w:rsidP="00AE718A">
            <w:pPr>
              <w:keepNext/>
              <w:suppressAutoHyphens w:val="0"/>
              <w:spacing w:before="40" w:after="40" w:line="220" w:lineRule="exact"/>
              <w:jc w:val="right"/>
              <w:rPr>
                <w:sz w:val="18"/>
              </w:rPr>
            </w:pPr>
            <w:r w:rsidRPr="00D0092F">
              <w:rPr>
                <w:sz w:val="18"/>
                <w:lang w:val="fr-FR"/>
              </w:rPr>
              <w:t>86,1</w:t>
            </w:r>
          </w:p>
        </w:tc>
        <w:tc>
          <w:tcPr>
            <w:tcW w:w="608" w:type="dxa"/>
            <w:shd w:val="clear" w:color="auto" w:fill="auto"/>
            <w:noWrap/>
            <w:vAlign w:val="bottom"/>
            <w:hideMark/>
          </w:tcPr>
          <w:p w14:paraId="10E9E8F4" w14:textId="77777777" w:rsidR="00560776" w:rsidRPr="00D0092F" w:rsidRDefault="00560776" w:rsidP="00AE718A">
            <w:pPr>
              <w:keepNext/>
              <w:suppressAutoHyphens w:val="0"/>
              <w:spacing w:before="40" w:after="40" w:line="220" w:lineRule="exact"/>
              <w:jc w:val="right"/>
              <w:rPr>
                <w:sz w:val="18"/>
              </w:rPr>
            </w:pPr>
            <w:r w:rsidRPr="00D0092F">
              <w:rPr>
                <w:sz w:val="18"/>
                <w:lang w:val="fr-FR"/>
              </w:rPr>
              <w:t>82,1</w:t>
            </w:r>
          </w:p>
        </w:tc>
        <w:tc>
          <w:tcPr>
            <w:tcW w:w="608" w:type="dxa"/>
            <w:shd w:val="clear" w:color="auto" w:fill="auto"/>
            <w:noWrap/>
            <w:vAlign w:val="bottom"/>
            <w:hideMark/>
          </w:tcPr>
          <w:p w14:paraId="789A866B" w14:textId="77777777" w:rsidR="00560776" w:rsidRPr="00D0092F" w:rsidRDefault="00560776" w:rsidP="00AE718A">
            <w:pPr>
              <w:keepNext/>
              <w:suppressAutoHyphens w:val="0"/>
              <w:spacing w:before="40" w:after="40" w:line="220" w:lineRule="exact"/>
              <w:jc w:val="right"/>
              <w:rPr>
                <w:sz w:val="18"/>
              </w:rPr>
            </w:pPr>
            <w:r w:rsidRPr="00D0092F">
              <w:rPr>
                <w:sz w:val="18"/>
                <w:lang w:val="fr-FR"/>
              </w:rPr>
              <w:t>84,5</w:t>
            </w:r>
          </w:p>
        </w:tc>
        <w:tc>
          <w:tcPr>
            <w:tcW w:w="608" w:type="dxa"/>
            <w:shd w:val="clear" w:color="auto" w:fill="auto"/>
            <w:noWrap/>
            <w:vAlign w:val="bottom"/>
            <w:hideMark/>
          </w:tcPr>
          <w:p w14:paraId="5B23B666" w14:textId="77777777" w:rsidR="00560776" w:rsidRPr="00D0092F" w:rsidRDefault="00560776" w:rsidP="00AE718A">
            <w:pPr>
              <w:keepNext/>
              <w:suppressAutoHyphens w:val="0"/>
              <w:spacing w:before="40" w:after="40" w:line="220" w:lineRule="exact"/>
              <w:jc w:val="right"/>
              <w:rPr>
                <w:sz w:val="18"/>
              </w:rPr>
            </w:pPr>
            <w:r w:rsidRPr="00D0092F">
              <w:rPr>
                <w:sz w:val="18"/>
                <w:lang w:val="fr-FR"/>
              </w:rPr>
              <w:t>84,7</w:t>
            </w:r>
          </w:p>
        </w:tc>
        <w:tc>
          <w:tcPr>
            <w:tcW w:w="608" w:type="dxa"/>
            <w:shd w:val="clear" w:color="auto" w:fill="auto"/>
            <w:noWrap/>
            <w:vAlign w:val="bottom"/>
            <w:hideMark/>
          </w:tcPr>
          <w:p w14:paraId="041946E4" w14:textId="77777777" w:rsidR="00560776" w:rsidRPr="00D0092F" w:rsidRDefault="00560776" w:rsidP="00AE718A">
            <w:pPr>
              <w:keepNext/>
              <w:suppressAutoHyphens w:val="0"/>
              <w:spacing w:before="40" w:after="40" w:line="220" w:lineRule="exact"/>
              <w:jc w:val="right"/>
              <w:rPr>
                <w:sz w:val="18"/>
              </w:rPr>
            </w:pPr>
            <w:r w:rsidRPr="00D0092F">
              <w:rPr>
                <w:sz w:val="18"/>
                <w:lang w:val="fr-FR"/>
              </w:rPr>
              <w:t>81,6</w:t>
            </w:r>
          </w:p>
        </w:tc>
        <w:tc>
          <w:tcPr>
            <w:tcW w:w="608" w:type="dxa"/>
            <w:shd w:val="clear" w:color="auto" w:fill="auto"/>
            <w:noWrap/>
            <w:vAlign w:val="bottom"/>
            <w:hideMark/>
          </w:tcPr>
          <w:p w14:paraId="58C15884" w14:textId="77777777" w:rsidR="00560776" w:rsidRPr="00D0092F" w:rsidRDefault="00560776" w:rsidP="00AE718A">
            <w:pPr>
              <w:keepNext/>
              <w:suppressAutoHyphens w:val="0"/>
              <w:spacing w:before="40" w:after="40" w:line="220" w:lineRule="exact"/>
              <w:jc w:val="right"/>
              <w:rPr>
                <w:sz w:val="18"/>
              </w:rPr>
            </w:pPr>
            <w:r w:rsidRPr="00D0092F">
              <w:rPr>
                <w:sz w:val="18"/>
                <w:lang w:val="fr-FR"/>
              </w:rPr>
              <w:t>85,6</w:t>
            </w:r>
          </w:p>
        </w:tc>
        <w:tc>
          <w:tcPr>
            <w:tcW w:w="608" w:type="dxa"/>
            <w:shd w:val="clear" w:color="auto" w:fill="auto"/>
            <w:noWrap/>
            <w:vAlign w:val="bottom"/>
            <w:hideMark/>
          </w:tcPr>
          <w:p w14:paraId="0C6DA8EE" w14:textId="77777777" w:rsidR="00560776" w:rsidRPr="00D0092F" w:rsidRDefault="00560776" w:rsidP="00AE718A">
            <w:pPr>
              <w:keepNext/>
              <w:suppressAutoHyphens w:val="0"/>
              <w:spacing w:before="40" w:after="40" w:line="220" w:lineRule="exact"/>
              <w:jc w:val="right"/>
              <w:rPr>
                <w:sz w:val="18"/>
              </w:rPr>
            </w:pPr>
            <w:r w:rsidRPr="00D0092F">
              <w:rPr>
                <w:sz w:val="18"/>
                <w:lang w:val="fr-FR"/>
              </w:rPr>
              <w:t>84,8</w:t>
            </w:r>
          </w:p>
        </w:tc>
        <w:tc>
          <w:tcPr>
            <w:tcW w:w="608" w:type="dxa"/>
            <w:shd w:val="clear" w:color="auto" w:fill="auto"/>
            <w:noWrap/>
            <w:vAlign w:val="bottom"/>
            <w:hideMark/>
          </w:tcPr>
          <w:p w14:paraId="65F6784B" w14:textId="77777777" w:rsidR="00560776" w:rsidRPr="00D0092F" w:rsidRDefault="00560776" w:rsidP="00AE718A">
            <w:pPr>
              <w:keepNext/>
              <w:suppressAutoHyphens w:val="0"/>
              <w:spacing w:before="40" w:after="40" w:line="220" w:lineRule="exact"/>
              <w:jc w:val="right"/>
              <w:rPr>
                <w:sz w:val="18"/>
              </w:rPr>
            </w:pPr>
            <w:r w:rsidRPr="00D0092F">
              <w:rPr>
                <w:sz w:val="18"/>
                <w:lang w:val="fr-FR"/>
              </w:rPr>
              <w:t>79,4</w:t>
            </w:r>
          </w:p>
        </w:tc>
        <w:tc>
          <w:tcPr>
            <w:tcW w:w="608" w:type="dxa"/>
            <w:shd w:val="clear" w:color="auto" w:fill="auto"/>
            <w:noWrap/>
            <w:vAlign w:val="bottom"/>
            <w:hideMark/>
          </w:tcPr>
          <w:p w14:paraId="3B71BA2D" w14:textId="77777777" w:rsidR="00560776" w:rsidRPr="00D0092F" w:rsidRDefault="00560776" w:rsidP="00AE718A">
            <w:pPr>
              <w:keepNext/>
              <w:suppressAutoHyphens w:val="0"/>
              <w:spacing w:before="40" w:after="40" w:line="220" w:lineRule="exact"/>
              <w:jc w:val="right"/>
              <w:rPr>
                <w:sz w:val="18"/>
              </w:rPr>
            </w:pPr>
            <w:r w:rsidRPr="00D0092F">
              <w:rPr>
                <w:sz w:val="18"/>
                <w:lang w:val="fr-FR"/>
              </w:rPr>
              <w:t>80,9</w:t>
            </w:r>
          </w:p>
        </w:tc>
        <w:tc>
          <w:tcPr>
            <w:tcW w:w="608" w:type="dxa"/>
            <w:shd w:val="clear" w:color="auto" w:fill="auto"/>
            <w:noWrap/>
            <w:vAlign w:val="bottom"/>
            <w:hideMark/>
          </w:tcPr>
          <w:p w14:paraId="15001D87" w14:textId="77777777" w:rsidR="00560776" w:rsidRPr="00D0092F" w:rsidRDefault="00560776" w:rsidP="00AE718A">
            <w:pPr>
              <w:keepNext/>
              <w:suppressAutoHyphens w:val="0"/>
              <w:spacing w:before="40" w:after="40" w:line="220" w:lineRule="exact"/>
              <w:jc w:val="right"/>
              <w:rPr>
                <w:sz w:val="18"/>
              </w:rPr>
            </w:pPr>
            <w:r w:rsidRPr="00D0092F">
              <w:rPr>
                <w:sz w:val="18"/>
                <w:lang w:val="fr-FR"/>
              </w:rPr>
              <w:t>81,5</w:t>
            </w:r>
          </w:p>
        </w:tc>
      </w:tr>
    </w:tbl>
    <w:p w14:paraId="0F6F350B" w14:textId="07CFF45E" w:rsidR="00560776" w:rsidRPr="00D0092F" w:rsidRDefault="00560776" w:rsidP="00AE718A">
      <w:pPr>
        <w:pStyle w:val="SingleTxtG"/>
        <w:keepNext/>
        <w:spacing w:before="120"/>
        <w:ind w:firstLine="170"/>
        <w:rPr>
          <w:sz w:val="18"/>
          <w:szCs w:val="18"/>
        </w:rPr>
      </w:pPr>
      <w:r w:rsidRPr="00D0092F">
        <w:rPr>
          <w:i/>
          <w:iCs/>
          <w:sz w:val="18"/>
          <w:szCs w:val="18"/>
        </w:rPr>
        <w:t>Source</w:t>
      </w:r>
      <w:r w:rsidR="00A737F5">
        <w:rPr>
          <w:sz w:val="18"/>
          <w:szCs w:val="18"/>
        </w:rPr>
        <w:t> </w:t>
      </w:r>
      <w:r w:rsidRPr="00D0092F">
        <w:rPr>
          <w:sz w:val="18"/>
          <w:szCs w:val="18"/>
        </w:rPr>
        <w:t>: Base de données statistiques intégrée de l</w:t>
      </w:r>
      <w:r w:rsidR="009C7759">
        <w:rPr>
          <w:sz w:val="18"/>
          <w:szCs w:val="18"/>
        </w:rPr>
        <w:t>’</w:t>
      </w:r>
      <w:r w:rsidRPr="00D0092F">
        <w:rPr>
          <w:sz w:val="18"/>
          <w:szCs w:val="18"/>
        </w:rPr>
        <w:t>organisme national de statistique</w:t>
      </w:r>
      <w:r w:rsidR="00D0092F">
        <w:rPr>
          <w:sz w:val="18"/>
          <w:szCs w:val="18"/>
        </w:rPr>
        <w:t>.</w:t>
      </w:r>
    </w:p>
    <w:p w14:paraId="38529C45" w14:textId="23F51B3B" w:rsidR="00560776" w:rsidRPr="008D553A" w:rsidRDefault="00560776" w:rsidP="00E916C8">
      <w:pPr>
        <w:pStyle w:val="SingleTxtG"/>
        <w:spacing w:before="240"/>
        <w:rPr>
          <w:lang w:val="fr-FR"/>
        </w:rPr>
      </w:pPr>
      <w:r>
        <w:rPr>
          <w:lang w:val="fr-FR"/>
        </w:rPr>
        <w:t>75.</w:t>
      </w:r>
      <w:r>
        <w:rPr>
          <w:lang w:val="fr-FR"/>
        </w:rPr>
        <w:tab/>
        <w:t>Précision</w:t>
      </w:r>
      <w:r w:rsidR="00A737F5">
        <w:rPr>
          <w:lang w:val="fr-FR"/>
        </w:rPr>
        <w:t> </w:t>
      </w:r>
      <w:r>
        <w:rPr>
          <w:lang w:val="fr-FR"/>
        </w:rPr>
        <w:t>: Cet indicateur correspond au ratio des recettes fiscales par rapport au montant total des recettes budgétaires et de l</w:t>
      </w:r>
      <w:r w:rsidR="009C7759">
        <w:rPr>
          <w:lang w:val="fr-FR"/>
        </w:rPr>
        <w:t>’</w:t>
      </w:r>
      <w:r>
        <w:rPr>
          <w:lang w:val="fr-FR"/>
        </w:rPr>
        <w:t>assistance.</w:t>
      </w:r>
    </w:p>
    <w:p w14:paraId="5441E286" w14:textId="47A5179B" w:rsidR="00560776" w:rsidRPr="008D553A" w:rsidRDefault="00560776" w:rsidP="00560776">
      <w:pPr>
        <w:pStyle w:val="SingleTxtG"/>
        <w:rPr>
          <w:lang w:val="fr-FR"/>
        </w:rPr>
      </w:pPr>
      <w:r>
        <w:rPr>
          <w:lang w:val="fr-FR"/>
        </w:rPr>
        <w:t>76.</w:t>
      </w:r>
      <w:r>
        <w:rPr>
          <w:lang w:val="fr-FR"/>
        </w:rPr>
        <w:tab/>
        <w:t>Les recettes provenant de la collecte des impôts constituent la plus grande partie du budget consolidé de la Mongolie. Entre 2009 et 2019, cette proportion s</w:t>
      </w:r>
      <w:r w:rsidR="009C7759">
        <w:rPr>
          <w:lang w:val="fr-FR"/>
        </w:rPr>
        <w:t>’</w:t>
      </w:r>
      <w:r>
        <w:rPr>
          <w:lang w:val="fr-FR"/>
        </w:rPr>
        <w:t>est maintenue entre 80 et 85</w:t>
      </w:r>
      <w:r w:rsidR="00517404">
        <w:rPr>
          <w:lang w:val="fr-FR"/>
        </w:rPr>
        <w:t> </w:t>
      </w:r>
      <w:r>
        <w:rPr>
          <w:lang w:val="fr-FR"/>
        </w:rPr>
        <w:t>%. Pendant cette période, les recettes fiscales ont été multipliées par six, passant de 1,6 à 9,8</w:t>
      </w:r>
      <w:r w:rsidR="00517404">
        <w:rPr>
          <w:lang w:val="fr-FR"/>
        </w:rPr>
        <w:t> </w:t>
      </w:r>
      <w:r>
        <w:rPr>
          <w:lang w:val="fr-FR"/>
        </w:rPr>
        <w:t xml:space="preserve">mille milliards de </w:t>
      </w:r>
      <w:proofErr w:type="spellStart"/>
      <w:r>
        <w:rPr>
          <w:lang w:val="fr-FR"/>
        </w:rPr>
        <w:t>togrogs</w:t>
      </w:r>
      <w:proofErr w:type="spellEnd"/>
      <w:r>
        <w:rPr>
          <w:lang w:val="fr-FR"/>
        </w:rPr>
        <w:t xml:space="preserve">. </w:t>
      </w:r>
    </w:p>
    <w:p w14:paraId="7E9C1840" w14:textId="1E2471F4" w:rsidR="00560776" w:rsidRPr="008D553A" w:rsidRDefault="00560776" w:rsidP="00560776">
      <w:pPr>
        <w:pStyle w:val="SingleTxtG"/>
        <w:rPr>
          <w:lang w:val="fr-FR"/>
        </w:rPr>
      </w:pPr>
      <w:r>
        <w:rPr>
          <w:lang w:val="fr-FR"/>
        </w:rPr>
        <w:t>77.</w:t>
      </w:r>
      <w:r>
        <w:rPr>
          <w:lang w:val="fr-FR"/>
        </w:rPr>
        <w:tab/>
        <w:t>Au cours de cette période, la Mongolie a fait des recettes fiscales et des instruments fiscaux le principal ressort de sa politique économique. Lors de la relance économique, le</w:t>
      </w:r>
      <w:r w:rsidR="00517404">
        <w:rPr>
          <w:lang w:val="fr-FR"/>
        </w:rPr>
        <w:t> </w:t>
      </w:r>
      <w:r>
        <w:rPr>
          <w:lang w:val="fr-FR"/>
        </w:rPr>
        <w:t>Gouvernement a pris des mesures destinées à préserver la hausse des recettes fiscales, à établir des réserves et à empêcher la surchauffe de l</w:t>
      </w:r>
      <w:r w:rsidR="009C7759">
        <w:rPr>
          <w:lang w:val="fr-FR"/>
        </w:rPr>
        <w:t>’</w:t>
      </w:r>
      <w:r>
        <w:rPr>
          <w:lang w:val="fr-FR"/>
        </w:rPr>
        <w:t>économie, mais en phase de déclin économique, il prend des mesures économiques globales visant à réduire la pression fiscale, à empêcher le ralentissement des activités commerciales en accordant des aides sans contrepartie aux consommateurs et aux entreprises, à octroyer des aides aux revenus aux citoyens, à apporter un appui au marché du travail et aux marchés financiers et à prévenir la baisse des financements.</w:t>
      </w:r>
    </w:p>
    <w:p w14:paraId="455B4CD4" w14:textId="77777777" w:rsidR="00560776" w:rsidRPr="008D553A" w:rsidRDefault="00560776" w:rsidP="004B20C9">
      <w:pPr>
        <w:pStyle w:val="H1G"/>
        <w:rPr>
          <w:lang w:val="fr-FR"/>
        </w:rPr>
      </w:pPr>
      <w:r>
        <w:rPr>
          <w:lang w:val="fr-FR"/>
        </w:rPr>
        <w:tab/>
      </w:r>
      <w:r>
        <w:rPr>
          <w:lang w:val="fr-FR"/>
        </w:rPr>
        <w:tab/>
        <w:t xml:space="preserve">Paragraphe 7 c) de la liste de points </w:t>
      </w:r>
    </w:p>
    <w:p w14:paraId="2C1A18C8" w14:textId="5CB9ECEB" w:rsidR="00560776" w:rsidRPr="008D553A" w:rsidRDefault="00560776" w:rsidP="004B20C9">
      <w:pPr>
        <w:pStyle w:val="Titre1"/>
        <w:spacing w:after="120"/>
        <w:rPr>
          <w:b/>
          <w:bCs/>
          <w:lang w:val="fr-FR"/>
        </w:rPr>
      </w:pPr>
      <w:r>
        <w:rPr>
          <w:lang w:val="fr-FR"/>
        </w:rPr>
        <w:t>Tableau 14</w:t>
      </w:r>
      <w:r w:rsidR="004B20C9">
        <w:rPr>
          <w:lang w:val="fr-FR"/>
        </w:rPr>
        <w:t xml:space="preserve"> </w:t>
      </w:r>
      <w:r w:rsidR="004B20C9">
        <w:rPr>
          <w:lang w:val="fr-FR"/>
        </w:rPr>
        <w:br/>
      </w:r>
      <w:r>
        <w:rPr>
          <w:b/>
          <w:bCs/>
          <w:lang w:val="fr-FR"/>
        </w:rPr>
        <w:t xml:space="preserve">Montant des recettes (en milliards de </w:t>
      </w:r>
      <w:proofErr w:type="spellStart"/>
      <w:r>
        <w:rPr>
          <w:b/>
          <w:bCs/>
          <w:lang w:val="fr-FR"/>
        </w:rPr>
        <w:t>togrogs</w:t>
      </w:r>
      <w:proofErr w:type="spellEnd"/>
      <w:r>
        <w:rPr>
          <w:b/>
          <w:bCs/>
          <w:lang w:val="fr-FR"/>
        </w:rPr>
        <w:t xml:space="preserve">) provenant des principaux instruments fiscaux </w:t>
      </w:r>
      <w:r w:rsidR="004B20C9">
        <w:rPr>
          <w:b/>
          <w:bCs/>
          <w:lang w:val="fr-FR"/>
        </w:rPr>
        <w:br/>
      </w:r>
      <w:r>
        <w:rPr>
          <w:b/>
          <w:bCs/>
          <w:lang w:val="fr-FR"/>
        </w:rPr>
        <w:t>(2009-2019)</w:t>
      </w:r>
    </w:p>
    <w:tbl>
      <w:tblPr>
        <w:tblW w:w="8505" w:type="dxa"/>
        <w:tblInd w:w="1134" w:type="dxa"/>
        <w:tblLayout w:type="fixed"/>
        <w:tblCellMar>
          <w:left w:w="0" w:type="dxa"/>
          <w:right w:w="0" w:type="dxa"/>
        </w:tblCellMar>
        <w:tblLook w:val="04A0" w:firstRow="1" w:lastRow="0" w:firstColumn="1" w:lastColumn="0" w:noHBand="0" w:noVBand="1"/>
      </w:tblPr>
      <w:tblGrid>
        <w:gridCol w:w="1116"/>
        <w:gridCol w:w="559"/>
        <w:gridCol w:w="559"/>
        <w:gridCol w:w="697"/>
        <w:gridCol w:w="697"/>
        <w:gridCol w:w="697"/>
        <w:gridCol w:w="696"/>
        <w:gridCol w:w="697"/>
        <w:gridCol w:w="697"/>
        <w:gridCol w:w="697"/>
        <w:gridCol w:w="696"/>
        <w:gridCol w:w="697"/>
      </w:tblGrid>
      <w:tr w:rsidR="00AE718A" w:rsidRPr="00AE718A" w14:paraId="599B3998" w14:textId="77777777" w:rsidTr="00AE718A">
        <w:trPr>
          <w:tblHeader/>
        </w:trPr>
        <w:tc>
          <w:tcPr>
            <w:tcW w:w="1134" w:type="dxa"/>
            <w:tcBorders>
              <w:top w:val="single" w:sz="4" w:space="0" w:color="auto"/>
              <w:bottom w:val="single" w:sz="12" w:space="0" w:color="auto"/>
            </w:tcBorders>
            <w:shd w:val="clear" w:color="auto" w:fill="auto"/>
            <w:vAlign w:val="bottom"/>
            <w:hideMark/>
          </w:tcPr>
          <w:p w14:paraId="003571C6" w14:textId="34981405" w:rsidR="00560776" w:rsidRPr="00AE718A" w:rsidRDefault="00560776" w:rsidP="00AE718A">
            <w:pPr>
              <w:suppressAutoHyphens w:val="0"/>
              <w:spacing w:before="80" w:after="80" w:line="200" w:lineRule="exact"/>
              <w:rPr>
                <w:i/>
                <w:sz w:val="16"/>
              </w:rPr>
            </w:pPr>
            <w:r w:rsidRPr="00AE718A">
              <w:rPr>
                <w:i/>
                <w:sz w:val="16"/>
                <w:lang w:val="fr-FR"/>
              </w:rPr>
              <w:t>Type d</w:t>
            </w:r>
            <w:r w:rsidR="009C7759">
              <w:rPr>
                <w:i/>
                <w:sz w:val="16"/>
                <w:lang w:val="fr-FR"/>
              </w:rPr>
              <w:t>’</w:t>
            </w:r>
            <w:r w:rsidRPr="00AE718A">
              <w:rPr>
                <w:i/>
                <w:sz w:val="16"/>
                <w:lang w:val="fr-FR"/>
              </w:rPr>
              <w:t>impôt</w:t>
            </w:r>
          </w:p>
        </w:tc>
        <w:tc>
          <w:tcPr>
            <w:tcW w:w="567" w:type="dxa"/>
            <w:tcBorders>
              <w:top w:val="single" w:sz="4" w:space="0" w:color="auto"/>
              <w:bottom w:val="single" w:sz="12" w:space="0" w:color="auto"/>
            </w:tcBorders>
            <w:shd w:val="clear" w:color="auto" w:fill="auto"/>
            <w:noWrap/>
            <w:vAlign w:val="bottom"/>
            <w:hideMark/>
          </w:tcPr>
          <w:p w14:paraId="1D5A667D" w14:textId="77777777" w:rsidR="00560776" w:rsidRPr="00AE718A" w:rsidRDefault="00560776" w:rsidP="00AE718A">
            <w:pPr>
              <w:suppressAutoHyphens w:val="0"/>
              <w:spacing w:before="80" w:after="80" w:line="200" w:lineRule="exact"/>
              <w:jc w:val="right"/>
              <w:rPr>
                <w:i/>
                <w:sz w:val="16"/>
              </w:rPr>
            </w:pPr>
            <w:r w:rsidRPr="00AE718A">
              <w:rPr>
                <w:i/>
                <w:sz w:val="16"/>
                <w:lang w:val="fr-FR"/>
              </w:rPr>
              <w:t>2009</w:t>
            </w:r>
          </w:p>
        </w:tc>
        <w:tc>
          <w:tcPr>
            <w:tcW w:w="567" w:type="dxa"/>
            <w:tcBorders>
              <w:top w:val="single" w:sz="4" w:space="0" w:color="auto"/>
              <w:bottom w:val="single" w:sz="12" w:space="0" w:color="auto"/>
            </w:tcBorders>
            <w:shd w:val="clear" w:color="auto" w:fill="auto"/>
            <w:noWrap/>
            <w:vAlign w:val="bottom"/>
            <w:hideMark/>
          </w:tcPr>
          <w:p w14:paraId="301A8DAC" w14:textId="77777777" w:rsidR="00560776" w:rsidRPr="00AE718A" w:rsidRDefault="00560776" w:rsidP="00AE718A">
            <w:pPr>
              <w:suppressAutoHyphens w:val="0"/>
              <w:spacing w:before="80" w:after="80" w:line="200" w:lineRule="exact"/>
              <w:jc w:val="right"/>
              <w:rPr>
                <w:i/>
                <w:sz w:val="16"/>
              </w:rPr>
            </w:pPr>
            <w:r w:rsidRPr="00AE718A">
              <w:rPr>
                <w:i/>
                <w:sz w:val="16"/>
                <w:lang w:val="fr-FR"/>
              </w:rPr>
              <w:t>2010</w:t>
            </w:r>
          </w:p>
        </w:tc>
        <w:tc>
          <w:tcPr>
            <w:tcW w:w="709" w:type="dxa"/>
            <w:tcBorders>
              <w:top w:val="single" w:sz="4" w:space="0" w:color="auto"/>
              <w:bottom w:val="single" w:sz="12" w:space="0" w:color="auto"/>
            </w:tcBorders>
            <w:shd w:val="clear" w:color="auto" w:fill="auto"/>
            <w:noWrap/>
            <w:vAlign w:val="bottom"/>
            <w:hideMark/>
          </w:tcPr>
          <w:p w14:paraId="05B9D38F" w14:textId="77777777" w:rsidR="00560776" w:rsidRPr="00AE718A" w:rsidRDefault="00560776" w:rsidP="00AE718A">
            <w:pPr>
              <w:suppressAutoHyphens w:val="0"/>
              <w:spacing w:before="80" w:after="80" w:line="200" w:lineRule="exact"/>
              <w:jc w:val="right"/>
              <w:rPr>
                <w:i/>
                <w:sz w:val="16"/>
              </w:rPr>
            </w:pPr>
            <w:r w:rsidRPr="00AE718A">
              <w:rPr>
                <w:i/>
                <w:sz w:val="16"/>
                <w:lang w:val="fr-FR"/>
              </w:rPr>
              <w:t>2011</w:t>
            </w:r>
          </w:p>
        </w:tc>
        <w:tc>
          <w:tcPr>
            <w:tcW w:w="709" w:type="dxa"/>
            <w:tcBorders>
              <w:top w:val="single" w:sz="4" w:space="0" w:color="auto"/>
              <w:bottom w:val="single" w:sz="12" w:space="0" w:color="auto"/>
            </w:tcBorders>
            <w:shd w:val="clear" w:color="auto" w:fill="auto"/>
            <w:noWrap/>
            <w:vAlign w:val="bottom"/>
            <w:hideMark/>
          </w:tcPr>
          <w:p w14:paraId="44F5C0C8" w14:textId="77777777" w:rsidR="00560776" w:rsidRPr="00AE718A" w:rsidRDefault="00560776" w:rsidP="00AE718A">
            <w:pPr>
              <w:suppressAutoHyphens w:val="0"/>
              <w:spacing w:before="80" w:after="80" w:line="200" w:lineRule="exact"/>
              <w:jc w:val="right"/>
              <w:rPr>
                <w:i/>
                <w:sz w:val="16"/>
              </w:rPr>
            </w:pPr>
            <w:r w:rsidRPr="00AE718A">
              <w:rPr>
                <w:i/>
                <w:sz w:val="16"/>
                <w:lang w:val="fr-FR"/>
              </w:rPr>
              <w:t>2012</w:t>
            </w:r>
          </w:p>
        </w:tc>
        <w:tc>
          <w:tcPr>
            <w:tcW w:w="709" w:type="dxa"/>
            <w:tcBorders>
              <w:top w:val="single" w:sz="4" w:space="0" w:color="auto"/>
              <w:bottom w:val="single" w:sz="12" w:space="0" w:color="auto"/>
            </w:tcBorders>
            <w:shd w:val="clear" w:color="auto" w:fill="auto"/>
            <w:noWrap/>
            <w:vAlign w:val="bottom"/>
            <w:hideMark/>
          </w:tcPr>
          <w:p w14:paraId="22F19C76" w14:textId="77777777" w:rsidR="00560776" w:rsidRPr="00AE718A" w:rsidRDefault="00560776" w:rsidP="00AE718A">
            <w:pPr>
              <w:suppressAutoHyphens w:val="0"/>
              <w:spacing w:before="80" w:after="80" w:line="200" w:lineRule="exact"/>
              <w:jc w:val="right"/>
              <w:rPr>
                <w:i/>
                <w:sz w:val="16"/>
              </w:rPr>
            </w:pPr>
            <w:r w:rsidRPr="00AE718A">
              <w:rPr>
                <w:i/>
                <w:sz w:val="16"/>
                <w:lang w:val="fr-FR"/>
              </w:rPr>
              <w:t>2013</w:t>
            </w:r>
          </w:p>
        </w:tc>
        <w:tc>
          <w:tcPr>
            <w:tcW w:w="708" w:type="dxa"/>
            <w:tcBorders>
              <w:top w:val="single" w:sz="4" w:space="0" w:color="auto"/>
              <w:bottom w:val="single" w:sz="12" w:space="0" w:color="auto"/>
            </w:tcBorders>
            <w:shd w:val="clear" w:color="auto" w:fill="auto"/>
            <w:noWrap/>
            <w:vAlign w:val="bottom"/>
            <w:hideMark/>
          </w:tcPr>
          <w:p w14:paraId="2A0C329C" w14:textId="77777777" w:rsidR="00560776" w:rsidRPr="00AE718A" w:rsidRDefault="00560776" w:rsidP="00AE718A">
            <w:pPr>
              <w:suppressAutoHyphens w:val="0"/>
              <w:spacing w:before="80" w:after="80" w:line="200" w:lineRule="exact"/>
              <w:jc w:val="right"/>
              <w:rPr>
                <w:i/>
                <w:sz w:val="16"/>
              </w:rPr>
            </w:pPr>
            <w:r w:rsidRPr="00AE718A">
              <w:rPr>
                <w:i/>
                <w:sz w:val="16"/>
                <w:lang w:val="fr-FR"/>
              </w:rPr>
              <w:t>2014</w:t>
            </w:r>
          </w:p>
        </w:tc>
        <w:tc>
          <w:tcPr>
            <w:tcW w:w="709" w:type="dxa"/>
            <w:tcBorders>
              <w:top w:val="single" w:sz="4" w:space="0" w:color="auto"/>
              <w:bottom w:val="single" w:sz="12" w:space="0" w:color="auto"/>
            </w:tcBorders>
            <w:shd w:val="clear" w:color="auto" w:fill="auto"/>
            <w:noWrap/>
            <w:vAlign w:val="bottom"/>
            <w:hideMark/>
          </w:tcPr>
          <w:p w14:paraId="30FE590C" w14:textId="77777777" w:rsidR="00560776" w:rsidRPr="00AE718A" w:rsidRDefault="00560776" w:rsidP="00AE718A">
            <w:pPr>
              <w:suppressAutoHyphens w:val="0"/>
              <w:spacing w:before="80" w:after="80" w:line="200" w:lineRule="exact"/>
              <w:jc w:val="right"/>
              <w:rPr>
                <w:i/>
                <w:sz w:val="16"/>
              </w:rPr>
            </w:pPr>
            <w:r w:rsidRPr="00AE718A">
              <w:rPr>
                <w:i/>
                <w:sz w:val="16"/>
                <w:lang w:val="fr-FR"/>
              </w:rPr>
              <w:t>2015</w:t>
            </w:r>
          </w:p>
        </w:tc>
        <w:tc>
          <w:tcPr>
            <w:tcW w:w="709" w:type="dxa"/>
            <w:tcBorders>
              <w:top w:val="single" w:sz="4" w:space="0" w:color="auto"/>
              <w:bottom w:val="single" w:sz="12" w:space="0" w:color="auto"/>
            </w:tcBorders>
            <w:shd w:val="clear" w:color="auto" w:fill="auto"/>
            <w:noWrap/>
            <w:vAlign w:val="bottom"/>
            <w:hideMark/>
          </w:tcPr>
          <w:p w14:paraId="28AAFB0D" w14:textId="77777777" w:rsidR="00560776" w:rsidRPr="00AE718A" w:rsidRDefault="00560776" w:rsidP="00AE718A">
            <w:pPr>
              <w:suppressAutoHyphens w:val="0"/>
              <w:spacing w:before="80" w:after="80" w:line="200" w:lineRule="exact"/>
              <w:jc w:val="right"/>
              <w:rPr>
                <w:i/>
                <w:sz w:val="16"/>
              </w:rPr>
            </w:pPr>
            <w:r w:rsidRPr="00AE718A">
              <w:rPr>
                <w:i/>
                <w:sz w:val="16"/>
                <w:lang w:val="fr-FR"/>
              </w:rPr>
              <w:t>2016</w:t>
            </w:r>
          </w:p>
        </w:tc>
        <w:tc>
          <w:tcPr>
            <w:tcW w:w="709" w:type="dxa"/>
            <w:tcBorders>
              <w:top w:val="single" w:sz="4" w:space="0" w:color="auto"/>
              <w:bottom w:val="single" w:sz="12" w:space="0" w:color="auto"/>
            </w:tcBorders>
            <w:shd w:val="clear" w:color="auto" w:fill="auto"/>
            <w:noWrap/>
            <w:vAlign w:val="bottom"/>
            <w:hideMark/>
          </w:tcPr>
          <w:p w14:paraId="426DE575" w14:textId="77777777" w:rsidR="00560776" w:rsidRPr="00AE718A" w:rsidRDefault="00560776" w:rsidP="00AE718A">
            <w:pPr>
              <w:suppressAutoHyphens w:val="0"/>
              <w:spacing w:before="80" w:after="80" w:line="200" w:lineRule="exact"/>
              <w:jc w:val="right"/>
              <w:rPr>
                <w:i/>
                <w:sz w:val="16"/>
              </w:rPr>
            </w:pPr>
            <w:r w:rsidRPr="00AE718A">
              <w:rPr>
                <w:i/>
                <w:sz w:val="16"/>
                <w:lang w:val="fr-FR"/>
              </w:rPr>
              <w:t>2017</w:t>
            </w:r>
          </w:p>
        </w:tc>
        <w:tc>
          <w:tcPr>
            <w:tcW w:w="708" w:type="dxa"/>
            <w:tcBorders>
              <w:top w:val="single" w:sz="4" w:space="0" w:color="auto"/>
              <w:bottom w:val="single" w:sz="12" w:space="0" w:color="auto"/>
            </w:tcBorders>
            <w:shd w:val="clear" w:color="auto" w:fill="auto"/>
            <w:noWrap/>
            <w:vAlign w:val="bottom"/>
            <w:hideMark/>
          </w:tcPr>
          <w:p w14:paraId="0D089B24" w14:textId="77777777" w:rsidR="00560776" w:rsidRPr="00AE718A" w:rsidRDefault="00560776" w:rsidP="00AE718A">
            <w:pPr>
              <w:suppressAutoHyphens w:val="0"/>
              <w:spacing w:before="80" w:after="80" w:line="200" w:lineRule="exact"/>
              <w:jc w:val="right"/>
              <w:rPr>
                <w:i/>
                <w:sz w:val="16"/>
              </w:rPr>
            </w:pPr>
            <w:r w:rsidRPr="00AE718A">
              <w:rPr>
                <w:i/>
                <w:sz w:val="16"/>
                <w:lang w:val="fr-FR"/>
              </w:rPr>
              <w:t>2018</w:t>
            </w:r>
          </w:p>
        </w:tc>
        <w:tc>
          <w:tcPr>
            <w:tcW w:w="709" w:type="dxa"/>
            <w:tcBorders>
              <w:top w:val="single" w:sz="4" w:space="0" w:color="auto"/>
              <w:bottom w:val="single" w:sz="12" w:space="0" w:color="auto"/>
            </w:tcBorders>
            <w:shd w:val="clear" w:color="auto" w:fill="auto"/>
            <w:noWrap/>
            <w:vAlign w:val="bottom"/>
            <w:hideMark/>
          </w:tcPr>
          <w:p w14:paraId="1E345B31" w14:textId="77777777" w:rsidR="00560776" w:rsidRPr="00AE718A" w:rsidRDefault="00560776" w:rsidP="00AE718A">
            <w:pPr>
              <w:suppressAutoHyphens w:val="0"/>
              <w:spacing w:before="80" w:after="80" w:line="200" w:lineRule="exact"/>
              <w:jc w:val="right"/>
              <w:rPr>
                <w:i/>
                <w:sz w:val="16"/>
              </w:rPr>
            </w:pPr>
            <w:r w:rsidRPr="00AE718A">
              <w:rPr>
                <w:i/>
                <w:sz w:val="16"/>
                <w:lang w:val="fr-FR"/>
              </w:rPr>
              <w:t>2019</w:t>
            </w:r>
          </w:p>
        </w:tc>
      </w:tr>
      <w:tr w:rsidR="00AE718A" w:rsidRPr="00AE718A" w14:paraId="11E9AD5E" w14:textId="77777777" w:rsidTr="00AE718A">
        <w:tc>
          <w:tcPr>
            <w:tcW w:w="1134" w:type="dxa"/>
            <w:tcBorders>
              <w:top w:val="single" w:sz="12" w:space="0" w:color="auto"/>
            </w:tcBorders>
            <w:shd w:val="clear" w:color="auto" w:fill="auto"/>
            <w:hideMark/>
          </w:tcPr>
          <w:p w14:paraId="32FD7168" w14:textId="77777777" w:rsidR="00560776" w:rsidRPr="00AE718A" w:rsidRDefault="00560776" w:rsidP="00AE718A">
            <w:pPr>
              <w:suppressAutoHyphens w:val="0"/>
              <w:spacing w:before="40" w:after="40" w:line="220" w:lineRule="exact"/>
              <w:rPr>
                <w:sz w:val="18"/>
                <w:lang w:val="fr-FR"/>
              </w:rPr>
            </w:pPr>
            <w:r w:rsidRPr="00AE718A">
              <w:rPr>
                <w:sz w:val="18"/>
                <w:lang w:val="fr-FR"/>
              </w:rPr>
              <w:t>Impôt sur le revenu des entités et organisations économiques</w:t>
            </w:r>
          </w:p>
        </w:tc>
        <w:tc>
          <w:tcPr>
            <w:tcW w:w="567" w:type="dxa"/>
            <w:tcBorders>
              <w:top w:val="single" w:sz="12" w:space="0" w:color="auto"/>
            </w:tcBorders>
            <w:shd w:val="clear" w:color="auto" w:fill="auto"/>
            <w:noWrap/>
            <w:vAlign w:val="bottom"/>
            <w:hideMark/>
          </w:tcPr>
          <w:p w14:paraId="3FF47FEB" w14:textId="77777777" w:rsidR="00560776" w:rsidRPr="00AE718A" w:rsidRDefault="00560776" w:rsidP="00AE718A">
            <w:pPr>
              <w:suppressAutoHyphens w:val="0"/>
              <w:spacing w:before="40" w:after="40" w:line="220" w:lineRule="exact"/>
              <w:jc w:val="right"/>
              <w:rPr>
                <w:sz w:val="18"/>
              </w:rPr>
            </w:pPr>
            <w:r w:rsidRPr="00AE718A">
              <w:rPr>
                <w:sz w:val="18"/>
                <w:lang w:val="fr-FR"/>
              </w:rPr>
              <w:t>205,4</w:t>
            </w:r>
          </w:p>
        </w:tc>
        <w:tc>
          <w:tcPr>
            <w:tcW w:w="567" w:type="dxa"/>
            <w:tcBorders>
              <w:top w:val="single" w:sz="12" w:space="0" w:color="auto"/>
            </w:tcBorders>
            <w:shd w:val="clear" w:color="auto" w:fill="auto"/>
            <w:noWrap/>
            <w:vAlign w:val="bottom"/>
            <w:hideMark/>
          </w:tcPr>
          <w:p w14:paraId="21DC2BBF" w14:textId="77777777" w:rsidR="00560776" w:rsidRPr="00AE718A" w:rsidRDefault="00560776" w:rsidP="00AE718A">
            <w:pPr>
              <w:suppressAutoHyphens w:val="0"/>
              <w:spacing w:before="40" w:after="40" w:line="220" w:lineRule="exact"/>
              <w:jc w:val="right"/>
              <w:rPr>
                <w:sz w:val="18"/>
              </w:rPr>
            </w:pPr>
            <w:r w:rsidRPr="00AE718A">
              <w:rPr>
                <w:sz w:val="18"/>
                <w:lang w:val="fr-FR"/>
              </w:rPr>
              <w:t>390,9</w:t>
            </w:r>
          </w:p>
        </w:tc>
        <w:tc>
          <w:tcPr>
            <w:tcW w:w="709" w:type="dxa"/>
            <w:tcBorders>
              <w:top w:val="single" w:sz="12" w:space="0" w:color="auto"/>
            </w:tcBorders>
            <w:shd w:val="clear" w:color="auto" w:fill="auto"/>
            <w:noWrap/>
            <w:vAlign w:val="bottom"/>
            <w:hideMark/>
          </w:tcPr>
          <w:p w14:paraId="1686FBE8" w14:textId="77777777" w:rsidR="00560776" w:rsidRPr="00AE718A" w:rsidRDefault="00560776" w:rsidP="00AE718A">
            <w:pPr>
              <w:suppressAutoHyphens w:val="0"/>
              <w:spacing w:before="40" w:after="40" w:line="220" w:lineRule="exact"/>
              <w:jc w:val="right"/>
              <w:rPr>
                <w:sz w:val="18"/>
              </w:rPr>
            </w:pPr>
            <w:r w:rsidRPr="00AE718A">
              <w:rPr>
                <w:sz w:val="18"/>
                <w:lang w:val="fr-FR"/>
              </w:rPr>
              <w:t>545,6</w:t>
            </w:r>
          </w:p>
        </w:tc>
        <w:tc>
          <w:tcPr>
            <w:tcW w:w="709" w:type="dxa"/>
            <w:tcBorders>
              <w:top w:val="single" w:sz="12" w:space="0" w:color="auto"/>
            </w:tcBorders>
            <w:shd w:val="clear" w:color="auto" w:fill="auto"/>
            <w:noWrap/>
            <w:vAlign w:val="bottom"/>
            <w:hideMark/>
          </w:tcPr>
          <w:p w14:paraId="537AABA0" w14:textId="77777777" w:rsidR="00560776" w:rsidRPr="00AE718A" w:rsidRDefault="00560776" w:rsidP="00AE718A">
            <w:pPr>
              <w:suppressAutoHyphens w:val="0"/>
              <w:spacing w:before="40" w:after="40" w:line="220" w:lineRule="exact"/>
              <w:jc w:val="right"/>
              <w:rPr>
                <w:sz w:val="18"/>
              </w:rPr>
            </w:pPr>
            <w:r w:rsidRPr="00AE718A">
              <w:rPr>
                <w:sz w:val="18"/>
                <w:lang w:val="fr-FR"/>
              </w:rPr>
              <w:t>524,3</w:t>
            </w:r>
          </w:p>
        </w:tc>
        <w:tc>
          <w:tcPr>
            <w:tcW w:w="709" w:type="dxa"/>
            <w:tcBorders>
              <w:top w:val="single" w:sz="12" w:space="0" w:color="auto"/>
            </w:tcBorders>
            <w:shd w:val="clear" w:color="auto" w:fill="auto"/>
            <w:noWrap/>
            <w:vAlign w:val="bottom"/>
            <w:hideMark/>
          </w:tcPr>
          <w:p w14:paraId="241709BF" w14:textId="77777777" w:rsidR="00560776" w:rsidRPr="00AE718A" w:rsidRDefault="00560776" w:rsidP="00AE718A">
            <w:pPr>
              <w:suppressAutoHyphens w:val="0"/>
              <w:spacing w:before="40" w:after="40" w:line="220" w:lineRule="exact"/>
              <w:jc w:val="right"/>
              <w:rPr>
                <w:sz w:val="18"/>
              </w:rPr>
            </w:pPr>
            <w:r w:rsidRPr="00AE718A">
              <w:rPr>
                <w:sz w:val="18"/>
                <w:lang w:val="fr-FR"/>
              </w:rPr>
              <w:t>660,2</w:t>
            </w:r>
          </w:p>
        </w:tc>
        <w:tc>
          <w:tcPr>
            <w:tcW w:w="708" w:type="dxa"/>
            <w:tcBorders>
              <w:top w:val="single" w:sz="12" w:space="0" w:color="auto"/>
            </w:tcBorders>
            <w:shd w:val="clear" w:color="auto" w:fill="auto"/>
            <w:noWrap/>
            <w:vAlign w:val="bottom"/>
            <w:hideMark/>
          </w:tcPr>
          <w:p w14:paraId="22DD9817" w14:textId="77777777" w:rsidR="00560776" w:rsidRPr="00AE718A" w:rsidRDefault="00560776" w:rsidP="00AE718A">
            <w:pPr>
              <w:suppressAutoHyphens w:val="0"/>
              <w:spacing w:before="40" w:after="40" w:line="220" w:lineRule="exact"/>
              <w:jc w:val="right"/>
              <w:rPr>
                <w:sz w:val="18"/>
              </w:rPr>
            </w:pPr>
            <w:r w:rsidRPr="00AE718A">
              <w:rPr>
                <w:sz w:val="18"/>
                <w:lang w:val="fr-FR"/>
              </w:rPr>
              <w:t>621,2</w:t>
            </w:r>
          </w:p>
        </w:tc>
        <w:tc>
          <w:tcPr>
            <w:tcW w:w="709" w:type="dxa"/>
            <w:tcBorders>
              <w:top w:val="single" w:sz="12" w:space="0" w:color="auto"/>
            </w:tcBorders>
            <w:shd w:val="clear" w:color="auto" w:fill="auto"/>
            <w:noWrap/>
            <w:vAlign w:val="bottom"/>
            <w:hideMark/>
          </w:tcPr>
          <w:p w14:paraId="2A206A92" w14:textId="77777777" w:rsidR="00560776" w:rsidRPr="00AE718A" w:rsidRDefault="00560776" w:rsidP="00AE718A">
            <w:pPr>
              <w:suppressAutoHyphens w:val="0"/>
              <w:spacing w:before="40" w:after="40" w:line="220" w:lineRule="exact"/>
              <w:jc w:val="right"/>
              <w:rPr>
                <w:sz w:val="18"/>
              </w:rPr>
            </w:pPr>
            <w:r w:rsidRPr="00AE718A">
              <w:rPr>
                <w:sz w:val="18"/>
                <w:lang w:val="fr-FR"/>
              </w:rPr>
              <w:t>688,5</w:t>
            </w:r>
          </w:p>
        </w:tc>
        <w:tc>
          <w:tcPr>
            <w:tcW w:w="709" w:type="dxa"/>
            <w:tcBorders>
              <w:top w:val="single" w:sz="12" w:space="0" w:color="auto"/>
            </w:tcBorders>
            <w:shd w:val="clear" w:color="auto" w:fill="auto"/>
            <w:noWrap/>
            <w:vAlign w:val="bottom"/>
            <w:hideMark/>
          </w:tcPr>
          <w:p w14:paraId="38A53011" w14:textId="77777777" w:rsidR="00560776" w:rsidRPr="00AE718A" w:rsidRDefault="00560776" w:rsidP="00AE718A">
            <w:pPr>
              <w:suppressAutoHyphens w:val="0"/>
              <w:spacing w:before="40" w:after="40" w:line="220" w:lineRule="exact"/>
              <w:jc w:val="right"/>
              <w:rPr>
                <w:sz w:val="18"/>
              </w:rPr>
            </w:pPr>
            <w:r w:rsidRPr="00AE718A">
              <w:rPr>
                <w:sz w:val="18"/>
                <w:lang w:val="fr-FR"/>
              </w:rPr>
              <w:t>520,0</w:t>
            </w:r>
          </w:p>
        </w:tc>
        <w:tc>
          <w:tcPr>
            <w:tcW w:w="709" w:type="dxa"/>
            <w:tcBorders>
              <w:top w:val="single" w:sz="12" w:space="0" w:color="auto"/>
            </w:tcBorders>
            <w:shd w:val="clear" w:color="auto" w:fill="auto"/>
            <w:noWrap/>
            <w:vAlign w:val="bottom"/>
            <w:hideMark/>
          </w:tcPr>
          <w:p w14:paraId="3431CB87" w14:textId="77777777" w:rsidR="00560776" w:rsidRPr="00AE718A" w:rsidRDefault="00560776" w:rsidP="00AE718A">
            <w:pPr>
              <w:suppressAutoHyphens w:val="0"/>
              <w:spacing w:before="40" w:after="40" w:line="220" w:lineRule="exact"/>
              <w:jc w:val="right"/>
              <w:rPr>
                <w:sz w:val="18"/>
              </w:rPr>
            </w:pPr>
            <w:r w:rsidRPr="00AE718A">
              <w:rPr>
                <w:sz w:val="18"/>
                <w:lang w:val="fr-FR"/>
              </w:rPr>
              <w:t>962,1</w:t>
            </w:r>
          </w:p>
        </w:tc>
        <w:tc>
          <w:tcPr>
            <w:tcW w:w="708" w:type="dxa"/>
            <w:tcBorders>
              <w:top w:val="single" w:sz="12" w:space="0" w:color="auto"/>
            </w:tcBorders>
            <w:shd w:val="clear" w:color="auto" w:fill="auto"/>
            <w:noWrap/>
            <w:vAlign w:val="bottom"/>
            <w:hideMark/>
          </w:tcPr>
          <w:p w14:paraId="7559BB3A" w14:textId="77777777" w:rsidR="00560776" w:rsidRPr="00AE718A" w:rsidRDefault="00560776" w:rsidP="00AE718A">
            <w:pPr>
              <w:suppressAutoHyphens w:val="0"/>
              <w:spacing w:before="40" w:after="40" w:line="220" w:lineRule="exact"/>
              <w:jc w:val="right"/>
              <w:rPr>
                <w:sz w:val="18"/>
              </w:rPr>
            </w:pPr>
            <w:r w:rsidRPr="00AE718A">
              <w:rPr>
                <w:sz w:val="18"/>
                <w:lang w:val="fr-FR"/>
              </w:rPr>
              <w:t>1 276,9</w:t>
            </w:r>
          </w:p>
        </w:tc>
        <w:tc>
          <w:tcPr>
            <w:tcW w:w="709" w:type="dxa"/>
            <w:tcBorders>
              <w:top w:val="single" w:sz="12" w:space="0" w:color="auto"/>
            </w:tcBorders>
            <w:shd w:val="clear" w:color="auto" w:fill="auto"/>
            <w:noWrap/>
            <w:vAlign w:val="bottom"/>
            <w:hideMark/>
          </w:tcPr>
          <w:p w14:paraId="0E70A153" w14:textId="77777777" w:rsidR="00560776" w:rsidRPr="00AE718A" w:rsidRDefault="00560776" w:rsidP="00AE718A">
            <w:pPr>
              <w:suppressAutoHyphens w:val="0"/>
              <w:spacing w:before="40" w:after="40" w:line="220" w:lineRule="exact"/>
              <w:jc w:val="right"/>
              <w:rPr>
                <w:sz w:val="18"/>
              </w:rPr>
            </w:pPr>
            <w:r w:rsidRPr="00AE718A">
              <w:rPr>
                <w:sz w:val="18"/>
                <w:lang w:val="fr-FR"/>
              </w:rPr>
              <w:t>1 660,6</w:t>
            </w:r>
          </w:p>
        </w:tc>
      </w:tr>
      <w:tr w:rsidR="00AE718A" w:rsidRPr="00AE718A" w14:paraId="6B89A59C" w14:textId="77777777" w:rsidTr="00AE718A">
        <w:tc>
          <w:tcPr>
            <w:tcW w:w="1134" w:type="dxa"/>
            <w:shd w:val="clear" w:color="auto" w:fill="auto"/>
            <w:hideMark/>
          </w:tcPr>
          <w:p w14:paraId="4CACBC2D" w14:textId="77777777" w:rsidR="00560776" w:rsidRPr="00AE718A" w:rsidRDefault="00560776" w:rsidP="00AE718A">
            <w:pPr>
              <w:suppressAutoHyphens w:val="0"/>
              <w:spacing w:before="40" w:after="40" w:line="220" w:lineRule="exact"/>
              <w:rPr>
                <w:sz w:val="18"/>
                <w:lang w:val="fr-FR"/>
              </w:rPr>
            </w:pPr>
            <w:r w:rsidRPr="00AE718A">
              <w:rPr>
                <w:sz w:val="18"/>
                <w:lang w:val="fr-FR"/>
              </w:rPr>
              <w:t>Impôt sur le revenu des personnes physiques</w:t>
            </w:r>
          </w:p>
        </w:tc>
        <w:tc>
          <w:tcPr>
            <w:tcW w:w="567" w:type="dxa"/>
            <w:shd w:val="clear" w:color="auto" w:fill="auto"/>
            <w:noWrap/>
            <w:vAlign w:val="bottom"/>
            <w:hideMark/>
          </w:tcPr>
          <w:p w14:paraId="19BBD9B3" w14:textId="77777777" w:rsidR="00560776" w:rsidRPr="00AE718A" w:rsidRDefault="00560776" w:rsidP="00AE718A">
            <w:pPr>
              <w:suppressAutoHyphens w:val="0"/>
              <w:spacing w:before="40" w:after="40" w:line="220" w:lineRule="exact"/>
              <w:jc w:val="right"/>
              <w:rPr>
                <w:sz w:val="18"/>
              </w:rPr>
            </w:pPr>
            <w:r w:rsidRPr="00AE718A">
              <w:rPr>
                <w:sz w:val="18"/>
                <w:lang w:val="fr-FR"/>
              </w:rPr>
              <w:t>128,2</w:t>
            </w:r>
          </w:p>
        </w:tc>
        <w:tc>
          <w:tcPr>
            <w:tcW w:w="567" w:type="dxa"/>
            <w:shd w:val="clear" w:color="auto" w:fill="auto"/>
            <w:noWrap/>
            <w:vAlign w:val="bottom"/>
            <w:hideMark/>
          </w:tcPr>
          <w:p w14:paraId="569B6937" w14:textId="77777777" w:rsidR="00560776" w:rsidRPr="00AE718A" w:rsidRDefault="00560776" w:rsidP="00AE718A">
            <w:pPr>
              <w:suppressAutoHyphens w:val="0"/>
              <w:spacing w:before="40" w:after="40" w:line="220" w:lineRule="exact"/>
              <w:jc w:val="right"/>
              <w:rPr>
                <w:sz w:val="18"/>
              </w:rPr>
            </w:pPr>
            <w:r w:rsidRPr="00AE718A">
              <w:rPr>
                <w:sz w:val="18"/>
                <w:lang w:val="fr-FR"/>
              </w:rPr>
              <w:t>160,9</w:t>
            </w:r>
          </w:p>
        </w:tc>
        <w:tc>
          <w:tcPr>
            <w:tcW w:w="709" w:type="dxa"/>
            <w:shd w:val="clear" w:color="auto" w:fill="auto"/>
            <w:noWrap/>
            <w:vAlign w:val="bottom"/>
            <w:hideMark/>
          </w:tcPr>
          <w:p w14:paraId="23203DDF" w14:textId="77777777" w:rsidR="00560776" w:rsidRPr="00AE718A" w:rsidRDefault="00560776" w:rsidP="00AE718A">
            <w:pPr>
              <w:suppressAutoHyphens w:val="0"/>
              <w:spacing w:before="40" w:after="40" w:line="220" w:lineRule="exact"/>
              <w:jc w:val="right"/>
              <w:rPr>
                <w:sz w:val="18"/>
              </w:rPr>
            </w:pPr>
            <w:r w:rsidRPr="00AE718A">
              <w:rPr>
                <w:sz w:val="18"/>
                <w:lang w:val="fr-FR"/>
              </w:rPr>
              <w:t>232,3</w:t>
            </w:r>
          </w:p>
        </w:tc>
        <w:tc>
          <w:tcPr>
            <w:tcW w:w="709" w:type="dxa"/>
            <w:shd w:val="clear" w:color="auto" w:fill="auto"/>
            <w:noWrap/>
            <w:vAlign w:val="bottom"/>
            <w:hideMark/>
          </w:tcPr>
          <w:p w14:paraId="26F25427" w14:textId="77777777" w:rsidR="00560776" w:rsidRPr="00AE718A" w:rsidRDefault="00560776" w:rsidP="00AE718A">
            <w:pPr>
              <w:suppressAutoHyphens w:val="0"/>
              <w:spacing w:before="40" w:after="40" w:line="220" w:lineRule="exact"/>
              <w:jc w:val="right"/>
              <w:rPr>
                <w:sz w:val="18"/>
              </w:rPr>
            </w:pPr>
            <w:r w:rsidRPr="00AE718A">
              <w:rPr>
                <w:sz w:val="18"/>
                <w:lang w:val="fr-FR"/>
              </w:rPr>
              <w:t>347,0</w:t>
            </w:r>
          </w:p>
        </w:tc>
        <w:tc>
          <w:tcPr>
            <w:tcW w:w="709" w:type="dxa"/>
            <w:shd w:val="clear" w:color="auto" w:fill="auto"/>
            <w:noWrap/>
            <w:vAlign w:val="bottom"/>
            <w:hideMark/>
          </w:tcPr>
          <w:p w14:paraId="3993223A" w14:textId="77777777" w:rsidR="00560776" w:rsidRPr="00AE718A" w:rsidRDefault="00560776" w:rsidP="00AE718A">
            <w:pPr>
              <w:suppressAutoHyphens w:val="0"/>
              <w:spacing w:before="40" w:after="40" w:line="220" w:lineRule="exact"/>
              <w:jc w:val="right"/>
              <w:rPr>
                <w:sz w:val="18"/>
              </w:rPr>
            </w:pPr>
            <w:r w:rsidRPr="00AE718A">
              <w:rPr>
                <w:sz w:val="18"/>
                <w:lang w:val="fr-FR"/>
              </w:rPr>
              <w:t>449,0</w:t>
            </w:r>
          </w:p>
        </w:tc>
        <w:tc>
          <w:tcPr>
            <w:tcW w:w="708" w:type="dxa"/>
            <w:shd w:val="clear" w:color="auto" w:fill="auto"/>
            <w:noWrap/>
            <w:vAlign w:val="bottom"/>
            <w:hideMark/>
          </w:tcPr>
          <w:p w14:paraId="5C94DE8A" w14:textId="77777777" w:rsidR="00560776" w:rsidRPr="00AE718A" w:rsidRDefault="00560776" w:rsidP="00AE718A">
            <w:pPr>
              <w:suppressAutoHyphens w:val="0"/>
              <w:spacing w:before="40" w:after="40" w:line="220" w:lineRule="exact"/>
              <w:jc w:val="right"/>
              <w:rPr>
                <w:sz w:val="18"/>
              </w:rPr>
            </w:pPr>
            <w:r w:rsidRPr="00AE718A">
              <w:rPr>
                <w:sz w:val="18"/>
                <w:lang w:val="fr-FR"/>
              </w:rPr>
              <w:t>479,8</w:t>
            </w:r>
          </w:p>
        </w:tc>
        <w:tc>
          <w:tcPr>
            <w:tcW w:w="709" w:type="dxa"/>
            <w:shd w:val="clear" w:color="auto" w:fill="auto"/>
            <w:noWrap/>
            <w:vAlign w:val="bottom"/>
            <w:hideMark/>
          </w:tcPr>
          <w:p w14:paraId="562A3B4F" w14:textId="77777777" w:rsidR="00560776" w:rsidRPr="00AE718A" w:rsidRDefault="00560776" w:rsidP="00AE718A">
            <w:pPr>
              <w:suppressAutoHyphens w:val="0"/>
              <w:spacing w:before="40" w:after="40" w:line="220" w:lineRule="exact"/>
              <w:jc w:val="right"/>
              <w:rPr>
                <w:sz w:val="18"/>
              </w:rPr>
            </w:pPr>
            <w:r w:rsidRPr="00AE718A">
              <w:rPr>
                <w:sz w:val="18"/>
                <w:lang w:val="fr-FR"/>
              </w:rPr>
              <w:t>482,3</w:t>
            </w:r>
          </w:p>
        </w:tc>
        <w:tc>
          <w:tcPr>
            <w:tcW w:w="709" w:type="dxa"/>
            <w:shd w:val="clear" w:color="auto" w:fill="auto"/>
            <w:noWrap/>
            <w:vAlign w:val="bottom"/>
            <w:hideMark/>
          </w:tcPr>
          <w:p w14:paraId="2D32241C" w14:textId="77777777" w:rsidR="00560776" w:rsidRPr="00AE718A" w:rsidRDefault="00560776" w:rsidP="00AE718A">
            <w:pPr>
              <w:suppressAutoHyphens w:val="0"/>
              <w:spacing w:before="40" w:after="40" w:line="220" w:lineRule="exact"/>
              <w:jc w:val="right"/>
              <w:rPr>
                <w:sz w:val="18"/>
              </w:rPr>
            </w:pPr>
            <w:r w:rsidRPr="00AE718A">
              <w:rPr>
                <w:sz w:val="18"/>
                <w:lang w:val="fr-FR"/>
              </w:rPr>
              <w:t>523,4</w:t>
            </w:r>
          </w:p>
        </w:tc>
        <w:tc>
          <w:tcPr>
            <w:tcW w:w="709" w:type="dxa"/>
            <w:shd w:val="clear" w:color="auto" w:fill="auto"/>
            <w:noWrap/>
            <w:vAlign w:val="bottom"/>
            <w:hideMark/>
          </w:tcPr>
          <w:p w14:paraId="77A01AEA" w14:textId="77777777" w:rsidR="00560776" w:rsidRPr="00AE718A" w:rsidRDefault="00560776" w:rsidP="00AE718A">
            <w:pPr>
              <w:suppressAutoHyphens w:val="0"/>
              <w:spacing w:before="40" w:after="40" w:line="220" w:lineRule="exact"/>
              <w:jc w:val="right"/>
              <w:rPr>
                <w:sz w:val="18"/>
              </w:rPr>
            </w:pPr>
            <w:r w:rsidRPr="00AE718A">
              <w:rPr>
                <w:sz w:val="18"/>
                <w:lang w:val="fr-FR"/>
              </w:rPr>
              <w:t>651,0</w:t>
            </w:r>
          </w:p>
        </w:tc>
        <w:tc>
          <w:tcPr>
            <w:tcW w:w="708" w:type="dxa"/>
            <w:shd w:val="clear" w:color="auto" w:fill="auto"/>
            <w:noWrap/>
            <w:vAlign w:val="bottom"/>
            <w:hideMark/>
          </w:tcPr>
          <w:p w14:paraId="54356D8E" w14:textId="77777777" w:rsidR="00560776" w:rsidRPr="00AE718A" w:rsidRDefault="00560776" w:rsidP="00AE718A">
            <w:pPr>
              <w:suppressAutoHyphens w:val="0"/>
              <w:spacing w:before="40" w:after="40" w:line="220" w:lineRule="exact"/>
              <w:jc w:val="right"/>
              <w:rPr>
                <w:sz w:val="18"/>
              </w:rPr>
            </w:pPr>
            <w:r w:rsidRPr="00AE718A">
              <w:rPr>
                <w:sz w:val="18"/>
                <w:lang w:val="fr-FR"/>
              </w:rPr>
              <w:t>814,2</w:t>
            </w:r>
          </w:p>
        </w:tc>
        <w:tc>
          <w:tcPr>
            <w:tcW w:w="709" w:type="dxa"/>
            <w:shd w:val="clear" w:color="auto" w:fill="auto"/>
            <w:noWrap/>
            <w:vAlign w:val="bottom"/>
            <w:hideMark/>
          </w:tcPr>
          <w:p w14:paraId="20B8C5D1" w14:textId="77777777" w:rsidR="00560776" w:rsidRPr="00AE718A" w:rsidRDefault="00560776" w:rsidP="00AE718A">
            <w:pPr>
              <w:suppressAutoHyphens w:val="0"/>
              <w:spacing w:before="40" w:after="40" w:line="220" w:lineRule="exact"/>
              <w:jc w:val="right"/>
              <w:rPr>
                <w:sz w:val="18"/>
              </w:rPr>
            </w:pPr>
            <w:r w:rsidRPr="00AE718A">
              <w:rPr>
                <w:sz w:val="18"/>
                <w:lang w:val="fr-FR"/>
              </w:rPr>
              <w:t>895,2</w:t>
            </w:r>
          </w:p>
        </w:tc>
      </w:tr>
      <w:tr w:rsidR="00AE718A" w:rsidRPr="00AE718A" w14:paraId="53C9FEB5" w14:textId="77777777" w:rsidTr="00AE718A">
        <w:tc>
          <w:tcPr>
            <w:tcW w:w="1134" w:type="dxa"/>
            <w:shd w:val="clear" w:color="auto" w:fill="auto"/>
            <w:hideMark/>
          </w:tcPr>
          <w:p w14:paraId="1AA344D7" w14:textId="77777777" w:rsidR="00560776" w:rsidRPr="00AE718A" w:rsidRDefault="00560776" w:rsidP="00AE718A">
            <w:pPr>
              <w:suppressAutoHyphens w:val="0"/>
              <w:spacing w:before="40" w:after="40" w:line="220" w:lineRule="exact"/>
              <w:rPr>
                <w:sz w:val="18"/>
                <w:lang w:val="fr-FR"/>
              </w:rPr>
            </w:pPr>
            <w:r w:rsidRPr="00AE718A">
              <w:rPr>
                <w:sz w:val="18"/>
                <w:lang w:val="fr-FR"/>
              </w:rPr>
              <w:t>Taxe sur la valeur ajoutée</w:t>
            </w:r>
          </w:p>
        </w:tc>
        <w:tc>
          <w:tcPr>
            <w:tcW w:w="567" w:type="dxa"/>
            <w:shd w:val="clear" w:color="auto" w:fill="auto"/>
            <w:noWrap/>
            <w:vAlign w:val="bottom"/>
            <w:hideMark/>
          </w:tcPr>
          <w:p w14:paraId="0494A6A1" w14:textId="77777777" w:rsidR="00560776" w:rsidRPr="00AE718A" w:rsidRDefault="00560776" w:rsidP="00AE718A">
            <w:pPr>
              <w:suppressAutoHyphens w:val="0"/>
              <w:spacing w:before="40" w:after="40" w:line="220" w:lineRule="exact"/>
              <w:jc w:val="right"/>
              <w:rPr>
                <w:sz w:val="18"/>
              </w:rPr>
            </w:pPr>
            <w:r w:rsidRPr="00AE718A">
              <w:rPr>
                <w:sz w:val="18"/>
                <w:lang w:val="fr-FR"/>
              </w:rPr>
              <w:t>326,0</w:t>
            </w:r>
          </w:p>
        </w:tc>
        <w:tc>
          <w:tcPr>
            <w:tcW w:w="567" w:type="dxa"/>
            <w:shd w:val="clear" w:color="auto" w:fill="auto"/>
            <w:noWrap/>
            <w:vAlign w:val="bottom"/>
            <w:hideMark/>
          </w:tcPr>
          <w:p w14:paraId="55C91CA5" w14:textId="77777777" w:rsidR="00560776" w:rsidRPr="00AE718A" w:rsidRDefault="00560776" w:rsidP="00AE718A">
            <w:pPr>
              <w:suppressAutoHyphens w:val="0"/>
              <w:spacing w:before="40" w:after="40" w:line="220" w:lineRule="exact"/>
              <w:jc w:val="right"/>
              <w:rPr>
                <w:sz w:val="18"/>
              </w:rPr>
            </w:pPr>
            <w:r w:rsidRPr="00AE718A">
              <w:rPr>
                <w:sz w:val="18"/>
                <w:lang w:val="fr-FR"/>
              </w:rPr>
              <w:t>579,1</w:t>
            </w:r>
          </w:p>
        </w:tc>
        <w:tc>
          <w:tcPr>
            <w:tcW w:w="709" w:type="dxa"/>
            <w:shd w:val="clear" w:color="auto" w:fill="auto"/>
            <w:noWrap/>
            <w:vAlign w:val="bottom"/>
            <w:hideMark/>
          </w:tcPr>
          <w:p w14:paraId="1F5CBB96" w14:textId="77777777" w:rsidR="00560776" w:rsidRPr="00AE718A" w:rsidRDefault="00560776" w:rsidP="00AE718A">
            <w:pPr>
              <w:suppressAutoHyphens w:val="0"/>
              <w:spacing w:before="40" w:after="40" w:line="220" w:lineRule="exact"/>
              <w:jc w:val="right"/>
              <w:rPr>
                <w:sz w:val="18"/>
              </w:rPr>
            </w:pPr>
            <w:r w:rsidRPr="00AE718A">
              <w:rPr>
                <w:sz w:val="18"/>
                <w:lang w:val="fr-FR"/>
              </w:rPr>
              <w:t>1 114,4</w:t>
            </w:r>
          </w:p>
        </w:tc>
        <w:tc>
          <w:tcPr>
            <w:tcW w:w="709" w:type="dxa"/>
            <w:shd w:val="clear" w:color="auto" w:fill="auto"/>
            <w:noWrap/>
            <w:vAlign w:val="bottom"/>
            <w:hideMark/>
          </w:tcPr>
          <w:p w14:paraId="43953492" w14:textId="77777777" w:rsidR="00560776" w:rsidRPr="00AE718A" w:rsidRDefault="00560776" w:rsidP="00AE718A">
            <w:pPr>
              <w:suppressAutoHyphens w:val="0"/>
              <w:spacing w:before="40" w:after="40" w:line="220" w:lineRule="exact"/>
              <w:jc w:val="right"/>
              <w:rPr>
                <w:sz w:val="18"/>
              </w:rPr>
            </w:pPr>
            <w:r w:rsidRPr="00AE718A">
              <w:rPr>
                <w:sz w:val="18"/>
                <w:lang w:val="fr-FR"/>
              </w:rPr>
              <w:t>1 296,5</w:t>
            </w:r>
          </w:p>
        </w:tc>
        <w:tc>
          <w:tcPr>
            <w:tcW w:w="709" w:type="dxa"/>
            <w:shd w:val="clear" w:color="auto" w:fill="auto"/>
            <w:noWrap/>
            <w:vAlign w:val="bottom"/>
            <w:hideMark/>
          </w:tcPr>
          <w:p w14:paraId="4E0E9F07" w14:textId="77777777" w:rsidR="00560776" w:rsidRPr="00AE718A" w:rsidRDefault="00560776" w:rsidP="00AE718A">
            <w:pPr>
              <w:suppressAutoHyphens w:val="0"/>
              <w:spacing w:before="40" w:after="40" w:line="220" w:lineRule="exact"/>
              <w:jc w:val="right"/>
              <w:rPr>
                <w:sz w:val="18"/>
              </w:rPr>
            </w:pPr>
            <w:r w:rsidRPr="00AE718A">
              <w:rPr>
                <w:sz w:val="18"/>
                <w:lang w:val="fr-FR"/>
              </w:rPr>
              <w:t>1 435,1</w:t>
            </w:r>
          </w:p>
        </w:tc>
        <w:tc>
          <w:tcPr>
            <w:tcW w:w="708" w:type="dxa"/>
            <w:shd w:val="clear" w:color="auto" w:fill="auto"/>
            <w:noWrap/>
            <w:vAlign w:val="bottom"/>
            <w:hideMark/>
          </w:tcPr>
          <w:p w14:paraId="21F7AF27" w14:textId="77777777" w:rsidR="00560776" w:rsidRPr="00AE718A" w:rsidRDefault="00560776" w:rsidP="00AE718A">
            <w:pPr>
              <w:suppressAutoHyphens w:val="0"/>
              <w:spacing w:before="40" w:after="40" w:line="220" w:lineRule="exact"/>
              <w:jc w:val="right"/>
              <w:rPr>
                <w:sz w:val="18"/>
              </w:rPr>
            </w:pPr>
            <w:r w:rsidRPr="00AE718A">
              <w:rPr>
                <w:sz w:val="18"/>
                <w:lang w:val="fr-FR"/>
              </w:rPr>
              <w:t>1 371,7</w:t>
            </w:r>
          </w:p>
        </w:tc>
        <w:tc>
          <w:tcPr>
            <w:tcW w:w="709" w:type="dxa"/>
            <w:shd w:val="clear" w:color="auto" w:fill="auto"/>
            <w:noWrap/>
            <w:vAlign w:val="bottom"/>
            <w:hideMark/>
          </w:tcPr>
          <w:p w14:paraId="36073C51" w14:textId="77777777" w:rsidR="00560776" w:rsidRPr="00AE718A" w:rsidRDefault="00560776" w:rsidP="00AE718A">
            <w:pPr>
              <w:suppressAutoHyphens w:val="0"/>
              <w:spacing w:before="40" w:after="40" w:line="220" w:lineRule="exact"/>
              <w:jc w:val="right"/>
              <w:rPr>
                <w:sz w:val="18"/>
              </w:rPr>
            </w:pPr>
            <w:r w:rsidRPr="00AE718A">
              <w:rPr>
                <w:sz w:val="18"/>
                <w:lang w:val="fr-FR"/>
              </w:rPr>
              <w:t>1 049,6</w:t>
            </w:r>
          </w:p>
        </w:tc>
        <w:tc>
          <w:tcPr>
            <w:tcW w:w="709" w:type="dxa"/>
            <w:shd w:val="clear" w:color="auto" w:fill="auto"/>
            <w:noWrap/>
            <w:vAlign w:val="bottom"/>
            <w:hideMark/>
          </w:tcPr>
          <w:p w14:paraId="4EA1BE66" w14:textId="77777777" w:rsidR="00560776" w:rsidRPr="00AE718A" w:rsidRDefault="00560776" w:rsidP="00AE718A">
            <w:pPr>
              <w:suppressAutoHyphens w:val="0"/>
              <w:spacing w:before="40" w:after="40" w:line="220" w:lineRule="exact"/>
              <w:jc w:val="right"/>
              <w:rPr>
                <w:sz w:val="18"/>
              </w:rPr>
            </w:pPr>
            <w:r w:rsidRPr="00AE718A">
              <w:rPr>
                <w:sz w:val="18"/>
                <w:lang w:val="fr-FR"/>
              </w:rPr>
              <w:t>1 140,7</w:t>
            </w:r>
          </w:p>
        </w:tc>
        <w:tc>
          <w:tcPr>
            <w:tcW w:w="709" w:type="dxa"/>
            <w:shd w:val="clear" w:color="auto" w:fill="auto"/>
            <w:noWrap/>
            <w:vAlign w:val="bottom"/>
            <w:hideMark/>
          </w:tcPr>
          <w:p w14:paraId="2E123A21" w14:textId="77777777" w:rsidR="00560776" w:rsidRPr="00AE718A" w:rsidRDefault="00560776" w:rsidP="00AE718A">
            <w:pPr>
              <w:suppressAutoHyphens w:val="0"/>
              <w:spacing w:before="40" w:after="40" w:line="220" w:lineRule="exact"/>
              <w:jc w:val="right"/>
              <w:rPr>
                <w:sz w:val="18"/>
              </w:rPr>
            </w:pPr>
            <w:r w:rsidRPr="00AE718A">
              <w:rPr>
                <w:sz w:val="18"/>
                <w:lang w:val="fr-FR"/>
              </w:rPr>
              <w:t>1 618,5</w:t>
            </w:r>
          </w:p>
        </w:tc>
        <w:tc>
          <w:tcPr>
            <w:tcW w:w="708" w:type="dxa"/>
            <w:shd w:val="clear" w:color="auto" w:fill="auto"/>
            <w:noWrap/>
            <w:vAlign w:val="bottom"/>
            <w:hideMark/>
          </w:tcPr>
          <w:p w14:paraId="0C4CCD1F" w14:textId="77777777" w:rsidR="00560776" w:rsidRPr="00AE718A" w:rsidRDefault="00560776" w:rsidP="00AE718A">
            <w:pPr>
              <w:suppressAutoHyphens w:val="0"/>
              <w:spacing w:before="40" w:after="40" w:line="220" w:lineRule="exact"/>
              <w:jc w:val="right"/>
              <w:rPr>
                <w:sz w:val="18"/>
              </w:rPr>
            </w:pPr>
            <w:r w:rsidRPr="00AE718A">
              <w:rPr>
                <w:sz w:val="18"/>
                <w:lang w:val="fr-FR"/>
              </w:rPr>
              <w:t>2 195,9</w:t>
            </w:r>
          </w:p>
        </w:tc>
        <w:tc>
          <w:tcPr>
            <w:tcW w:w="709" w:type="dxa"/>
            <w:shd w:val="clear" w:color="auto" w:fill="auto"/>
            <w:noWrap/>
            <w:vAlign w:val="bottom"/>
            <w:hideMark/>
          </w:tcPr>
          <w:p w14:paraId="7965DC86" w14:textId="77777777" w:rsidR="00560776" w:rsidRPr="00AE718A" w:rsidRDefault="00560776" w:rsidP="00AE718A">
            <w:pPr>
              <w:suppressAutoHyphens w:val="0"/>
              <w:spacing w:before="40" w:after="40" w:line="220" w:lineRule="exact"/>
              <w:jc w:val="right"/>
              <w:rPr>
                <w:sz w:val="18"/>
              </w:rPr>
            </w:pPr>
            <w:r w:rsidRPr="00AE718A">
              <w:rPr>
                <w:sz w:val="18"/>
                <w:lang w:val="fr-FR"/>
              </w:rPr>
              <w:t>2 486,3</w:t>
            </w:r>
          </w:p>
        </w:tc>
      </w:tr>
      <w:tr w:rsidR="00AE718A" w:rsidRPr="00AE718A" w14:paraId="2519462D" w14:textId="77777777" w:rsidTr="00AE718A">
        <w:tc>
          <w:tcPr>
            <w:tcW w:w="1134" w:type="dxa"/>
            <w:tcBorders>
              <w:bottom w:val="single" w:sz="12" w:space="0" w:color="auto"/>
            </w:tcBorders>
            <w:shd w:val="clear" w:color="auto" w:fill="auto"/>
            <w:hideMark/>
          </w:tcPr>
          <w:p w14:paraId="073D53AD" w14:textId="72430456" w:rsidR="00560776" w:rsidRPr="00AE718A" w:rsidRDefault="00560776" w:rsidP="00AE718A">
            <w:pPr>
              <w:suppressAutoHyphens w:val="0"/>
              <w:spacing w:before="40" w:after="40" w:line="220" w:lineRule="exact"/>
              <w:rPr>
                <w:sz w:val="18"/>
              </w:rPr>
            </w:pPr>
            <w:r w:rsidRPr="00AE718A">
              <w:rPr>
                <w:sz w:val="18"/>
                <w:lang w:val="fr-FR"/>
              </w:rPr>
              <w:t>Droits d</w:t>
            </w:r>
            <w:r w:rsidR="009C7759">
              <w:rPr>
                <w:sz w:val="18"/>
                <w:lang w:val="fr-FR"/>
              </w:rPr>
              <w:t>’</w:t>
            </w:r>
            <w:r w:rsidRPr="00AE718A">
              <w:rPr>
                <w:sz w:val="18"/>
                <w:lang w:val="fr-FR"/>
              </w:rPr>
              <w:t>accise</w:t>
            </w:r>
          </w:p>
        </w:tc>
        <w:tc>
          <w:tcPr>
            <w:tcW w:w="567" w:type="dxa"/>
            <w:tcBorders>
              <w:bottom w:val="single" w:sz="12" w:space="0" w:color="auto"/>
            </w:tcBorders>
            <w:shd w:val="clear" w:color="auto" w:fill="auto"/>
            <w:noWrap/>
            <w:vAlign w:val="bottom"/>
            <w:hideMark/>
          </w:tcPr>
          <w:p w14:paraId="56BFD93B" w14:textId="77777777" w:rsidR="00560776" w:rsidRPr="00AE718A" w:rsidRDefault="00560776" w:rsidP="00AE718A">
            <w:pPr>
              <w:suppressAutoHyphens w:val="0"/>
              <w:spacing w:before="40" w:after="40" w:line="220" w:lineRule="exact"/>
              <w:jc w:val="right"/>
              <w:rPr>
                <w:sz w:val="18"/>
              </w:rPr>
            </w:pPr>
            <w:r w:rsidRPr="00AE718A">
              <w:rPr>
                <w:sz w:val="18"/>
                <w:lang w:val="fr-FR"/>
              </w:rPr>
              <w:t>166,7</w:t>
            </w:r>
          </w:p>
        </w:tc>
        <w:tc>
          <w:tcPr>
            <w:tcW w:w="567" w:type="dxa"/>
            <w:tcBorders>
              <w:bottom w:val="single" w:sz="12" w:space="0" w:color="auto"/>
            </w:tcBorders>
            <w:shd w:val="clear" w:color="auto" w:fill="auto"/>
            <w:noWrap/>
            <w:vAlign w:val="bottom"/>
            <w:hideMark/>
          </w:tcPr>
          <w:p w14:paraId="18FD8DEB" w14:textId="77777777" w:rsidR="00560776" w:rsidRPr="00AE718A" w:rsidRDefault="00560776" w:rsidP="00AE718A">
            <w:pPr>
              <w:suppressAutoHyphens w:val="0"/>
              <w:spacing w:before="40" w:after="40" w:line="220" w:lineRule="exact"/>
              <w:jc w:val="right"/>
              <w:rPr>
                <w:sz w:val="18"/>
              </w:rPr>
            </w:pPr>
            <w:r w:rsidRPr="00AE718A">
              <w:rPr>
                <w:sz w:val="18"/>
                <w:lang w:val="fr-FR"/>
              </w:rPr>
              <w:t>268,5</w:t>
            </w:r>
          </w:p>
        </w:tc>
        <w:tc>
          <w:tcPr>
            <w:tcW w:w="709" w:type="dxa"/>
            <w:tcBorders>
              <w:bottom w:val="single" w:sz="12" w:space="0" w:color="auto"/>
            </w:tcBorders>
            <w:shd w:val="clear" w:color="auto" w:fill="auto"/>
            <w:noWrap/>
            <w:vAlign w:val="bottom"/>
            <w:hideMark/>
          </w:tcPr>
          <w:p w14:paraId="523A2FE9" w14:textId="77777777" w:rsidR="00560776" w:rsidRPr="00AE718A" w:rsidRDefault="00560776" w:rsidP="00AE718A">
            <w:pPr>
              <w:suppressAutoHyphens w:val="0"/>
              <w:spacing w:before="40" w:after="40" w:line="220" w:lineRule="exact"/>
              <w:jc w:val="right"/>
              <w:rPr>
                <w:sz w:val="18"/>
              </w:rPr>
            </w:pPr>
            <w:r w:rsidRPr="00AE718A">
              <w:rPr>
                <w:sz w:val="18"/>
                <w:lang w:val="fr-FR"/>
              </w:rPr>
              <w:t>294,0</w:t>
            </w:r>
          </w:p>
        </w:tc>
        <w:tc>
          <w:tcPr>
            <w:tcW w:w="709" w:type="dxa"/>
            <w:tcBorders>
              <w:bottom w:val="single" w:sz="12" w:space="0" w:color="auto"/>
            </w:tcBorders>
            <w:shd w:val="clear" w:color="auto" w:fill="auto"/>
            <w:noWrap/>
            <w:vAlign w:val="bottom"/>
            <w:hideMark/>
          </w:tcPr>
          <w:p w14:paraId="1D4CD8AF" w14:textId="77777777" w:rsidR="00560776" w:rsidRPr="00AE718A" w:rsidRDefault="00560776" w:rsidP="00AE718A">
            <w:pPr>
              <w:suppressAutoHyphens w:val="0"/>
              <w:spacing w:before="40" w:after="40" w:line="220" w:lineRule="exact"/>
              <w:jc w:val="right"/>
              <w:rPr>
                <w:sz w:val="18"/>
              </w:rPr>
            </w:pPr>
            <w:r w:rsidRPr="00AE718A">
              <w:rPr>
                <w:sz w:val="18"/>
                <w:lang w:val="fr-FR"/>
              </w:rPr>
              <w:t>312,4</w:t>
            </w:r>
          </w:p>
        </w:tc>
        <w:tc>
          <w:tcPr>
            <w:tcW w:w="709" w:type="dxa"/>
            <w:tcBorders>
              <w:bottom w:val="single" w:sz="12" w:space="0" w:color="auto"/>
            </w:tcBorders>
            <w:shd w:val="clear" w:color="auto" w:fill="auto"/>
            <w:noWrap/>
            <w:vAlign w:val="bottom"/>
            <w:hideMark/>
          </w:tcPr>
          <w:p w14:paraId="28217FA7" w14:textId="77777777" w:rsidR="00560776" w:rsidRPr="00AE718A" w:rsidRDefault="00560776" w:rsidP="00AE718A">
            <w:pPr>
              <w:suppressAutoHyphens w:val="0"/>
              <w:spacing w:before="40" w:after="40" w:line="220" w:lineRule="exact"/>
              <w:jc w:val="right"/>
              <w:rPr>
                <w:sz w:val="18"/>
              </w:rPr>
            </w:pPr>
            <w:r w:rsidRPr="00AE718A">
              <w:rPr>
                <w:sz w:val="18"/>
                <w:lang w:val="fr-FR"/>
              </w:rPr>
              <w:t>449,4</w:t>
            </w:r>
          </w:p>
        </w:tc>
        <w:tc>
          <w:tcPr>
            <w:tcW w:w="708" w:type="dxa"/>
            <w:tcBorders>
              <w:bottom w:val="single" w:sz="12" w:space="0" w:color="auto"/>
            </w:tcBorders>
            <w:shd w:val="clear" w:color="auto" w:fill="auto"/>
            <w:noWrap/>
            <w:vAlign w:val="bottom"/>
            <w:hideMark/>
          </w:tcPr>
          <w:p w14:paraId="282AE77C" w14:textId="77777777" w:rsidR="00560776" w:rsidRPr="00AE718A" w:rsidRDefault="00560776" w:rsidP="00AE718A">
            <w:pPr>
              <w:suppressAutoHyphens w:val="0"/>
              <w:spacing w:before="40" w:after="40" w:line="220" w:lineRule="exact"/>
              <w:jc w:val="right"/>
              <w:rPr>
                <w:sz w:val="18"/>
              </w:rPr>
            </w:pPr>
            <w:r w:rsidRPr="00AE718A">
              <w:rPr>
                <w:sz w:val="18"/>
                <w:lang w:val="fr-FR"/>
              </w:rPr>
              <w:t>454,4</w:t>
            </w:r>
          </w:p>
        </w:tc>
        <w:tc>
          <w:tcPr>
            <w:tcW w:w="709" w:type="dxa"/>
            <w:tcBorders>
              <w:bottom w:val="single" w:sz="12" w:space="0" w:color="auto"/>
            </w:tcBorders>
            <w:shd w:val="clear" w:color="auto" w:fill="auto"/>
            <w:noWrap/>
            <w:vAlign w:val="bottom"/>
            <w:hideMark/>
          </w:tcPr>
          <w:p w14:paraId="10FF5445" w14:textId="77777777" w:rsidR="00560776" w:rsidRPr="00AE718A" w:rsidRDefault="00560776" w:rsidP="00AE718A">
            <w:pPr>
              <w:suppressAutoHyphens w:val="0"/>
              <w:spacing w:before="40" w:after="40" w:line="220" w:lineRule="exact"/>
              <w:jc w:val="right"/>
              <w:rPr>
                <w:sz w:val="18"/>
              </w:rPr>
            </w:pPr>
            <w:r w:rsidRPr="00AE718A">
              <w:rPr>
                <w:sz w:val="18"/>
                <w:lang w:val="fr-FR"/>
              </w:rPr>
              <w:t>592,3</w:t>
            </w:r>
          </w:p>
        </w:tc>
        <w:tc>
          <w:tcPr>
            <w:tcW w:w="709" w:type="dxa"/>
            <w:tcBorders>
              <w:bottom w:val="single" w:sz="12" w:space="0" w:color="auto"/>
            </w:tcBorders>
            <w:shd w:val="clear" w:color="auto" w:fill="auto"/>
            <w:noWrap/>
            <w:vAlign w:val="bottom"/>
            <w:hideMark/>
          </w:tcPr>
          <w:p w14:paraId="2E5094D6" w14:textId="77777777" w:rsidR="00560776" w:rsidRPr="00AE718A" w:rsidRDefault="00560776" w:rsidP="00AE718A">
            <w:pPr>
              <w:suppressAutoHyphens w:val="0"/>
              <w:spacing w:before="40" w:after="40" w:line="220" w:lineRule="exact"/>
              <w:jc w:val="right"/>
              <w:rPr>
                <w:sz w:val="18"/>
              </w:rPr>
            </w:pPr>
            <w:r w:rsidRPr="00AE718A">
              <w:rPr>
                <w:sz w:val="18"/>
                <w:lang w:val="fr-FR"/>
              </w:rPr>
              <w:t>630,1</w:t>
            </w:r>
          </w:p>
        </w:tc>
        <w:tc>
          <w:tcPr>
            <w:tcW w:w="709" w:type="dxa"/>
            <w:tcBorders>
              <w:bottom w:val="single" w:sz="12" w:space="0" w:color="auto"/>
            </w:tcBorders>
            <w:shd w:val="clear" w:color="auto" w:fill="auto"/>
            <w:noWrap/>
            <w:vAlign w:val="bottom"/>
            <w:hideMark/>
          </w:tcPr>
          <w:p w14:paraId="646AB14D" w14:textId="77777777" w:rsidR="00560776" w:rsidRPr="00AE718A" w:rsidRDefault="00560776" w:rsidP="00AE718A">
            <w:pPr>
              <w:suppressAutoHyphens w:val="0"/>
              <w:spacing w:before="40" w:after="40" w:line="220" w:lineRule="exact"/>
              <w:jc w:val="right"/>
              <w:rPr>
                <w:sz w:val="18"/>
              </w:rPr>
            </w:pPr>
            <w:r w:rsidRPr="00AE718A">
              <w:rPr>
                <w:sz w:val="18"/>
                <w:lang w:val="fr-FR"/>
              </w:rPr>
              <w:t>519,7</w:t>
            </w:r>
          </w:p>
        </w:tc>
        <w:tc>
          <w:tcPr>
            <w:tcW w:w="708" w:type="dxa"/>
            <w:tcBorders>
              <w:bottom w:val="single" w:sz="12" w:space="0" w:color="auto"/>
            </w:tcBorders>
            <w:shd w:val="clear" w:color="auto" w:fill="auto"/>
            <w:noWrap/>
            <w:vAlign w:val="bottom"/>
            <w:hideMark/>
          </w:tcPr>
          <w:p w14:paraId="6C20D5D3" w14:textId="77777777" w:rsidR="00560776" w:rsidRPr="00AE718A" w:rsidRDefault="00560776" w:rsidP="00AE718A">
            <w:pPr>
              <w:suppressAutoHyphens w:val="0"/>
              <w:spacing w:before="40" w:after="40" w:line="220" w:lineRule="exact"/>
              <w:jc w:val="right"/>
              <w:rPr>
                <w:sz w:val="18"/>
              </w:rPr>
            </w:pPr>
            <w:r w:rsidRPr="00AE718A">
              <w:rPr>
                <w:sz w:val="18"/>
                <w:lang w:val="fr-FR"/>
              </w:rPr>
              <w:t>754,4</w:t>
            </w:r>
          </w:p>
        </w:tc>
        <w:tc>
          <w:tcPr>
            <w:tcW w:w="709" w:type="dxa"/>
            <w:tcBorders>
              <w:bottom w:val="single" w:sz="12" w:space="0" w:color="auto"/>
            </w:tcBorders>
            <w:shd w:val="clear" w:color="auto" w:fill="auto"/>
            <w:noWrap/>
            <w:vAlign w:val="bottom"/>
            <w:hideMark/>
          </w:tcPr>
          <w:p w14:paraId="42B7ED59" w14:textId="77777777" w:rsidR="00560776" w:rsidRPr="00AE718A" w:rsidRDefault="00560776" w:rsidP="00AE718A">
            <w:pPr>
              <w:suppressAutoHyphens w:val="0"/>
              <w:spacing w:before="40" w:after="40" w:line="220" w:lineRule="exact"/>
              <w:jc w:val="right"/>
              <w:rPr>
                <w:sz w:val="18"/>
              </w:rPr>
            </w:pPr>
            <w:r w:rsidRPr="00AE718A">
              <w:rPr>
                <w:sz w:val="18"/>
                <w:lang w:val="fr-FR"/>
              </w:rPr>
              <w:t>863,4</w:t>
            </w:r>
          </w:p>
        </w:tc>
      </w:tr>
    </w:tbl>
    <w:p w14:paraId="55A5F3D4" w14:textId="7A198EBA" w:rsidR="00560776" w:rsidRPr="00AE718A" w:rsidRDefault="00560776" w:rsidP="00AE718A">
      <w:pPr>
        <w:pStyle w:val="SingleTxtG"/>
        <w:spacing w:before="120"/>
        <w:ind w:firstLine="170"/>
        <w:rPr>
          <w:sz w:val="18"/>
          <w:szCs w:val="18"/>
        </w:rPr>
      </w:pPr>
      <w:r w:rsidRPr="00A737F5">
        <w:rPr>
          <w:i/>
          <w:iCs/>
          <w:sz w:val="18"/>
          <w:szCs w:val="18"/>
        </w:rPr>
        <w:t>Source</w:t>
      </w:r>
      <w:r w:rsidR="00A737F5">
        <w:rPr>
          <w:sz w:val="18"/>
          <w:szCs w:val="18"/>
        </w:rPr>
        <w:t> </w:t>
      </w:r>
      <w:r w:rsidRPr="00AE718A">
        <w:rPr>
          <w:sz w:val="18"/>
          <w:szCs w:val="18"/>
        </w:rPr>
        <w:t>: Ministère des finances.</w:t>
      </w:r>
    </w:p>
    <w:p w14:paraId="5A87F0CB" w14:textId="37184948" w:rsidR="00560776" w:rsidRPr="008D553A" w:rsidRDefault="00560776" w:rsidP="00E916C8">
      <w:pPr>
        <w:pStyle w:val="SingleTxtG"/>
        <w:spacing w:before="240"/>
        <w:rPr>
          <w:lang w:val="fr-FR"/>
        </w:rPr>
      </w:pPr>
      <w:r>
        <w:rPr>
          <w:lang w:val="fr-FR"/>
        </w:rPr>
        <w:t>78.</w:t>
      </w:r>
      <w:r>
        <w:rPr>
          <w:lang w:val="fr-FR"/>
        </w:rPr>
        <w:tab/>
        <w:t>Précision</w:t>
      </w:r>
      <w:r w:rsidR="00A737F5">
        <w:rPr>
          <w:lang w:val="fr-FR"/>
        </w:rPr>
        <w:t> </w:t>
      </w:r>
      <w:r>
        <w:rPr>
          <w:lang w:val="fr-FR"/>
        </w:rPr>
        <w:t>: Ces types d</w:t>
      </w:r>
      <w:r w:rsidR="009C7759">
        <w:rPr>
          <w:lang w:val="fr-FR"/>
        </w:rPr>
        <w:t>’</w:t>
      </w:r>
      <w:r>
        <w:rPr>
          <w:lang w:val="fr-FR"/>
        </w:rPr>
        <w:t>impôt font partie des recettes inscrites au budget consolidé.</w:t>
      </w:r>
    </w:p>
    <w:p w14:paraId="2C2D815A" w14:textId="10684AC4" w:rsidR="00560776" w:rsidRPr="008D553A" w:rsidRDefault="00560776" w:rsidP="00560776">
      <w:pPr>
        <w:pStyle w:val="SingleTxtG"/>
        <w:rPr>
          <w:lang w:val="fr-FR"/>
        </w:rPr>
      </w:pPr>
      <w:r>
        <w:rPr>
          <w:lang w:val="fr-FR"/>
        </w:rPr>
        <w:t>79.</w:t>
      </w:r>
      <w:r>
        <w:rPr>
          <w:lang w:val="fr-FR"/>
        </w:rPr>
        <w:tab/>
        <w:t>Le montant total de l</w:t>
      </w:r>
      <w:r w:rsidR="009C7759">
        <w:rPr>
          <w:lang w:val="fr-FR"/>
        </w:rPr>
        <w:t>’</w:t>
      </w:r>
      <w:r>
        <w:rPr>
          <w:lang w:val="fr-FR"/>
        </w:rPr>
        <w:t>impôt sur le revenu des entités et organisations économiques s</w:t>
      </w:r>
      <w:r w:rsidR="009C7759">
        <w:rPr>
          <w:lang w:val="fr-FR"/>
        </w:rPr>
        <w:t>’</w:t>
      </w:r>
      <w:r>
        <w:rPr>
          <w:lang w:val="fr-FR"/>
        </w:rPr>
        <w:t>élevait à 205,4</w:t>
      </w:r>
      <w:r w:rsidR="00357EC8">
        <w:rPr>
          <w:lang w:val="fr-FR"/>
        </w:rPr>
        <w:t> </w:t>
      </w:r>
      <w:r>
        <w:rPr>
          <w:lang w:val="fr-FR"/>
        </w:rPr>
        <w:t xml:space="preserve">milliards de </w:t>
      </w:r>
      <w:proofErr w:type="spellStart"/>
      <w:r>
        <w:rPr>
          <w:lang w:val="fr-FR"/>
        </w:rPr>
        <w:t>togrogs</w:t>
      </w:r>
      <w:proofErr w:type="spellEnd"/>
      <w:r>
        <w:rPr>
          <w:lang w:val="fr-FR"/>
        </w:rPr>
        <w:t xml:space="preserve"> en 2009 et était environ 8 fois supérieur en 2019, atteignant 1,7</w:t>
      </w:r>
      <w:r w:rsidR="00357EC8">
        <w:rPr>
          <w:lang w:val="fr-FR"/>
        </w:rPr>
        <w:t> </w:t>
      </w:r>
      <w:r>
        <w:rPr>
          <w:lang w:val="fr-FR"/>
        </w:rPr>
        <w:t xml:space="preserve">mille milliards de </w:t>
      </w:r>
      <w:proofErr w:type="spellStart"/>
      <w:r>
        <w:rPr>
          <w:lang w:val="fr-FR"/>
        </w:rPr>
        <w:t>togrogs</w:t>
      </w:r>
      <w:proofErr w:type="spellEnd"/>
      <w:r>
        <w:rPr>
          <w:lang w:val="fr-FR"/>
        </w:rPr>
        <w:t>. Cette hausse du montant de l</w:t>
      </w:r>
      <w:r w:rsidR="009C7759">
        <w:rPr>
          <w:lang w:val="fr-FR"/>
        </w:rPr>
        <w:t>’</w:t>
      </w:r>
      <w:r>
        <w:rPr>
          <w:lang w:val="fr-FR"/>
        </w:rPr>
        <w:t>impôt sur le revenu des entités et organisations économiques s</w:t>
      </w:r>
      <w:r w:rsidR="009C7759">
        <w:rPr>
          <w:lang w:val="fr-FR"/>
        </w:rPr>
        <w:t>’</w:t>
      </w:r>
      <w:r>
        <w:rPr>
          <w:lang w:val="fr-FR"/>
        </w:rPr>
        <w:t xml:space="preserve">explique principalement par la forte croissance </w:t>
      </w:r>
      <w:r>
        <w:rPr>
          <w:lang w:val="fr-FR"/>
        </w:rPr>
        <w:lastRenderedPageBreak/>
        <w:t>régulière de l</w:t>
      </w:r>
      <w:r w:rsidR="009C7759">
        <w:rPr>
          <w:lang w:val="fr-FR"/>
        </w:rPr>
        <w:t>’</w:t>
      </w:r>
      <w:r>
        <w:rPr>
          <w:lang w:val="fr-FR"/>
        </w:rPr>
        <w:t>économie, l</w:t>
      </w:r>
      <w:r w:rsidR="009C7759">
        <w:rPr>
          <w:lang w:val="fr-FR"/>
        </w:rPr>
        <w:t>’</w:t>
      </w:r>
      <w:r>
        <w:rPr>
          <w:lang w:val="fr-FR"/>
        </w:rPr>
        <w:t>instauration d</w:t>
      </w:r>
      <w:r w:rsidR="009C7759">
        <w:rPr>
          <w:lang w:val="fr-FR"/>
        </w:rPr>
        <w:t>’</w:t>
      </w:r>
      <w:r>
        <w:rPr>
          <w:lang w:val="fr-FR"/>
        </w:rPr>
        <w:t>un environnement favorable aux entreprises ainsi que la mise en place de politiques fiscales optimales, facteurs qui ont également conduit à une multiplication par 7 des recettes provenant de l</w:t>
      </w:r>
      <w:r w:rsidR="009C7759">
        <w:rPr>
          <w:lang w:val="fr-FR"/>
        </w:rPr>
        <w:t>’</w:t>
      </w:r>
      <w:r>
        <w:rPr>
          <w:lang w:val="fr-FR"/>
        </w:rPr>
        <w:t>impôt sur le revenu des personnes physiques et par 5,2 des droits d</w:t>
      </w:r>
      <w:r w:rsidR="009C7759">
        <w:rPr>
          <w:lang w:val="fr-FR"/>
        </w:rPr>
        <w:t>’</w:t>
      </w:r>
      <w:r>
        <w:rPr>
          <w:lang w:val="fr-FR"/>
        </w:rPr>
        <w:t xml:space="preserve">accise. </w:t>
      </w:r>
    </w:p>
    <w:p w14:paraId="68C818DC" w14:textId="4D9CD486" w:rsidR="00560776" w:rsidRPr="008D553A" w:rsidRDefault="00560776" w:rsidP="00560776">
      <w:pPr>
        <w:pStyle w:val="SingleTxtG"/>
        <w:rPr>
          <w:lang w:val="fr-FR"/>
        </w:rPr>
      </w:pPr>
      <w:r>
        <w:rPr>
          <w:lang w:val="fr-FR"/>
        </w:rPr>
        <w:t>80.</w:t>
      </w:r>
      <w:r>
        <w:rPr>
          <w:lang w:val="fr-FR"/>
        </w:rPr>
        <w:tab/>
        <w:t>Les recettes provenant de la taxe sur la valeur ajoutée (TVA) sont passées de 326 milliards à 2,5</w:t>
      </w:r>
      <w:r w:rsidR="00357EC8">
        <w:rPr>
          <w:lang w:val="fr-FR"/>
        </w:rPr>
        <w:t> </w:t>
      </w:r>
      <w:r>
        <w:rPr>
          <w:lang w:val="fr-FR"/>
        </w:rPr>
        <w:t xml:space="preserve">mille milliards de </w:t>
      </w:r>
      <w:proofErr w:type="spellStart"/>
      <w:r>
        <w:rPr>
          <w:lang w:val="fr-FR"/>
        </w:rPr>
        <w:t>togrogs</w:t>
      </w:r>
      <w:proofErr w:type="spellEnd"/>
      <w:r>
        <w:rPr>
          <w:lang w:val="fr-FR"/>
        </w:rPr>
        <w:t>, cette augmentation ayant surtout eu lieu au cours des trois dernières années. Cette hausse s</w:t>
      </w:r>
      <w:r w:rsidR="009C7759">
        <w:rPr>
          <w:lang w:val="fr-FR"/>
        </w:rPr>
        <w:t>’</w:t>
      </w:r>
      <w:r>
        <w:rPr>
          <w:lang w:val="fr-FR"/>
        </w:rPr>
        <w:t>explique principalement par l</w:t>
      </w:r>
      <w:r w:rsidR="009C7759">
        <w:rPr>
          <w:lang w:val="fr-FR"/>
        </w:rPr>
        <w:t>’</w:t>
      </w:r>
      <w:r>
        <w:rPr>
          <w:lang w:val="fr-FR"/>
        </w:rPr>
        <w:t>introduction du système d</w:t>
      </w:r>
      <w:r w:rsidR="009C7759">
        <w:rPr>
          <w:lang w:val="fr-FR"/>
        </w:rPr>
        <w:t>’</w:t>
      </w:r>
      <w:r>
        <w:rPr>
          <w:lang w:val="fr-FR"/>
        </w:rPr>
        <w:t>enregistrement électronique de la TVA. L</w:t>
      </w:r>
      <w:r w:rsidR="009C7759">
        <w:rPr>
          <w:lang w:val="fr-FR"/>
        </w:rPr>
        <w:t>’</w:t>
      </w:r>
      <w:r>
        <w:rPr>
          <w:lang w:val="fr-FR"/>
        </w:rPr>
        <w:t>enregistrement rapide et aisé des factures de TVA par les citoyens et leur règlement régulier, qui les encouragent à faire valoir leur droit d</w:t>
      </w:r>
      <w:r w:rsidR="009C7759">
        <w:rPr>
          <w:lang w:val="fr-FR"/>
        </w:rPr>
        <w:t>’</w:t>
      </w:r>
      <w:r>
        <w:rPr>
          <w:lang w:val="fr-FR"/>
        </w:rPr>
        <w:t>exiger des organisations des factures de TVA, ont permis un meilleur enregistrement des biens, l</w:t>
      </w:r>
      <w:r w:rsidR="009C7759">
        <w:rPr>
          <w:lang w:val="fr-FR"/>
        </w:rPr>
        <w:t>’</w:t>
      </w:r>
      <w:r>
        <w:rPr>
          <w:lang w:val="fr-FR"/>
        </w:rPr>
        <w:t>élargissement de l</w:t>
      </w:r>
      <w:r w:rsidR="009C7759">
        <w:rPr>
          <w:lang w:val="fr-FR"/>
        </w:rPr>
        <w:t>’</w:t>
      </w:r>
      <w:r>
        <w:rPr>
          <w:lang w:val="fr-FR"/>
        </w:rPr>
        <w:t>assiette fiscale et l</w:t>
      </w:r>
      <w:r w:rsidR="009C7759">
        <w:rPr>
          <w:lang w:val="fr-FR"/>
        </w:rPr>
        <w:t>’</w:t>
      </w:r>
      <w:r>
        <w:rPr>
          <w:lang w:val="fr-FR"/>
        </w:rPr>
        <w:t>instauration d</w:t>
      </w:r>
      <w:r w:rsidR="009C7759">
        <w:rPr>
          <w:lang w:val="fr-FR"/>
        </w:rPr>
        <w:t>’</w:t>
      </w:r>
      <w:r>
        <w:rPr>
          <w:lang w:val="fr-FR"/>
        </w:rPr>
        <w:t>un environnement favorable aux citoyens.</w:t>
      </w:r>
    </w:p>
    <w:p w14:paraId="5F6E8E7B" w14:textId="1FF4AC0D" w:rsidR="00560776" w:rsidRPr="008D553A" w:rsidRDefault="00560776" w:rsidP="00E92104">
      <w:pPr>
        <w:pStyle w:val="H1G"/>
        <w:rPr>
          <w:lang w:val="fr-FR"/>
        </w:rPr>
      </w:pPr>
      <w:r>
        <w:rPr>
          <w:lang w:val="fr-FR"/>
        </w:rPr>
        <w:tab/>
      </w:r>
      <w:r>
        <w:rPr>
          <w:lang w:val="fr-FR"/>
        </w:rPr>
        <w:tab/>
        <w:t>Paragraphe 7 d) de la liste de points</w:t>
      </w:r>
    </w:p>
    <w:p w14:paraId="1A24BD18" w14:textId="2F64F9A4" w:rsidR="00560776" w:rsidRPr="008D553A" w:rsidRDefault="00560776" w:rsidP="00E92104">
      <w:pPr>
        <w:pStyle w:val="Titre1"/>
        <w:spacing w:after="120"/>
        <w:rPr>
          <w:b/>
          <w:bCs/>
          <w:lang w:val="fr-FR"/>
        </w:rPr>
      </w:pPr>
      <w:r>
        <w:rPr>
          <w:lang w:val="fr-FR"/>
        </w:rPr>
        <w:t>Tableau 15</w:t>
      </w:r>
      <w:r w:rsidR="00E92104">
        <w:rPr>
          <w:lang w:val="fr-FR"/>
        </w:rPr>
        <w:t xml:space="preserve"> </w:t>
      </w:r>
      <w:r w:rsidR="00E92104">
        <w:rPr>
          <w:lang w:val="fr-FR"/>
        </w:rPr>
        <w:br/>
      </w:r>
      <w:r>
        <w:rPr>
          <w:b/>
          <w:bCs/>
          <w:lang w:val="fr-FR"/>
        </w:rPr>
        <w:t xml:space="preserve">Montant des dépenses budgétaires consolidées en pourcentage du PIB et part </w:t>
      </w:r>
      <w:r w:rsidR="00E92104">
        <w:rPr>
          <w:b/>
          <w:bCs/>
          <w:lang w:val="fr-FR"/>
        </w:rPr>
        <w:br/>
      </w:r>
      <w:r>
        <w:rPr>
          <w:b/>
          <w:bCs/>
          <w:lang w:val="fr-FR"/>
        </w:rPr>
        <w:t xml:space="preserve">des dépenses de protection sociale dans les dépenses budgétaires consolidées </w:t>
      </w:r>
      <w:r w:rsidR="00E92104">
        <w:rPr>
          <w:b/>
          <w:bCs/>
          <w:lang w:val="fr-FR"/>
        </w:rPr>
        <w:br/>
      </w:r>
      <w:r>
        <w:rPr>
          <w:b/>
          <w:bCs/>
          <w:lang w:val="fr-FR"/>
        </w:rPr>
        <w:t>(2015-2019)</w:t>
      </w:r>
    </w:p>
    <w:tbl>
      <w:tblPr>
        <w:tblW w:w="7370" w:type="dxa"/>
        <w:tblInd w:w="1134" w:type="dxa"/>
        <w:tblLayout w:type="fixed"/>
        <w:tblCellMar>
          <w:left w:w="0" w:type="dxa"/>
          <w:right w:w="0" w:type="dxa"/>
        </w:tblCellMar>
        <w:tblLook w:val="04A0" w:firstRow="1" w:lastRow="0" w:firstColumn="1" w:lastColumn="0" w:noHBand="0" w:noVBand="1"/>
      </w:tblPr>
      <w:tblGrid>
        <w:gridCol w:w="2552"/>
        <w:gridCol w:w="963"/>
        <w:gridCol w:w="964"/>
        <w:gridCol w:w="963"/>
        <w:gridCol w:w="964"/>
        <w:gridCol w:w="964"/>
      </w:tblGrid>
      <w:tr w:rsidR="00E92104" w:rsidRPr="00E92104" w14:paraId="649BB2D7" w14:textId="77777777" w:rsidTr="00E92104">
        <w:trPr>
          <w:tblHeader/>
        </w:trPr>
        <w:tc>
          <w:tcPr>
            <w:tcW w:w="2552" w:type="dxa"/>
            <w:tcBorders>
              <w:top w:val="single" w:sz="4" w:space="0" w:color="auto"/>
              <w:bottom w:val="single" w:sz="12" w:space="0" w:color="auto"/>
            </w:tcBorders>
            <w:shd w:val="clear" w:color="auto" w:fill="auto"/>
            <w:vAlign w:val="bottom"/>
            <w:hideMark/>
          </w:tcPr>
          <w:p w14:paraId="0E770130" w14:textId="77777777" w:rsidR="00560776" w:rsidRPr="00E92104" w:rsidRDefault="00560776" w:rsidP="00E92104">
            <w:pPr>
              <w:suppressAutoHyphens w:val="0"/>
              <w:spacing w:before="80" w:after="80" w:line="200" w:lineRule="exact"/>
              <w:rPr>
                <w:i/>
                <w:sz w:val="16"/>
                <w:lang w:val="fr-FR"/>
              </w:rPr>
            </w:pPr>
          </w:p>
        </w:tc>
        <w:tc>
          <w:tcPr>
            <w:tcW w:w="963" w:type="dxa"/>
            <w:tcBorders>
              <w:top w:val="single" w:sz="4" w:space="0" w:color="auto"/>
              <w:bottom w:val="single" w:sz="12" w:space="0" w:color="auto"/>
            </w:tcBorders>
            <w:shd w:val="clear" w:color="auto" w:fill="auto"/>
            <w:noWrap/>
            <w:vAlign w:val="bottom"/>
            <w:hideMark/>
          </w:tcPr>
          <w:p w14:paraId="06753C26" w14:textId="77777777" w:rsidR="00560776" w:rsidRPr="00E92104" w:rsidRDefault="00560776" w:rsidP="00E92104">
            <w:pPr>
              <w:suppressAutoHyphens w:val="0"/>
              <w:spacing w:before="80" w:after="80" w:line="200" w:lineRule="exact"/>
              <w:jc w:val="right"/>
              <w:rPr>
                <w:i/>
                <w:sz w:val="16"/>
              </w:rPr>
            </w:pPr>
            <w:r w:rsidRPr="00E92104">
              <w:rPr>
                <w:i/>
                <w:iCs/>
                <w:sz w:val="16"/>
                <w:lang w:val="fr-FR"/>
              </w:rPr>
              <w:t>2015</w:t>
            </w:r>
          </w:p>
        </w:tc>
        <w:tc>
          <w:tcPr>
            <w:tcW w:w="964" w:type="dxa"/>
            <w:tcBorders>
              <w:top w:val="single" w:sz="4" w:space="0" w:color="auto"/>
              <w:bottom w:val="single" w:sz="12" w:space="0" w:color="auto"/>
            </w:tcBorders>
            <w:shd w:val="clear" w:color="auto" w:fill="auto"/>
            <w:noWrap/>
            <w:vAlign w:val="bottom"/>
            <w:hideMark/>
          </w:tcPr>
          <w:p w14:paraId="5A9129A3" w14:textId="77777777" w:rsidR="00560776" w:rsidRPr="00E92104" w:rsidRDefault="00560776" w:rsidP="00E92104">
            <w:pPr>
              <w:suppressAutoHyphens w:val="0"/>
              <w:spacing w:before="80" w:after="80" w:line="200" w:lineRule="exact"/>
              <w:jc w:val="right"/>
              <w:rPr>
                <w:i/>
                <w:sz w:val="16"/>
              </w:rPr>
            </w:pPr>
            <w:r w:rsidRPr="00E92104">
              <w:rPr>
                <w:i/>
                <w:iCs/>
                <w:sz w:val="16"/>
                <w:lang w:val="fr-FR"/>
              </w:rPr>
              <w:t>2016</w:t>
            </w:r>
          </w:p>
        </w:tc>
        <w:tc>
          <w:tcPr>
            <w:tcW w:w="963" w:type="dxa"/>
            <w:tcBorders>
              <w:top w:val="single" w:sz="4" w:space="0" w:color="auto"/>
              <w:bottom w:val="single" w:sz="12" w:space="0" w:color="auto"/>
            </w:tcBorders>
            <w:shd w:val="clear" w:color="auto" w:fill="auto"/>
            <w:noWrap/>
            <w:vAlign w:val="bottom"/>
            <w:hideMark/>
          </w:tcPr>
          <w:p w14:paraId="0DF73606" w14:textId="77777777" w:rsidR="00560776" w:rsidRPr="00E92104" w:rsidRDefault="00560776" w:rsidP="00E92104">
            <w:pPr>
              <w:suppressAutoHyphens w:val="0"/>
              <w:spacing w:before="80" w:after="80" w:line="200" w:lineRule="exact"/>
              <w:jc w:val="right"/>
              <w:rPr>
                <w:i/>
                <w:sz w:val="16"/>
              </w:rPr>
            </w:pPr>
            <w:r w:rsidRPr="00E92104">
              <w:rPr>
                <w:i/>
                <w:iCs/>
                <w:sz w:val="16"/>
                <w:lang w:val="fr-FR"/>
              </w:rPr>
              <w:t>2017</w:t>
            </w:r>
          </w:p>
        </w:tc>
        <w:tc>
          <w:tcPr>
            <w:tcW w:w="964" w:type="dxa"/>
            <w:tcBorders>
              <w:top w:val="single" w:sz="4" w:space="0" w:color="auto"/>
              <w:bottom w:val="single" w:sz="12" w:space="0" w:color="auto"/>
            </w:tcBorders>
            <w:shd w:val="clear" w:color="auto" w:fill="auto"/>
            <w:noWrap/>
            <w:vAlign w:val="bottom"/>
            <w:hideMark/>
          </w:tcPr>
          <w:p w14:paraId="5FE0358E" w14:textId="77777777" w:rsidR="00560776" w:rsidRPr="00E92104" w:rsidRDefault="00560776" w:rsidP="00E92104">
            <w:pPr>
              <w:suppressAutoHyphens w:val="0"/>
              <w:spacing w:before="80" w:after="80" w:line="200" w:lineRule="exact"/>
              <w:jc w:val="right"/>
              <w:rPr>
                <w:i/>
                <w:sz w:val="16"/>
              </w:rPr>
            </w:pPr>
            <w:r w:rsidRPr="00E92104">
              <w:rPr>
                <w:i/>
                <w:iCs/>
                <w:sz w:val="16"/>
                <w:lang w:val="fr-FR"/>
              </w:rPr>
              <w:t>2018</w:t>
            </w:r>
          </w:p>
        </w:tc>
        <w:tc>
          <w:tcPr>
            <w:tcW w:w="964" w:type="dxa"/>
            <w:tcBorders>
              <w:top w:val="single" w:sz="4" w:space="0" w:color="auto"/>
              <w:bottom w:val="single" w:sz="12" w:space="0" w:color="auto"/>
            </w:tcBorders>
            <w:shd w:val="clear" w:color="auto" w:fill="auto"/>
            <w:noWrap/>
            <w:vAlign w:val="bottom"/>
            <w:hideMark/>
          </w:tcPr>
          <w:p w14:paraId="37737D53" w14:textId="77777777" w:rsidR="00560776" w:rsidRPr="00E92104" w:rsidRDefault="00560776" w:rsidP="00E92104">
            <w:pPr>
              <w:suppressAutoHyphens w:val="0"/>
              <w:spacing w:before="80" w:after="80" w:line="200" w:lineRule="exact"/>
              <w:jc w:val="right"/>
              <w:rPr>
                <w:i/>
                <w:sz w:val="16"/>
              </w:rPr>
            </w:pPr>
            <w:r w:rsidRPr="00E92104">
              <w:rPr>
                <w:i/>
                <w:iCs/>
                <w:sz w:val="16"/>
                <w:lang w:val="fr-FR"/>
              </w:rPr>
              <w:t>2019</w:t>
            </w:r>
          </w:p>
        </w:tc>
      </w:tr>
      <w:tr w:rsidR="00E92104" w:rsidRPr="00E92104" w14:paraId="46946A9F" w14:textId="77777777" w:rsidTr="00E92104">
        <w:tc>
          <w:tcPr>
            <w:tcW w:w="2552" w:type="dxa"/>
            <w:shd w:val="clear" w:color="auto" w:fill="auto"/>
            <w:hideMark/>
          </w:tcPr>
          <w:p w14:paraId="6BD5692D" w14:textId="77777777" w:rsidR="00560776" w:rsidRPr="00E92104" w:rsidRDefault="00560776" w:rsidP="00E92104">
            <w:pPr>
              <w:suppressAutoHyphens w:val="0"/>
              <w:spacing w:before="40" w:after="40" w:line="220" w:lineRule="exact"/>
              <w:rPr>
                <w:sz w:val="18"/>
                <w:lang w:val="fr-FR"/>
              </w:rPr>
            </w:pPr>
            <w:r w:rsidRPr="00E92104">
              <w:rPr>
                <w:sz w:val="18"/>
                <w:lang w:val="fr-FR"/>
              </w:rPr>
              <w:t>Part des dépenses budgétaires consolidées exprimée en pourcentage du PIB (%)</w:t>
            </w:r>
          </w:p>
        </w:tc>
        <w:tc>
          <w:tcPr>
            <w:tcW w:w="963" w:type="dxa"/>
            <w:shd w:val="clear" w:color="auto" w:fill="auto"/>
            <w:noWrap/>
            <w:vAlign w:val="bottom"/>
            <w:hideMark/>
          </w:tcPr>
          <w:p w14:paraId="7530E173" w14:textId="77777777" w:rsidR="00560776" w:rsidRPr="00E92104" w:rsidRDefault="00560776" w:rsidP="00E92104">
            <w:pPr>
              <w:suppressAutoHyphens w:val="0"/>
              <w:spacing w:before="40" w:after="40" w:line="220" w:lineRule="exact"/>
              <w:jc w:val="right"/>
              <w:rPr>
                <w:sz w:val="18"/>
              </w:rPr>
            </w:pPr>
            <w:r w:rsidRPr="00E92104">
              <w:rPr>
                <w:sz w:val="18"/>
                <w:lang w:val="fr-FR"/>
              </w:rPr>
              <w:t>30,8</w:t>
            </w:r>
          </w:p>
        </w:tc>
        <w:tc>
          <w:tcPr>
            <w:tcW w:w="964" w:type="dxa"/>
            <w:shd w:val="clear" w:color="auto" w:fill="auto"/>
            <w:noWrap/>
            <w:vAlign w:val="bottom"/>
            <w:hideMark/>
          </w:tcPr>
          <w:p w14:paraId="6F45ED97" w14:textId="77777777" w:rsidR="00560776" w:rsidRPr="00E92104" w:rsidRDefault="00560776" w:rsidP="00E92104">
            <w:pPr>
              <w:suppressAutoHyphens w:val="0"/>
              <w:spacing w:before="40" w:after="40" w:line="220" w:lineRule="exact"/>
              <w:jc w:val="right"/>
              <w:rPr>
                <w:sz w:val="18"/>
              </w:rPr>
            </w:pPr>
            <w:r w:rsidRPr="00E92104">
              <w:rPr>
                <w:sz w:val="18"/>
                <w:lang w:val="fr-FR"/>
              </w:rPr>
              <w:t>39,8</w:t>
            </w:r>
          </w:p>
        </w:tc>
        <w:tc>
          <w:tcPr>
            <w:tcW w:w="963" w:type="dxa"/>
            <w:shd w:val="clear" w:color="auto" w:fill="auto"/>
            <w:noWrap/>
            <w:vAlign w:val="bottom"/>
            <w:hideMark/>
          </w:tcPr>
          <w:p w14:paraId="68B89A96" w14:textId="77777777" w:rsidR="00560776" w:rsidRPr="00E92104" w:rsidRDefault="00560776" w:rsidP="00E92104">
            <w:pPr>
              <w:suppressAutoHyphens w:val="0"/>
              <w:spacing w:before="40" w:after="40" w:line="220" w:lineRule="exact"/>
              <w:jc w:val="right"/>
              <w:rPr>
                <w:sz w:val="18"/>
              </w:rPr>
            </w:pPr>
            <w:r w:rsidRPr="00E92104">
              <w:rPr>
                <w:sz w:val="18"/>
                <w:lang w:val="fr-FR"/>
              </w:rPr>
              <w:t>33,2</w:t>
            </w:r>
          </w:p>
        </w:tc>
        <w:tc>
          <w:tcPr>
            <w:tcW w:w="964" w:type="dxa"/>
            <w:shd w:val="clear" w:color="auto" w:fill="auto"/>
            <w:noWrap/>
            <w:vAlign w:val="bottom"/>
            <w:hideMark/>
          </w:tcPr>
          <w:p w14:paraId="0D0F5984" w14:textId="77777777" w:rsidR="00560776" w:rsidRPr="00E92104" w:rsidRDefault="00560776" w:rsidP="00E92104">
            <w:pPr>
              <w:suppressAutoHyphens w:val="0"/>
              <w:spacing w:before="40" w:after="40" w:line="220" w:lineRule="exact"/>
              <w:jc w:val="right"/>
              <w:rPr>
                <w:sz w:val="18"/>
              </w:rPr>
            </w:pPr>
            <w:r w:rsidRPr="00E92104">
              <w:rPr>
                <w:sz w:val="18"/>
                <w:lang w:val="fr-FR"/>
              </w:rPr>
              <w:t>29,0</w:t>
            </w:r>
          </w:p>
        </w:tc>
        <w:tc>
          <w:tcPr>
            <w:tcW w:w="964" w:type="dxa"/>
            <w:shd w:val="clear" w:color="auto" w:fill="auto"/>
            <w:noWrap/>
            <w:vAlign w:val="bottom"/>
            <w:hideMark/>
          </w:tcPr>
          <w:p w14:paraId="20E9DB72" w14:textId="77777777" w:rsidR="00560776" w:rsidRPr="00E92104" w:rsidRDefault="00560776" w:rsidP="00E92104">
            <w:pPr>
              <w:suppressAutoHyphens w:val="0"/>
              <w:spacing w:before="40" w:after="40" w:line="220" w:lineRule="exact"/>
              <w:jc w:val="right"/>
              <w:rPr>
                <w:sz w:val="18"/>
              </w:rPr>
            </w:pPr>
            <w:r w:rsidRPr="00E92104">
              <w:rPr>
                <w:sz w:val="18"/>
                <w:lang w:val="fr-FR"/>
              </w:rPr>
              <w:t>31,6</w:t>
            </w:r>
          </w:p>
        </w:tc>
      </w:tr>
      <w:tr w:rsidR="00E92104" w:rsidRPr="00E92104" w14:paraId="2368A855" w14:textId="77777777" w:rsidTr="00E92104">
        <w:tc>
          <w:tcPr>
            <w:tcW w:w="2552" w:type="dxa"/>
            <w:shd w:val="clear" w:color="auto" w:fill="auto"/>
            <w:hideMark/>
          </w:tcPr>
          <w:p w14:paraId="46CB372B" w14:textId="77777777" w:rsidR="00560776" w:rsidRPr="00E92104" w:rsidRDefault="00560776" w:rsidP="00E92104">
            <w:pPr>
              <w:suppressAutoHyphens w:val="0"/>
              <w:spacing w:before="40" w:after="40" w:line="220" w:lineRule="exact"/>
              <w:rPr>
                <w:sz w:val="18"/>
                <w:lang w:val="fr-FR"/>
              </w:rPr>
            </w:pPr>
            <w:r w:rsidRPr="00E92104">
              <w:rPr>
                <w:sz w:val="18"/>
                <w:lang w:val="fr-FR"/>
              </w:rPr>
              <w:t>Part des dépenses sociales dans les dépenses budgétaires totales (%)</w:t>
            </w:r>
          </w:p>
        </w:tc>
        <w:tc>
          <w:tcPr>
            <w:tcW w:w="963" w:type="dxa"/>
            <w:shd w:val="clear" w:color="auto" w:fill="auto"/>
            <w:noWrap/>
            <w:vAlign w:val="bottom"/>
            <w:hideMark/>
          </w:tcPr>
          <w:p w14:paraId="7D104B8D" w14:textId="77777777" w:rsidR="00560776" w:rsidRPr="00E92104" w:rsidRDefault="00560776" w:rsidP="00E92104">
            <w:pPr>
              <w:suppressAutoHyphens w:val="0"/>
              <w:spacing w:before="40" w:after="40" w:line="220" w:lineRule="exact"/>
              <w:jc w:val="right"/>
              <w:rPr>
                <w:sz w:val="18"/>
              </w:rPr>
            </w:pPr>
            <w:r w:rsidRPr="00E92104">
              <w:rPr>
                <w:sz w:val="18"/>
                <w:lang w:val="fr-FR"/>
              </w:rPr>
              <w:t>50,6</w:t>
            </w:r>
          </w:p>
        </w:tc>
        <w:tc>
          <w:tcPr>
            <w:tcW w:w="964" w:type="dxa"/>
            <w:shd w:val="clear" w:color="auto" w:fill="auto"/>
            <w:noWrap/>
            <w:vAlign w:val="bottom"/>
            <w:hideMark/>
          </w:tcPr>
          <w:p w14:paraId="752F65BE" w14:textId="77777777" w:rsidR="00560776" w:rsidRPr="00E92104" w:rsidRDefault="00560776" w:rsidP="00E92104">
            <w:pPr>
              <w:suppressAutoHyphens w:val="0"/>
              <w:spacing w:before="40" w:after="40" w:line="220" w:lineRule="exact"/>
              <w:jc w:val="right"/>
              <w:rPr>
                <w:sz w:val="18"/>
              </w:rPr>
            </w:pPr>
            <w:r w:rsidRPr="00E92104">
              <w:rPr>
                <w:sz w:val="18"/>
                <w:lang w:val="fr-FR"/>
              </w:rPr>
              <w:t>42,8</w:t>
            </w:r>
          </w:p>
        </w:tc>
        <w:tc>
          <w:tcPr>
            <w:tcW w:w="963" w:type="dxa"/>
            <w:shd w:val="clear" w:color="auto" w:fill="auto"/>
            <w:noWrap/>
            <w:vAlign w:val="bottom"/>
            <w:hideMark/>
          </w:tcPr>
          <w:p w14:paraId="365F1E3D" w14:textId="77777777" w:rsidR="00560776" w:rsidRPr="00E92104" w:rsidRDefault="00560776" w:rsidP="00E92104">
            <w:pPr>
              <w:suppressAutoHyphens w:val="0"/>
              <w:spacing w:before="40" w:after="40" w:line="220" w:lineRule="exact"/>
              <w:jc w:val="right"/>
              <w:rPr>
                <w:sz w:val="18"/>
              </w:rPr>
            </w:pPr>
            <w:r w:rsidRPr="00E92104">
              <w:rPr>
                <w:sz w:val="18"/>
                <w:lang w:val="fr-FR"/>
              </w:rPr>
              <w:t>47,8</w:t>
            </w:r>
          </w:p>
        </w:tc>
        <w:tc>
          <w:tcPr>
            <w:tcW w:w="964" w:type="dxa"/>
            <w:shd w:val="clear" w:color="auto" w:fill="auto"/>
            <w:noWrap/>
            <w:vAlign w:val="bottom"/>
            <w:hideMark/>
          </w:tcPr>
          <w:p w14:paraId="7A17D982" w14:textId="77777777" w:rsidR="00560776" w:rsidRPr="00E92104" w:rsidRDefault="00560776" w:rsidP="00E92104">
            <w:pPr>
              <w:suppressAutoHyphens w:val="0"/>
              <w:spacing w:before="40" w:after="40" w:line="220" w:lineRule="exact"/>
              <w:jc w:val="right"/>
              <w:rPr>
                <w:sz w:val="18"/>
              </w:rPr>
            </w:pPr>
            <w:r w:rsidRPr="00E92104">
              <w:rPr>
                <w:sz w:val="18"/>
                <w:lang w:val="fr-FR"/>
              </w:rPr>
              <w:t>51,5</w:t>
            </w:r>
          </w:p>
        </w:tc>
        <w:tc>
          <w:tcPr>
            <w:tcW w:w="964" w:type="dxa"/>
            <w:shd w:val="clear" w:color="auto" w:fill="auto"/>
            <w:noWrap/>
            <w:vAlign w:val="bottom"/>
            <w:hideMark/>
          </w:tcPr>
          <w:p w14:paraId="000037C8" w14:textId="77777777" w:rsidR="00560776" w:rsidRPr="00E92104" w:rsidRDefault="00560776" w:rsidP="00E92104">
            <w:pPr>
              <w:suppressAutoHyphens w:val="0"/>
              <w:spacing w:before="40" w:after="40" w:line="220" w:lineRule="exact"/>
              <w:jc w:val="right"/>
              <w:rPr>
                <w:sz w:val="18"/>
              </w:rPr>
            </w:pPr>
            <w:r w:rsidRPr="00E92104">
              <w:rPr>
                <w:sz w:val="18"/>
                <w:lang w:val="fr-FR"/>
              </w:rPr>
              <w:t>47,3</w:t>
            </w:r>
          </w:p>
        </w:tc>
      </w:tr>
      <w:tr w:rsidR="00E92104" w:rsidRPr="00E92104" w14:paraId="3BFF5290" w14:textId="77777777" w:rsidTr="00E92104">
        <w:tc>
          <w:tcPr>
            <w:tcW w:w="2552" w:type="dxa"/>
            <w:shd w:val="clear" w:color="auto" w:fill="auto"/>
          </w:tcPr>
          <w:p w14:paraId="010E92F6" w14:textId="748BEE70" w:rsidR="00560776" w:rsidRPr="00E92104" w:rsidRDefault="00560776" w:rsidP="00E92104">
            <w:pPr>
              <w:suppressAutoHyphens w:val="0"/>
              <w:spacing w:before="40" w:after="40" w:line="220" w:lineRule="exact"/>
              <w:rPr>
                <w:sz w:val="18"/>
                <w:lang w:val="fr-FR"/>
              </w:rPr>
            </w:pPr>
            <w:r w:rsidRPr="00E92104">
              <w:rPr>
                <w:sz w:val="18"/>
                <w:lang w:val="fr-FR"/>
              </w:rPr>
              <w:t>Part des dépenses d</w:t>
            </w:r>
            <w:r w:rsidR="009C7759">
              <w:rPr>
                <w:sz w:val="18"/>
                <w:lang w:val="fr-FR"/>
              </w:rPr>
              <w:t>’</w:t>
            </w:r>
            <w:r w:rsidRPr="00E92104">
              <w:rPr>
                <w:sz w:val="18"/>
                <w:lang w:val="fr-FR"/>
              </w:rPr>
              <w:t>éducation dans les dépenses budgétaires totales (%)</w:t>
            </w:r>
          </w:p>
        </w:tc>
        <w:tc>
          <w:tcPr>
            <w:tcW w:w="963" w:type="dxa"/>
            <w:shd w:val="clear" w:color="auto" w:fill="auto"/>
            <w:noWrap/>
            <w:vAlign w:val="bottom"/>
          </w:tcPr>
          <w:p w14:paraId="27288C9C" w14:textId="77777777" w:rsidR="00560776" w:rsidRPr="00E92104" w:rsidRDefault="00560776" w:rsidP="00E92104">
            <w:pPr>
              <w:suppressAutoHyphens w:val="0"/>
              <w:spacing w:before="40" w:after="40" w:line="220" w:lineRule="exact"/>
              <w:jc w:val="right"/>
              <w:rPr>
                <w:sz w:val="18"/>
              </w:rPr>
            </w:pPr>
            <w:r w:rsidRPr="00E92104">
              <w:rPr>
                <w:sz w:val="18"/>
                <w:lang w:val="fr-FR"/>
              </w:rPr>
              <w:t>14,3</w:t>
            </w:r>
          </w:p>
        </w:tc>
        <w:tc>
          <w:tcPr>
            <w:tcW w:w="964" w:type="dxa"/>
            <w:shd w:val="clear" w:color="auto" w:fill="auto"/>
            <w:noWrap/>
            <w:vAlign w:val="bottom"/>
          </w:tcPr>
          <w:p w14:paraId="59A6FAB6" w14:textId="77777777" w:rsidR="00560776" w:rsidRPr="00E92104" w:rsidRDefault="00560776" w:rsidP="00E92104">
            <w:pPr>
              <w:suppressAutoHyphens w:val="0"/>
              <w:spacing w:before="40" w:after="40" w:line="220" w:lineRule="exact"/>
              <w:jc w:val="right"/>
              <w:rPr>
                <w:sz w:val="18"/>
              </w:rPr>
            </w:pPr>
            <w:r w:rsidRPr="00E92104">
              <w:rPr>
                <w:sz w:val="18"/>
                <w:lang w:val="fr-FR"/>
              </w:rPr>
              <w:t>13,2</w:t>
            </w:r>
          </w:p>
        </w:tc>
        <w:tc>
          <w:tcPr>
            <w:tcW w:w="963" w:type="dxa"/>
            <w:shd w:val="clear" w:color="auto" w:fill="auto"/>
            <w:noWrap/>
            <w:vAlign w:val="bottom"/>
          </w:tcPr>
          <w:p w14:paraId="75ED0CBD" w14:textId="77777777" w:rsidR="00560776" w:rsidRPr="00E92104" w:rsidRDefault="00560776" w:rsidP="00E92104">
            <w:pPr>
              <w:suppressAutoHyphens w:val="0"/>
              <w:spacing w:before="40" w:after="40" w:line="220" w:lineRule="exact"/>
              <w:jc w:val="right"/>
              <w:rPr>
                <w:sz w:val="18"/>
              </w:rPr>
            </w:pPr>
            <w:r w:rsidRPr="00E92104">
              <w:rPr>
                <w:sz w:val="18"/>
                <w:lang w:val="fr-FR"/>
              </w:rPr>
              <w:t>13,7</w:t>
            </w:r>
          </w:p>
        </w:tc>
        <w:tc>
          <w:tcPr>
            <w:tcW w:w="964" w:type="dxa"/>
            <w:shd w:val="clear" w:color="auto" w:fill="auto"/>
            <w:noWrap/>
            <w:vAlign w:val="bottom"/>
          </w:tcPr>
          <w:p w14:paraId="220EB77B" w14:textId="77777777" w:rsidR="00560776" w:rsidRPr="00E92104" w:rsidRDefault="00560776" w:rsidP="00E92104">
            <w:pPr>
              <w:suppressAutoHyphens w:val="0"/>
              <w:spacing w:before="40" w:after="40" w:line="220" w:lineRule="exact"/>
              <w:jc w:val="right"/>
              <w:rPr>
                <w:sz w:val="18"/>
              </w:rPr>
            </w:pPr>
            <w:r w:rsidRPr="00E92104">
              <w:rPr>
                <w:sz w:val="18"/>
                <w:lang w:val="fr-FR"/>
              </w:rPr>
              <w:t>15,6</w:t>
            </w:r>
          </w:p>
        </w:tc>
        <w:tc>
          <w:tcPr>
            <w:tcW w:w="964" w:type="dxa"/>
            <w:shd w:val="clear" w:color="auto" w:fill="auto"/>
            <w:noWrap/>
            <w:vAlign w:val="bottom"/>
          </w:tcPr>
          <w:p w14:paraId="29A1B73C" w14:textId="77777777" w:rsidR="00560776" w:rsidRPr="00E92104" w:rsidRDefault="00560776" w:rsidP="00E92104">
            <w:pPr>
              <w:suppressAutoHyphens w:val="0"/>
              <w:spacing w:before="40" w:after="40" w:line="220" w:lineRule="exact"/>
              <w:jc w:val="right"/>
              <w:rPr>
                <w:sz w:val="18"/>
              </w:rPr>
            </w:pPr>
            <w:r w:rsidRPr="00E92104">
              <w:rPr>
                <w:sz w:val="18"/>
                <w:lang w:val="fr-FR"/>
              </w:rPr>
              <w:t>15,3</w:t>
            </w:r>
          </w:p>
        </w:tc>
      </w:tr>
      <w:tr w:rsidR="00E92104" w:rsidRPr="00E92104" w14:paraId="31D294DB" w14:textId="77777777" w:rsidTr="00E92104">
        <w:tc>
          <w:tcPr>
            <w:tcW w:w="2552" w:type="dxa"/>
            <w:shd w:val="clear" w:color="auto" w:fill="auto"/>
          </w:tcPr>
          <w:p w14:paraId="4D0F2904" w14:textId="77777777" w:rsidR="00560776" w:rsidRPr="00E92104" w:rsidRDefault="00560776" w:rsidP="00E92104">
            <w:pPr>
              <w:suppressAutoHyphens w:val="0"/>
              <w:spacing w:before="40" w:after="40" w:line="220" w:lineRule="exact"/>
              <w:rPr>
                <w:sz w:val="18"/>
                <w:lang w:val="fr-FR"/>
              </w:rPr>
            </w:pPr>
            <w:r w:rsidRPr="00E92104">
              <w:rPr>
                <w:sz w:val="18"/>
                <w:lang w:val="fr-FR"/>
              </w:rPr>
              <w:t xml:space="preserve">Part des dépenses du secteur de la santé dans les dépenses budgétaires totales (%) </w:t>
            </w:r>
          </w:p>
        </w:tc>
        <w:tc>
          <w:tcPr>
            <w:tcW w:w="963" w:type="dxa"/>
            <w:shd w:val="clear" w:color="auto" w:fill="auto"/>
            <w:noWrap/>
            <w:vAlign w:val="bottom"/>
          </w:tcPr>
          <w:p w14:paraId="59A55BF6" w14:textId="77777777" w:rsidR="00560776" w:rsidRPr="00E92104" w:rsidRDefault="00560776" w:rsidP="00E92104">
            <w:pPr>
              <w:suppressAutoHyphens w:val="0"/>
              <w:spacing w:before="40" w:after="40" w:line="220" w:lineRule="exact"/>
              <w:jc w:val="right"/>
              <w:rPr>
                <w:sz w:val="18"/>
              </w:rPr>
            </w:pPr>
            <w:r w:rsidRPr="00E92104">
              <w:rPr>
                <w:sz w:val="18"/>
                <w:lang w:val="fr-FR"/>
              </w:rPr>
              <w:t>8,2</w:t>
            </w:r>
          </w:p>
        </w:tc>
        <w:tc>
          <w:tcPr>
            <w:tcW w:w="964" w:type="dxa"/>
            <w:shd w:val="clear" w:color="auto" w:fill="auto"/>
            <w:noWrap/>
            <w:vAlign w:val="bottom"/>
          </w:tcPr>
          <w:p w14:paraId="37C5E095" w14:textId="77777777" w:rsidR="00560776" w:rsidRPr="00E92104" w:rsidRDefault="00560776" w:rsidP="00E92104">
            <w:pPr>
              <w:suppressAutoHyphens w:val="0"/>
              <w:spacing w:before="40" w:after="40" w:line="220" w:lineRule="exact"/>
              <w:jc w:val="right"/>
              <w:rPr>
                <w:sz w:val="18"/>
              </w:rPr>
            </w:pPr>
            <w:r w:rsidRPr="00E92104">
              <w:rPr>
                <w:sz w:val="18"/>
                <w:lang w:val="fr-FR"/>
              </w:rPr>
              <w:t>6,9</w:t>
            </w:r>
          </w:p>
        </w:tc>
        <w:tc>
          <w:tcPr>
            <w:tcW w:w="963" w:type="dxa"/>
            <w:shd w:val="clear" w:color="auto" w:fill="auto"/>
            <w:noWrap/>
            <w:vAlign w:val="bottom"/>
          </w:tcPr>
          <w:p w14:paraId="3D458367" w14:textId="77777777" w:rsidR="00560776" w:rsidRPr="00E92104" w:rsidRDefault="00560776" w:rsidP="00E92104">
            <w:pPr>
              <w:suppressAutoHyphens w:val="0"/>
              <w:spacing w:before="40" w:after="40" w:line="220" w:lineRule="exact"/>
              <w:jc w:val="right"/>
              <w:rPr>
                <w:sz w:val="18"/>
              </w:rPr>
            </w:pPr>
            <w:r w:rsidRPr="00E92104">
              <w:rPr>
                <w:sz w:val="18"/>
                <w:lang w:val="fr-FR"/>
              </w:rPr>
              <w:t>7,5</w:t>
            </w:r>
          </w:p>
        </w:tc>
        <w:tc>
          <w:tcPr>
            <w:tcW w:w="964" w:type="dxa"/>
            <w:shd w:val="clear" w:color="auto" w:fill="auto"/>
            <w:noWrap/>
            <w:vAlign w:val="bottom"/>
          </w:tcPr>
          <w:p w14:paraId="2ECEE700" w14:textId="77777777" w:rsidR="00560776" w:rsidRPr="00E92104" w:rsidRDefault="00560776" w:rsidP="00E92104">
            <w:pPr>
              <w:suppressAutoHyphens w:val="0"/>
              <w:spacing w:before="40" w:after="40" w:line="220" w:lineRule="exact"/>
              <w:jc w:val="right"/>
              <w:rPr>
                <w:sz w:val="18"/>
              </w:rPr>
            </w:pPr>
            <w:r w:rsidRPr="00E92104">
              <w:rPr>
                <w:sz w:val="18"/>
                <w:lang w:val="fr-FR"/>
              </w:rPr>
              <w:t>7,7</w:t>
            </w:r>
          </w:p>
        </w:tc>
        <w:tc>
          <w:tcPr>
            <w:tcW w:w="964" w:type="dxa"/>
            <w:shd w:val="clear" w:color="auto" w:fill="auto"/>
            <w:noWrap/>
            <w:vAlign w:val="bottom"/>
          </w:tcPr>
          <w:p w14:paraId="5280CA02" w14:textId="77777777" w:rsidR="00560776" w:rsidRPr="00E92104" w:rsidRDefault="00560776" w:rsidP="00E92104">
            <w:pPr>
              <w:suppressAutoHyphens w:val="0"/>
              <w:spacing w:before="40" w:after="40" w:line="220" w:lineRule="exact"/>
              <w:jc w:val="right"/>
              <w:rPr>
                <w:sz w:val="18"/>
              </w:rPr>
            </w:pPr>
            <w:r w:rsidRPr="00E92104">
              <w:rPr>
                <w:sz w:val="18"/>
                <w:lang w:val="fr-FR"/>
              </w:rPr>
              <w:t>7,1</w:t>
            </w:r>
          </w:p>
        </w:tc>
      </w:tr>
      <w:tr w:rsidR="00E92104" w:rsidRPr="00E92104" w14:paraId="0685BF10" w14:textId="77777777" w:rsidTr="00E92104">
        <w:tc>
          <w:tcPr>
            <w:tcW w:w="2552" w:type="dxa"/>
            <w:shd w:val="clear" w:color="auto" w:fill="auto"/>
          </w:tcPr>
          <w:p w14:paraId="76A55F23" w14:textId="4241D9C1" w:rsidR="00560776" w:rsidRPr="00E92104" w:rsidRDefault="00560776" w:rsidP="00E92104">
            <w:pPr>
              <w:suppressAutoHyphens w:val="0"/>
              <w:spacing w:before="40" w:after="40" w:line="220" w:lineRule="exact"/>
              <w:rPr>
                <w:sz w:val="18"/>
                <w:lang w:val="fr-FR"/>
              </w:rPr>
            </w:pPr>
            <w:r w:rsidRPr="00E92104">
              <w:rPr>
                <w:sz w:val="18"/>
                <w:lang w:val="fr-FR"/>
              </w:rPr>
              <w:t>Part des pensions et allocations d</w:t>
            </w:r>
            <w:r w:rsidR="009C7759">
              <w:rPr>
                <w:sz w:val="18"/>
                <w:lang w:val="fr-FR"/>
              </w:rPr>
              <w:t>’</w:t>
            </w:r>
            <w:r w:rsidRPr="00E92104">
              <w:rPr>
                <w:sz w:val="18"/>
                <w:lang w:val="fr-FR"/>
              </w:rPr>
              <w:t xml:space="preserve">assurance sociale dans le budget global (%) </w:t>
            </w:r>
          </w:p>
        </w:tc>
        <w:tc>
          <w:tcPr>
            <w:tcW w:w="963" w:type="dxa"/>
            <w:shd w:val="clear" w:color="auto" w:fill="auto"/>
            <w:noWrap/>
            <w:vAlign w:val="bottom"/>
          </w:tcPr>
          <w:p w14:paraId="413FA9CA" w14:textId="77777777" w:rsidR="00560776" w:rsidRPr="00E92104" w:rsidRDefault="00560776" w:rsidP="00E92104">
            <w:pPr>
              <w:suppressAutoHyphens w:val="0"/>
              <w:spacing w:before="40" w:after="40" w:line="220" w:lineRule="exact"/>
              <w:jc w:val="right"/>
              <w:rPr>
                <w:sz w:val="18"/>
              </w:rPr>
            </w:pPr>
            <w:r w:rsidRPr="00E92104">
              <w:rPr>
                <w:sz w:val="18"/>
                <w:lang w:val="fr-FR"/>
              </w:rPr>
              <w:t>18,9</w:t>
            </w:r>
          </w:p>
        </w:tc>
        <w:tc>
          <w:tcPr>
            <w:tcW w:w="964" w:type="dxa"/>
            <w:shd w:val="clear" w:color="auto" w:fill="auto"/>
            <w:noWrap/>
            <w:vAlign w:val="bottom"/>
          </w:tcPr>
          <w:p w14:paraId="42618FC3" w14:textId="77777777" w:rsidR="00560776" w:rsidRPr="00E92104" w:rsidRDefault="00560776" w:rsidP="00E92104">
            <w:pPr>
              <w:suppressAutoHyphens w:val="0"/>
              <w:spacing w:before="40" w:after="40" w:line="220" w:lineRule="exact"/>
              <w:jc w:val="right"/>
              <w:rPr>
                <w:sz w:val="18"/>
              </w:rPr>
            </w:pPr>
            <w:r w:rsidRPr="00E92104">
              <w:rPr>
                <w:sz w:val="18"/>
                <w:lang w:val="fr-FR"/>
              </w:rPr>
              <w:t>15,4</w:t>
            </w:r>
          </w:p>
        </w:tc>
        <w:tc>
          <w:tcPr>
            <w:tcW w:w="963" w:type="dxa"/>
            <w:shd w:val="clear" w:color="auto" w:fill="auto"/>
            <w:noWrap/>
            <w:vAlign w:val="bottom"/>
          </w:tcPr>
          <w:p w14:paraId="33D4FC77" w14:textId="77777777" w:rsidR="00560776" w:rsidRPr="00E92104" w:rsidRDefault="00560776" w:rsidP="00E92104">
            <w:pPr>
              <w:suppressAutoHyphens w:val="0"/>
              <w:spacing w:before="40" w:after="40" w:line="220" w:lineRule="exact"/>
              <w:jc w:val="right"/>
              <w:rPr>
                <w:sz w:val="18"/>
              </w:rPr>
            </w:pPr>
            <w:r w:rsidRPr="00E92104">
              <w:rPr>
                <w:sz w:val="18"/>
                <w:lang w:val="fr-FR"/>
              </w:rPr>
              <w:t>17,6</w:t>
            </w:r>
          </w:p>
        </w:tc>
        <w:tc>
          <w:tcPr>
            <w:tcW w:w="964" w:type="dxa"/>
            <w:shd w:val="clear" w:color="auto" w:fill="auto"/>
            <w:noWrap/>
            <w:vAlign w:val="bottom"/>
          </w:tcPr>
          <w:p w14:paraId="0CE625CB" w14:textId="77777777" w:rsidR="00560776" w:rsidRPr="00E92104" w:rsidRDefault="00560776" w:rsidP="00E92104">
            <w:pPr>
              <w:suppressAutoHyphens w:val="0"/>
              <w:spacing w:before="40" w:after="40" w:line="220" w:lineRule="exact"/>
              <w:jc w:val="right"/>
              <w:rPr>
                <w:sz w:val="18"/>
              </w:rPr>
            </w:pPr>
            <w:r w:rsidRPr="00E92104">
              <w:rPr>
                <w:sz w:val="18"/>
                <w:lang w:val="fr-FR"/>
              </w:rPr>
              <w:t>19,3</w:t>
            </w:r>
          </w:p>
        </w:tc>
        <w:tc>
          <w:tcPr>
            <w:tcW w:w="964" w:type="dxa"/>
            <w:shd w:val="clear" w:color="auto" w:fill="auto"/>
            <w:noWrap/>
            <w:vAlign w:val="bottom"/>
          </w:tcPr>
          <w:p w14:paraId="744497F0" w14:textId="77777777" w:rsidR="00560776" w:rsidRPr="00E92104" w:rsidRDefault="00560776" w:rsidP="00E92104">
            <w:pPr>
              <w:suppressAutoHyphens w:val="0"/>
              <w:spacing w:before="40" w:after="40" w:line="220" w:lineRule="exact"/>
              <w:jc w:val="right"/>
              <w:rPr>
                <w:sz w:val="18"/>
              </w:rPr>
            </w:pPr>
            <w:r w:rsidRPr="00E92104">
              <w:rPr>
                <w:sz w:val="18"/>
                <w:lang w:val="fr-FR"/>
              </w:rPr>
              <w:t>17,5</w:t>
            </w:r>
          </w:p>
        </w:tc>
      </w:tr>
      <w:tr w:rsidR="00E92104" w:rsidRPr="00E92104" w14:paraId="3A22A579" w14:textId="77777777" w:rsidTr="00E92104">
        <w:tc>
          <w:tcPr>
            <w:tcW w:w="2552" w:type="dxa"/>
            <w:shd w:val="clear" w:color="auto" w:fill="auto"/>
          </w:tcPr>
          <w:p w14:paraId="53FF7971" w14:textId="77777777" w:rsidR="00560776" w:rsidRPr="00E92104" w:rsidRDefault="00560776" w:rsidP="00E92104">
            <w:pPr>
              <w:suppressAutoHyphens w:val="0"/>
              <w:spacing w:before="40" w:after="40" w:line="220" w:lineRule="exact"/>
              <w:rPr>
                <w:sz w:val="18"/>
                <w:lang w:val="fr-FR"/>
              </w:rPr>
            </w:pPr>
            <w:r w:rsidRPr="00E92104">
              <w:rPr>
                <w:sz w:val="18"/>
                <w:lang w:val="fr-FR"/>
              </w:rPr>
              <w:t>Part des dépenses de protection sociale dans le budget consolidé</w:t>
            </w:r>
          </w:p>
        </w:tc>
        <w:tc>
          <w:tcPr>
            <w:tcW w:w="963" w:type="dxa"/>
            <w:shd w:val="clear" w:color="auto" w:fill="auto"/>
            <w:noWrap/>
            <w:vAlign w:val="bottom"/>
          </w:tcPr>
          <w:p w14:paraId="0AE2B979" w14:textId="77777777" w:rsidR="00560776" w:rsidRPr="00E92104" w:rsidRDefault="00560776" w:rsidP="00E92104">
            <w:pPr>
              <w:suppressAutoHyphens w:val="0"/>
              <w:spacing w:before="40" w:after="40" w:line="220" w:lineRule="exact"/>
              <w:jc w:val="right"/>
              <w:rPr>
                <w:sz w:val="18"/>
              </w:rPr>
            </w:pPr>
            <w:r w:rsidRPr="00E92104">
              <w:rPr>
                <w:sz w:val="18"/>
                <w:lang w:val="fr-FR"/>
              </w:rPr>
              <w:t>6,8</w:t>
            </w:r>
          </w:p>
        </w:tc>
        <w:tc>
          <w:tcPr>
            <w:tcW w:w="964" w:type="dxa"/>
            <w:shd w:val="clear" w:color="auto" w:fill="auto"/>
            <w:noWrap/>
            <w:vAlign w:val="bottom"/>
          </w:tcPr>
          <w:p w14:paraId="36F20D22" w14:textId="77777777" w:rsidR="00560776" w:rsidRPr="00E92104" w:rsidRDefault="00560776" w:rsidP="00E92104">
            <w:pPr>
              <w:suppressAutoHyphens w:val="0"/>
              <w:spacing w:before="40" w:after="40" w:line="220" w:lineRule="exact"/>
              <w:jc w:val="right"/>
              <w:rPr>
                <w:sz w:val="18"/>
              </w:rPr>
            </w:pPr>
            <w:r w:rsidRPr="00E92104">
              <w:rPr>
                <w:sz w:val="18"/>
                <w:lang w:val="fr-FR"/>
              </w:rPr>
              <w:t>5,2</w:t>
            </w:r>
          </w:p>
        </w:tc>
        <w:tc>
          <w:tcPr>
            <w:tcW w:w="963" w:type="dxa"/>
            <w:shd w:val="clear" w:color="auto" w:fill="auto"/>
            <w:noWrap/>
            <w:vAlign w:val="bottom"/>
          </w:tcPr>
          <w:p w14:paraId="7EEE9156" w14:textId="77777777" w:rsidR="00560776" w:rsidRPr="00E92104" w:rsidRDefault="00560776" w:rsidP="00E92104">
            <w:pPr>
              <w:suppressAutoHyphens w:val="0"/>
              <w:spacing w:before="40" w:after="40" w:line="220" w:lineRule="exact"/>
              <w:jc w:val="right"/>
              <w:rPr>
                <w:sz w:val="18"/>
              </w:rPr>
            </w:pPr>
            <w:r w:rsidRPr="00E92104">
              <w:rPr>
                <w:sz w:val="18"/>
                <w:lang w:val="fr-FR"/>
              </w:rPr>
              <w:t>5,9</w:t>
            </w:r>
          </w:p>
        </w:tc>
        <w:tc>
          <w:tcPr>
            <w:tcW w:w="964" w:type="dxa"/>
            <w:shd w:val="clear" w:color="auto" w:fill="auto"/>
            <w:noWrap/>
            <w:vAlign w:val="bottom"/>
          </w:tcPr>
          <w:p w14:paraId="214A9518" w14:textId="77777777" w:rsidR="00560776" w:rsidRPr="00E92104" w:rsidRDefault="00560776" w:rsidP="00E92104">
            <w:pPr>
              <w:suppressAutoHyphens w:val="0"/>
              <w:spacing w:before="40" w:after="40" w:line="220" w:lineRule="exact"/>
              <w:jc w:val="right"/>
              <w:rPr>
                <w:sz w:val="18"/>
              </w:rPr>
            </w:pPr>
            <w:r w:rsidRPr="00E92104">
              <w:rPr>
                <w:sz w:val="18"/>
                <w:lang w:val="fr-FR"/>
              </w:rPr>
              <w:t>6,5</w:t>
            </w:r>
          </w:p>
        </w:tc>
        <w:tc>
          <w:tcPr>
            <w:tcW w:w="964" w:type="dxa"/>
            <w:shd w:val="clear" w:color="auto" w:fill="auto"/>
            <w:noWrap/>
            <w:vAlign w:val="bottom"/>
          </w:tcPr>
          <w:p w14:paraId="45466F25" w14:textId="77777777" w:rsidR="00560776" w:rsidRPr="00E92104" w:rsidRDefault="00560776" w:rsidP="00E92104">
            <w:pPr>
              <w:suppressAutoHyphens w:val="0"/>
              <w:spacing w:before="40" w:after="40" w:line="220" w:lineRule="exact"/>
              <w:jc w:val="right"/>
              <w:rPr>
                <w:sz w:val="18"/>
              </w:rPr>
            </w:pPr>
            <w:r w:rsidRPr="00E92104">
              <w:rPr>
                <w:sz w:val="18"/>
                <w:lang w:val="fr-FR"/>
              </w:rPr>
              <w:t>5,8</w:t>
            </w:r>
          </w:p>
        </w:tc>
      </w:tr>
      <w:tr w:rsidR="00E92104" w:rsidRPr="00E92104" w14:paraId="694BD77B" w14:textId="77777777" w:rsidTr="00E92104">
        <w:tc>
          <w:tcPr>
            <w:tcW w:w="2552" w:type="dxa"/>
            <w:tcBorders>
              <w:bottom w:val="single" w:sz="12" w:space="0" w:color="auto"/>
            </w:tcBorders>
            <w:shd w:val="clear" w:color="auto" w:fill="auto"/>
          </w:tcPr>
          <w:p w14:paraId="5E32F44A" w14:textId="77777777" w:rsidR="00560776" w:rsidRPr="00E92104" w:rsidRDefault="00560776" w:rsidP="00E92104">
            <w:pPr>
              <w:suppressAutoHyphens w:val="0"/>
              <w:spacing w:before="40" w:after="40" w:line="220" w:lineRule="exact"/>
              <w:rPr>
                <w:sz w:val="18"/>
                <w:lang w:val="fr-FR"/>
              </w:rPr>
            </w:pPr>
            <w:r w:rsidRPr="00E92104">
              <w:rPr>
                <w:sz w:val="18"/>
                <w:lang w:val="fr-FR"/>
              </w:rPr>
              <w:t>Part des autres dépenses sociales dans les dépenses budgétaires totales</w:t>
            </w:r>
          </w:p>
        </w:tc>
        <w:tc>
          <w:tcPr>
            <w:tcW w:w="963" w:type="dxa"/>
            <w:tcBorders>
              <w:bottom w:val="single" w:sz="12" w:space="0" w:color="auto"/>
            </w:tcBorders>
            <w:shd w:val="clear" w:color="auto" w:fill="auto"/>
            <w:noWrap/>
            <w:vAlign w:val="bottom"/>
          </w:tcPr>
          <w:p w14:paraId="63D292D9" w14:textId="77777777" w:rsidR="00560776" w:rsidRPr="00E92104" w:rsidRDefault="00560776" w:rsidP="00E92104">
            <w:pPr>
              <w:suppressAutoHyphens w:val="0"/>
              <w:spacing w:before="40" w:after="40" w:line="220" w:lineRule="exact"/>
              <w:jc w:val="right"/>
              <w:rPr>
                <w:sz w:val="18"/>
              </w:rPr>
            </w:pPr>
            <w:r w:rsidRPr="00E92104">
              <w:rPr>
                <w:sz w:val="18"/>
                <w:lang w:val="fr-FR"/>
              </w:rPr>
              <w:t>2,4</w:t>
            </w:r>
          </w:p>
        </w:tc>
        <w:tc>
          <w:tcPr>
            <w:tcW w:w="964" w:type="dxa"/>
            <w:tcBorders>
              <w:bottom w:val="single" w:sz="12" w:space="0" w:color="auto"/>
            </w:tcBorders>
            <w:shd w:val="clear" w:color="auto" w:fill="auto"/>
            <w:noWrap/>
            <w:vAlign w:val="bottom"/>
          </w:tcPr>
          <w:p w14:paraId="2058721D" w14:textId="77777777" w:rsidR="00560776" w:rsidRPr="00E92104" w:rsidRDefault="00560776" w:rsidP="00E92104">
            <w:pPr>
              <w:suppressAutoHyphens w:val="0"/>
              <w:spacing w:before="40" w:after="40" w:line="220" w:lineRule="exact"/>
              <w:jc w:val="right"/>
              <w:rPr>
                <w:sz w:val="18"/>
              </w:rPr>
            </w:pPr>
            <w:r w:rsidRPr="00E92104">
              <w:rPr>
                <w:sz w:val="18"/>
                <w:lang w:val="fr-FR"/>
              </w:rPr>
              <w:t>2,1</w:t>
            </w:r>
          </w:p>
        </w:tc>
        <w:tc>
          <w:tcPr>
            <w:tcW w:w="963" w:type="dxa"/>
            <w:tcBorders>
              <w:bottom w:val="single" w:sz="12" w:space="0" w:color="auto"/>
            </w:tcBorders>
            <w:shd w:val="clear" w:color="auto" w:fill="auto"/>
            <w:noWrap/>
            <w:vAlign w:val="bottom"/>
          </w:tcPr>
          <w:p w14:paraId="7C1E8FDC" w14:textId="77777777" w:rsidR="00560776" w:rsidRPr="00E92104" w:rsidRDefault="00560776" w:rsidP="00E92104">
            <w:pPr>
              <w:suppressAutoHyphens w:val="0"/>
              <w:spacing w:before="40" w:after="40" w:line="220" w:lineRule="exact"/>
              <w:jc w:val="right"/>
              <w:rPr>
                <w:sz w:val="18"/>
              </w:rPr>
            </w:pPr>
            <w:r w:rsidRPr="00E92104">
              <w:rPr>
                <w:sz w:val="18"/>
                <w:lang w:val="fr-FR"/>
              </w:rPr>
              <w:t>3,1</w:t>
            </w:r>
          </w:p>
        </w:tc>
        <w:tc>
          <w:tcPr>
            <w:tcW w:w="964" w:type="dxa"/>
            <w:tcBorders>
              <w:bottom w:val="single" w:sz="12" w:space="0" w:color="auto"/>
            </w:tcBorders>
            <w:shd w:val="clear" w:color="auto" w:fill="auto"/>
            <w:noWrap/>
            <w:vAlign w:val="bottom"/>
          </w:tcPr>
          <w:p w14:paraId="3B81D625" w14:textId="77777777" w:rsidR="00560776" w:rsidRPr="00E92104" w:rsidRDefault="00560776" w:rsidP="00E92104">
            <w:pPr>
              <w:suppressAutoHyphens w:val="0"/>
              <w:spacing w:before="40" w:after="40" w:line="220" w:lineRule="exact"/>
              <w:jc w:val="right"/>
              <w:rPr>
                <w:sz w:val="18"/>
              </w:rPr>
            </w:pPr>
            <w:r w:rsidRPr="00E92104">
              <w:rPr>
                <w:sz w:val="18"/>
                <w:lang w:val="fr-FR"/>
              </w:rPr>
              <w:t>2,4</w:t>
            </w:r>
          </w:p>
        </w:tc>
        <w:tc>
          <w:tcPr>
            <w:tcW w:w="964" w:type="dxa"/>
            <w:tcBorders>
              <w:bottom w:val="single" w:sz="12" w:space="0" w:color="auto"/>
            </w:tcBorders>
            <w:shd w:val="clear" w:color="auto" w:fill="auto"/>
            <w:noWrap/>
            <w:vAlign w:val="bottom"/>
          </w:tcPr>
          <w:p w14:paraId="7F012094" w14:textId="77777777" w:rsidR="00560776" w:rsidRPr="00E92104" w:rsidRDefault="00560776" w:rsidP="00E92104">
            <w:pPr>
              <w:suppressAutoHyphens w:val="0"/>
              <w:spacing w:before="40" w:after="40" w:line="220" w:lineRule="exact"/>
              <w:jc w:val="right"/>
              <w:rPr>
                <w:sz w:val="18"/>
              </w:rPr>
            </w:pPr>
            <w:r w:rsidRPr="00E92104">
              <w:rPr>
                <w:sz w:val="18"/>
                <w:lang w:val="fr-FR"/>
              </w:rPr>
              <w:t>1,7</w:t>
            </w:r>
          </w:p>
        </w:tc>
      </w:tr>
    </w:tbl>
    <w:p w14:paraId="1D96847E" w14:textId="1BD1F1BC" w:rsidR="00560776" w:rsidRPr="00E92104" w:rsidRDefault="00560776" w:rsidP="00E92104">
      <w:pPr>
        <w:pStyle w:val="SingleTxtG"/>
        <w:spacing w:before="120"/>
        <w:ind w:firstLine="170"/>
        <w:rPr>
          <w:sz w:val="18"/>
          <w:szCs w:val="18"/>
        </w:rPr>
      </w:pPr>
      <w:r w:rsidRPr="00E92104">
        <w:rPr>
          <w:i/>
          <w:iCs/>
          <w:sz w:val="18"/>
          <w:szCs w:val="18"/>
        </w:rPr>
        <w:t>Source</w:t>
      </w:r>
      <w:r w:rsidR="00A737F5">
        <w:rPr>
          <w:sz w:val="18"/>
          <w:szCs w:val="18"/>
        </w:rPr>
        <w:t> </w:t>
      </w:r>
      <w:r w:rsidRPr="00E92104">
        <w:rPr>
          <w:sz w:val="18"/>
          <w:szCs w:val="18"/>
        </w:rPr>
        <w:t>: Ministère des finances.</w:t>
      </w:r>
    </w:p>
    <w:p w14:paraId="3265A473" w14:textId="626BEAF9" w:rsidR="00560776" w:rsidRPr="008D553A" w:rsidRDefault="00560776" w:rsidP="00E916C8">
      <w:pPr>
        <w:pStyle w:val="SingleTxtG"/>
        <w:spacing w:before="240"/>
        <w:rPr>
          <w:lang w:val="fr-FR"/>
        </w:rPr>
      </w:pPr>
      <w:r>
        <w:rPr>
          <w:lang w:val="fr-FR"/>
        </w:rPr>
        <w:t>81.</w:t>
      </w:r>
      <w:r>
        <w:rPr>
          <w:lang w:val="fr-FR"/>
        </w:rPr>
        <w:tab/>
        <w:t>En 2019, les dépenses budgétaires de la Mongolie représentaient 31,6</w:t>
      </w:r>
      <w:r w:rsidR="000177AA">
        <w:rPr>
          <w:lang w:val="fr-FR"/>
        </w:rPr>
        <w:t> </w:t>
      </w:r>
      <w:r>
        <w:rPr>
          <w:lang w:val="fr-FR"/>
        </w:rPr>
        <w:t>% du PIB. Pendant le recul économique de ces dernières années, la politique suivie a principalement consisté à augmenter la part des dépenses budgétaires afin de relancer l</w:t>
      </w:r>
      <w:r w:rsidR="009C7759">
        <w:rPr>
          <w:lang w:val="fr-FR"/>
        </w:rPr>
        <w:t>’</w:t>
      </w:r>
      <w:r>
        <w:rPr>
          <w:lang w:val="fr-FR"/>
        </w:rPr>
        <w:t>économie, de favoriser la consommation et de soutenir les citoyens et les entités économiques touchés par la crise, tandis qu</w:t>
      </w:r>
      <w:r w:rsidR="009C7759">
        <w:rPr>
          <w:lang w:val="fr-FR"/>
        </w:rPr>
        <w:t>’</w:t>
      </w:r>
      <w:r>
        <w:rPr>
          <w:lang w:val="fr-FR"/>
        </w:rPr>
        <w:t>en période de croissance économique, la politique adoptée visait à réduire cet indicateur de façon à éviter une surchauffe de l</w:t>
      </w:r>
      <w:r w:rsidR="009C7759">
        <w:rPr>
          <w:lang w:val="fr-FR"/>
        </w:rPr>
        <w:t>’</w:t>
      </w:r>
      <w:r>
        <w:rPr>
          <w:lang w:val="fr-FR"/>
        </w:rPr>
        <w:t>économie et constituer des réserves à partir des recettes. Par conséquent, la part des dépenses budgétaires exprimée en pourcentage du PIB a varié entre 30 et 40</w:t>
      </w:r>
      <w:r w:rsidR="000177AA">
        <w:rPr>
          <w:lang w:val="fr-FR"/>
        </w:rPr>
        <w:t> </w:t>
      </w:r>
      <w:r>
        <w:rPr>
          <w:lang w:val="fr-FR"/>
        </w:rPr>
        <w:t>%.</w:t>
      </w:r>
    </w:p>
    <w:p w14:paraId="00629EFB" w14:textId="0D2021C5" w:rsidR="00560776" w:rsidRPr="008D553A" w:rsidRDefault="00560776" w:rsidP="00560776">
      <w:pPr>
        <w:pStyle w:val="SingleTxtG"/>
        <w:rPr>
          <w:lang w:val="fr-FR"/>
        </w:rPr>
      </w:pPr>
      <w:r>
        <w:rPr>
          <w:lang w:val="fr-FR"/>
        </w:rPr>
        <w:t>82.</w:t>
      </w:r>
      <w:r>
        <w:rPr>
          <w:lang w:val="fr-FR"/>
        </w:rPr>
        <w:tab/>
        <w:t>Les dépenses sociales représentent généralement de 40 à 50</w:t>
      </w:r>
      <w:r w:rsidR="000177AA">
        <w:rPr>
          <w:lang w:val="fr-FR"/>
        </w:rPr>
        <w:t> </w:t>
      </w:r>
      <w:r>
        <w:rPr>
          <w:lang w:val="fr-FR"/>
        </w:rPr>
        <w:t>% des dépenses budgétaires. Elles servent à rehausser le niveau d</w:t>
      </w:r>
      <w:r w:rsidR="009C7759">
        <w:rPr>
          <w:lang w:val="fr-FR"/>
        </w:rPr>
        <w:t>’</w:t>
      </w:r>
      <w:r>
        <w:rPr>
          <w:lang w:val="fr-FR"/>
        </w:rPr>
        <w:t>éducation des citoyens, à protéger leur santé, à régler des problèmes sociaux complexes et à réduire et prévenir la pauvreté. L</w:t>
      </w:r>
      <w:r w:rsidR="009C7759">
        <w:rPr>
          <w:lang w:val="fr-FR"/>
        </w:rPr>
        <w:t>’</w:t>
      </w:r>
      <w:r>
        <w:rPr>
          <w:lang w:val="fr-FR"/>
        </w:rPr>
        <w:t>éducation représente de 13 à 15</w:t>
      </w:r>
      <w:r w:rsidR="000177AA">
        <w:rPr>
          <w:lang w:val="fr-FR"/>
        </w:rPr>
        <w:t> </w:t>
      </w:r>
      <w:r>
        <w:rPr>
          <w:lang w:val="fr-FR"/>
        </w:rPr>
        <w:t>% des dépenses budgétaires totales, la santé de 7 à 8</w:t>
      </w:r>
      <w:r w:rsidR="000177AA">
        <w:rPr>
          <w:lang w:val="fr-FR"/>
        </w:rPr>
        <w:t> </w:t>
      </w:r>
      <w:r>
        <w:rPr>
          <w:lang w:val="fr-FR"/>
        </w:rPr>
        <w:t>%, les pensions et allocations d</w:t>
      </w:r>
      <w:r w:rsidR="009C7759">
        <w:rPr>
          <w:lang w:val="fr-FR"/>
        </w:rPr>
        <w:t>’</w:t>
      </w:r>
      <w:r>
        <w:rPr>
          <w:lang w:val="fr-FR"/>
        </w:rPr>
        <w:t>assurance sociale de 15 à 19</w:t>
      </w:r>
      <w:r w:rsidR="000177AA">
        <w:rPr>
          <w:lang w:val="fr-FR"/>
        </w:rPr>
        <w:t> </w:t>
      </w:r>
      <w:r>
        <w:rPr>
          <w:lang w:val="fr-FR"/>
        </w:rPr>
        <w:t>% et les dépenses de protection sociale de 5 à 7</w:t>
      </w:r>
      <w:r w:rsidR="000177AA">
        <w:rPr>
          <w:lang w:val="fr-FR"/>
        </w:rPr>
        <w:t> </w:t>
      </w:r>
      <w:r>
        <w:rPr>
          <w:lang w:val="fr-FR"/>
        </w:rPr>
        <w:t xml:space="preserve">%. </w:t>
      </w:r>
    </w:p>
    <w:p w14:paraId="6279B66F" w14:textId="67902422" w:rsidR="00560776" w:rsidRPr="008D553A" w:rsidRDefault="00560776" w:rsidP="00E92104">
      <w:pPr>
        <w:pStyle w:val="H1G"/>
        <w:rPr>
          <w:lang w:val="fr-FR"/>
        </w:rPr>
      </w:pPr>
      <w:r>
        <w:rPr>
          <w:lang w:val="fr-FR"/>
        </w:rPr>
        <w:lastRenderedPageBreak/>
        <w:tab/>
      </w:r>
      <w:r>
        <w:rPr>
          <w:lang w:val="fr-FR"/>
        </w:rPr>
        <w:tab/>
        <w:t>Paragraphe 7 e) de la liste de points</w:t>
      </w:r>
    </w:p>
    <w:p w14:paraId="4D838D47" w14:textId="0C5166F3" w:rsidR="00560776" w:rsidRPr="008D553A" w:rsidRDefault="00560776" w:rsidP="00E92104">
      <w:pPr>
        <w:pStyle w:val="Titre1"/>
        <w:spacing w:after="120"/>
        <w:rPr>
          <w:b/>
          <w:bCs/>
          <w:lang w:val="fr-FR"/>
        </w:rPr>
      </w:pPr>
      <w:r>
        <w:rPr>
          <w:lang w:val="fr-FR"/>
        </w:rPr>
        <w:t>Tableau 16</w:t>
      </w:r>
      <w:r w:rsidR="00E92104">
        <w:rPr>
          <w:lang w:val="fr-FR"/>
        </w:rPr>
        <w:t xml:space="preserve"> </w:t>
      </w:r>
      <w:r w:rsidR="00E92104">
        <w:rPr>
          <w:lang w:val="fr-FR"/>
        </w:rPr>
        <w:br/>
      </w:r>
      <w:r>
        <w:rPr>
          <w:b/>
          <w:bCs/>
          <w:lang w:val="fr-FR"/>
        </w:rPr>
        <w:t xml:space="preserve">Niveaux des dépenses sociales en milliards de </w:t>
      </w:r>
      <w:proofErr w:type="spellStart"/>
      <w:r>
        <w:rPr>
          <w:b/>
          <w:bCs/>
          <w:lang w:val="fr-FR"/>
        </w:rPr>
        <w:t>togrogs</w:t>
      </w:r>
      <w:proofErr w:type="spellEnd"/>
      <w:r>
        <w:rPr>
          <w:b/>
          <w:bCs/>
          <w:lang w:val="fr-FR"/>
        </w:rPr>
        <w:t xml:space="preserve"> (2015-2019)</w:t>
      </w:r>
    </w:p>
    <w:tbl>
      <w:tblPr>
        <w:tblW w:w="7370" w:type="dxa"/>
        <w:tblInd w:w="1134" w:type="dxa"/>
        <w:tblLayout w:type="fixed"/>
        <w:tblCellMar>
          <w:left w:w="0" w:type="dxa"/>
          <w:right w:w="0" w:type="dxa"/>
        </w:tblCellMar>
        <w:tblLook w:val="04A0" w:firstRow="1" w:lastRow="0" w:firstColumn="1" w:lastColumn="0" w:noHBand="0" w:noVBand="1"/>
      </w:tblPr>
      <w:tblGrid>
        <w:gridCol w:w="2127"/>
        <w:gridCol w:w="821"/>
        <w:gridCol w:w="1105"/>
        <w:gridCol w:w="1106"/>
        <w:gridCol w:w="1105"/>
        <w:gridCol w:w="1106"/>
      </w:tblGrid>
      <w:tr w:rsidR="00E92104" w:rsidRPr="00E92104" w14:paraId="575BA950" w14:textId="77777777" w:rsidTr="00065775">
        <w:trPr>
          <w:tblHeader/>
        </w:trPr>
        <w:tc>
          <w:tcPr>
            <w:tcW w:w="2127" w:type="dxa"/>
            <w:tcBorders>
              <w:top w:val="single" w:sz="4" w:space="0" w:color="auto"/>
              <w:bottom w:val="single" w:sz="12" w:space="0" w:color="auto"/>
            </w:tcBorders>
            <w:shd w:val="clear" w:color="auto" w:fill="auto"/>
            <w:vAlign w:val="bottom"/>
            <w:hideMark/>
          </w:tcPr>
          <w:p w14:paraId="4ACFCB9D" w14:textId="77777777" w:rsidR="00560776" w:rsidRPr="00E92104" w:rsidRDefault="00560776" w:rsidP="00E92104">
            <w:pPr>
              <w:suppressAutoHyphens w:val="0"/>
              <w:spacing w:before="80" w:after="80" w:line="200" w:lineRule="exact"/>
              <w:rPr>
                <w:i/>
                <w:sz w:val="16"/>
              </w:rPr>
            </w:pPr>
            <w:r w:rsidRPr="00E92104">
              <w:rPr>
                <w:i/>
                <w:sz w:val="16"/>
                <w:lang w:val="fr-FR"/>
              </w:rPr>
              <w:t>Niveaux des dépenses sociales</w:t>
            </w:r>
          </w:p>
        </w:tc>
        <w:tc>
          <w:tcPr>
            <w:tcW w:w="821" w:type="dxa"/>
            <w:tcBorders>
              <w:top w:val="single" w:sz="4" w:space="0" w:color="auto"/>
              <w:bottom w:val="single" w:sz="12" w:space="0" w:color="auto"/>
            </w:tcBorders>
            <w:shd w:val="clear" w:color="auto" w:fill="auto"/>
            <w:noWrap/>
            <w:vAlign w:val="bottom"/>
            <w:hideMark/>
          </w:tcPr>
          <w:p w14:paraId="20C31250" w14:textId="77777777" w:rsidR="00560776" w:rsidRPr="00E92104" w:rsidRDefault="00560776" w:rsidP="00E92104">
            <w:pPr>
              <w:suppressAutoHyphens w:val="0"/>
              <w:spacing w:before="80" w:after="80" w:line="200" w:lineRule="exact"/>
              <w:jc w:val="right"/>
              <w:rPr>
                <w:i/>
                <w:sz w:val="16"/>
              </w:rPr>
            </w:pPr>
            <w:r w:rsidRPr="00E92104">
              <w:rPr>
                <w:i/>
                <w:sz w:val="16"/>
                <w:lang w:val="fr-FR"/>
              </w:rPr>
              <w:t>2015</w:t>
            </w:r>
          </w:p>
        </w:tc>
        <w:tc>
          <w:tcPr>
            <w:tcW w:w="1105" w:type="dxa"/>
            <w:tcBorders>
              <w:top w:val="single" w:sz="4" w:space="0" w:color="auto"/>
              <w:bottom w:val="single" w:sz="12" w:space="0" w:color="auto"/>
            </w:tcBorders>
            <w:shd w:val="clear" w:color="auto" w:fill="auto"/>
            <w:noWrap/>
            <w:vAlign w:val="bottom"/>
            <w:hideMark/>
          </w:tcPr>
          <w:p w14:paraId="76A25D74" w14:textId="77777777" w:rsidR="00560776" w:rsidRPr="00E92104" w:rsidRDefault="00560776" w:rsidP="00E92104">
            <w:pPr>
              <w:suppressAutoHyphens w:val="0"/>
              <w:spacing w:before="80" w:after="80" w:line="200" w:lineRule="exact"/>
              <w:jc w:val="right"/>
              <w:rPr>
                <w:i/>
                <w:sz w:val="16"/>
              </w:rPr>
            </w:pPr>
            <w:r w:rsidRPr="00E92104">
              <w:rPr>
                <w:i/>
                <w:sz w:val="16"/>
                <w:lang w:val="fr-FR"/>
              </w:rPr>
              <w:t>2016</w:t>
            </w:r>
          </w:p>
        </w:tc>
        <w:tc>
          <w:tcPr>
            <w:tcW w:w="1106" w:type="dxa"/>
            <w:tcBorders>
              <w:top w:val="single" w:sz="4" w:space="0" w:color="auto"/>
              <w:bottom w:val="single" w:sz="12" w:space="0" w:color="auto"/>
            </w:tcBorders>
            <w:shd w:val="clear" w:color="auto" w:fill="auto"/>
            <w:noWrap/>
            <w:vAlign w:val="bottom"/>
            <w:hideMark/>
          </w:tcPr>
          <w:p w14:paraId="4DE8158A" w14:textId="77777777" w:rsidR="00560776" w:rsidRPr="00E92104" w:rsidRDefault="00560776" w:rsidP="00E92104">
            <w:pPr>
              <w:suppressAutoHyphens w:val="0"/>
              <w:spacing w:before="80" w:after="80" w:line="200" w:lineRule="exact"/>
              <w:jc w:val="right"/>
              <w:rPr>
                <w:i/>
                <w:sz w:val="16"/>
              </w:rPr>
            </w:pPr>
            <w:r w:rsidRPr="00E92104">
              <w:rPr>
                <w:i/>
                <w:sz w:val="16"/>
                <w:lang w:val="fr-FR"/>
              </w:rPr>
              <w:t>2017</w:t>
            </w:r>
          </w:p>
        </w:tc>
        <w:tc>
          <w:tcPr>
            <w:tcW w:w="1105" w:type="dxa"/>
            <w:tcBorders>
              <w:top w:val="single" w:sz="4" w:space="0" w:color="auto"/>
              <w:bottom w:val="single" w:sz="12" w:space="0" w:color="auto"/>
            </w:tcBorders>
            <w:shd w:val="clear" w:color="auto" w:fill="auto"/>
            <w:noWrap/>
            <w:vAlign w:val="bottom"/>
            <w:hideMark/>
          </w:tcPr>
          <w:p w14:paraId="5B8F2646" w14:textId="77777777" w:rsidR="00560776" w:rsidRPr="00E92104" w:rsidRDefault="00560776" w:rsidP="00E92104">
            <w:pPr>
              <w:suppressAutoHyphens w:val="0"/>
              <w:spacing w:before="80" w:after="80" w:line="200" w:lineRule="exact"/>
              <w:jc w:val="right"/>
              <w:rPr>
                <w:i/>
                <w:sz w:val="16"/>
              </w:rPr>
            </w:pPr>
            <w:r w:rsidRPr="00E92104">
              <w:rPr>
                <w:i/>
                <w:sz w:val="16"/>
                <w:lang w:val="fr-FR"/>
              </w:rPr>
              <w:t>2018</w:t>
            </w:r>
          </w:p>
        </w:tc>
        <w:tc>
          <w:tcPr>
            <w:tcW w:w="1106" w:type="dxa"/>
            <w:tcBorders>
              <w:top w:val="single" w:sz="4" w:space="0" w:color="auto"/>
              <w:bottom w:val="single" w:sz="12" w:space="0" w:color="auto"/>
            </w:tcBorders>
            <w:shd w:val="clear" w:color="auto" w:fill="auto"/>
            <w:noWrap/>
            <w:vAlign w:val="bottom"/>
            <w:hideMark/>
          </w:tcPr>
          <w:p w14:paraId="1DBC2EC9" w14:textId="77777777" w:rsidR="00560776" w:rsidRPr="00E92104" w:rsidRDefault="00560776" w:rsidP="00E92104">
            <w:pPr>
              <w:suppressAutoHyphens w:val="0"/>
              <w:spacing w:before="80" w:after="80" w:line="200" w:lineRule="exact"/>
              <w:jc w:val="right"/>
              <w:rPr>
                <w:i/>
                <w:sz w:val="16"/>
              </w:rPr>
            </w:pPr>
            <w:r w:rsidRPr="00E92104">
              <w:rPr>
                <w:i/>
                <w:sz w:val="16"/>
                <w:lang w:val="fr-FR"/>
              </w:rPr>
              <w:t>2019</w:t>
            </w:r>
          </w:p>
        </w:tc>
      </w:tr>
      <w:tr w:rsidR="00E92104" w:rsidRPr="00E92104" w14:paraId="50D094B7" w14:textId="77777777" w:rsidTr="00065775">
        <w:tc>
          <w:tcPr>
            <w:tcW w:w="2127" w:type="dxa"/>
            <w:tcBorders>
              <w:top w:val="single" w:sz="12" w:space="0" w:color="auto"/>
            </w:tcBorders>
            <w:shd w:val="clear" w:color="auto" w:fill="auto"/>
            <w:hideMark/>
          </w:tcPr>
          <w:p w14:paraId="727B4929" w14:textId="77777777" w:rsidR="00560776" w:rsidRPr="00E92104" w:rsidRDefault="00560776" w:rsidP="00E92104">
            <w:pPr>
              <w:suppressAutoHyphens w:val="0"/>
              <w:spacing w:before="40" w:after="40" w:line="220" w:lineRule="exact"/>
              <w:rPr>
                <w:sz w:val="18"/>
              </w:rPr>
            </w:pPr>
            <w:r w:rsidRPr="00E92104">
              <w:rPr>
                <w:sz w:val="18"/>
                <w:lang w:val="fr-FR"/>
              </w:rPr>
              <w:t>Dépenses sociales</w:t>
            </w:r>
          </w:p>
        </w:tc>
        <w:tc>
          <w:tcPr>
            <w:tcW w:w="821" w:type="dxa"/>
            <w:tcBorders>
              <w:top w:val="single" w:sz="12" w:space="0" w:color="auto"/>
            </w:tcBorders>
            <w:shd w:val="clear" w:color="auto" w:fill="auto"/>
            <w:noWrap/>
            <w:vAlign w:val="bottom"/>
            <w:hideMark/>
          </w:tcPr>
          <w:p w14:paraId="7EB2A7B2" w14:textId="77777777" w:rsidR="00560776" w:rsidRPr="00E92104" w:rsidRDefault="00560776" w:rsidP="00E92104">
            <w:pPr>
              <w:suppressAutoHyphens w:val="0"/>
              <w:spacing w:before="40" w:after="40" w:line="220" w:lineRule="exact"/>
              <w:jc w:val="right"/>
              <w:rPr>
                <w:sz w:val="18"/>
              </w:rPr>
            </w:pPr>
            <w:r w:rsidRPr="00E92104">
              <w:rPr>
                <w:sz w:val="18"/>
                <w:lang w:val="fr-FR"/>
              </w:rPr>
              <w:t>1 997,6</w:t>
            </w:r>
          </w:p>
        </w:tc>
        <w:tc>
          <w:tcPr>
            <w:tcW w:w="1105" w:type="dxa"/>
            <w:tcBorders>
              <w:top w:val="single" w:sz="12" w:space="0" w:color="auto"/>
            </w:tcBorders>
            <w:shd w:val="clear" w:color="auto" w:fill="auto"/>
            <w:noWrap/>
            <w:vAlign w:val="bottom"/>
            <w:hideMark/>
          </w:tcPr>
          <w:p w14:paraId="26D856F8" w14:textId="77777777" w:rsidR="00560776" w:rsidRPr="00E92104" w:rsidRDefault="00560776" w:rsidP="00E92104">
            <w:pPr>
              <w:suppressAutoHyphens w:val="0"/>
              <w:spacing w:before="40" w:after="40" w:line="220" w:lineRule="exact"/>
              <w:jc w:val="right"/>
              <w:rPr>
                <w:sz w:val="18"/>
              </w:rPr>
            </w:pPr>
            <w:r w:rsidRPr="00E92104">
              <w:rPr>
                <w:sz w:val="18"/>
                <w:lang w:val="fr-FR"/>
              </w:rPr>
              <w:t>2 225,4</w:t>
            </w:r>
          </w:p>
        </w:tc>
        <w:tc>
          <w:tcPr>
            <w:tcW w:w="1106" w:type="dxa"/>
            <w:tcBorders>
              <w:top w:val="single" w:sz="12" w:space="0" w:color="auto"/>
            </w:tcBorders>
            <w:shd w:val="clear" w:color="auto" w:fill="auto"/>
            <w:noWrap/>
            <w:vAlign w:val="bottom"/>
            <w:hideMark/>
          </w:tcPr>
          <w:p w14:paraId="548D32F2" w14:textId="77777777" w:rsidR="00560776" w:rsidRPr="00E92104" w:rsidRDefault="00560776" w:rsidP="00E92104">
            <w:pPr>
              <w:suppressAutoHyphens w:val="0"/>
              <w:spacing w:before="40" w:after="40" w:line="220" w:lineRule="exact"/>
              <w:jc w:val="right"/>
              <w:rPr>
                <w:sz w:val="18"/>
              </w:rPr>
            </w:pPr>
            <w:r w:rsidRPr="00E92104">
              <w:rPr>
                <w:sz w:val="18"/>
                <w:lang w:val="fr-FR"/>
              </w:rPr>
              <w:t>2 218,2</w:t>
            </w:r>
          </w:p>
        </w:tc>
        <w:tc>
          <w:tcPr>
            <w:tcW w:w="1105" w:type="dxa"/>
            <w:tcBorders>
              <w:top w:val="single" w:sz="12" w:space="0" w:color="auto"/>
            </w:tcBorders>
            <w:shd w:val="clear" w:color="auto" w:fill="auto"/>
            <w:noWrap/>
            <w:vAlign w:val="bottom"/>
            <w:hideMark/>
          </w:tcPr>
          <w:p w14:paraId="47E8595C" w14:textId="77777777" w:rsidR="00560776" w:rsidRPr="00E92104" w:rsidRDefault="00560776" w:rsidP="00E92104">
            <w:pPr>
              <w:suppressAutoHyphens w:val="0"/>
              <w:spacing w:before="40" w:after="40" w:line="220" w:lineRule="exact"/>
              <w:jc w:val="right"/>
              <w:rPr>
                <w:sz w:val="18"/>
              </w:rPr>
            </w:pPr>
            <w:r w:rsidRPr="00E92104">
              <w:rPr>
                <w:sz w:val="18"/>
                <w:lang w:val="fr-FR"/>
              </w:rPr>
              <w:t>2 286,2</w:t>
            </w:r>
          </w:p>
        </w:tc>
        <w:tc>
          <w:tcPr>
            <w:tcW w:w="1106" w:type="dxa"/>
            <w:tcBorders>
              <w:top w:val="single" w:sz="12" w:space="0" w:color="auto"/>
            </w:tcBorders>
            <w:shd w:val="clear" w:color="auto" w:fill="auto"/>
            <w:noWrap/>
            <w:vAlign w:val="bottom"/>
            <w:hideMark/>
          </w:tcPr>
          <w:p w14:paraId="37B90A65" w14:textId="77777777" w:rsidR="00560776" w:rsidRPr="00E92104" w:rsidRDefault="00560776" w:rsidP="00E92104">
            <w:pPr>
              <w:suppressAutoHyphens w:val="0"/>
              <w:spacing w:before="40" w:after="40" w:line="220" w:lineRule="exact"/>
              <w:jc w:val="right"/>
              <w:rPr>
                <w:sz w:val="18"/>
              </w:rPr>
            </w:pPr>
            <w:r w:rsidRPr="00E92104">
              <w:rPr>
                <w:sz w:val="18"/>
                <w:lang w:val="fr-FR"/>
              </w:rPr>
              <w:t>2 495,0</w:t>
            </w:r>
          </w:p>
        </w:tc>
      </w:tr>
      <w:tr w:rsidR="00E92104" w:rsidRPr="00E92104" w14:paraId="0C383853" w14:textId="77777777" w:rsidTr="00065775">
        <w:tc>
          <w:tcPr>
            <w:tcW w:w="2127" w:type="dxa"/>
            <w:shd w:val="clear" w:color="auto" w:fill="auto"/>
          </w:tcPr>
          <w:p w14:paraId="6CE60A04" w14:textId="502E3FDF" w:rsidR="00560776" w:rsidRPr="00E92104" w:rsidRDefault="00560776" w:rsidP="00E92104">
            <w:pPr>
              <w:suppressAutoHyphens w:val="0"/>
              <w:spacing w:before="40" w:after="40" w:line="220" w:lineRule="exact"/>
              <w:rPr>
                <w:sz w:val="18"/>
              </w:rPr>
            </w:pPr>
            <w:r w:rsidRPr="00E92104">
              <w:rPr>
                <w:sz w:val="18"/>
                <w:lang w:val="fr-FR"/>
              </w:rPr>
              <w:t>Dépenses d</w:t>
            </w:r>
            <w:r w:rsidR="009C7759">
              <w:rPr>
                <w:sz w:val="18"/>
                <w:lang w:val="fr-FR"/>
              </w:rPr>
              <w:t>’</w:t>
            </w:r>
            <w:r w:rsidRPr="00E92104">
              <w:rPr>
                <w:sz w:val="18"/>
                <w:lang w:val="fr-FR"/>
              </w:rPr>
              <w:t>éducation</w:t>
            </w:r>
          </w:p>
        </w:tc>
        <w:tc>
          <w:tcPr>
            <w:tcW w:w="821" w:type="dxa"/>
            <w:shd w:val="clear" w:color="auto" w:fill="auto"/>
            <w:noWrap/>
            <w:vAlign w:val="bottom"/>
          </w:tcPr>
          <w:p w14:paraId="501B3DFA" w14:textId="77777777" w:rsidR="00560776" w:rsidRPr="00E92104" w:rsidRDefault="00560776" w:rsidP="00E92104">
            <w:pPr>
              <w:suppressAutoHyphens w:val="0"/>
              <w:spacing w:before="40" w:after="40" w:line="220" w:lineRule="exact"/>
              <w:jc w:val="right"/>
              <w:rPr>
                <w:sz w:val="18"/>
              </w:rPr>
            </w:pPr>
            <w:r w:rsidRPr="00E92104">
              <w:rPr>
                <w:sz w:val="18"/>
                <w:lang w:val="fr-FR"/>
              </w:rPr>
              <w:t xml:space="preserve">564,04 </w:t>
            </w:r>
          </w:p>
        </w:tc>
        <w:tc>
          <w:tcPr>
            <w:tcW w:w="1105" w:type="dxa"/>
            <w:shd w:val="clear" w:color="auto" w:fill="auto"/>
            <w:noWrap/>
            <w:vAlign w:val="bottom"/>
          </w:tcPr>
          <w:p w14:paraId="402589D8" w14:textId="77777777" w:rsidR="00560776" w:rsidRPr="00E92104" w:rsidRDefault="00560776" w:rsidP="00E92104">
            <w:pPr>
              <w:suppressAutoHyphens w:val="0"/>
              <w:spacing w:before="40" w:after="40" w:line="220" w:lineRule="exact"/>
              <w:jc w:val="right"/>
              <w:rPr>
                <w:sz w:val="18"/>
              </w:rPr>
            </w:pPr>
            <w:r w:rsidRPr="00E92104">
              <w:rPr>
                <w:sz w:val="18"/>
                <w:lang w:val="fr-FR"/>
              </w:rPr>
              <w:t xml:space="preserve">686,26 </w:t>
            </w:r>
          </w:p>
        </w:tc>
        <w:tc>
          <w:tcPr>
            <w:tcW w:w="1106" w:type="dxa"/>
            <w:shd w:val="clear" w:color="auto" w:fill="auto"/>
            <w:noWrap/>
            <w:vAlign w:val="bottom"/>
          </w:tcPr>
          <w:p w14:paraId="7B25FE21" w14:textId="77777777" w:rsidR="00560776" w:rsidRPr="00E92104" w:rsidRDefault="00560776" w:rsidP="00E92104">
            <w:pPr>
              <w:suppressAutoHyphens w:val="0"/>
              <w:spacing w:before="40" w:after="40" w:line="220" w:lineRule="exact"/>
              <w:jc w:val="right"/>
              <w:rPr>
                <w:sz w:val="18"/>
              </w:rPr>
            </w:pPr>
            <w:r w:rsidRPr="00E92104">
              <w:rPr>
                <w:sz w:val="18"/>
                <w:lang w:val="fr-FR"/>
              </w:rPr>
              <w:t xml:space="preserve">636,29 </w:t>
            </w:r>
          </w:p>
        </w:tc>
        <w:tc>
          <w:tcPr>
            <w:tcW w:w="1105" w:type="dxa"/>
            <w:shd w:val="clear" w:color="auto" w:fill="auto"/>
            <w:noWrap/>
            <w:vAlign w:val="bottom"/>
          </w:tcPr>
          <w:p w14:paraId="7B932FF2" w14:textId="77777777" w:rsidR="00560776" w:rsidRPr="00E92104" w:rsidRDefault="00560776" w:rsidP="00E92104">
            <w:pPr>
              <w:suppressAutoHyphens w:val="0"/>
              <w:spacing w:before="40" w:after="40" w:line="220" w:lineRule="exact"/>
              <w:jc w:val="right"/>
              <w:rPr>
                <w:sz w:val="18"/>
              </w:rPr>
            </w:pPr>
            <w:r w:rsidRPr="00E92104">
              <w:rPr>
                <w:sz w:val="18"/>
                <w:lang w:val="fr-FR"/>
              </w:rPr>
              <w:t xml:space="preserve">692,80 </w:t>
            </w:r>
          </w:p>
        </w:tc>
        <w:tc>
          <w:tcPr>
            <w:tcW w:w="1106" w:type="dxa"/>
            <w:shd w:val="clear" w:color="auto" w:fill="auto"/>
            <w:noWrap/>
            <w:vAlign w:val="bottom"/>
          </w:tcPr>
          <w:p w14:paraId="58A34FC6" w14:textId="77777777" w:rsidR="00560776" w:rsidRPr="00E92104" w:rsidRDefault="00560776" w:rsidP="00E92104">
            <w:pPr>
              <w:suppressAutoHyphens w:val="0"/>
              <w:spacing w:before="40" w:after="40" w:line="220" w:lineRule="exact"/>
              <w:jc w:val="right"/>
              <w:rPr>
                <w:sz w:val="18"/>
              </w:rPr>
            </w:pPr>
            <w:r w:rsidRPr="00E92104">
              <w:rPr>
                <w:sz w:val="18"/>
                <w:lang w:val="fr-FR"/>
              </w:rPr>
              <w:t xml:space="preserve">807,69 </w:t>
            </w:r>
          </w:p>
        </w:tc>
      </w:tr>
      <w:tr w:rsidR="00E92104" w:rsidRPr="00E92104" w14:paraId="4F79FCEB" w14:textId="77777777" w:rsidTr="00065775">
        <w:tc>
          <w:tcPr>
            <w:tcW w:w="2127" w:type="dxa"/>
            <w:shd w:val="clear" w:color="auto" w:fill="auto"/>
          </w:tcPr>
          <w:p w14:paraId="63D57003" w14:textId="77777777" w:rsidR="00560776" w:rsidRPr="00E92104" w:rsidRDefault="00560776" w:rsidP="00E92104">
            <w:pPr>
              <w:suppressAutoHyphens w:val="0"/>
              <w:spacing w:before="40" w:after="40" w:line="220" w:lineRule="exact"/>
              <w:rPr>
                <w:sz w:val="18"/>
              </w:rPr>
            </w:pPr>
            <w:r w:rsidRPr="00E92104">
              <w:rPr>
                <w:sz w:val="18"/>
                <w:lang w:val="fr-FR"/>
              </w:rPr>
              <w:t>Dépenses de santé</w:t>
            </w:r>
          </w:p>
        </w:tc>
        <w:tc>
          <w:tcPr>
            <w:tcW w:w="821" w:type="dxa"/>
            <w:shd w:val="clear" w:color="auto" w:fill="auto"/>
            <w:noWrap/>
            <w:vAlign w:val="bottom"/>
          </w:tcPr>
          <w:p w14:paraId="0E371536" w14:textId="77777777" w:rsidR="00560776" w:rsidRPr="00E92104" w:rsidRDefault="00560776" w:rsidP="00E92104">
            <w:pPr>
              <w:suppressAutoHyphens w:val="0"/>
              <w:spacing w:before="40" w:after="40" w:line="220" w:lineRule="exact"/>
              <w:jc w:val="right"/>
              <w:rPr>
                <w:sz w:val="18"/>
              </w:rPr>
            </w:pPr>
            <w:r w:rsidRPr="00E92104">
              <w:rPr>
                <w:sz w:val="18"/>
                <w:lang w:val="fr-FR"/>
              </w:rPr>
              <w:t>322,11</w:t>
            </w:r>
          </w:p>
        </w:tc>
        <w:tc>
          <w:tcPr>
            <w:tcW w:w="1105" w:type="dxa"/>
            <w:shd w:val="clear" w:color="auto" w:fill="auto"/>
            <w:noWrap/>
            <w:vAlign w:val="bottom"/>
          </w:tcPr>
          <w:p w14:paraId="72355E3A" w14:textId="77777777" w:rsidR="00560776" w:rsidRPr="00E92104" w:rsidRDefault="00560776" w:rsidP="00E92104">
            <w:pPr>
              <w:suppressAutoHyphens w:val="0"/>
              <w:spacing w:before="40" w:after="40" w:line="220" w:lineRule="exact"/>
              <w:jc w:val="right"/>
              <w:rPr>
                <w:sz w:val="18"/>
              </w:rPr>
            </w:pPr>
            <w:r w:rsidRPr="00E92104">
              <w:rPr>
                <w:sz w:val="18"/>
                <w:lang w:val="fr-FR"/>
              </w:rPr>
              <w:t>360,01</w:t>
            </w:r>
          </w:p>
        </w:tc>
        <w:tc>
          <w:tcPr>
            <w:tcW w:w="1106" w:type="dxa"/>
            <w:shd w:val="clear" w:color="auto" w:fill="auto"/>
            <w:noWrap/>
            <w:vAlign w:val="bottom"/>
          </w:tcPr>
          <w:p w14:paraId="046CDE52" w14:textId="77777777" w:rsidR="00560776" w:rsidRPr="00E92104" w:rsidRDefault="00560776" w:rsidP="00E92104">
            <w:pPr>
              <w:suppressAutoHyphens w:val="0"/>
              <w:spacing w:before="40" w:after="40" w:line="220" w:lineRule="exact"/>
              <w:jc w:val="right"/>
              <w:rPr>
                <w:sz w:val="18"/>
              </w:rPr>
            </w:pPr>
            <w:r w:rsidRPr="00E92104">
              <w:rPr>
                <w:sz w:val="18"/>
                <w:lang w:val="fr-FR"/>
              </w:rPr>
              <w:t>347,06</w:t>
            </w:r>
          </w:p>
        </w:tc>
        <w:tc>
          <w:tcPr>
            <w:tcW w:w="1105" w:type="dxa"/>
            <w:shd w:val="clear" w:color="auto" w:fill="auto"/>
            <w:noWrap/>
            <w:vAlign w:val="bottom"/>
          </w:tcPr>
          <w:p w14:paraId="5F999E05" w14:textId="77777777" w:rsidR="00560776" w:rsidRPr="00E92104" w:rsidRDefault="00560776" w:rsidP="00E92104">
            <w:pPr>
              <w:suppressAutoHyphens w:val="0"/>
              <w:spacing w:before="40" w:after="40" w:line="220" w:lineRule="exact"/>
              <w:jc w:val="right"/>
              <w:rPr>
                <w:sz w:val="18"/>
              </w:rPr>
            </w:pPr>
            <w:r w:rsidRPr="00E92104">
              <w:rPr>
                <w:sz w:val="18"/>
                <w:lang w:val="fr-FR"/>
              </w:rPr>
              <w:t>343,66</w:t>
            </w:r>
          </w:p>
        </w:tc>
        <w:tc>
          <w:tcPr>
            <w:tcW w:w="1106" w:type="dxa"/>
            <w:shd w:val="clear" w:color="auto" w:fill="auto"/>
            <w:noWrap/>
            <w:vAlign w:val="bottom"/>
          </w:tcPr>
          <w:p w14:paraId="2350026E" w14:textId="77777777" w:rsidR="00560776" w:rsidRPr="00E92104" w:rsidRDefault="00560776" w:rsidP="00E92104">
            <w:pPr>
              <w:suppressAutoHyphens w:val="0"/>
              <w:spacing w:before="40" w:after="40" w:line="220" w:lineRule="exact"/>
              <w:jc w:val="right"/>
              <w:rPr>
                <w:sz w:val="18"/>
              </w:rPr>
            </w:pPr>
            <w:r w:rsidRPr="00E92104">
              <w:rPr>
                <w:sz w:val="18"/>
                <w:lang w:val="fr-FR"/>
              </w:rPr>
              <w:t>372,45</w:t>
            </w:r>
          </w:p>
        </w:tc>
      </w:tr>
      <w:tr w:rsidR="00E92104" w:rsidRPr="00E92104" w14:paraId="61E58399" w14:textId="77777777" w:rsidTr="00065775">
        <w:tc>
          <w:tcPr>
            <w:tcW w:w="2127" w:type="dxa"/>
            <w:shd w:val="clear" w:color="auto" w:fill="auto"/>
          </w:tcPr>
          <w:p w14:paraId="15E89DBD" w14:textId="76B7FBE5" w:rsidR="00560776" w:rsidRPr="00E92104" w:rsidRDefault="00560776" w:rsidP="00E92104">
            <w:pPr>
              <w:suppressAutoHyphens w:val="0"/>
              <w:spacing w:before="40" w:after="40" w:line="220" w:lineRule="exact"/>
              <w:rPr>
                <w:sz w:val="18"/>
                <w:lang w:val="fr-FR"/>
              </w:rPr>
            </w:pPr>
            <w:r w:rsidRPr="00E92104">
              <w:rPr>
                <w:sz w:val="18"/>
                <w:lang w:val="fr-FR"/>
              </w:rPr>
              <w:t>Pensions et allocations d</w:t>
            </w:r>
            <w:r w:rsidR="009C7759">
              <w:rPr>
                <w:sz w:val="18"/>
                <w:lang w:val="fr-FR"/>
              </w:rPr>
              <w:t>’</w:t>
            </w:r>
            <w:r w:rsidRPr="00E92104">
              <w:rPr>
                <w:sz w:val="18"/>
                <w:lang w:val="fr-FR"/>
              </w:rPr>
              <w:t>assurance sociale</w:t>
            </w:r>
          </w:p>
        </w:tc>
        <w:tc>
          <w:tcPr>
            <w:tcW w:w="821" w:type="dxa"/>
            <w:shd w:val="clear" w:color="auto" w:fill="auto"/>
            <w:noWrap/>
            <w:vAlign w:val="bottom"/>
          </w:tcPr>
          <w:p w14:paraId="17F81163" w14:textId="77777777" w:rsidR="00560776" w:rsidRPr="00E92104" w:rsidRDefault="00560776" w:rsidP="00E92104">
            <w:pPr>
              <w:suppressAutoHyphens w:val="0"/>
              <w:spacing w:before="40" w:after="40" w:line="220" w:lineRule="exact"/>
              <w:jc w:val="right"/>
              <w:rPr>
                <w:sz w:val="18"/>
              </w:rPr>
            </w:pPr>
            <w:r w:rsidRPr="00E92104">
              <w:rPr>
                <w:sz w:val="18"/>
                <w:lang w:val="fr-FR"/>
              </w:rPr>
              <w:t xml:space="preserve">747,49 </w:t>
            </w:r>
          </w:p>
        </w:tc>
        <w:tc>
          <w:tcPr>
            <w:tcW w:w="1105" w:type="dxa"/>
            <w:shd w:val="clear" w:color="auto" w:fill="auto"/>
            <w:noWrap/>
            <w:vAlign w:val="bottom"/>
          </w:tcPr>
          <w:p w14:paraId="22BFBF82" w14:textId="77777777" w:rsidR="00560776" w:rsidRPr="00E92104" w:rsidRDefault="00560776" w:rsidP="00E92104">
            <w:pPr>
              <w:suppressAutoHyphens w:val="0"/>
              <w:spacing w:before="40" w:after="40" w:line="220" w:lineRule="exact"/>
              <w:jc w:val="right"/>
              <w:rPr>
                <w:sz w:val="18"/>
              </w:rPr>
            </w:pPr>
            <w:r w:rsidRPr="00E92104">
              <w:rPr>
                <w:sz w:val="18"/>
                <w:lang w:val="fr-FR"/>
              </w:rPr>
              <w:t xml:space="preserve">799,35 </w:t>
            </w:r>
          </w:p>
        </w:tc>
        <w:tc>
          <w:tcPr>
            <w:tcW w:w="1106" w:type="dxa"/>
            <w:shd w:val="clear" w:color="auto" w:fill="auto"/>
            <w:noWrap/>
            <w:vAlign w:val="bottom"/>
          </w:tcPr>
          <w:p w14:paraId="3122AF13" w14:textId="77777777" w:rsidR="00560776" w:rsidRPr="00E92104" w:rsidRDefault="00560776" w:rsidP="00E92104">
            <w:pPr>
              <w:suppressAutoHyphens w:val="0"/>
              <w:spacing w:before="40" w:after="40" w:line="220" w:lineRule="exact"/>
              <w:jc w:val="right"/>
              <w:rPr>
                <w:sz w:val="18"/>
              </w:rPr>
            </w:pPr>
            <w:r w:rsidRPr="00E92104">
              <w:rPr>
                <w:sz w:val="18"/>
                <w:lang w:val="fr-FR"/>
              </w:rPr>
              <w:t xml:space="preserve">814,51 </w:t>
            </w:r>
          </w:p>
        </w:tc>
        <w:tc>
          <w:tcPr>
            <w:tcW w:w="1105" w:type="dxa"/>
            <w:shd w:val="clear" w:color="auto" w:fill="auto"/>
            <w:noWrap/>
            <w:vAlign w:val="bottom"/>
          </w:tcPr>
          <w:p w14:paraId="1AA3455F" w14:textId="77777777" w:rsidR="00560776" w:rsidRPr="00E92104" w:rsidRDefault="00560776" w:rsidP="00E92104">
            <w:pPr>
              <w:suppressAutoHyphens w:val="0"/>
              <w:spacing w:before="40" w:after="40" w:line="220" w:lineRule="exact"/>
              <w:jc w:val="right"/>
              <w:rPr>
                <w:sz w:val="18"/>
              </w:rPr>
            </w:pPr>
            <w:r w:rsidRPr="00E92104">
              <w:rPr>
                <w:sz w:val="18"/>
                <w:lang w:val="fr-FR"/>
              </w:rPr>
              <w:t xml:space="preserve">855,11 </w:t>
            </w:r>
          </w:p>
        </w:tc>
        <w:tc>
          <w:tcPr>
            <w:tcW w:w="1106" w:type="dxa"/>
            <w:shd w:val="clear" w:color="auto" w:fill="auto"/>
            <w:noWrap/>
            <w:vAlign w:val="bottom"/>
          </w:tcPr>
          <w:p w14:paraId="04A8FC59" w14:textId="77777777" w:rsidR="00560776" w:rsidRPr="00E92104" w:rsidRDefault="00560776" w:rsidP="00E92104">
            <w:pPr>
              <w:suppressAutoHyphens w:val="0"/>
              <w:spacing w:before="40" w:after="40" w:line="220" w:lineRule="exact"/>
              <w:jc w:val="right"/>
              <w:rPr>
                <w:sz w:val="18"/>
              </w:rPr>
            </w:pPr>
            <w:r w:rsidRPr="00E92104">
              <w:rPr>
                <w:sz w:val="18"/>
                <w:lang w:val="fr-FR"/>
              </w:rPr>
              <w:t xml:space="preserve">922,21 </w:t>
            </w:r>
          </w:p>
        </w:tc>
      </w:tr>
      <w:tr w:rsidR="00E92104" w:rsidRPr="00E92104" w14:paraId="099F3413" w14:textId="77777777" w:rsidTr="00065775">
        <w:tc>
          <w:tcPr>
            <w:tcW w:w="2127" w:type="dxa"/>
            <w:shd w:val="clear" w:color="auto" w:fill="auto"/>
          </w:tcPr>
          <w:p w14:paraId="3CF6774C" w14:textId="77777777" w:rsidR="00560776" w:rsidRPr="00E92104" w:rsidRDefault="00560776" w:rsidP="00E92104">
            <w:pPr>
              <w:suppressAutoHyphens w:val="0"/>
              <w:spacing w:before="40" w:after="40" w:line="220" w:lineRule="exact"/>
              <w:rPr>
                <w:sz w:val="18"/>
              </w:rPr>
            </w:pPr>
            <w:r w:rsidRPr="00E92104">
              <w:rPr>
                <w:sz w:val="18"/>
                <w:lang w:val="fr-FR"/>
              </w:rPr>
              <w:t>Dépenses de protection sociale</w:t>
            </w:r>
          </w:p>
        </w:tc>
        <w:tc>
          <w:tcPr>
            <w:tcW w:w="821" w:type="dxa"/>
            <w:shd w:val="clear" w:color="auto" w:fill="auto"/>
            <w:noWrap/>
            <w:vAlign w:val="bottom"/>
          </w:tcPr>
          <w:p w14:paraId="564B7BF8" w14:textId="77777777" w:rsidR="00560776" w:rsidRPr="00E92104" w:rsidRDefault="00560776" w:rsidP="00E92104">
            <w:pPr>
              <w:suppressAutoHyphens w:val="0"/>
              <w:spacing w:before="40" w:after="40" w:line="220" w:lineRule="exact"/>
              <w:jc w:val="right"/>
              <w:rPr>
                <w:sz w:val="18"/>
              </w:rPr>
            </w:pPr>
            <w:r w:rsidRPr="00E92104">
              <w:rPr>
                <w:sz w:val="18"/>
                <w:lang w:val="fr-FR"/>
              </w:rPr>
              <w:t>269,15</w:t>
            </w:r>
          </w:p>
        </w:tc>
        <w:tc>
          <w:tcPr>
            <w:tcW w:w="1105" w:type="dxa"/>
            <w:shd w:val="clear" w:color="auto" w:fill="auto"/>
            <w:noWrap/>
            <w:vAlign w:val="bottom"/>
          </w:tcPr>
          <w:p w14:paraId="28DFBF5F" w14:textId="77777777" w:rsidR="00560776" w:rsidRPr="00E92104" w:rsidRDefault="00560776" w:rsidP="00E92104">
            <w:pPr>
              <w:suppressAutoHyphens w:val="0"/>
              <w:spacing w:before="40" w:after="40" w:line="220" w:lineRule="exact"/>
              <w:jc w:val="right"/>
              <w:rPr>
                <w:sz w:val="18"/>
              </w:rPr>
            </w:pPr>
            <w:r w:rsidRPr="00E92104">
              <w:rPr>
                <w:sz w:val="18"/>
                <w:lang w:val="fr-FR"/>
              </w:rPr>
              <w:t>268,66</w:t>
            </w:r>
          </w:p>
        </w:tc>
        <w:tc>
          <w:tcPr>
            <w:tcW w:w="1106" w:type="dxa"/>
            <w:shd w:val="clear" w:color="auto" w:fill="auto"/>
            <w:noWrap/>
            <w:vAlign w:val="bottom"/>
          </w:tcPr>
          <w:p w14:paraId="2ABD7708" w14:textId="77777777" w:rsidR="00560776" w:rsidRPr="00E92104" w:rsidRDefault="00560776" w:rsidP="00E92104">
            <w:pPr>
              <w:suppressAutoHyphens w:val="0"/>
              <w:spacing w:before="40" w:after="40" w:line="220" w:lineRule="exact"/>
              <w:jc w:val="right"/>
              <w:rPr>
                <w:sz w:val="18"/>
              </w:rPr>
            </w:pPr>
            <w:r w:rsidRPr="00E92104">
              <w:rPr>
                <w:sz w:val="18"/>
                <w:lang w:val="fr-FR"/>
              </w:rPr>
              <w:t>275,87</w:t>
            </w:r>
          </w:p>
        </w:tc>
        <w:tc>
          <w:tcPr>
            <w:tcW w:w="1105" w:type="dxa"/>
            <w:shd w:val="clear" w:color="auto" w:fill="auto"/>
            <w:noWrap/>
            <w:vAlign w:val="bottom"/>
          </w:tcPr>
          <w:p w14:paraId="418C2760" w14:textId="77777777" w:rsidR="00560776" w:rsidRPr="00E92104" w:rsidRDefault="00560776" w:rsidP="00E92104">
            <w:pPr>
              <w:suppressAutoHyphens w:val="0"/>
              <w:spacing w:before="40" w:after="40" w:line="220" w:lineRule="exact"/>
              <w:jc w:val="right"/>
              <w:rPr>
                <w:sz w:val="18"/>
              </w:rPr>
            </w:pPr>
            <w:r w:rsidRPr="00E92104">
              <w:rPr>
                <w:sz w:val="18"/>
                <w:lang w:val="fr-FR"/>
              </w:rPr>
              <w:t>288,11</w:t>
            </w:r>
          </w:p>
        </w:tc>
        <w:tc>
          <w:tcPr>
            <w:tcW w:w="1106" w:type="dxa"/>
            <w:shd w:val="clear" w:color="auto" w:fill="auto"/>
            <w:noWrap/>
            <w:vAlign w:val="bottom"/>
          </w:tcPr>
          <w:p w14:paraId="38CF73EE" w14:textId="77777777" w:rsidR="00560776" w:rsidRPr="00E92104" w:rsidRDefault="00560776" w:rsidP="00E92104">
            <w:pPr>
              <w:suppressAutoHyphens w:val="0"/>
              <w:spacing w:before="40" w:after="40" w:line="220" w:lineRule="exact"/>
              <w:jc w:val="right"/>
              <w:rPr>
                <w:sz w:val="18"/>
              </w:rPr>
            </w:pPr>
            <w:r w:rsidRPr="00E92104">
              <w:rPr>
                <w:sz w:val="18"/>
                <w:lang w:val="fr-FR"/>
              </w:rPr>
              <w:t>304,60</w:t>
            </w:r>
          </w:p>
        </w:tc>
      </w:tr>
      <w:tr w:rsidR="00E92104" w:rsidRPr="00E92104" w14:paraId="62C2B78F" w14:textId="77777777" w:rsidTr="00065775">
        <w:tc>
          <w:tcPr>
            <w:tcW w:w="2127" w:type="dxa"/>
            <w:tcBorders>
              <w:bottom w:val="single" w:sz="12" w:space="0" w:color="auto"/>
            </w:tcBorders>
            <w:shd w:val="clear" w:color="auto" w:fill="auto"/>
          </w:tcPr>
          <w:p w14:paraId="3B9D82BC" w14:textId="77777777" w:rsidR="00560776" w:rsidRPr="00E92104" w:rsidRDefault="00560776" w:rsidP="00E92104">
            <w:pPr>
              <w:suppressAutoHyphens w:val="0"/>
              <w:spacing w:before="40" w:after="40" w:line="220" w:lineRule="exact"/>
              <w:rPr>
                <w:sz w:val="18"/>
              </w:rPr>
            </w:pPr>
            <w:r w:rsidRPr="00E92104">
              <w:rPr>
                <w:sz w:val="18"/>
                <w:lang w:val="fr-FR"/>
              </w:rPr>
              <w:t>Autres dépenses sociales</w:t>
            </w:r>
          </w:p>
        </w:tc>
        <w:tc>
          <w:tcPr>
            <w:tcW w:w="821" w:type="dxa"/>
            <w:tcBorders>
              <w:bottom w:val="single" w:sz="12" w:space="0" w:color="auto"/>
            </w:tcBorders>
            <w:shd w:val="clear" w:color="auto" w:fill="auto"/>
            <w:noWrap/>
            <w:vAlign w:val="bottom"/>
          </w:tcPr>
          <w:p w14:paraId="24AD4B3A" w14:textId="77777777" w:rsidR="00560776" w:rsidRPr="00E92104" w:rsidRDefault="00560776" w:rsidP="00E92104">
            <w:pPr>
              <w:suppressAutoHyphens w:val="0"/>
              <w:spacing w:before="40" w:after="40" w:line="220" w:lineRule="exact"/>
              <w:jc w:val="right"/>
              <w:rPr>
                <w:sz w:val="18"/>
              </w:rPr>
            </w:pPr>
            <w:r w:rsidRPr="00E92104">
              <w:rPr>
                <w:sz w:val="18"/>
                <w:lang w:val="fr-FR"/>
              </w:rPr>
              <w:t>94,77</w:t>
            </w:r>
          </w:p>
        </w:tc>
        <w:tc>
          <w:tcPr>
            <w:tcW w:w="1105" w:type="dxa"/>
            <w:tcBorders>
              <w:bottom w:val="single" w:sz="12" w:space="0" w:color="auto"/>
            </w:tcBorders>
            <w:shd w:val="clear" w:color="auto" w:fill="auto"/>
            <w:noWrap/>
            <w:vAlign w:val="bottom"/>
          </w:tcPr>
          <w:p w14:paraId="272BBD40" w14:textId="77777777" w:rsidR="00560776" w:rsidRPr="00E92104" w:rsidRDefault="00560776" w:rsidP="00E92104">
            <w:pPr>
              <w:suppressAutoHyphens w:val="0"/>
              <w:spacing w:before="40" w:after="40" w:line="220" w:lineRule="exact"/>
              <w:jc w:val="right"/>
              <w:rPr>
                <w:sz w:val="18"/>
              </w:rPr>
            </w:pPr>
            <w:r w:rsidRPr="00E92104">
              <w:rPr>
                <w:sz w:val="18"/>
                <w:lang w:val="fr-FR"/>
              </w:rPr>
              <w:t>111,07</w:t>
            </w:r>
          </w:p>
        </w:tc>
        <w:tc>
          <w:tcPr>
            <w:tcW w:w="1106" w:type="dxa"/>
            <w:tcBorders>
              <w:bottom w:val="single" w:sz="12" w:space="0" w:color="auto"/>
            </w:tcBorders>
            <w:shd w:val="clear" w:color="auto" w:fill="auto"/>
            <w:noWrap/>
            <w:vAlign w:val="bottom"/>
          </w:tcPr>
          <w:p w14:paraId="5407F72C" w14:textId="77777777" w:rsidR="00560776" w:rsidRPr="00E92104" w:rsidRDefault="00560776" w:rsidP="00E92104">
            <w:pPr>
              <w:suppressAutoHyphens w:val="0"/>
              <w:spacing w:before="40" w:after="40" w:line="220" w:lineRule="exact"/>
              <w:jc w:val="right"/>
              <w:rPr>
                <w:sz w:val="18"/>
              </w:rPr>
            </w:pPr>
            <w:r w:rsidRPr="00E92104">
              <w:rPr>
                <w:sz w:val="18"/>
                <w:lang w:val="fr-FR"/>
              </w:rPr>
              <w:t>144,51</w:t>
            </w:r>
          </w:p>
        </w:tc>
        <w:tc>
          <w:tcPr>
            <w:tcW w:w="1105" w:type="dxa"/>
            <w:tcBorders>
              <w:bottom w:val="single" w:sz="12" w:space="0" w:color="auto"/>
            </w:tcBorders>
            <w:shd w:val="clear" w:color="auto" w:fill="auto"/>
            <w:noWrap/>
            <w:vAlign w:val="bottom"/>
          </w:tcPr>
          <w:p w14:paraId="50A2324B" w14:textId="77777777" w:rsidR="00560776" w:rsidRPr="00E92104" w:rsidRDefault="00560776" w:rsidP="00E92104">
            <w:pPr>
              <w:suppressAutoHyphens w:val="0"/>
              <w:spacing w:before="40" w:after="40" w:line="220" w:lineRule="exact"/>
              <w:jc w:val="right"/>
              <w:rPr>
                <w:sz w:val="18"/>
              </w:rPr>
            </w:pPr>
            <w:r w:rsidRPr="00E92104">
              <w:rPr>
                <w:sz w:val="18"/>
                <w:lang w:val="fr-FR"/>
              </w:rPr>
              <w:t>106,55</w:t>
            </w:r>
          </w:p>
        </w:tc>
        <w:tc>
          <w:tcPr>
            <w:tcW w:w="1106" w:type="dxa"/>
            <w:tcBorders>
              <w:bottom w:val="single" w:sz="12" w:space="0" w:color="auto"/>
            </w:tcBorders>
            <w:shd w:val="clear" w:color="auto" w:fill="auto"/>
            <w:noWrap/>
            <w:vAlign w:val="bottom"/>
          </w:tcPr>
          <w:p w14:paraId="797042E1" w14:textId="77777777" w:rsidR="00560776" w:rsidRPr="00E92104" w:rsidRDefault="00560776" w:rsidP="00E92104">
            <w:pPr>
              <w:suppressAutoHyphens w:val="0"/>
              <w:spacing w:before="40" w:after="40" w:line="220" w:lineRule="exact"/>
              <w:jc w:val="right"/>
              <w:rPr>
                <w:sz w:val="18"/>
              </w:rPr>
            </w:pPr>
            <w:r w:rsidRPr="00E92104">
              <w:rPr>
                <w:sz w:val="18"/>
                <w:lang w:val="fr-FR"/>
              </w:rPr>
              <w:t>88,08</w:t>
            </w:r>
          </w:p>
        </w:tc>
      </w:tr>
    </w:tbl>
    <w:p w14:paraId="6308D2AC" w14:textId="30DACE5A" w:rsidR="00560776" w:rsidRPr="00E92104" w:rsidRDefault="00560776" w:rsidP="00E92104">
      <w:pPr>
        <w:pStyle w:val="SingleTxtG"/>
        <w:spacing w:before="120"/>
        <w:ind w:firstLine="170"/>
        <w:rPr>
          <w:sz w:val="18"/>
          <w:szCs w:val="18"/>
        </w:rPr>
      </w:pPr>
      <w:r w:rsidRPr="00E92104">
        <w:rPr>
          <w:i/>
          <w:iCs/>
          <w:sz w:val="18"/>
          <w:szCs w:val="18"/>
        </w:rPr>
        <w:t>Source</w:t>
      </w:r>
      <w:r w:rsidR="00A737F5">
        <w:rPr>
          <w:sz w:val="18"/>
          <w:szCs w:val="18"/>
        </w:rPr>
        <w:t> </w:t>
      </w:r>
      <w:r w:rsidRPr="00E92104">
        <w:rPr>
          <w:sz w:val="18"/>
          <w:szCs w:val="18"/>
        </w:rPr>
        <w:t>: Ministère des finances.</w:t>
      </w:r>
    </w:p>
    <w:p w14:paraId="6486F5A3" w14:textId="33544EEB" w:rsidR="00560776" w:rsidRPr="00C8158A" w:rsidRDefault="00560776" w:rsidP="00E916C8">
      <w:pPr>
        <w:pStyle w:val="SingleTxtG"/>
        <w:spacing w:before="240"/>
        <w:rPr>
          <w:lang w:val="fr-FR"/>
        </w:rPr>
      </w:pPr>
      <w:r>
        <w:rPr>
          <w:lang w:val="fr-FR"/>
        </w:rPr>
        <w:t>83.</w:t>
      </w:r>
      <w:r>
        <w:rPr>
          <w:lang w:val="fr-FR"/>
        </w:rPr>
        <w:tab/>
        <w:t>Précision</w:t>
      </w:r>
      <w:r w:rsidR="00065775">
        <w:rPr>
          <w:lang w:val="fr-FR"/>
        </w:rPr>
        <w:t> </w:t>
      </w:r>
      <w:r>
        <w:rPr>
          <w:lang w:val="fr-FR"/>
        </w:rPr>
        <w:t>: Pour calculer cet indicateur, la valeur absolue des dépenses sociales a été corrigée de l</w:t>
      </w:r>
      <w:r w:rsidR="009C7759">
        <w:rPr>
          <w:lang w:val="fr-FR"/>
        </w:rPr>
        <w:t>’</w:t>
      </w:r>
      <w:r>
        <w:rPr>
          <w:lang w:val="fr-FR"/>
        </w:rPr>
        <w:t>inflation comme cela avait été demandé à la question d) et comptabilisée en valeur de 2010.</w:t>
      </w:r>
    </w:p>
    <w:p w14:paraId="288A504C" w14:textId="08DA3804" w:rsidR="00560776" w:rsidRPr="00C8158A" w:rsidRDefault="00560776" w:rsidP="00560776">
      <w:pPr>
        <w:pStyle w:val="SingleTxtG"/>
        <w:rPr>
          <w:lang w:val="fr-FR"/>
        </w:rPr>
      </w:pPr>
      <w:r>
        <w:rPr>
          <w:lang w:val="fr-FR"/>
        </w:rPr>
        <w:t>84.</w:t>
      </w:r>
      <w:r>
        <w:rPr>
          <w:lang w:val="fr-FR"/>
        </w:rPr>
        <w:tab/>
        <w:t>La valeur absolue des dépenses sociales, corrigée de l</w:t>
      </w:r>
      <w:r w:rsidR="009C7759">
        <w:rPr>
          <w:lang w:val="fr-FR"/>
        </w:rPr>
        <w:t>’</w:t>
      </w:r>
      <w:r>
        <w:rPr>
          <w:lang w:val="fr-FR"/>
        </w:rPr>
        <w:t>inflation, a augmenté de 25</w:t>
      </w:r>
      <w:r w:rsidR="00A737F5">
        <w:rPr>
          <w:lang w:val="fr-FR"/>
        </w:rPr>
        <w:t> </w:t>
      </w:r>
      <w:r>
        <w:rPr>
          <w:lang w:val="fr-FR"/>
        </w:rPr>
        <w:t>% entre 2015 et 2019. Au cours de cette période, les dépenses sociales ont augmenté de 43</w:t>
      </w:r>
      <w:r w:rsidR="00A737F5">
        <w:rPr>
          <w:lang w:val="fr-FR"/>
        </w:rPr>
        <w:t> </w:t>
      </w:r>
      <w:r>
        <w:rPr>
          <w:lang w:val="fr-FR"/>
        </w:rPr>
        <w:t>% dans le secteur de l</w:t>
      </w:r>
      <w:r w:rsidR="009C7759">
        <w:rPr>
          <w:lang w:val="fr-FR"/>
        </w:rPr>
        <w:t>’</w:t>
      </w:r>
      <w:r>
        <w:rPr>
          <w:lang w:val="fr-FR"/>
        </w:rPr>
        <w:t>éducation, de 16</w:t>
      </w:r>
      <w:r w:rsidR="00A737F5">
        <w:rPr>
          <w:lang w:val="fr-FR"/>
        </w:rPr>
        <w:t> </w:t>
      </w:r>
      <w:r>
        <w:rPr>
          <w:lang w:val="fr-FR"/>
        </w:rPr>
        <w:t>% dans celui de la santé, de 23</w:t>
      </w:r>
      <w:r w:rsidR="00A737F5">
        <w:rPr>
          <w:lang w:val="fr-FR"/>
        </w:rPr>
        <w:t> </w:t>
      </w:r>
      <w:r>
        <w:rPr>
          <w:lang w:val="fr-FR"/>
        </w:rPr>
        <w:t>% dans celui de l</w:t>
      </w:r>
      <w:r w:rsidR="009C7759">
        <w:rPr>
          <w:lang w:val="fr-FR"/>
        </w:rPr>
        <w:t>’</w:t>
      </w:r>
      <w:r>
        <w:rPr>
          <w:lang w:val="fr-FR"/>
        </w:rPr>
        <w:t>assurance sociale et de 13</w:t>
      </w:r>
      <w:r w:rsidR="00A737F5">
        <w:rPr>
          <w:lang w:val="fr-FR"/>
        </w:rPr>
        <w:t> </w:t>
      </w:r>
      <w:r>
        <w:rPr>
          <w:lang w:val="fr-FR"/>
        </w:rPr>
        <w:t>% dans celui de la protection sociale.</w:t>
      </w:r>
    </w:p>
    <w:p w14:paraId="5D374488" w14:textId="56FDACBD" w:rsidR="00560776" w:rsidRPr="00C8158A" w:rsidRDefault="00560776" w:rsidP="00E92104">
      <w:pPr>
        <w:pStyle w:val="H1G"/>
        <w:rPr>
          <w:lang w:val="fr-FR"/>
        </w:rPr>
      </w:pPr>
      <w:r>
        <w:rPr>
          <w:lang w:val="fr-FR"/>
        </w:rPr>
        <w:tab/>
      </w:r>
      <w:r>
        <w:rPr>
          <w:lang w:val="fr-FR"/>
        </w:rPr>
        <w:tab/>
        <w:t>Paragraphe 8 de la liste de points</w:t>
      </w:r>
    </w:p>
    <w:p w14:paraId="2C4CF5D7" w14:textId="34B60377" w:rsidR="00560776" w:rsidRPr="00C8158A" w:rsidRDefault="00560776" w:rsidP="00560776">
      <w:pPr>
        <w:pStyle w:val="SingleTxtG"/>
        <w:rPr>
          <w:lang w:val="fr-FR"/>
        </w:rPr>
      </w:pPr>
      <w:r>
        <w:rPr>
          <w:lang w:val="fr-FR"/>
        </w:rPr>
        <w:t>85.</w:t>
      </w:r>
      <w:r>
        <w:rPr>
          <w:lang w:val="fr-FR"/>
        </w:rPr>
        <w:tab/>
        <w:t>Dans le cadre de la suite donnée aux recommandations que le Conseil des droits de l</w:t>
      </w:r>
      <w:r w:rsidR="009C7759">
        <w:rPr>
          <w:lang w:val="fr-FR"/>
        </w:rPr>
        <w:t>’</w:t>
      </w:r>
      <w:r>
        <w:rPr>
          <w:lang w:val="fr-FR"/>
        </w:rPr>
        <w:t>homme a faites en 2015 au terme de l</w:t>
      </w:r>
      <w:r w:rsidR="009C7759">
        <w:rPr>
          <w:lang w:val="fr-FR"/>
        </w:rPr>
        <w:t>’</w:t>
      </w:r>
      <w:r>
        <w:rPr>
          <w:lang w:val="fr-FR"/>
        </w:rPr>
        <w:t>examen du deuxième rapport national sur la situation des droits de l</w:t>
      </w:r>
      <w:r w:rsidR="009C7759">
        <w:rPr>
          <w:lang w:val="fr-FR"/>
        </w:rPr>
        <w:t>’</w:t>
      </w:r>
      <w:r>
        <w:rPr>
          <w:lang w:val="fr-FR"/>
        </w:rPr>
        <w:t>homme en Mongolie, le Gouvernement a mis en place en novembre 2018 un groupe de travail chargé d</w:t>
      </w:r>
      <w:r w:rsidR="009C7759">
        <w:rPr>
          <w:lang w:val="fr-FR"/>
        </w:rPr>
        <w:t>’</w:t>
      </w:r>
      <w:r>
        <w:rPr>
          <w:lang w:val="fr-FR"/>
        </w:rPr>
        <w:t>élaborer un plan d</w:t>
      </w:r>
      <w:r w:rsidR="009C7759">
        <w:rPr>
          <w:lang w:val="fr-FR"/>
        </w:rPr>
        <w:t>’</w:t>
      </w:r>
      <w:r>
        <w:rPr>
          <w:lang w:val="fr-FR"/>
        </w:rPr>
        <w:t>action national visant à mettre en pratique les Principes directeurs des Nations Unies relatifs aux entreprises et aux droits de l</w:t>
      </w:r>
      <w:r w:rsidR="009C7759">
        <w:rPr>
          <w:lang w:val="fr-FR"/>
        </w:rPr>
        <w:t>’</w:t>
      </w:r>
      <w:r>
        <w:rPr>
          <w:lang w:val="fr-FR"/>
        </w:rPr>
        <w:t>homme. Le</w:t>
      </w:r>
      <w:r w:rsidR="00065775">
        <w:rPr>
          <w:lang w:val="fr-FR"/>
        </w:rPr>
        <w:t> </w:t>
      </w:r>
      <w:r>
        <w:rPr>
          <w:lang w:val="fr-FR"/>
        </w:rPr>
        <w:t>groupe de travail a élaboré une feuille de route devant aboutir à la rédaction du plan d</w:t>
      </w:r>
      <w:r w:rsidR="009C7759">
        <w:rPr>
          <w:lang w:val="fr-FR"/>
        </w:rPr>
        <w:t>’</w:t>
      </w:r>
      <w:r>
        <w:rPr>
          <w:lang w:val="fr-FR"/>
        </w:rPr>
        <w:t>action et procède actuellement à une évaluation nationale initiale. L</w:t>
      </w:r>
      <w:r w:rsidR="009C7759">
        <w:rPr>
          <w:lang w:val="fr-FR"/>
        </w:rPr>
        <w:t>’</w:t>
      </w:r>
      <w:r>
        <w:rPr>
          <w:lang w:val="fr-FR"/>
        </w:rPr>
        <w:t>approbation du plan d</w:t>
      </w:r>
      <w:r w:rsidR="009C7759">
        <w:rPr>
          <w:lang w:val="fr-FR"/>
        </w:rPr>
        <w:t>’</w:t>
      </w:r>
      <w:r>
        <w:rPr>
          <w:lang w:val="fr-FR"/>
        </w:rPr>
        <w:t>action national contribuera pour beaucoup à améliorer le système national de protection des droits de l</w:t>
      </w:r>
      <w:r w:rsidR="009C7759">
        <w:rPr>
          <w:lang w:val="fr-FR"/>
        </w:rPr>
        <w:t>’</w:t>
      </w:r>
      <w:r>
        <w:rPr>
          <w:lang w:val="fr-FR"/>
        </w:rPr>
        <w:t>homme, à établir des normes en matière de droits de l</w:t>
      </w:r>
      <w:r w:rsidR="009C7759">
        <w:rPr>
          <w:lang w:val="fr-FR"/>
        </w:rPr>
        <w:t>’</w:t>
      </w:r>
      <w:r>
        <w:rPr>
          <w:lang w:val="fr-FR"/>
        </w:rPr>
        <w:t>homme, à renforcer la gouvernance des entreprises publiques et locales et à faire passer à un niveau supérieur le partenariat entre l</w:t>
      </w:r>
      <w:r w:rsidR="009C7759">
        <w:rPr>
          <w:lang w:val="fr-FR"/>
        </w:rPr>
        <w:t>’</w:t>
      </w:r>
      <w:r>
        <w:rPr>
          <w:lang w:val="fr-FR"/>
        </w:rPr>
        <w:t>État et le secteur privé. Cela donnera également une impulsion à la mise en œuvre des politiques de développement de la Mongolie, du programme d</w:t>
      </w:r>
      <w:r w:rsidR="009C7759">
        <w:rPr>
          <w:lang w:val="fr-FR"/>
        </w:rPr>
        <w:t>’</w:t>
      </w:r>
      <w:r>
        <w:rPr>
          <w:lang w:val="fr-FR"/>
        </w:rPr>
        <w:t>action du Gouvernement ainsi que du programme des droits de l</w:t>
      </w:r>
      <w:r w:rsidR="009C7759">
        <w:rPr>
          <w:lang w:val="fr-FR"/>
        </w:rPr>
        <w:t>’</w:t>
      </w:r>
      <w:r>
        <w:rPr>
          <w:lang w:val="fr-FR"/>
        </w:rPr>
        <w:t>homme et d</w:t>
      </w:r>
      <w:r w:rsidR="009C7759">
        <w:rPr>
          <w:lang w:val="fr-FR"/>
        </w:rPr>
        <w:t>’</w:t>
      </w:r>
      <w:r>
        <w:rPr>
          <w:lang w:val="fr-FR"/>
        </w:rPr>
        <w:t>autres dispositions législatives pertinentes, et contribuera à promouvoir une culture de respect des droits de l</w:t>
      </w:r>
      <w:r w:rsidR="009C7759">
        <w:rPr>
          <w:lang w:val="fr-FR"/>
        </w:rPr>
        <w:t>’</w:t>
      </w:r>
      <w:r>
        <w:rPr>
          <w:lang w:val="fr-FR"/>
        </w:rPr>
        <w:t>homme dans les entreprises.</w:t>
      </w:r>
    </w:p>
    <w:p w14:paraId="1F800A2E" w14:textId="39564899" w:rsidR="00560776" w:rsidRPr="00C8158A" w:rsidRDefault="00560776" w:rsidP="00560776">
      <w:pPr>
        <w:pStyle w:val="SingleTxtG"/>
        <w:rPr>
          <w:lang w:val="fr-FR"/>
        </w:rPr>
      </w:pPr>
      <w:r>
        <w:rPr>
          <w:lang w:val="fr-FR"/>
        </w:rPr>
        <w:t>86.</w:t>
      </w:r>
      <w:r>
        <w:rPr>
          <w:lang w:val="fr-FR"/>
        </w:rPr>
        <w:tab/>
        <w:t>La loi relative aux sociétés, la loi relative aux coopératives, la loi relative aux partenariats et d</w:t>
      </w:r>
      <w:r w:rsidR="009C7759">
        <w:rPr>
          <w:lang w:val="fr-FR"/>
        </w:rPr>
        <w:t>’</w:t>
      </w:r>
      <w:r>
        <w:rPr>
          <w:lang w:val="fr-FR"/>
        </w:rPr>
        <w:t>autres lois pertinentes définissent les droits et les devoirs liés à la création d</w:t>
      </w:r>
      <w:r w:rsidR="009C7759">
        <w:rPr>
          <w:lang w:val="fr-FR"/>
        </w:rPr>
        <w:t>’</w:t>
      </w:r>
      <w:r>
        <w:rPr>
          <w:lang w:val="fr-FR"/>
        </w:rPr>
        <w:t>une entité économique. Les lois globales sur les impôts et les assurances sociales ainsi que le Code du travail et d</w:t>
      </w:r>
      <w:r w:rsidR="009C7759">
        <w:rPr>
          <w:lang w:val="fr-FR"/>
        </w:rPr>
        <w:t>’</w:t>
      </w:r>
      <w:r>
        <w:rPr>
          <w:lang w:val="fr-FR"/>
        </w:rPr>
        <w:t>autres lois pertinentes régissent les obligations des entités économiques en matière de droits de l</w:t>
      </w:r>
      <w:r w:rsidR="009C7759">
        <w:rPr>
          <w:lang w:val="fr-FR"/>
        </w:rPr>
        <w:t>’</w:t>
      </w:r>
      <w:r>
        <w:rPr>
          <w:lang w:val="fr-FR"/>
        </w:rPr>
        <w:t>homme. Ces lois et autres actes juridiques prévoient que l</w:t>
      </w:r>
      <w:r w:rsidR="009C7759">
        <w:rPr>
          <w:lang w:val="fr-FR"/>
        </w:rPr>
        <w:t>’</w:t>
      </w:r>
      <w:r>
        <w:rPr>
          <w:lang w:val="fr-FR"/>
        </w:rPr>
        <w:t>Inspection du travail exerce un contrôle sur les activités des entités économiques et sur le respect des droits de l</w:t>
      </w:r>
      <w:r w:rsidR="009C7759">
        <w:rPr>
          <w:lang w:val="fr-FR"/>
        </w:rPr>
        <w:t>’</w:t>
      </w:r>
      <w:r>
        <w:rPr>
          <w:lang w:val="fr-FR"/>
        </w:rPr>
        <w:t>homme dans ce cadre. En vue de mieux encadrer les relations liées aux engagements pris en matière de droits de l</w:t>
      </w:r>
      <w:r w:rsidR="009C7759">
        <w:rPr>
          <w:lang w:val="fr-FR"/>
        </w:rPr>
        <w:t>’</w:t>
      </w:r>
      <w:r>
        <w:rPr>
          <w:lang w:val="fr-FR"/>
        </w:rPr>
        <w:t>homme dans le cadre des activités des entreprises et des entités économiques, il est prévu d</w:t>
      </w:r>
      <w:r w:rsidR="009C7759">
        <w:rPr>
          <w:lang w:val="fr-FR"/>
        </w:rPr>
        <w:t>’</w:t>
      </w:r>
      <w:r>
        <w:rPr>
          <w:lang w:val="fr-FR"/>
        </w:rPr>
        <w:t>améliorer la législation mongole jusqu</w:t>
      </w:r>
      <w:r w:rsidR="009C7759">
        <w:rPr>
          <w:lang w:val="fr-FR"/>
        </w:rPr>
        <w:t>’</w:t>
      </w:r>
      <w:r>
        <w:rPr>
          <w:lang w:val="fr-FR"/>
        </w:rPr>
        <w:t xml:space="preserve">en 2024 et, en particulier, de réviser la loi sur les entreprises et de rédiger des lois sur le consentement des clients et sur la réduction des dettes par des moyens </w:t>
      </w:r>
      <w:proofErr w:type="spellStart"/>
      <w:r>
        <w:rPr>
          <w:lang w:val="fr-FR"/>
        </w:rPr>
        <w:t>extrajudiciaires</w:t>
      </w:r>
      <w:proofErr w:type="spellEnd"/>
      <w:r>
        <w:rPr>
          <w:lang w:val="fr-FR"/>
        </w:rPr>
        <w:t xml:space="preserve">. </w:t>
      </w:r>
    </w:p>
    <w:p w14:paraId="0E134EB8" w14:textId="466FC29A" w:rsidR="00560776" w:rsidRPr="00C8158A" w:rsidRDefault="00560776" w:rsidP="00AC2B27">
      <w:pPr>
        <w:pStyle w:val="SingleTxtG"/>
        <w:keepNext/>
        <w:keepLines/>
        <w:rPr>
          <w:lang w:val="fr-FR"/>
        </w:rPr>
      </w:pPr>
      <w:r>
        <w:rPr>
          <w:lang w:val="fr-FR"/>
        </w:rPr>
        <w:lastRenderedPageBreak/>
        <w:t>87.</w:t>
      </w:r>
      <w:r>
        <w:rPr>
          <w:lang w:val="fr-FR"/>
        </w:rPr>
        <w:tab/>
        <w:t>Les activités des entités économiques font l</w:t>
      </w:r>
      <w:r w:rsidR="009C7759">
        <w:rPr>
          <w:lang w:val="fr-FR"/>
        </w:rPr>
        <w:t>’</w:t>
      </w:r>
      <w:r>
        <w:rPr>
          <w:lang w:val="fr-FR"/>
        </w:rPr>
        <w:t>objet d</w:t>
      </w:r>
      <w:r w:rsidR="009C7759">
        <w:rPr>
          <w:lang w:val="fr-FR"/>
        </w:rPr>
        <w:t>’</w:t>
      </w:r>
      <w:r>
        <w:rPr>
          <w:lang w:val="fr-FR"/>
        </w:rPr>
        <w:t>un contrôle et d</w:t>
      </w:r>
      <w:r w:rsidR="009C7759">
        <w:rPr>
          <w:lang w:val="fr-FR"/>
        </w:rPr>
        <w:t>’</w:t>
      </w:r>
      <w:r>
        <w:rPr>
          <w:lang w:val="fr-FR"/>
        </w:rPr>
        <w:t>une surveillance planifiés ainsi que d</w:t>
      </w:r>
      <w:r w:rsidR="009C7759">
        <w:rPr>
          <w:lang w:val="fr-FR"/>
        </w:rPr>
        <w:t>’</w:t>
      </w:r>
      <w:r>
        <w:rPr>
          <w:lang w:val="fr-FR"/>
        </w:rPr>
        <w:t>études. Pour éliminer toute violation, ces entités sont tenues d</w:t>
      </w:r>
      <w:r w:rsidR="009C7759">
        <w:rPr>
          <w:lang w:val="fr-FR"/>
        </w:rPr>
        <w:t>’</w:t>
      </w:r>
      <w:r>
        <w:rPr>
          <w:lang w:val="fr-FR"/>
        </w:rPr>
        <w:t>accomplir certaines tâches assorties d</w:t>
      </w:r>
      <w:r w:rsidR="009C7759">
        <w:rPr>
          <w:lang w:val="fr-FR"/>
        </w:rPr>
        <w:t>’</w:t>
      </w:r>
      <w:r>
        <w:rPr>
          <w:lang w:val="fr-FR"/>
        </w:rPr>
        <w:t xml:space="preserve">échéances et reçoivent des conseils, ou se voient imposer des obligations légales. </w:t>
      </w:r>
    </w:p>
    <w:p w14:paraId="15BFB1AD" w14:textId="2BDBFB6F" w:rsidR="00560776" w:rsidRPr="00C8158A" w:rsidRDefault="00560776" w:rsidP="00560776">
      <w:pPr>
        <w:pStyle w:val="SingleTxtG"/>
        <w:rPr>
          <w:lang w:val="fr-FR"/>
        </w:rPr>
      </w:pPr>
      <w:r>
        <w:rPr>
          <w:lang w:val="fr-FR"/>
        </w:rPr>
        <w:t>88.</w:t>
      </w:r>
      <w:r>
        <w:rPr>
          <w:lang w:val="fr-FR"/>
        </w:rPr>
        <w:tab/>
        <w:t>La Fédération des employeurs mongols, la Chambre nationale de commerce et d</w:t>
      </w:r>
      <w:r w:rsidR="009C7759">
        <w:rPr>
          <w:lang w:val="fr-FR"/>
        </w:rPr>
        <w:t>’</w:t>
      </w:r>
      <w:r>
        <w:rPr>
          <w:lang w:val="fr-FR"/>
        </w:rPr>
        <w:t>autres organisations aident les entités économiques à exercer leurs droits et à s</w:t>
      </w:r>
      <w:r w:rsidR="009C7759">
        <w:rPr>
          <w:lang w:val="fr-FR"/>
        </w:rPr>
        <w:t>’</w:t>
      </w:r>
      <w:r>
        <w:rPr>
          <w:lang w:val="fr-FR"/>
        </w:rPr>
        <w:t>acquitter de leurs devoirs, tandis que la Confédération des syndicats mongols et ses divisions aident les travailleurs à exercer leurs droits dans le cadre des activités des entités économiques. Le</w:t>
      </w:r>
      <w:r w:rsidR="00BD55C9">
        <w:rPr>
          <w:lang w:val="fr-FR"/>
        </w:rPr>
        <w:t> </w:t>
      </w:r>
      <w:r>
        <w:rPr>
          <w:lang w:val="fr-FR"/>
        </w:rPr>
        <w:t>mécanisme tripartite de consensus social, composé de l</w:t>
      </w:r>
      <w:r w:rsidR="009C7759">
        <w:rPr>
          <w:lang w:val="fr-FR"/>
        </w:rPr>
        <w:t>’</w:t>
      </w:r>
      <w:r>
        <w:rPr>
          <w:lang w:val="fr-FR"/>
        </w:rPr>
        <w:t xml:space="preserve">État, des employeurs et des travailleurs, fonctionne en Mongolie depuis 1990 et contribue au respect des droits et des devoirs des entités économiques et de leurs travailleurs. </w:t>
      </w:r>
    </w:p>
    <w:p w14:paraId="7610029A" w14:textId="5CD8B828" w:rsidR="00560776" w:rsidRPr="00C8158A" w:rsidRDefault="00560776" w:rsidP="00E92104">
      <w:pPr>
        <w:pStyle w:val="H1G"/>
        <w:rPr>
          <w:lang w:val="fr-FR"/>
        </w:rPr>
      </w:pPr>
      <w:r>
        <w:rPr>
          <w:lang w:val="fr-FR"/>
        </w:rPr>
        <w:tab/>
      </w:r>
      <w:r>
        <w:rPr>
          <w:lang w:val="fr-FR"/>
        </w:rPr>
        <w:tab/>
        <w:t>Paragraphe 9 de la liste de points</w:t>
      </w:r>
    </w:p>
    <w:p w14:paraId="5F40B618" w14:textId="730AE427" w:rsidR="00560776" w:rsidRPr="00C8158A" w:rsidRDefault="00560776" w:rsidP="00560776">
      <w:pPr>
        <w:pStyle w:val="SingleTxtG"/>
        <w:rPr>
          <w:lang w:val="fr-FR"/>
        </w:rPr>
      </w:pPr>
      <w:r>
        <w:rPr>
          <w:lang w:val="fr-FR"/>
        </w:rPr>
        <w:t>89.</w:t>
      </w:r>
      <w:r>
        <w:rPr>
          <w:lang w:val="fr-FR"/>
        </w:rPr>
        <w:tab/>
        <w:t>L</w:t>
      </w:r>
      <w:r w:rsidR="009C7759">
        <w:rPr>
          <w:lang w:val="fr-FR"/>
        </w:rPr>
        <w:t>’</w:t>
      </w:r>
      <w:r>
        <w:rPr>
          <w:lang w:val="fr-FR"/>
        </w:rPr>
        <w:t>environnement juridique et politique visant à garantir l</w:t>
      </w:r>
      <w:r w:rsidR="009C7759">
        <w:rPr>
          <w:lang w:val="fr-FR"/>
        </w:rPr>
        <w:t>’</w:t>
      </w:r>
      <w:r>
        <w:rPr>
          <w:lang w:val="fr-FR"/>
        </w:rPr>
        <w:t>égalité des sexes s</w:t>
      </w:r>
      <w:r w:rsidR="009C7759">
        <w:rPr>
          <w:lang w:val="fr-FR"/>
        </w:rPr>
        <w:t>’</w:t>
      </w:r>
      <w:r>
        <w:rPr>
          <w:lang w:val="fr-FR"/>
        </w:rPr>
        <w:t>est amélioré et le système national s</w:t>
      </w:r>
      <w:r w:rsidR="009C7759">
        <w:rPr>
          <w:lang w:val="fr-FR"/>
        </w:rPr>
        <w:t>’</w:t>
      </w:r>
      <w:r>
        <w:rPr>
          <w:lang w:val="fr-FR"/>
        </w:rPr>
        <w:t>est développé grâce aux efforts conjoints de l</w:t>
      </w:r>
      <w:r w:rsidR="009C7759">
        <w:rPr>
          <w:lang w:val="fr-FR"/>
        </w:rPr>
        <w:t>’</w:t>
      </w:r>
      <w:r>
        <w:rPr>
          <w:lang w:val="fr-FR"/>
        </w:rPr>
        <w:t>État, de la société civile et des organisations internationales partenaires. La loi relative à la promotion de l</w:t>
      </w:r>
      <w:r w:rsidR="009C7759">
        <w:rPr>
          <w:lang w:val="fr-FR"/>
        </w:rPr>
        <w:t>’</w:t>
      </w:r>
      <w:r>
        <w:rPr>
          <w:lang w:val="fr-FR"/>
        </w:rPr>
        <w:t>égalité des sexes a été adoptée en 2011. Dans le cadre de cette loi, la stratégie à moyen terme du Gouvernement (2013-2015) et les programmes nationaux de promotion de l</w:t>
      </w:r>
      <w:r w:rsidR="009C7759">
        <w:rPr>
          <w:lang w:val="fr-FR"/>
        </w:rPr>
        <w:t>’</w:t>
      </w:r>
      <w:r>
        <w:rPr>
          <w:lang w:val="fr-FR"/>
        </w:rPr>
        <w:t xml:space="preserve">égalité des sexes pour 2002-2015 et 2017-2021 ont été approuvés. </w:t>
      </w:r>
      <w:bookmarkStart w:id="3" w:name="_Hlk55551270"/>
      <w:bookmarkEnd w:id="3"/>
    </w:p>
    <w:p w14:paraId="5096A324" w14:textId="794E0949" w:rsidR="00560776" w:rsidRPr="00C8158A" w:rsidRDefault="00560776" w:rsidP="00560776">
      <w:pPr>
        <w:pStyle w:val="SingleTxtG"/>
        <w:rPr>
          <w:lang w:val="fr-FR"/>
        </w:rPr>
      </w:pPr>
      <w:r>
        <w:rPr>
          <w:lang w:val="fr-FR"/>
        </w:rPr>
        <w:t>90.</w:t>
      </w:r>
      <w:r>
        <w:rPr>
          <w:lang w:val="fr-FR"/>
        </w:rPr>
        <w:tab/>
        <w:t>Au cours de cette période, la planification de la politique de la Mongolie en faveur de l</w:t>
      </w:r>
      <w:r w:rsidR="009C7759">
        <w:rPr>
          <w:lang w:val="fr-FR"/>
        </w:rPr>
        <w:t>’</w:t>
      </w:r>
      <w:r>
        <w:rPr>
          <w:lang w:val="fr-FR"/>
        </w:rPr>
        <w:t>égalité des sexes est passée d</w:t>
      </w:r>
      <w:r w:rsidR="009C7759">
        <w:rPr>
          <w:lang w:val="fr-FR"/>
        </w:rPr>
        <w:t>’</w:t>
      </w:r>
      <w:r>
        <w:rPr>
          <w:lang w:val="fr-FR"/>
        </w:rPr>
        <w:t>une approche axée sur les femmes et le développement, qui était pertinente pendant la période de transition durant laquelle les femmes faisaient face à de nombreux problèmes urgents, à une approche axée sur le genre et le développement, qui vise à assurer l</w:t>
      </w:r>
      <w:r w:rsidR="009C7759">
        <w:rPr>
          <w:lang w:val="fr-FR"/>
        </w:rPr>
        <w:t>’</w:t>
      </w:r>
      <w:r>
        <w:rPr>
          <w:lang w:val="fr-FR"/>
        </w:rPr>
        <w:t>égalité des chances et des choix pour les femmes, les hommes et les groupes sociaux et est adaptée aux particularités de la société mongole et aux besoins actuels en matière de développement. Aujourd</w:t>
      </w:r>
      <w:r w:rsidR="009C7759">
        <w:rPr>
          <w:lang w:val="fr-FR"/>
        </w:rPr>
        <w:t>’</w:t>
      </w:r>
      <w:r>
        <w:rPr>
          <w:lang w:val="fr-FR"/>
        </w:rPr>
        <w:t>hui, la Commission nationale pour l</w:t>
      </w:r>
      <w:r w:rsidR="009C7759">
        <w:rPr>
          <w:lang w:val="fr-FR"/>
        </w:rPr>
        <w:t>’</w:t>
      </w:r>
      <w:r>
        <w:rPr>
          <w:lang w:val="fr-FR"/>
        </w:rPr>
        <w:t>égalité des sexes, dirigée par le Premier Ministre mongol, mène des activités régulières et dispose de conseils établis au sein des organisations centrales administratives de l</w:t>
      </w:r>
      <w:r w:rsidR="009C7759">
        <w:rPr>
          <w:lang w:val="fr-FR"/>
        </w:rPr>
        <w:t>’</w:t>
      </w:r>
      <w:r>
        <w:rPr>
          <w:lang w:val="fr-FR"/>
        </w:rPr>
        <w:t>État et de comités mis en place dans les aïmags, composés d</w:t>
      </w:r>
      <w:r w:rsidR="009C7759">
        <w:rPr>
          <w:lang w:val="fr-FR"/>
        </w:rPr>
        <w:t>’</w:t>
      </w:r>
      <w:r>
        <w:rPr>
          <w:lang w:val="fr-FR"/>
        </w:rPr>
        <w:t>experts chargés des questions relatives au genre. Ces structures contribuent pour beaucoup à formuler des politiques en faveur de l</w:t>
      </w:r>
      <w:r w:rsidR="009C7759">
        <w:rPr>
          <w:lang w:val="fr-FR"/>
        </w:rPr>
        <w:t>’</w:t>
      </w:r>
      <w:r>
        <w:rPr>
          <w:lang w:val="fr-FR"/>
        </w:rPr>
        <w:t>égalité des sexes qui sont adaptées aux besoins sectoriels et locaux.</w:t>
      </w:r>
    </w:p>
    <w:p w14:paraId="3DFD6F8C" w14:textId="174AD65F" w:rsidR="00560776" w:rsidRPr="00C8158A" w:rsidRDefault="00560776" w:rsidP="00560776">
      <w:pPr>
        <w:pStyle w:val="SingleTxtG"/>
        <w:rPr>
          <w:lang w:val="fr-FR"/>
        </w:rPr>
      </w:pPr>
      <w:r>
        <w:rPr>
          <w:lang w:val="fr-FR"/>
        </w:rPr>
        <w:t>91.</w:t>
      </w:r>
      <w:r>
        <w:rPr>
          <w:lang w:val="fr-FR"/>
        </w:rPr>
        <w:tab/>
        <w:t>La promulgation de la loi relative à la promotion de l</w:t>
      </w:r>
      <w:r w:rsidR="009C7759">
        <w:rPr>
          <w:lang w:val="fr-FR"/>
        </w:rPr>
        <w:t>’</w:t>
      </w:r>
      <w:r>
        <w:rPr>
          <w:lang w:val="fr-FR"/>
        </w:rPr>
        <w:t>égalité des sexes a permis d</w:t>
      </w:r>
      <w:r w:rsidR="009C7759">
        <w:rPr>
          <w:lang w:val="fr-FR"/>
        </w:rPr>
        <w:t>’</w:t>
      </w:r>
      <w:r>
        <w:rPr>
          <w:lang w:val="fr-FR"/>
        </w:rPr>
        <w:t>intégrer les questions de genre dans le domaine d</w:t>
      </w:r>
      <w:r w:rsidR="009C7759">
        <w:rPr>
          <w:lang w:val="fr-FR"/>
        </w:rPr>
        <w:t>’</w:t>
      </w:r>
      <w:r>
        <w:rPr>
          <w:lang w:val="fr-FR"/>
        </w:rPr>
        <w:t>action de la Commission nationale des droits de l</w:t>
      </w:r>
      <w:r w:rsidR="009C7759">
        <w:rPr>
          <w:lang w:val="fr-FR"/>
        </w:rPr>
        <w:t>’</w:t>
      </w:r>
      <w:r>
        <w:rPr>
          <w:lang w:val="fr-FR"/>
        </w:rPr>
        <w:t xml:space="preserve">homme, ainsi que dans ceux du Grand </w:t>
      </w:r>
      <w:proofErr w:type="spellStart"/>
      <w:r>
        <w:rPr>
          <w:lang w:val="fr-FR"/>
        </w:rPr>
        <w:t>Khoural</w:t>
      </w:r>
      <w:proofErr w:type="spellEnd"/>
      <w:r>
        <w:rPr>
          <w:lang w:val="fr-FR"/>
        </w:rPr>
        <w:t xml:space="preserve"> d</w:t>
      </w:r>
      <w:r w:rsidR="009C7759">
        <w:rPr>
          <w:lang w:val="fr-FR"/>
        </w:rPr>
        <w:t>’</w:t>
      </w:r>
      <w:r>
        <w:rPr>
          <w:lang w:val="fr-FR"/>
        </w:rPr>
        <w:t>État, du Conseil de la fonction publique et de l</w:t>
      </w:r>
      <w:r w:rsidR="009C7759">
        <w:rPr>
          <w:lang w:val="fr-FR"/>
        </w:rPr>
        <w:t>’</w:t>
      </w:r>
      <w:r>
        <w:rPr>
          <w:lang w:val="fr-FR"/>
        </w:rPr>
        <w:t>organisme national de statistiques, ce qui a conduit à la publication de travaux de recherche et de rapports thématiques sur le genre et à la collecte de données tenant compte de cette dimension. Les informations sur les inégalités entre les sexes et la violence fondées sur le genre, y compris la violence domestique, sont désormais accessibles au public. Malgré les difficultés économiques que connaît le pays, le budget accordé à la réalisation des politiques en faveur de l</w:t>
      </w:r>
      <w:r w:rsidR="009C7759">
        <w:rPr>
          <w:lang w:val="fr-FR"/>
        </w:rPr>
        <w:t>’</w:t>
      </w:r>
      <w:r>
        <w:rPr>
          <w:lang w:val="fr-FR"/>
        </w:rPr>
        <w:t>égalité des sexes continue d</w:t>
      </w:r>
      <w:r w:rsidR="009C7759">
        <w:rPr>
          <w:lang w:val="fr-FR"/>
        </w:rPr>
        <w:t>’</w:t>
      </w:r>
      <w:r>
        <w:rPr>
          <w:lang w:val="fr-FR"/>
        </w:rPr>
        <w:t xml:space="preserve">augmenter. </w:t>
      </w:r>
    </w:p>
    <w:p w14:paraId="3EAD3509" w14:textId="6FA9C8A1" w:rsidR="00560776" w:rsidRPr="00C8158A" w:rsidRDefault="00560776" w:rsidP="00560776">
      <w:pPr>
        <w:pStyle w:val="SingleTxtG"/>
        <w:rPr>
          <w:lang w:val="fr-FR"/>
        </w:rPr>
      </w:pPr>
      <w:r>
        <w:rPr>
          <w:lang w:val="fr-FR"/>
        </w:rPr>
        <w:t>92.</w:t>
      </w:r>
      <w:r>
        <w:rPr>
          <w:lang w:val="fr-FR"/>
        </w:rPr>
        <w:tab/>
        <w:t>Les organisations de la société civile qui œuvrent en faveur des droits de l</w:t>
      </w:r>
      <w:r w:rsidR="009C7759">
        <w:rPr>
          <w:lang w:val="fr-FR"/>
        </w:rPr>
        <w:t>’</w:t>
      </w:r>
      <w:r>
        <w:rPr>
          <w:lang w:val="fr-FR"/>
        </w:rPr>
        <w:t>homme et de la justice de genre, en particulier les mouvements de femmes, prennent de l</w:t>
      </w:r>
      <w:r w:rsidR="009C7759">
        <w:rPr>
          <w:lang w:val="fr-FR"/>
        </w:rPr>
        <w:t>’</w:t>
      </w:r>
      <w:r>
        <w:rPr>
          <w:lang w:val="fr-FR"/>
        </w:rPr>
        <w:t>ampleur et contribuent de façon décisive à la lutte contre la violence à l</w:t>
      </w:r>
      <w:r w:rsidR="009C7759">
        <w:rPr>
          <w:lang w:val="fr-FR"/>
        </w:rPr>
        <w:t>’</w:t>
      </w:r>
      <w:r>
        <w:rPr>
          <w:lang w:val="fr-FR"/>
        </w:rPr>
        <w:t>égard des femmes, y compris la violence domestique, et la traite des êtres humains, ainsi qu</w:t>
      </w:r>
      <w:r w:rsidR="009C7759">
        <w:rPr>
          <w:lang w:val="fr-FR"/>
        </w:rPr>
        <w:t>’</w:t>
      </w:r>
      <w:r>
        <w:rPr>
          <w:lang w:val="fr-FR"/>
        </w:rPr>
        <w:t xml:space="preserve">à la participation des femmes aux décisions politiques. </w:t>
      </w:r>
    </w:p>
    <w:p w14:paraId="15D878AF" w14:textId="5B92904C" w:rsidR="00560776" w:rsidRPr="00C8158A" w:rsidRDefault="00560776" w:rsidP="00E92104">
      <w:pPr>
        <w:pStyle w:val="H1G"/>
        <w:rPr>
          <w:lang w:val="fr-FR"/>
        </w:rPr>
      </w:pPr>
      <w:r>
        <w:rPr>
          <w:lang w:val="fr-FR"/>
        </w:rPr>
        <w:tab/>
      </w:r>
      <w:r>
        <w:rPr>
          <w:lang w:val="fr-FR"/>
        </w:rPr>
        <w:tab/>
        <w:t>Paragraphe 9 a) de la liste de points</w:t>
      </w:r>
    </w:p>
    <w:p w14:paraId="2C9A7FF5" w14:textId="2819731D" w:rsidR="00560776" w:rsidRPr="00C8158A" w:rsidRDefault="00560776" w:rsidP="00560776">
      <w:pPr>
        <w:pStyle w:val="SingleTxtG"/>
        <w:rPr>
          <w:lang w:val="fr-FR"/>
        </w:rPr>
      </w:pPr>
      <w:r>
        <w:rPr>
          <w:lang w:val="fr-FR"/>
        </w:rPr>
        <w:t>93.</w:t>
      </w:r>
      <w:r>
        <w:rPr>
          <w:lang w:val="fr-FR"/>
        </w:rPr>
        <w:tab/>
        <w:t>La Constitution mongole, le Code du travail et la loi relative à l</w:t>
      </w:r>
      <w:r w:rsidR="009C7759">
        <w:rPr>
          <w:lang w:val="fr-FR"/>
        </w:rPr>
        <w:t>’</w:t>
      </w:r>
      <w:r>
        <w:rPr>
          <w:lang w:val="fr-FR"/>
        </w:rPr>
        <w:t>aide à l</w:t>
      </w:r>
      <w:r w:rsidR="009C7759">
        <w:rPr>
          <w:lang w:val="fr-FR"/>
        </w:rPr>
        <w:t>’</w:t>
      </w:r>
      <w:r>
        <w:rPr>
          <w:lang w:val="fr-FR"/>
        </w:rPr>
        <w:t>emploi interdisent toute discrimination, ségrégation ou traitement préférentiel dans les relations employés-employeur fondé sur la race, l</w:t>
      </w:r>
      <w:r w:rsidR="009C7759">
        <w:rPr>
          <w:lang w:val="fr-FR"/>
        </w:rPr>
        <w:t>’</w:t>
      </w:r>
      <w:r>
        <w:rPr>
          <w:lang w:val="fr-FR"/>
        </w:rPr>
        <w:t>origine, la couleur de peau, l</w:t>
      </w:r>
      <w:r w:rsidR="009C7759">
        <w:rPr>
          <w:lang w:val="fr-FR"/>
        </w:rPr>
        <w:t>’</w:t>
      </w:r>
      <w:r>
        <w:rPr>
          <w:lang w:val="fr-FR"/>
        </w:rPr>
        <w:t>âge, le sexe, le statut social, la propriété, l</w:t>
      </w:r>
      <w:r w:rsidR="009C7759">
        <w:rPr>
          <w:lang w:val="fr-FR"/>
        </w:rPr>
        <w:t>’</w:t>
      </w:r>
      <w:r>
        <w:rPr>
          <w:lang w:val="fr-FR"/>
        </w:rPr>
        <w:t>emploi, la position, l</w:t>
      </w:r>
      <w:r w:rsidR="009C7759">
        <w:rPr>
          <w:lang w:val="fr-FR"/>
        </w:rPr>
        <w:t>’</w:t>
      </w:r>
      <w:r>
        <w:rPr>
          <w:lang w:val="fr-FR"/>
        </w:rPr>
        <w:t>éducation, la religion et les convictions. La loi relative à l</w:t>
      </w:r>
      <w:r w:rsidR="009C7759">
        <w:rPr>
          <w:lang w:val="fr-FR"/>
        </w:rPr>
        <w:t>’</w:t>
      </w:r>
      <w:r>
        <w:rPr>
          <w:lang w:val="fr-FR"/>
        </w:rPr>
        <w:t>aide à l</w:t>
      </w:r>
      <w:r w:rsidR="009C7759">
        <w:rPr>
          <w:lang w:val="fr-FR"/>
        </w:rPr>
        <w:t>’</w:t>
      </w:r>
      <w:r>
        <w:rPr>
          <w:lang w:val="fr-FR"/>
        </w:rPr>
        <w:t>emploi dispose que les citoyens ne peuvent occuper un emploi que de leur plein gré. Par conséquent, lors de la formulation et de l</w:t>
      </w:r>
      <w:r w:rsidR="009C7759">
        <w:rPr>
          <w:lang w:val="fr-FR"/>
        </w:rPr>
        <w:t>’</w:t>
      </w:r>
      <w:r>
        <w:rPr>
          <w:lang w:val="fr-FR"/>
        </w:rPr>
        <w:t>exécution de politiques et d</w:t>
      </w:r>
      <w:r w:rsidR="009C7759">
        <w:rPr>
          <w:lang w:val="fr-FR"/>
        </w:rPr>
        <w:t>’</w:t>
      </w:r>
      <w:r>
        <w:rPr>
          <w:lang w:val="fr-FR"/>
        </w:rPr>
        <w:t xml:space="preserve">activités </w:t>
      </w:r>
      <w:r>
        <w:rPr>
          <w:lang w:val="fr-FR"/>
        </w:rPr>
        <w:lastRenderedPageBreak/>
        <w:t>en faveur de l</w:t>
      </w:r>
      <w:r w:rsidR="009C7759">
        <w:rPr>
          <w:lang w:val="fr-FR"/>
        </w:rPr>
        <w:t>’</w:t>
      </w:r>
      <w:r>
        <w:rPr>
          <w:lang w:val="fr-FR"/>
        </w:rPr>
        <w:t>emploi, le Gouvernement défend le principe selon lequel les perspectives d</w:t>
      </w:r>
      <w:r w:rsidR="009C7759">
        <w:rPr>
          <w:lang w:val="fr-FR"/>
        </w:rPr>
        <w:t>’</w:t>
      </w:r>
      <w:r>
        <w:rPr>
          <w:lang w:val="fr-FR"/>
        </w:rPr>
        <w:t>emploi sont accessibles à toute personne, indépendamment de son sexe.</w:t>
      </w:r>
    </w:p>
    <w:p w14:paraId="3E2B9E30" w14:textId="51290ECB" w:rsidR="00560776" w:rsidRPr="00C8158A" w:rsidRDefault="00560776" w:rsidP="00560776">
      <w:pPr>
        <w:pStyle w:val="SingleTxtG"/>
        <w:rPr>
          <w:lang w:val="fr-FR"/>
        </w:rPr>
      </w:pPr>
      <w:r>
        <w:rPr>
          <w:lang w:val="fr-FR"/>
        </w:rPr>
        <w:t>94.</w:t>
      </w:r>
      <w:r>
        <w:rPr>
          <w:lang w:val="fr-FR"/>
        </w:rPr>
        <w:tab/>
        <w:t>Les activités menées en faveur de l</w:t>
      </w:r>
      <w:r w:rsidR="009C7759">
        <w:rPr>
          <w:lang w:val="fr-FR"/>
        </w:rPr>
        <w:t>’</w:t>
      </w:r>
      <w:r>
        <w:rPr>
          <w:lang w:val="fr-FR"/>
        </w:rPr>
        <w:t>aide à l</w:t>
      </w:r>
      <w:r w:rsidR="009C7759">
        <w:rPr>
          <w:lang w:val="fr-FR"/>
        </w:rPr>
        <w:t>’</w:t>
      </w:r>
      <w:r>
        <w:rPr>
          <w:lang w:val="fr-FR"/>
        </w:rPr>
        <w:t>emploi sont conformes à la législation et aux documents d</w:t>
      </w:r>
      <w:r w:rsidR="009C7759">
        <w:rPr>
          <w:lang w:val="fr-FR"/>
        </w:rPr>
        <w:t>’</w:t>
      </w:r>
      <w:r>
        <w:rPr>
          <w:lang w:val="fr-FR"/>
        </w:rPr>
        <w:t xml:space="preserve">orientation générale pertinents. </w:t>
      </w:r>
    </w:p>
    <w:p w14:paraId="2A607C84" w14:textId="4FF7B5F1" w:rsidR="00560776" w:rsidRPr="00C8158A" w:rsidRDefault="00560776" w:rsidP="00560776">
      <w:pPr>
        <w:pStyle w:val="SingleTxtG"/>
        <w:rPr>
          <w:lang w:val="fr-FR"/>
        </w:rPr>
      </w:pPr>
      <w:r>
        <w:rPr>
          <w:lang w:val="fr-FR"/>
        </w:rPr>
        <w:t>95.</w:t>
      </w:r>
      <w:r>
        <w:rPr>
          <w:lang w:val="fr-FR"/>
        </w:rPr>
        <w:tab/>
        <w:t>Le programme national de lutte contre le chômage et la pauvreté a été approuvé par la résolution gouvernementale n</w:t>
      </w:r>
      <w:r w:rsidR="00717B69" w:rsidRPr="00717B69">
        <w:rPr>
          <w:vertAlign w:val="superscript"/>
          <w:lang w:val="fr-FR"/>
        </w:rPr>
        <w:t>o</w:t>
      </w:r>
      <w:r w:rsidR="00717B69">
        <w:rPr>
          <w:lang w:val="fr-FR"/>
        </w:rPr>
        <w:t> </w:t>
      </w:r>
      <w:r>
        <w:rPr>
          <w:lang w:val="fr-FR"/>
        </w:rPr>
        <w:t>159 de 2019. La réalisation du programme permet d</w:t>
      </w:r>
      <w:r w:rsidR="009C7759">
        <w:rPr>
          <w:lang w:val="fr-FR"/>
        </w:rPr>
        <w:t>’</w:t>
      </w:r>
      <w:r>
        <w:rPr>
          <w:lang w:val="fr-FR"/>
        </w:rPr>
        <w:t>étendre les activités intersectorielles visant à réduire le chômage et la pauvreté au niveau national et à augmenter le nombre de lieux de travail dans les provinces.</w:t>
      </w:r>
    </w:p>
    <w:p w14:paraId="5295AF11" w14:textId="77D86D09" w:rsidR="00560776" w:rsidRPr="00C8158A" w:rsidRDefault="00560776" w:rsidP="00560776">
      <w:pPr>
        <w:pStyle w:val="SingleTxtG"/>
        <w:rPr>
          <w:lang w:val="fr-FR"/>
        </w:rPr>
      </w:pPr>
      <w:r>
        <w:rPr>
          <w:lang w:val="fr-FR"/>
        </w:rPr>
        <w:t>96.</w:t>
      </w:r>
      <w:r>
        <w:rPr>
          <w:lang w:val="fr-FR"/>
        </w:rPr>
        <w:tab/>
        <w:t>Il est prévu de mener en 2020 et en 2021 une analyse de la situation des jeunes éleveuses et éleveurs pour favoriser l</w:t>
      </w:r>
      <w:r w:rsidR="009C7759">
        <w:rPr>
          <w:lang w:val="fr-FR"/>
        </w:rPr>
        <w:t>’</w:t>
      </w:r>
      <w:r>
        <w:rPr>
          <w:lang w:val="fr-FR"/>
        </w:rPr>
        <w:t>emploi des femmes. Les femmes représentent 56,3</w:t>
      </w:r>
      <w:r w:rsidR="00717B69">
        <w:rPr>
          <w:lang w:val="fr-FR"/>
        </w:rPr>
        <w:t> </w:t>
      </w:r>
      <w:r>
        <w:rPr>
          <w:lang w:val="fr-FR"/>
        </w:rPr>
        <w:t>% des bénéficiaires du programme d</w:t>
      </w:r>
      <w:r w:rsidR="009C7759">
        <w:rPr>
          <w:lang w:val="fr-FR"/>
        </w:rPr>
        <w:t>’</w:t>
      </w:r>
      <w:r>
        <w:rPr>
          <w:lang w:val="fr-FR"/>
        </w:rPr>
        <w:t>aide à l</w:t>
      </w:r>
      <w:r w:rsidR="009C7759">
        <w:rPr>
          <w:lang w:val="fr-FR"/>
        </w:rPr>
        <w:t>’</w:t>
      </w:r>
      <w:r>
        <w:rPr>
          <w:lang w:val="fr-FR"/>
        </w:rPr>
        <w:t>emploi.</w:t>
      </w:r>
    </w:p>
    <w:p w14:paraId="5369F438" w14:textId="4390D59E" w:rsidR="00560776" w:rsidRPr="00C8158A" w:rsidRDefault="00560776" w:rsidP="00560776">
      <w:pPr>
        <w:pStyle w:val="SingleTxtG"/>
        <w:rPr>
          <w:lang w:val="fr-FR"/>
        </w:rPr>
      </w:pPr>
      <w:r>
        <w:rPr>
          <w:lang w:val="fr-FR"/>
        </w:rPr>
        <w:t>97.</w:t>
      </w:r>
      <w:r>
        <w:rPr>
          <w:lang w:val="fr-FR"/>
        </w:rPr>
        <w:tab/>
        <w:t>La disposition relative à l</w:t>
      </w:r>
      <w:r w:rsidR="009C7759">
        <w:rPr>
          <w:lang w:val="fr-FR"/>
        </w:rPr>
        <w:t>’</w:t>
      </w:r>
      <w:r>
        <w:rPr>
          <w:lang w:val="fr-FR"/>
        </w:rPr>
        <w:t>approbation d</w:t>
      </w:r>
      <w:r w:rsidR="009C7759">
        <w:rPr>
          <w:lang w:val="fr-FR"/>
        </w:rPr>
        <w:t>’</w:t>
      </w:r>
      <w:r>
        <w:rPr>
          <w:lang w:val="fr-FR"/>
        </w:rPr>
        <w:t>une liste d</w:t>
      </w:r>
      <w:r w:rsidR="009C7759">
        <w:rPr>
          <w:lang w:val="fr-FR"/>
        </w:rPr>
        <w:t>’</w:t>
      </w:r>
      <w:r>
        <w:rPr>
          <w:lang w:val="fr-FR"/>
        </w:rPr>
        <w:t>emplois interdits aux femmes a été retirée du projet révisé de code du travail. Cela permettra aux femmes d</w:t>
      </w:r>
      <w:r w:rsidR="009C7759">
        <w:rPr>
          <w:lang w:val="fr-FR"/>
        </w:rPr>
        <w:t>’</w:t>
      </w:r>
      <w:r>
        <w:rPr>
          <w:lang w:val="fr-FR"/>
        </w:rPr>
        <w:t>occuper un emploi dans n</w:t>
      </w:r>
      <w:r w:rsidR="009C7759">
        <w:rPr>
          <w:lang w:val="fr-FR"/>
        </w:rPr>
        <w:t>’</w:t>
      </w:r>
      <w:r>
        <w:rPr>
          <w:lang w:val="fr-FR"/>
        </w:rPr>
        <w:t xml:space="preserve">importe quel lieu de travail de leur choix, sans aucune restriction. </w:t>
      </w:r>
    </w:p>
    <w:p w14:paraId="22CAE867" w14:textId="2B42449F" w:rsidR="00560776" w:rsidRPr="00C8158A" w:rsidRDefault="00560776" w:rsidP="00560776">
      <w:pPr>
        <w:pStyle w:val="SingleTxtG"/>
        <w:rPr>
          <w:lang w:val="fr-FR"/>
        </w:rPr>
      </w:pPr>
      <w:r>
        <w:rPr>
          <w:lang w:val="fr-FR"/>
        </w:rPr>
        <w:t>98.</w:t>
      </w:r>
      <w:r>
        <w:rPr>
          <w:lang w:val="fr-FR"/>
        </w:rPr>
        <w:tab/>
        <w:t>L</w:t>
      </w:r>
      <w:r w:rsidR="009C7759">
        <w:rPr>
          <w:lang w:val="fr-FR"/>
        </w:rPr>
        <w:t>’</w:t>
      </w:r>
      <w:r>
        <w:rPr>
          <w:lang w:val="fr-FR"/>
        </w:rPr>
        <w:t>État apporte un appui aux femmes qui travaillent dans le secteur économique et commercial par l</w:t>
      </w:r>
      <w:r w:rsidR="009C7759">
        <w:rPr>
          <w:lang w:val="fr-FR"/>
        </w:rPr>
        <w:t>’</w:t>
      </w:r>
      <w:r>
        <w:rPr>
          <w:lang w:val="fr-FR"/>
        </w:rPr>
        <w:t>intermédiaire du Fonds pour les petites et moyennes entreprises. En 2019, 2</w:t>
      </w:r>
      <w:r w:rsidR="00717B69">
        <w:rPr>
          <w:lang w:val="fr-FR"/>
        </w:rPr>
        <w:t> </w:t>
      </w:r>
      <w:r>
        <w:rPr>
          <w:lang w:val="fr-FR"/>
        </w:rPr>
        <w:t>743</w:t>
      </w:r>
      <w:r w:rsidR="00717B69">
        <w:rPr>
          <w:lang w:val="fr-FR"/>
        </w:rPr>
        <w:t> </w:t>
      </w:r>
      <w:r>
        <w:rPr>
          <w:lang w:val="fr-FR"/>
        </w:rPr>
        <w:t>entités économiques et citoyens ont adressé une demande de prêt à ce fonds</w:t>
      </w:r>
      <w:r w:rsidR="00DC23BB">
        <w:rPr>
          <w:lang w:val="fr-FR"/>
        </w:rPr>
        <w:t> </w:t>
      </w:r>
      <w:r>
        <w:rPr>
          <w:lang w:val="fr-FR"/>
        </w:rPr>
        <w:t>; 778 (soit 28,3</w:t>
      </w:r>
      <w:r w:rsidR="00DC23BB">
        <w:rPr>
          <w:lang w:val="fr-FR"/>
        </w:rPr>
        <w:t> </w:t>
      </w:r>
      <w:r>
        <w:rPr>
          <w:lang w:val="fr-FR"/>
        </w:rPr>
        <w:t>%) de ces candidats étaient des femmes d</w:t>
      </w:r>
      <w:r w:rsidR="009C7759">
        <w:rPr>
          <w:lang w:val="fr-FR"/>
        </w:rPr>
        <w:t>’</w:t>
      </w:r>
      <w:r>
        <w:rPr>
          <w:lang w:val="fr-FR"/>
        </w:rPr>
        <w:t>affaires ou des entités économiques dirigées par des femmes.</w:t>
      </w:r>
    </w:p>
    <w:p w14:paraId="5D428C03" w14:textId="2C785256" w:rsidR="00560776" w:rsidRPr="00C8158A" w:rsidRDefault="00560776" w:rsidP="00560776">
      <w:pPr>
        <w:pStyle w:val="SingleTxtG"/>
        <w:rPr>
          <w:lang w:val="fr-FR"/>
        </w:rPr>
      </w:pPr>
      <w:r>
        <w:rPr>
          <w:lang w:val="fr-FR"/>
        </w:rPr>
        <w:t>99.</w:t>
      </w:r>
      <w:r>
        <w:rPr>
          <w:lang w:val="fr-FR"/>
        </w:rPr>
        <w:tab/>
        <w:t>En 2019, le Fonds a accordé des prêts d</w:t>
      </w:r>
      <w:r w:rsidR="009C7759">
        <w:rPr>
          <w:lang w:val="fr-FR"/>
        </w:rPr>
        <w:t>’</w:t>
      </w:r>
      <w:r>
        <w:rPr>
          <w:lang w:val="fr-FR"/>
        </w:rPr>
        <w:t xml:space="preserve">un montant total de 4 milliards de </w:t>
      </w:r>
      <w:proofErr w:type="spellStart"/>
      <w:r>
        <w:rPr>
          <w:lang w:val="fr-FR"/>
        </w:rPr>
        <w:t>togrogs</w:t>
      </w:r>
      <w:proofErr w:type="spellEnd"/>
      <w:r>
        <w:rPr>
          <w:lang w:val="fr-FR"/>
        </w:rPr>
        <w:t xml:space="preserve"> à 451 entités économiques et citoyens. Des prêts d</w:t>
      </w:r>
      <w:r w:rsidR="009C7759">
        <w:rPr>
          <w:lang w:val="fr-FR"/>
        </w:rPr>
        <w:t>’</w:t>
      </w:r>
      <w:r>
        <w:rPr>
          <w:lang w:val="fr-FR"/>
        </w:rPr>
        <w:t>un montant total de 8,7</w:t>
      </w:r>
      <w:r w:rsidR="00717B69">
        <w:rPr>
          <w:lang w:val="fr-FR"/>
        </w:rPr>
        <w:t> </w:t>
      </w:r>
      <w:r>
        <w:rPr>
          <w:lang w:val="fr-FR"/>
        </w:rPr>
        <w:t xml:space="preserve">milliards de </w:t>
      </w:r>
      <w:proofErr w:type="spellStart"/>
      <w:r>
        <w:rPr>
          <w:lang w:val="fr-FR"/>
        </w:rPr>
        <w:t>togrogs</w:t>
      </w:r>
      <w:proofErr w:type="spellEnd"/>
      <w:r>
        <w:rPr>
          <w:lang w:val="fr-FR"/>
        </w:rPr>
        <w:t>, représentant 18,5</w:t>
      </w:r>
      <w:r w:rsidR="00717B69">
        <w:rPr>
          <w:lang w:val="fr-FR"/>
        </w:rPr>
        <w:t> </w:t>
      </w:r>
      <w:r>
        <w:rPr>
          <w:lang w:val="fr-FR"/>
        </w:rPr>
        <w:t>% de l</w:t>
      </w:r>
      <w:r w:rsidR="009C7759">
        <w:rPr>
          <w:lang w:val="fr-FR"/>
        </w:rPr>
        <w:t>’</w:t>
      </w:r>
      <w:r>
        <w:rPr>
          <w:lang w:val="fr-FR"/>
        </w:rPr>
        <w:t>ensemble des prêts, ont été octroyés à des femmes d</w:t>
      </w:r>
      <w:r w:rsidR="009C7759">
        <w:rPr>
          <w:lang w:val="fr-FR"/>
        </w:rPr>
        <w:t>’</w:t>
      </w:r>
      <w:r>
        <w:rPr>
          <w:lang w:val="fr-FR"/>
        </w:rPr>
        <w:t>affaires ou à des entités économiques dirigées par des femmes.</w:t>
      </w:r>
    </w:p>
    <w:p w14:paraId="5D022BB3" w14:textId="77777777" w:rsidR="00560776" w:rsidRPr="00C8158A" w:rsidRDefault="00560776" w:rsidP="00E92104">
      <w:pPr>
        <w:pStyle w:val="H1G"/>
        <w:rPr>
          <w:lang w:val="fr-FR"/>
        </w:rPr>
      </w:pPr>
      <w:r>
        <w:rPr>
          <w:lang w:val="fr-FR"/>
        </w:rPr>
        <w:tab/>
      </w:r>
      <w:r>
        <w:rPr>
          <w:lang w:val="fr-FR"/>
        </w:rPr>
        <w:tab/>
        <w:t xml:space="preserve">Paragraphe 9 b) de la liste de points </w:t>
      </w:r>
    </w:p>
    <w:p w14:paraId="37535F59" w14:textId="53DBCC83" w:rsidR="00560776" w:rsidRPr="00C8158A" w:rsidRDefault="00560776" w:rsidP="00560776">
      <w:pPr>
        <w:pStyle w:val="SingleTxtG"/>
        <w:rPr>
          <w:lang w:val="fr-FR"/>
        </w:rPr>
      </w:pPr>
      <w:r>
        <w:rPr>
          <w:lang w:val="fr-FR"/>
        </w:rPr>
        <w:t>100.</w:t>
      </w:r>
      <w:r>
        <w:rPr>
          <w:lang w:val="fr-FR"/>
        </w:rPr>
        <w:tab/>
        <w:t>Une politique visant à favoriser la prise en compte des questions de genre</w:t>
      </w:r>
      <w:r w:rsidR="00AC244F">
        <w:rPr>
          <w:lang w:val="fr-FR"/>
        </w:rPr>
        <w:t xml:space="preserve"> </w:t>
      </w:r>
      <w:r>
        <w:rPr>
          <w:lang w:val="fr-FR"/>
        </w:rPr>
        <w:t>sur le lieu de travail a été élaborée ; son approbation et sa mise en pratique ont été débattues lorsque le mécanisme tripartite de consensus social s</w:t>
      </w:r>
      <w:r w:rsidR="009C7759">
        <w:rPr>
          <w:lang w:val="fr-FR"/>
        </w:rPr>
        <w:t>’</w:t>
      </w:r>
      <w:r>
        <w:rPr>
          <w:lang w:val="fr-FR"/>
        </w:rPr>
        <w:t>est réuni en 2019 et 2020. Cette politique vise à assurer l</w:t>
      </w:r>
      <w:r w:rsidR="009C7759">
        <w:rPr>
          <w:lang w:val="fr-FR"/>
        </w:rPr>
        <w:t>’</w:t>
      </w:r>
      <w:r>
        <w:rPr>
          <w:lang w:val="fr-FR"/>
        </w:rPr>
        <w:t>équilibre entre vie professionnelle et vie privée, à promouvoir l</w:t>
      </w:r>
      <w:r w:rsidR="009C7759">
        <w:rPr>
          <w:lang w:val="fr-FR"/>
        </w:rPr>
        <w:t>’</w:t>
      </w:r>
      <w:r>
        <w:rPr>
          <w:lang w:val="fr-FR"/>
        </w:rPr>
        <w:t>égalité de rémunération pour un travail de valeur égale, à prévenir le harcèlement sexuel sur le lieu de travail, ainsi qu</w:t>
      </w:r>
      <w:r w:rsidR="009C7759">
        <w:rPr>
          <w:lang w:val="fr-FR"/>
        </w:rPr>
        <w:t>’</w:t>
      </w:r>
      <w:r>
        <w:rPr>
          <w:lang w:val="fr-FR"/>
        </w:rPr>
        <w:t>à assurer la réception et le traitement des plaintes. Le mécanisme tripartite de consensus social est chargé d</w:t>
      </w:r>
      <w:r w:rsidR="009C7759">
        <w:rPr>
          <w:lang w:val="fr-FR"/>
        </w:rPr>
        <w:t>’</w:t>
      </w:r>
      <w:r>
        <w:rPr>
          <w:lang w:val="fr-FR"/>
        </w:rPr>
        <w:t xml:space="preserve">élaborer et de mettre en œuvre, étape par étape, les règlements et les recommandations méthodologiques pertinents. </w:t>
      </w:r>
      <w:bookmarkStart w:id="4" w:name="_Hlk55564275"/>
      <w:bookmarkEnd w:id="4"/>
    </w:p>
    <w:p w14:paraId="147DB3B3" w14:textId="32419CE6" w:rsidR="00560776" w:rsidRPr="00C8158A" w:rsidRDefault="00560776" w:rsidP="00E92104">
      <w:pPr>
        <w:pStyle w:val="H1G"/>
        <w:rPr>
          <w:lang w:val="fr-FR"/>
        </w:rPr>
      </w:pPr>
      <w:r>
        <w:rPr>
          <w:lang w:val="fr-FR"/>
        </w:rPr>
        <w:tab/>
      </w:r>
      <w:r>
        <w:rPr>
          <w:lang w:val="fr-FR"/>
        </w:rPr>
        <w:tab/>
        <w:t>Paragraphe 9 c) de la liste de points</w:t>
      </w:r>
    </w:p>
    <w:p w14:paraId="35638FC0" w14:textId="4B46DA42" w:rsidR="00560776" w:rsidRPr="00C8158A" w:rsidRDefault="00560776" w:rsidP="00560776">
      <w:pPr>
        <w:pStyle w:val="SingleTxtG"/>
        <w:rPr>
          <w:lang w:val="fr-FR"/>
        </w:rPr>
      </w:pPr>
      <w:r>
        <w:rPr>
          <w:lang w:val="fr-FR"/>
        </w:rPr>
        <w:t>101.</w:t>
      </w:r>
      <w:r>
        <w:rPr>
          <w:lang w:val="fr-FR"/>
        </w:rPr>
        <w:tab/>
        <w:t>L</w:t>
      </w:r>
      <w:r w:rsidR="009C7759">
        <w:rPr>
          <w:lang w:val="fr-FR"/>
        </w:rPr>
        <w:t>’</w:t>
      </w:r>
      <w:r>
        <w:rPr>
          <w:lang w:val="fr-FR"/>
        </w:rPr>
        <w:t>article 49.2 du Code du travail prévoit l</w:t>
      </w:r>
      <w:r w:rsidR="009C7759">
        <w:rPr>
          <w:lang w:val="fr-FR"/>
        </w:rPr>
        <w:t>’</w:t>
      </w:r>
      <w:r>
        <w:rPr>
          <w:lang w:val="fr-FR"/>
        </w:rPr>
        <w:t>égalité de rémunération des hommes et des femmes pour un travail de valeur égale. La Mongolie a adhéré à la Convention (n</w:t>
      </w:r>
      <w:r>
        <w:rPr>
          <w:vertAlign w:val="superscript"/>
          <w:lang w:val="fr-FR"/>
        </w:rPr>
        <w:t>o</w:t>
      </w:r>
      <w:r w:rsidR="00AC244F">
        <w:rPr>
          <w:lang w:val="fr-FR"/>
        </w:rPr>
        <w:t> </w:t>
      </w:r>
      <w:r>
        <w:rPr>
          <w:lang w:val="fr-FR"/>
        </w:rPr>
        <w:t>100) de l</w:t>
      </w:r>
      <w:r w:rsidR="009C7759">
        <w:rPr>
          <w:lang w:val="fr-FR"/>
        </w:rPr>
        <w:t>’</w:t>
      </w:r>
      <w:r>
        <w:rPr>
          <w:lang w:val="fr-FR"/>
        </w:rPr>
        <w:t>Organisation internationale du Travail (OIT) concernant l</w:t>
      </w:r>
      <w:r w:rsidR="009C7759">
        <w:rPr>
          <w:lang w:val="fr-FR"/>
        </w:rPr>
        <w:t>’</w:t>
      </w:r>
      <w:r>
        <w:rPr>
          <w:lang w:val="fr-FR"/>
        </w:rPr>
        <w:t>égalité de rémunération entre la main-d</w:t>
      </w:r>
      <w:r w:rsidR="009C7759">
        <w:rPr>
          <w:lang w:val="fr-FR"/>
        </w:rPr>
        <w:t>’</w:t>
      </w:r>
      <w:r>
        <w:rPr>
          <w:lang w:val="fr-FR"/>
        </w:rPr>
        <w:t>œuvre masculine et la main-d</w:t>
      </w:r>
      <w:r w:rsidR="009C7759">
        <w:rPr>
          <w:lang w:val="fr-FR"/>
        </w:rPr>
        <w:t>’</w:t>
      </w:r>
      <w:r>
        <w:rPr>
          <w:lang w:val="fr-FR"/>
        </w:rPr>
        <w:t>œuvre féminine pour un travail de valeur égale et s</w:t>
      </w:r>
      <w:r w:rsidR="009C7759">
        <w:rPr>
          <w:lang w:val="fr-FR"/>
        </w:rPr>
        <w:t>’</w:t>
      </w:r>
      <w:r>
        <w:rPr>
          <w:lang w:val="fr-FR"/>
        </w:rPr>
        <w:t xml:space="preserve">acquitte des obligations que lui imposent la Convention et sa législation nationale. </w:t>
      </w:r>
    </w:p>
    <w:p w14:paraId="478E9BA8" w14:textId="41C417E2" w:rsidR="00560776" w:rsidRPr="00C8158A" w:rsidRDefault="00560776" w:rsidP="00560776">
      <w:pPr>
        <w:pStyle w:val="SingleTxtG"/>
        <w:rPr>
          <w:lang w:val="fr-FR"/>
        </w:rPr>
      </w:pPr>
      <w:r>
        <w:rPr>
          <w:lang w:val="fr-FR"/>
        </w:rPr>
        <w:t>102.</w:t>
      </w:r>
      <w:r>
        <w:rPr>
          <w:lang w:val="fr-FR"/>
        </w:rPr>
        <w:tab/>
        <w:t>Afin de sensibiliser aux principes et au concept principal de la Convention et de contribuer à en assurer une application adéquate, le manuel du Bureau international du Travail intitulé « Promouvoir l</w:t>
      </w:r>
      <w:r w:rsidR="009C7759">
        <w:rPr>
          <w:lang w:val="fr-FR"/>
        </w:rPr>
        <w:t>’</w:t>
      </w:r>
      <w:r>
        <w:rPr>
          <w:lang w:val="fr-FR"/>
        </w:rPr>
        <w:t>équité salariale au moyen de l</w:t>
      </w:r>
      <w:r w:rsidR="009C7759">
        <w:rPr>
          <w:lang w:val="fr-FR"/>
        </w:rPr>
        <w:t>’</w:t>
      </w:r>
      <w:r>
        <w:rPr>
          <w:lang w:val="fr-FR"/>
        </w:rPr>
        <w:t>évaluation non sexiste des emplois » a été traduit en mongol avec le concours du BIT pour être utilisé par les organisations de partenaires sociaux, l</w:t>
      </w:r>
      <w:r w:rsidR="009C7759">
        <w:rPr>
          <w:lang w:val="fr-FR"/>
        </w:rPr>
        <w:t>’</w:t>
      </w:r>
      <w:r>
        <w:rPr>
          <w:lang w:val="fr-FR"/>
        </w:rPr>
        <w:t>État et les ONG, les universitaires, les enseignants et les établissements d</w:t>
      </w:r>
      <w:r w:rsidR="009C7759">
        <w:rPr>
          <w:lang w:val="fr-FR"/>
        </w:rPr>
        <w:t>’</w:t>
      </w:r>
      <w:r>
        <w:rPr>
          <w:lang w:val="fr-FR"/>
        </w:rPr>
        <w:t>enseignement spécialisés en ressources humaines. Ce manuel a favorisé une meilleure compréhension de l</w:t>
      </w:r>
      <w:r w:rsidR="009C7759">
        <w:rPr>
          <w:lang w:val="fr-FR"/>
        </w:rPr>
        <w:t>’</w:t>
      </w:r>
      <w:r>
        <w:rPr>
          <w:lang w:val="fr-FR"/>
        </w:rPr>
        <w:t>expression « équité sur le lieu de travail » et de la manière d</w:t>
      </w:r>
      <w:r w:rsidR="009C7759">
        <w:rPr>
          <w:lang w:val="fr-FR"/>
        </w:rPr>
        <w:t>’</w:t>
      </w:r>
      <w:r>
        <w:rPr>
          <w:lang w:val="fr-FR"/>
        </w:rPr>
        <w:t xml:space="preserve">évaluer les emplois. </w:t>
      </w:r>
    </w:p>
    <w:p w14:paraId="44F64CE1" w14:textId="0F370204" w:rsidR="00560776" w:rsidRPr="00C8158A" w:rsidRDefault="00560776" w:rsidP="00560776">
      <w:pPr>
        <w:pStyle w:val="SingleTxtG"/>
        <w:rPr>
          <w:lang w:val="fr-FR"/>
        </w:rPr>
      </w:pPr>
      <w:r>
        <w:rPr>
          <w:lang w:val="fr-FR"/>
        </w:rPr>
        <w:t>103.</w:t>
      </w:r>
      <w:r>
        <w:rPr>
          <w:lang w:val="fr-FR"/>
        </w:rPr>
        <w:tab/>
        <w:t>Le manuel susmentionné a donné lieu à la publication d</w:t>
      </w:r>
      <w:r w:rsidR="009C7759">
        <w:rPr>
          <w:lang w:val="fr-FR"/>
        </w:rPr>
        <w:t>’</w:t>
      </w:r>
      <w:r>
        <w:rPr>
          <w:lang w:val="fr-FR"/>
        </w:rPr>
        <w:t>un livret méthodologique sur l</w:t>
      </w:r>
      <w:r w:rsidR="009C7759">
        <w:rPr>
          <w:lang w:val="fr-FR"/>
        </w:rPr>
        <w:t>’</w:t>
      </w:r>
      <w:r>
        <w:rPr>
          <w:lang w:val="fr-FR"/>
        </w:rPr>
        <w:t>évaluation et la classification par emplois, professions et grades, qui a été approuvé par la résolution n</w:t>
      </w:r>
      <w:r w:rsidR="00AC244F" w:rsidRPr="00AC244F">
        <w:rPr>
          <w:vertAlign w:val="superscript"/>
          <w:lang w:val="fr-FR"/>
        </w:rPr>
        <w:t>o</w:t>
      </w:r>
      <w:r w:rsidR="00AC244F">
        <w:rPr>
          <w:lang w:val="fr-FR"/>
        </w:rPr>
        <w:t> </w:t>
      </w:r>
      <w:r>
        <w:rPr>
          <w:lang w:val="fr-FR"/>
        </w:rPr>
        <w:t xml:space="preserve">15 du Comité national tripartite de consensus social en 2014. Selon cette méthodologie, les emplois sont évalués en fonction de 4 critères tels que les compétences </w:t>
      </w:r>
      <w:r>
        <w:rPr>
          <w:lang w:val="fr-FR"/>
        </w:rPr>
        <w:lastRenderedPageBreak/>
        <w:t xml:space="preserve">professionnelles, la charge de travail, le degré de responsabilité et les conditions de travail. Des stages de formation à cette méthodologie sont régulièrement organisés auprès des organisations, des entités économiques et des personnes travaillant dans le domaine des relations employés-employeurs. </w:t>
      </w:r>
    </w:p>
    <w:p w14:paraId="37F02D34" w14:textId="71F90160" w:rsidR="00560776" w:rsidRPr="00C8158A" w:rsidRDefault="00560776" w:rsidP="00E92104">
      <w:pPr>
        <w:pStyle w:val="H1G"/>
        <w:rPr>
          <w:lang w:val="fr-FR"/>
        </w:rPr>
      </w:pPr>
      <w:r>
        <w:rPr>
          <w:lang w:val="fr-FR"/>
        </w:rPr>
        <w:tab/>
      </w:r>
      <w:r>
        <w:rPr>
          <w:lang w:val="fr-FR"/>
        </w:rPr>
        <w:tab/>
        <w:t>Paragraphe 9 d) de la liste de points</w:t>
      </w:r>
    </w:p>
    <w:p w14:paraId="1402F916" w14:textId="432A891E" w:rsidR="00560776" w:rsidRPr="00C8158A" w:rsidRDefault="00560776" w:rsidP="00560776">
      <w:pPr>
        <w:pStyle w:val="SingleTxtG"/>
        <w:rPr>
          <w:lang w:val="fr-FR"/>
        </w:rPr>
      </w:pPr>
      <w:r>
        <w:rPr>
          <w:lang w:val="fr-FR"/>
        </w:rPr>
        <w:t>104.</w:t>
      </w:r>
      <w:r>
        <w:rPr>
          <w:lang w:val="fr-FR"/>
        </w:rPr>
        <w:tab/>
        <w:t>La législation mongole garantit que les hommes et les femmes jouissent des mêmes droits dans le domaine des relations sociales, économiques, politiques et autres. Sur la base de cette disposition constitutionnelle, le Code du travail (art</w:t>
      </w:r>
      <w:r w:rsidR="003B2166">
        <w:rPr>
          <w:lang w:val="fr-FR"/>
        </w:rPr>
        <w:t>. </w:t>
      </w:r>
      <w:r>
        <w:rPr>
          <w:lang w:val="fr-FR"/>
        </w:rPr>
        <w:t>7), la loi relative à l</w:t>
      </w:r>
      <w:r w:rsidR="009C7759">
        <w:rPr>
          <w:lang w:val="fr-FR"/>
        </w:rPr>
        <w:t>’</w:t>
      </w:r>
      <w:r>
        <w:rPr>
          <w:lang w:val="fr-FR"/>
        </w:rPr>
        <w:t>aide à l</w:t>
      </w:r>
      <w:r w:rsidR="009C7759">
        <w:rPr>
          <w:lang w:val="fr-FR"/>
        </w:rPr>
        <w:t>’</w:t>
      </w:r>
      <w:r>
        <w:rPr>
          <w:lang w:val="fr-FR"/>
        </w:rPr>
        <w:t>emploi (art</w:t>
      </w:r>
      <w:r w:rsidR="003B2166">
        <w:rPr>
          <w:lang w:val="fr-FR"/>
        </w:rPr>
        <w:t>. </w:t>
      </w:r>
      <w:r>
        <w:rPr>
          <w:lang w:val="fr-FR"/>
        </w:rPr>
        <w:t>4.1.1. et 4.1.2.), la loi relative aux droits des personnes handicapées (art</w:t>
      </w:r>
      <w:r w:rsidR="003B2166">
        <w:rPr>
          <w:lang w:val="fr-FR"/>
        </w:rPr>
        <w:t>. </w:t>
      </w:r>
      <w:r>
        <w:rPr>
          <w:lang w:val="fr-FR"/>
        </w:rPr>
        <w:t>6), la loi relative aux personnes âgées (art</w:t>
      </w:r>
      <w:r w:rsidR="003B2166">
        <w:rPr>
          <w:lang w:val="fr-FR"/>
        </w:rPr>
        <w:t>. </w:t>
      </w:r>
      <w:r>
        <w:rPr>
          <w:lang w:val="fr-FR"/>
        </w:rPr>
        <w:t>6) et la loi relative à la promotion de l</w:t>
      </w:r>
      <w:r w:rsidR="009C7759">
        <w:rPr>
          <w:lang w:val="fr-FR"/>
        </w:rPr>
        <w:t>’</w:t>
      </w:r>
      <w:r>
        <w:rPr>
          <w:lang w:val="fr-FR"/>
        </w:rPr>
        <w:t>égalité des sexes (art</w:t>
      </w:r>
      <w:r w:rsidR="003B2166">
        <w:rPr>
          <w:lang w:val="fr-FR"/>
        </w:rPr>
        <w:t>. </w:t>
      </w:r>
      <w:r>
        <w:rPr>
          <w:lang w:val="fr-FR"/>
        </w:rPr>
        <w:t>6) interdisent toute discrimination fondée sur l</w:t>
      </w:r>
      <w:r w:rsidR="009C7759">
        <w:rPr>
          <w:lang w:val="fr-FR"/>
        </w:rPr>
        <w:t>’</w:t>
      </w:r>
      <w:r>
        <w:rPr>
          <w:lang w:val="fr-FR"/>
        </w:rPr>
        <w:t>âge, le sexe, l</w:t>
      </w:r>
      <w:r w:rsidR="009C7759">
        <w:rPr>
          <w:lang w:val="fr-FR"/>
        </w:rPr>
        <w:t>’</w:t>
      </w:r>
      <w:r>
        <w:rPr>
          <w:lang w:val="fr-FR"/>
        </w:rPr>
        <w:t>origine sociale, le statut social, la religion et les convictions. La Mongolie a en outre adhéré à la Convention de l</w:t>
      </w:r>
      <w:r w:rsidR="009C7759">
        <w:rPr>
          <w:lang w:val="fr-FR"/>
        </w:rPr>
        <w:t>’</w:t>
      </w:r>
      <w:r>
        <w:rPr>
          <w:lang w:val="fr-FR"/>
        </w:rPr>
        <w:t>OIT (n</w:t>
      </w:r>
      <w:r w:rsidR="003B2166">
        <w:rPr>
          <w:vertAlign w:val="superscript"/>
          <w:lang w:val="fr-FR"/>
        </w:rPr>
        <w:t>o</w:t>
      </w:r>
      <w:r w:rsidR="003B2166" w:rsidRPr="003B2166">
        <w:rPr>
          <w:lang w:val="fr-FR"/>
        </w:rPr>
        <w:t> </w:t>
      </w:r>
      <w:r>
        <w:rPr>
          <w:lang w:val="fr-FR"/>
        </w:rPr>
        <w:t>111) concernant la discrimination (emploi et profession) et s</w:t>
      </w:r>
      <w:r w:rsidR="009C7759">
        <w:rPr>
          <w:lang w:val="fr-FR"/>
        </w:rPr>
        <w:t>’</w:t>
      </w:r>
      <w:r>
        <w:rPr>
          <w:lang w:val="fr-FR"/>
        </w:rPr>
        <w:t xml:space="preserve">est ainsi engagée à en faire appliquer les dispositions parallèlement à celles de sa législation nationale. </w:t>
      </w:r>
    </w:p>
    <w:p w14:paraId="511A889F" w14:textId="539D128D" w:rsidR="00560776" w:rsidRPr="00C8158A" w:rsidRDefault="00560776" w:rsidP="00560776">
      <w:pPr>
        <w:pStyle w:val="SingleTxtG"/>
        <w:rPr>
          <w:lang w:val="fr-FR"/>
        </w:rPr>
      </w:pPr>
      <w:r>
        <w:rPr>
          <w:lang w:val="fr-FR"/>
        </w:rPr>
        <w:t>105.</w:t>
      </w:r>
      <w:r>
        <w:rPr>
          <w:lang w:val="fr-FR"/>
        </w:rPr>
        <w:tab/>
        <w:t>L</w:t>
      </w:r>
      <w:r w:rsidR="009C7759">
        <w:rPr>
          <w:lang w:val="fr-FR"/>
        </w:rPr>
        <w:t>’</w:t>
      </w:r>
      <w:r>
        <w:rPr>
          <w:lang w:val="fr-FR"/>
        </w:rPr>
        <w:t>application de ces lois et de la Convention est contrôlée par les inspecteurs du travail de l</w:t>
      </w:r>
      <w:r w:rsidR="009C7759">
        <w:rPr>
          <w:lang w:val="fr-FR"/>
        </w:rPr>
        <w:t>’</w:t>
      </w:r>
      <w:r>
        <w:rPr>
          <w:lang w:val="fr-FR"/>
        </w:rPr>
        <w:t>État. En cas de violation, les inspecteurs font obligation aux contrevenants de remédier aux violations constatées, conformément à la loi relative aux infractions.</w:t>
      </w:r>
    </w:p>
    <w:p w14:paraId="01F82E7B" w14:textId="4FAA16F0" w:rsidR="00560776" w:rsidRPr="00C8158A" w:rsidRDefault="00560776" w:rsidP="00560776">
      <w:pPr>
        <w:pStyle w:val="SingleTxtG"/>
        <w:rPr>
          <w:lang w:val="fr-FR"/>
        </w:rPr>
      </w:pPr>
      <w:r>
        <w:rPr>
          <w:lang w:val="fr-FR"/>
        </w:rPr>
        <w:t>106.</w:t>
      </w:r>
      <w:r>
        <w:rPr>
          <w:lang w:val="fr-FR"/>
        </w:rPr>
        <w:tab/>
        <w:t>Des dispositions sont prises, étape par étape, pour apporter des modifications à certaines dispositions législatives pertinentes en se fondant sur des études menées par l</w:t>
      </w:r>
      <w:r w:rsidR="009C7759">
        <w:rPr>
          <w:lang w:val="fr-FR"/>
        </w:rPr>
        <w:t>’</w:t>
      </w:r>
      <w:r>
        <w:rPr>
          <w:lang w:val="fr-FR"/>
        </w:rPr>
        <w:t>État et les ONG sur le harcèlement sexuel sur le lieu de travail. En 2019, un débat public a été organisé sur le thème de l</w:t>
      </w:r>
      <w:r w:rsidR="009C7759">
        <w:rPr>
          <w:lang w:val="fr-FR"/>
        </w:rPr>
        <w:t>’</w:t>
      </w:r>
      <w:r>
        <w:rPr>
          <w:lang w:val="fr-FR"/>
        </w:rPr>
        <w:t>absence de pressions au travail. À la suite des propositions et des conclusions formulées pendant ce débat, la loi sur les infractions a été dotée d</w:t>
      </w:r>
      <w:r w:rsidR="009C7759">
        <w:rPr>
          <w:lang w:val="fr-FR"/>
        </w:rPr>
        <w:t>’</w:t>
      </w:r>
      <w:r>
        <w:rPr>
          <w:lang w:val="fr-FR"/>
        </w:rPr>
        <w:t>une disposition supplémentaire portant sur les obligations des organisations et des entités économiques qui ne tiennent pas compte des dispositions relatives au harcèlement sexuel dans leur règlement interne du travail. La définition du harcèlement sexuel sur le lieu de travail, la garantie de l</w:t>
      </w:r>
      <w:r w:rsidR="009C7759">
        <w:rPr>
          <w:lang w:val="fr-FR"/>
        </w:rPr>
        <w:t>’</w:t>
      </w:r>
      <w:r>
        <w:rPr>
          <w:lang w:val="fr-FR"/>
        </w:rPr>
        <w:t>égalité des sexes et l</w:t>
      </w:r>
      <w:r w:rsidR="009C7759">
        <w:rPr>
          <w:lang w:val="fr-FR"/>
        </w:rPr>
        <w:t>’</w:t>
      </w:r>
      <w:r>
        <w:rPr>
          <w:lang w:val="fr-FR"/>
        </w:rPr>
        <w:t>accès à des voies de recours ont fait l</w:t>
      </w:r>
      <w:r w:rsidR="009C7759">
        <w:rPr>
          <w:lang w:val="fr-FR"/>
        </w:rPr>
        <w:t>’</w:t>
      </w:r>
      <w:r>
        <w:rPr>
          <w:lang w:val="fr-FR"/>
        </w:rPr>
        <w:t>objet d</w:t>
      </w:r>
      <w:r w:rsidR="009C7759">
        <w:rPr>
          <w:lang w:val="fr-FR"/>
        </w:rPr>
        <w:t>’</w:t>
      </w:r>
      <w:r>
        <w:rPr>
          <w:lang w:val="fr-FR"/>
        </w:rPr>
        <w:t>activités de sensibilisation et d</w:t>
      </w:r>
      <w:r w:rsidR="009C7759">
        <w:rPr>
          <w:lang w:val="fr-FR"/>
        </w:rPr>
        <w:t>’</w:t>
      </w:r>
      <w:r>
        <w:rPr>
          <w:lang w:val="fr-FR"/>
        </w:rPr>
        <w:t xml:space="preserve">information. </w:t>
      </w:r>
    </w:p>
    <w:p w14:paraId="291BDBAF" w14:textId="16149CF3" w:rsidR="00560776" w:rsidRPr="00C8158A" w:rsidRDefault="00560776" w:rsidP="00E92104">
      <w:pPr>
        <w:pStyle w:val="H1G"/>
        <w:rPr>
          <w:lang w:val="fr-FR"/>
        </w:rPr>
      </w:pPr>
      <w:r>
        <w:rPr>
          <w:lang w:val="fr-FR"/>
        </w:rPr>
        <w:tab/>
      </w:r>
      <w:r>
        <w:rPr>
          <w:lang w:val="fr-FR"/>
        </w:rPr>
        <w:tab/>
        <w:t>Paragraphe 9 e) de la liste de points</w:t>
      </w:r>
    </w:p>
    <w:p w14:paraId="2CC7887E" w14:textId="150B3514" w:rsidR="00560776" w:rsidRPr="00C8158A" w:rsidRDefault="00560776" w:rsidP="00560776">
      <w:pPr>
        <w:pStyle w:val="SingleTxtG"/>
        <w:rPr>
          <w:lang w:val="fr-FR"/>
        </w:rPr>
      </w:pPr>
      <w:r>
        <w:rPr>
          <w:lang w:val="fr-FR"/>
        </w:rPr>
        <w:t>107.</w:t>
      </w:r>
      <w:r>
        <w:rPr>
          <w:lang w:val="fr-FR"/>
        </w:rPr>
        <w:tab/>
        <w:t>En Mongolie, les éleveurs et les travailleurs indépendants constituent deux grandes catégories de main-d</w:t>
      </w:r>
      <w:r w:rsidR="009C7759">
        <w:rPr>
          <w:lang w:val="fr-FR"/>
        </w:rPr>
        <w:t>’</w:t>
      </w:r>
      <w:r>
        <w:rPr>
          <w:lang w:val="fr-FR"/>
        </w:rPr>
        <w:t>œuvre du secteur non structuré. Les femmes représentant plus de la moitié de ces deux groupes, le Gouvernement s</w:t>
      </w:r>
      <w:r w:rsidR="009C7759">
        <w:rPr>
          <w:lang w:val="fr-FR"/>
        </w:rPr>
        <w:t>’</w:t>
      </w:r>
      <w:r>
        <w:rPr>
          <w:lang w:val="fr-FR"/>
        </w:rPr>
        <w:t>efforce d</w:t>
      </w:r>
      <w:r w:rsidR="009C7759">
        <w:rPr>
          <w:lang w:val="fr-FR"/>
        </w:rPr>
        <w:t>’</w:t>
      </w:r>
      <w:r>
        <w:rPr>
          <w:lang w:val="fr-FR"/>
        </w:rPr>
        <w:t>officialiser le statut de cette main</w:t>
      </w:r>
      <w:r w:rsidR="004E46CE">
        <w:rPr>
          <w:lang w:val="fr-FR"/>
        </w:rPr>
        <w:noBreakHyphen/>
      </w:r>
      <w:r>
        <w:rPr>
          <w:lang w:val="fr-FR"/>
        </w:rPr>
        <w:t>d</w:t>
      </w:r>
      <w:r w:rsidR="009C7759">
        <w:rPr>
          <w:lang w:val="fr-FR"/>
        </w:rPr>
        <w:t>’</w:t>
      </w:r>
      <w:r>
        <w:rPr>
          <w:lang w:val="fr-FR"/>
        </w:rPr>
        <w:t>œuvre, de les inclure dans le système d</w:t>
      </w:r>
      <w:r w:rsidR="009C7759">
        <w:rPr>
          <w:lang w:val="fr-FR"/>
        </w:rPr>
        <w:t>’</w:t>
      </w:r>
      <w:r>
        <w:rPr>
          <w:lang w:val="fr-FR"/>
        </w:rPr>
        <w:t>assurance sociale, de trouver une solution souple de paiement des primes qui s</w:t>
      </w:r>
      <w:r w:rsidR="009C7759">
        <w:rPr>
          <w:lang w:val="fr-FR"/>
        </w:rPr>
        <w:t>’</w:t>
      </w:r>
      <w:r>
        <w:rPr>
          <w:lang w:val="fr-FR"/>
        </w:rPr>
        <w:t>adapte à la période pendant laquelle ces personnes touchent des revenus et de mettre en place des services électroniques. Pour favoriser et intensifier la participation des éleveurs et des travailleurs indépendants au système d</w:t>
      </w:r>
      <w:r w:rsidR="009C7759">
        <w:rPr>
          <w:lang w:val="fr-FR"/>
        </w:rPr>
        <w:t>’</w:t>
      </w:r>
      <w:r>
        <w:rPr>
          <w:lang w:val="fr-FR"/>
        </w:rPr>
        <w:t>assurance sociale, la loi relative au remboursement des primes d</w:t>
      </w:r>
      <w:r w:rsidR="009C7759">
        <w:rPr>
          <w:lang w:val="fr-FR"/>
        </w:rPr>
        <w:t>’</w:t>
      </w:r>
      <w:r>
        <w:rPr>
          <w:lang w:val="fr-FR"/>
        </w:rPr>
        <w:t>assurance retraite des éleveurs et des travailleurs indépendants a été promulguée avec effet au 1</w:t>
      </w:r>
      <w:r w:rsidRPr="004E46CE">
        <w:rPr>
          <w:vertAlign w:val="superscript"/>
          <w:lang w:val="fr-FR"/>
        </w:rPr>
        <w:t>er</w:t>
      </w:r>
      <w:r w:rsidR="004E46CE">
        <w:rPr>
          <w:lang w:val="fr-FR"/>
        </w:rPr>
        <w:t> </w:t>
      </w:r>
      <w:r>
        <w:rPr>
          <w:lang w:val="fr-FR"/>
        </w:rPr>
        <w:t>janvier 2020. Cette loi permet de rembourser les primes qui n</w:t>
      </w:r>
      <w:r w:rsidR="009C7759">
        <w:rPr>
          <w:lang w:val="fr-FR"/>
        </w:rPr>
        <w:t>’</w:t>
      </w:r>
      <w:r>
        <w:rPr>
          <w:lang w:val="fr-FR"/>
        </w:rPr>
        <w:t>ont pas été réglées entre 1995 et 2019. L</w:t>
      </w:r>
      <w:r w:rsidR="009C7759">
        <w:rPr>
          <w:lang w:val="fr-FR"/>
        </w:rPr>
        <w:t>’</w:t>
      </w:r>
      <w:r>
        <w:rPr>
          <w:lang w:val="fr-FR"/>
        </w:rPr>
        <w:t>âge</w:t>
      </w:r>
      <w:r w:rsidR="004E46CE">
        <w:rPr>
          <w:lang w:val="fr-FR"/>
        </w:rPr>
        <w:t> </w:t>
      </w:r>
      <w:r>
        <w:rPr>
          <w:lang w:val="fr-FR"/>
        </w:rPr>
        <w:t>de la retraite des éleveurs a été abaissé de 5</w:t>
      </w:r>
      <w:r w:rsidR="004E46CE">
        <w:rPr>
          <w:lang w:val="fr-FR"/>
        </w:rPr>
        <w:t> </w:t>
      </w:r>
      <w:r>
        <w:rPr>
          <w:lang w:val="fr-FR"/>
        </w:rPr>
        <w:t>ans. Aux fins du calcul de leur pension, une année de primes versées compte pour une année et demie. Les mères, qui étaient couvertes par l</w:t>
      </w:r>
      <w:r w:rsidR="009C7759">
        <w:rPr>
          <w:lang w:val="fr-FR"/>
        </w:rPr>
        <w:t>’</w:t>
      </w:r>
      <w:r>
        <w:rPr>
          <w:lang w:val="fr-FR"/>
        </w:rPr>
        <w:t>assurance sociale sur une base volontaire, reçoivent l</w:t>
      </w:r>
      <w:r w:rsidR="009C7759">
        <w:rPr>
          <w:lang w:val="fr-FR"/>
        </w:rPr>
        <w:t>’</w:t>
      </w:r>
      <w:r>
        <w:rPr>
          <w:lang w:val="fr-FR"/>
        </w:rPr>
        <w:t>intégralité des allocations de grossesse et d</w:t>
      </w:r>
      <w:r w:rsidR="009C7759">
        <w:rPr>
          <w:lang w:val="fr-FR"/>
        </w:rPr>
        <w:t>’</w:t>
      </w:r>
      <w:r>
        <w:rPr>
          <w:lang w:val="fr-FR"/>
        </w:rPr>
        <w:t>accouchement (contre 70</w:t>
      </w:r>
      <w:r w:rsidR="000C0570">
        <w:rPr>
          <w:lang w:val="fr-FR"/>
        </w:rPr>
        <w:t> </w:t>
      </w:r>
      <w:r>
        <w:rPr>
          <w:lang w:val="fr-FR"/>
        </w:rPr>
        <w:t>% auparavant)</w:t>
      </w:r>
      <w:r w:rsidR="00DC23BB">
        <w:rPr>
          <w:lang w:val="fr-FR"/>
        </w:rPr>
        <w:t> </w:t>
      </w:r>
      <w:r>
        <w:rPr>
          <w:lang w:val="fr-FR"/>
        </w:rPr>
        <w:t>; la pension des mères dépend du nombre d</w:t>
      </w:r>
      <w:r w:rsidR="009C7759">
        <w:rPr>
          <w:lang w:val="fr-FR"/>
        </w:rPr>
        <w:t>’</w:t>
      </w:r>
      <w:r>
        <w:rPr>
          <w:lang w:val="fr-FR"/>
        </w:rPr>
        <w:t>enfants qu</w:t>
      </w:r>
      <w:r w:rsidR="009C7759">
        <w:rPr>
          <w:lang w:val="fr-FR"/>
        </w:rPr>
        <w:t>’</w:t>
      </w:r>
      <w:r>
        <w:rPr>
          <w:lang w:val="fr-FR"/>
        </w:rPr>
        <w:t>elles ont élevés (1,5</w:t>
      </w:r>
      <w:r w:rsidR="00DC23BB">
        <w:rPr>
          <w:lang w:val="fr-FR"/>
        </w:rPr>
        <w:t> </w:t>
      </w:r>
      <w:r>
        <w:rPr>
          <w:lang w:val="fr-FR"/>
        </w:rPr>
        <w:t>an étant ajouté par enfant à la période de cotisation), la prime d</w:t>
      </w:r>
      <w:r w:rsidR="009C7759">
        <w:rPr>
          <w:lang w:val="fr-FR"/>
        </w:rPr>
        <w:t>’</w:t>
      </w:r>
      <w:r>
        <w:rPr>
          <w:lang w:val="fr-FR"/>
        </w:rPr>
        <w:t>assurance pour les mères s</w:t>
      </w:r>
      <w:r w:rsidR="009C7759">
        <w:rPr>
          <w:lang w:val="fr-FR"/>
        </w:rPr>
        <w:t>’</w:t>
      </w:r>
      <w:r>
        <w:rPr>
          <w:lang w:val="fr-FR"/>
        </w:rPr>
        <w:t>occupant de leur enfant jusqu</w:t>
      </w:r>
      <w:r w:rsidR="009C7759">
        <w:rPr>
          <w:lang w:val="fr-FR"/>
        </w:rPr>
        <w:t>’</w:t>
      </w:r>
      <w:r>
        <w:rPr>
          <w:lang w:val="fr-FR"/>
        </w:rPr>
        <w:t>à l</w:t>
      </w:r>
      <w:r w:rsidR="009C7759">
        <w:rPr>
          <w:lang w:val="fr-FR"/>
        </w:rPr>
        <w:t>’</w:t>
      </w:r>
      <w:r>
        <w:rPr>
          <w:lang w:val="fr-FR"/>
        </w:rPr>
        <w:t>âge de 3</w:t>
      </w:r>
      <w:r w:rsidR="000C0570">
        <w:rPr>
          <w:lang w:val="fr-FR"/>
        </w:rPr>
        <w:t> </w:t>
      </w:r>
      <w:r>
        <w:rPr>
          <w:lang w:val="fr-FR"/>
        </w:rPr>
        <w:t>ans est prise en charge par la caisse d</w:t>
      </w:r>
      <w:r w:rsidR="009C7759">
        <w:rPr>
          <w:lang w:val="fr-FR"/>
        </w:rPr>
        <w:t>’</w:t>
      </w:r>
      <w:r>
        <w:rPr>
          <w:lang w:val="fr-FR"/>
        </w:rPr>
        <w:t xml:space="preserve">assurance sociale. Des modifications ont été apportées à cette fin aux dispositions législatives pertinentes. </w:t>
      </w:r>
    </w:p>
    <w:p w14:paraId="7DCC11ED" w14:textId="1E55ADBF" w:rsidR="00560776" w:rsidRPr="00C8158A" w:rsidRDefault="00560776" w:rsidP="00560776">
      <w:pPr>
        <w:pStyle w:val="SingleTxtG"/>
        <w:rPr>
          <w:lang w:val="fr-FR"/>
        </w:rPr>
      </w:pPr>
      <w:r>
        <w:rPr>
          <w:lang w:val="fr-FR"/>
        </w:rPr>
        <w:t>108.</w:t>
      </w:r>
      <w:r>
        <w:rPr>
          <w:lang w:val="fr-FR"/>
        </w:rPr>
        <w:tab/>
        <w:t>Grâce à ces mesures, le nombre d</w:t>
      </w:r>
      <w:r w:rsidR="009C7759">
        <w:rPr>
          <w:lang w:val="fr-FR"/>
        </w:rPr>
        <w:t>’</w:t>
      </w:r>
      <w:r>
        <w:rPr>
          <w:lang w:val="fr-FR"/>
        </w:rPr>
        <w:t>éleveurs bénéficiant de l</w:t>
      </w:r>
      <w:r w:rsidR="009C7759">
        <w:rPr>
          <w:lang w:val="fr-FR"/>
        </w:rPr>
        <w:t>’</w:t>
      </w:r>
      <w:r>
        <w:rPr>
          <w:lang w:val="fr-FR"/>
        </w:rPr>
        <w:t>assurance sociale tend à augmenter ces dernières années. En 2019, cette proportion était de 18,2</w:t>
      </w:r>
      <w:r w:rsidR="000C0570">
        <w:rPr>
          <w:lang w:val="fr-FR"/>
        </w:rPr>
        <w:t> </w:t>
      </w:r>
      <w:r>
        <w:rPr>
          <w:lang w:val="fr-FR"/>
        </w:rPr>
        <w:t xml:space="preserve">%. </w:t>
      </w:r>
    </w:p>
    <w:p w14:paraId="4BA0CE19" w14:textId="5B0FC61D" w:rsidR="00560776" w:rsidRPr="00C8158A" w:rsidRDefault="00560776" w:rsidP="00E92104">
      <w:pPr>
        <w:pStyle w:val="Titre1"/>
        <w:spacing w:after="120"/>
        <w:rPr>
          <w:b/>
          <w:bCs/>
          <w:lang w:val="fr-FR"/>
        </w:rPr>
      </w:pPr>
      <w:r>
        <w:rPr>
          <w:lang w:val="fr-FR"/>
        </w:rPr>
        <w:lastRenderedPageBreak/>
        <w:t>Diagramme 1</w:t>
      </w:r>
      <w:r w:rsidR="00E92104">
        <w:rPr>
          <w:lang w:val="fr-FR"/>
        </w:rPr>
        <w:t xml:space="preserve"> </w:t>
      </w:r>
      <w:r w:rsidR="00E92104">
        <w:rPr>
          <w:lang w:val="fr-FR"/>
        </w:rPr>
        <w:br/>
      </w:r>
      <w:r>
        <w:rPr>
          <w:b/>
          <w:bCs/>
          <w:lang w:val="fr-FR"/>
        </w:rPr>
        <w:t>Nombre d</w:t>
      </w:r>
      <w:r w:rsidR="009C7759">
        <w:rPr>
          <w:b/>
          <w:bCs/>
          <w:lang w:val="fr-FR"/>
        </w:rPr>
        <w:t>’</w:t>
      </w:r>
      <w:r>
        <w:rPr>
          <w:b/>
          <w:bCs/>
          <w:lang w:val="fr-FR"/>
        </w:rPr>
        <w:t>éleveurs ayant droit à l</w:t>
      </w:r>
      <w:r w:rsidR="009C7759">
        <w:rPr>
          <w:b/>
          <w:bCs/>
          <w:lang w:val="fr-FR"/>
        </w:rPr>
        <w:t>’</w:t>
      </w:r>
      <w:r>
        <w:rPr>
          <w:b/>
          <w:bCs/>
          <w:lang w:val="fr-FR"/>
        </w:rPr>
        <w:t>assurance sociale et nombre d</w:t>
      </w:r>
      <w:r w:rsidR="009C7759">
        <w:rPr>
          <w:b/>
          <w:bCs/>
          <w:lang w:val="fr-FR"/>
        </w:rPr>
        <w:t>’</w:t>
      </w:r>
      <w:r>
        <w:rPr>
          <w:b/>
          <w:bCs/>
          <w:lang w:val="fr-FR"/>
        </w:rPr>
        <w:t>éleveurs assurés</w:t>
      </w:r>
    </w:p>
    <w:p w14:paraId="730F658D" w14:textId="77777777" w:rsidR="00560776" w:rsidRPr="00DF0A94" w:rsidRDefault="00560776" w:rsidP="00E92104">
      <w:pPr>
        <w:pStyle w:val="SingleTxtG"/>
      </w:pPr>
      <w:r w:rsidRPr="00DF0A94">
        <w:rPr>
          <w:noProof/>
          <w:lang w:eastAsia="en-GB"/>
        </w:rPr>
        <w:drawing>
          <wp:inline distT="0" distB="0" distL="0" distR="0" wp14:anchorId="4F5C9B56" wp14:editId="6ADA95AD">
            <wp:extent cx="4611757" cy="1428750"/>
            <wp:effectExtent l="0" t="0" r="1778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B7D593" w14:textId="5EE07751" w:rsidR="00560776" w:rsidRPr="00C8158A" w:rsidRDefault="00560776" w:rsidP="00560776">
      <w:pPr>
        <w:pStyle w:val="SingleTxtG"/>
        <w:rPr>
          <w:lang w:val="fr-FR"/>
        </w:rPr>
      </w:pPr>
      <w:r>
        <w:rPr>
          <w:lang w:val="fr-FR"/>
        </w:rPr>
        <w:t>109.</w:t>
      </w:r>
      <w:r>
        <w:rPr>
          <w:lang w:val="fr-FR"/>
        </w:rPr>
        <w:tab/>
        <w:t>Le Gouvernement s</w:t>
      </w:r>
      <w:r w:rsidR="009C7759">
        <w:rPr>
          <w:lang w:val="fr-FR"/>
        </w:rPr>
        <w:t>’</w:t>
      </w:r>
      <w:r>
        <w:rPr>
          <w:lang w:val="fr-FR"/>
        </w:rPr>
        <w:t xml:space="preserve">emploie à élaborer des projets de loi visant à réformer le système de retraite, en le dotant notamment de plusieurs niveaux, et à mettre en place un système de retraite complémentaire. </w:t>
      </w:r>
    </w:p>
    <w:p w14:paraId="17892BEA" w14:textId="011DCD26" w:rsidR="00560776" w:rsidRPr="00C8158A" w:rsidRDefault="00560776" w:rsidP="00E92104">
      <w:pPr>
        <w:pStyle w:val="H1G"/>
        <w:rPr>
          <w:lang w:val="fr-FR"/>
        </w:rPr>
      </w:pPr>
      <w:r>
        <w:rPr>
          <w:lang w:val="fr-FR"/>
        </w:rPr>
        <w:tab/>
      </w:r>
      <w:r>
        <w:rPr>
          <w:lang w:val="fr-FR"/>
        </w:rPr>
        <w:tab/>
        <w:t>Paragraphe 10 de la liste de points</w:t>
      </w:r>
    </w:p>
    <w:p w14:paraId="04667CBD" w14:textId="2BE7AB4D" w:rsidR="00560776" w:rsidRPr="00C8158A" w:rsidRDefault="00560776" w:rsidP="00560776">
      <w:pPr>
        <w:pStyle w:val="SingleTxtG"/>
        <w:rPr>
          <w:lang w:val="fr-FR"/>
        </w:rPr>
      </w:pPr>
      <w:r>
        <w:rPr>
          <w:lang w:val="fr-FR"/>
        </w:rPr>
        <w:t>110.</w:t>
      </w:r>
      <w:r>
        <w:rPr>
          <w:lang w:val="fr-FR"/>
        </w:rPr>
        <w:tab/>
        <w:t xml:space="preserve">Le projet de code du travail révisé a été soumis au Grand </w:t>
      </w:r>
      <w:proofErr w:type="spellStart"/>
      <w:r>
        <w:rPr>
          <w:lang w:val="fr-FR"/>
        </w:rPr>
        <w:t>Khoural</w:t>
      </w:r>
      <w:proofErr w:type="spellEnd"/>
      <w:r>
        <w:rPr>
          <w:lang w:val="fr-FR"/>
        </w:rPr>
        <w:t xml:space="preserve"> d</w:t>
      </w:r>
      <w:r w:rsidR="009C7759">
        <w:rPr>
          <w:lang w:val="fr-FR"/>
        </w:rPr>
        <w:t>’</w:t>
      </w:r>
      <w:r>
        <w:rPr>
          <w:lang w:val="fr-FR"/>
        </w:rPr>
        <w:t xml:space="preserve">État le 26 mars 2018. Les modifications fondamentales suivantes y avaient été apportées : </w:t>
      </w:r>
    </w:p>
    <w:p w14:paraId="6ACC1222" w14:textId="555841E0" w:rsidR="00560776" w:rsidRPr="00C8158A" w:rsidRDefault="00560776" w:rsidP="00EB3C26">
      <w:pPr>
        <w:pStyle w:val="Bullet1G"/>
        <w:rPr>
          <w:lang w:val="fr-FR"/>
        </w:rPr>
      </w:pPr>
      <w:r>
        <w:rPr>
          <w:lang w:val="fr-FR"/>
        </w:rPr>
        <w:t>Le champ d</w:t>
      </w:r>
      <w:r w:rsidR="009C7759">
        <w:rPr>
          <w:lang w:val="fr-FR"/>
        </w:rPr>
        <w:t>’</w:t>
      </w:r>
      <w:r>
        <w:rPr>
          <w:lang w:val="fr-FR"/>
        </w:rPr>
        <w:t>application du Code a été élargi afin que le droit du travail s</w:t>
      </w:r>
      <w:r w:rsidR="009C7759">
        <w:rPr>
          <w:lang w:val="fr-FR"/>
        </w:rPr>
        <w:t>’</w:t>
      </w:r>
      <w:r>
        <w:rPr>
          <w:lang w:val="fr-FR"/>
        </w:rPr>
        <w:t>applique dès les premiers signes d</w:t>
      </w:r>
      <w:r w:rsidR="009C7759">
        <w:rPr>
          <w:lang w:val="fr-FR"/>
        </w:rPr>
        <w:t>’</w:t>
      </w:r>
      <w:r>
        <w:rPr>
          <w:lang w:val="fr-FR"/>
        </w:rPr>
        <w:t>établissement d</w:t>
      </w:r>
      <w:r w:rsidR="009C7759">
        <w:rPr>
          <w:lang w:val="fr-FR"/>
        </w:rPr>
        <w:t>’</w:t>
      </w:r>
      <w:r>
        <w:rPr>
          <w:lang w:val="fr-FR"/>
        </w:rPr>
        <w:t>une relation de travail, qui sont considérés comme le début d</w:t>
      </w:r>
      <w:r w:rsidR="009C7759">
        <w:rPr>
          <w:lang w:val="fr-FR"/>
        </w:rPr>
        <w:t>’</w:t>
      </w:r>
      <w:r>
        <w:rPr>
          <w:lang w:val="fr-FR"/>
        </w:rPr>
        <w:t>une relation employeur-employé ;</w:t>
      </w:r>
    </w:p>
    <w:p w14:paraId="31E09A63" w14:textId="7EC24FA9" w:rsidR="00560776" w:rsidRPr="00C8158A" w:rsidRDefault="00560776" w:rsidP="00EB3C26">
      <w:pPr>
        <w:pStyle w:val="Bullet1G"/>
        <w:rPr>
          <w:lang w:val="fr-FR"/>
        </w:rPr>
      </w:pPr>
      <w:r>
        <w:rPr>
          <w:lang w:val="fr-FR"/>
        </w:rPr>
        <w:t>Le projet de code établit les normes de base applicables à une relation de travail et améliore celles qui figuraient déjà dans la législation. Les autres questions sociales et relatives au travail doivent être réglées en interne au sein de l</w:t>
      </w:r>
      <w:r w:rsidR="009C7759">
        <w:rPr>
          <w:lang w:val="fr-FR"/>
        </w:rPr>
        <w:t>’</w:t>
      </w:r>
      <w:r>
        <w:rPr>
          <w:lang w:val="fr-FR"/>
        </w:rPr>
        <w:t>entité économique et de l</w:t>
      </w:r>
      <w:r w:rsidR="009C7759">
        <w:rPr>
          <w:lang w:val="fr-FR"/>
        </w:rPr>
        <w:t>’</w:t>
      </w:r>
      <w:r>
        <w:rPr>
          <w:lang w:val="fr-FR"/>
        </w:rPr>
        <w:t>organisation ou par consensus entre l</w:t>
      </w:r>
      <w:r w:rsidR="009C7759">
        <w:rPr>
          <w:lang w:val="fr-FR"/>
        </w:rPr>
        <w:t>’</w:t>
      </w:r>
      <w:r>
        <w:rPr>
          <w:lang w:val="fr-FR"/>
        </w:rPr>
        <w:t>employeur, l</w:t>
      </w:r>
      <w:r w:rsidR="009C7759">
        <w:rPr>
          <w:lang w:val="fr-FR"/>
        </w:rPr>
        <w:t>’</w:t>
      </w:r>
      <w:r>
        <w:rPr>
          <w:lang w:val="fr-FR"/>
        </w:rPr>
        <w:t>employé et ses représentants</w:t>
      </w:r>
      <w:r w:rsidR="00DC23BB">
        <w:rPr>
          <w:lang w:val="fr-FR"/>
        </w:rPr>
        <w:t> </w:t>
      </w:r>
      <w:r>
        <w:rPr>
          <w:lang w:val="fr-FR"/>
        </w:rPr>
        <w:t>;</w:t>
      </w:r>
    </w:p>
    <w:p w14:paraId="108FA182" w14:textId="14DA669B" w:rsidR="00560776" w:rsidRPr="00C8158A" w:rsidRDefault="00560776" w:rsidP="00EB3C26">
      <w:pPr>
        <w:pStyle w:val="Bullet1G"/>
        <w:rPr>
          <w:lang w:val="fr-FR"/>
        </w:rPr>
      </w:pPr>
      <w:r>
        <w:rPr>
          <w:lang w:val="fr-FR"/>
        </w:rPr>
        <w:t>Pour équilibrer les droits et les devoirs de l</w:t>
      </w:r>
      <w:r w:rsidR="009C7759">
        <w:rPr>
          <w:lang w:val="fr-FR"/>
        </w:rPr>
        <w:t>’</w:t>
      </w:r>
      <w:r>
        <w:rPr>
          <w:lang w:val="fr-FR"/>
        </w:rPr>
        <w:t>employeur et de l</w:t>
      </w:r>
      <w:r w:rsidR="009C7759">
        <w:rPr>
          <w:lang w:val="fr-FR"/>
        </w:rPr>
        <w:t>’</w:t>
      </w:r>
      <w:r>
        <w:rPr>
          <w:lang w:val="fr-FR"/>
        </w:rPr>
        <w:t>employé prévus par la loi, qui s</w:t>
      </w:r>
      <w:r w:rsidR="009C7759">
        <w:rPr>
          <w:lang w:val="fr-FR"/>
        </w:rPr>
        <w:t>’</w:t>
      </w:r>
      <w:r>
        <w:rPr>
          <w:lang w:val="fr-FR"/>
        </w:rPr>
        <w:t>ajoutent aux droits fondamentaux dont doit jouir un employé dans le cadre d</w:t>
      </w:r>
      <w:r w:rsidR="009C7759">
        <w:rPr>
          <w:lang w:val="fr-FR"/>
        </w:rPr>
        <w:t>’</w:t>
      </w:r>
      <w:r>
        <w:rPr>
          <w:lang w:val="fr-FR"/>
        </w:rPr>
        <w:t>une relation de travail, le projet de loi énonce les devoirs essentiels d</w:t>
      </w:r>
      <w:r w:rsidR="009C7759">
        <w:rPr>
          <w:lang w:val="fr-FR"/>
        </w:rPr>
        <w:t>’</w:t>
      </w:r>
      <w:r>
        <w:rPr>
          <w:lang w:val="fr-FR"/>
        </w:rPr>
        <w:t>un employé envers l</w:t>
      </w:r>
      <w:r w:rsidR="009C7759">
        <w:rPr>
          <w:lang w:val="fr-FR"/>
        </w:rPr>
        <w:t>’</w:t>
      </w:r>
      <w:r>
        <w:rPr>
          <w:lang w:val="fr-FR"/>
        </w:rPr>
        <w:t>employeur</w:t>
      </w:r>
      <w:r w:rsidR="00DC23BB">
        <w:rPr>
          <w:lang w:val="fr-FR"/>
        </w:rPr>
        <w:t> </w:t>
      </w:r>
      <w:r>
        <w:rPr>
          <w:lang w:val="fr-FR"/>
        </w:rPr>
        <w:t xml:space="preserve">; </w:t>
      </w:r>
    </w:p>
    <w:p w14:paraId="7133AE06" w14:textId="068C78E6" w:rsidR="00560776" w:rsidRPr="00C8158A" w:rsidRDefault="00560776" w:rsidP="00EB3C26">
      <w:pPr>
        <w:pStyle w:val="Bullet1G"/>
        <w:rPr>
          <w:lang w:val="fr-FR"/>
        </w:rPr>
      </w:pPr>
      <w:r>
        <w:rPr>
          <w:lang w:val="fr-FR"/>
        </w:rPr>
        <w:t>Le projet de code comprend une réglementation détaillée portant sur les principes internationaux fondamentaux en matière d</w:t>
      </w:r>
      <w:r w:rsidR="009C7759">
        <w:rPr>
          <w:lang w:val="fr-FR"/>
        </w:rPr>
        <w:t>’</w:t>
      </w:r>
      <w:r>
        <w:rPr>
          <w:lang w:val="fr-FR"/>
        </w:rPr>
        <w:t>emploi, tels que la liberté d</w:t>
      </w:r>
      <w:r w:rsidR="009C7759">
        <w:rPr>
          <w:lang w:val="fr-FR"/>
        </w:rPr>
        <w:t>’</w:t>
      </w:r>
      <w:r>
        <w:rPr>
          <w:lang w:val="fr-FR"/>
        </w:rPr>
        <w:t>association, la non-discrimination, l</w:t>
      </w:r>
      <w:r w:rsidR="009C7759">
        <w:rPr>
          <w:lang w:val="fr-FR"/>
        </w:rPr>
        <w:t>’</w:t>
      </w:r>
      <w:r>
        <w:rPr>
          <w:lang w:val="fr-FR"/>
        </w:rPr>
        <w:t>abolition du travail des enfants, l</w:t>
      </w:r>
      <w:r w:rsidR="009C7759">
        <w:rPr>
          <w:lang w:val="fr-FR"/>
        </w:rPr>
        <w:t>’</w:t>
      </w:r>
      <w:r>
        <w:rPr>
          <w:lang w:val="fr-FR"/>
        </w:rPr>
        <w:t>absence de répression et l</w:t>
      </w:r>
      <w:r w:rsidR="009C7759">
        <w:rPr>
          <w:lang w:val="fr-FR"/>
        </w:rPr>
        <w:t>’</w:t>
      </w:r>
      <w:r>
        <w:rPr>
          <w:lang w:val="fr-FR"/>
        </w:rPr>
        <w:t>élimination du travail forcé ou obligatoire</w:t>
      </w:r>
      <w:r w:rsidR="00DC23BB">
        <w:rPr>
          <w:lang w:val="fr-FR"/>
        </w:rPr>
        <w:t> </w:t>
      </w:r>
      <w:r>
        <w:rPr>
          <w:lang w:val="fr-FR"/>
        </w:rPr>
        <w:t xml:space="preserve">; </w:t>
      </w:r>
    </w:p>
    <w:p w14:paraId="66A8060D" w14:textId="5B162B5B" w:rsidR="00560776" w:rsidRPr="00C8158A" w:rsidRDefault="00560776" w:rsidP="00EB3C26">
      <w:pPr>
        <w:pStyle w:val="Bullet1G"/>
        <w:rPr>
          <w:lang w:val="fr-FR"/>
        </w:rPr>
      </w:pPr>
      <w:r>
        <w:rPr>
          <w:lang w:val="fr-FR"/>
        </w:rPr>
        <w:t>Des dispositions plus précises relatives à l</w:t>
      </w:r>
      <w:r w:rsidR="009C7759">
        <w:rPr>
          <w:lang w:val="fr-FR"/>
        </w:rPr>
        <w:t>’</w:t>
      </w:r>
      <w:r>
        <w:rPr>
          <w:lang w:val="fr-FR"/>
        </w:rPr>
        <w:t>établissement de contrats de travail à durée déterminée ont été ajoutées, et l</w:t>
      </w:r>
      <w:r w:rsidR="009C7759">
        <w:rPr>
          <w:lang w:val="fr-FR"/>
        </w:rPr>
        <w:t>’</w:t>
      </w:r>
      <w:r>
        <w:rPr>
          <w:lang w:val="fr-FR"/>
        </w:rPr>
        <w:t>établissement de contrats à durée indéterminée a été rendu obligatoire pour les postes permanents</w:t>
      </w:r>
      <w:r w:rsidR="00DC23BB">
        <w:rPr>
          <w:lang w:val="fr-FR"/>
        </w:rPr>
        <w:t> </w:t>
      </w:r>
      <w:r>
        <w:rPr>
          <w:lang w:val="fr-FR"/>
        </w:rPr>
        <w:t xml:space="preserve">; </w:t>
      </w:r>
    </w:p>
    <w:p w14:paraId="56FD13E3" w14:textId="18D7FF06" w:rsidR="00560776" w:rsidRPr="00C8158A" w:rsidRDefault="00560776" w:rsidP="00EB3C26">
      <w:pPr>
        <w:pStyle w:val="Bullet1G"/>
        <w:rPr>
          <w:lang w:val="fr-FR"/>
        </w:rPr>
      </w:pPr>
      <w:r>
        <w:rPr>
          <w:lang w:val="fr-FR"/>
        </w:rPr>
        <w:t>Face à l</w:t>
      </w:r>
      <w:r w:rsidR="009C7759">
        <w:rPr>
          <w:lang w:val="fr-FR"/>
        </w:rPr>
        <w:t>’</w:t>
      </w:r>
      <w:r>
        <w:rPr>
          <w:lang w:val="fr-FR"/>
        </w:rPr>
        <w:t>apparition de nouvelles formes d</w:t>
      </w:r>
      <w:r w:rsidR="009C7759">
        <w:rPr>
          <w:lang w:val="fr-FR"/>
        </w:rPr>
        <w:t>’</w:t>
      </w:r>
      <w:r>
        <w:rPr>
          <w:lang w:val="fr-FR"/>
        </w:rPr>
        <w:t>emploi sur le marché du travail, des dispositions réglementaires spécifiques ont été adoptées telles que la relation de travail tripartite, le travail à temps partiel, le travail à distance et le travail par roulement dans des régions éloignées ;</w:t>
      </w:r>
    </w:p>
    <w:p w14:paraId="45F0CC46" w14:textId="2F6456A9" w:rsidR="00560776" w:rsidRPr="00C8158A" w:rsidRDefault="00560776" w:rsidP="00EB3C26">
      <w:pPr>
        <w:pStyle w:val="Bullet1G"/>
        <w:rPr>
          <w:lang w:val="fr-FR"/>
        </w:rPr>
      </w:pPr>
      <w:r>
        <w:rPr>
          <w:lang w:val="fr-FR"/>
        </w:rPr>
        <w:t>Le Code comprend des dispositions qui ont pour effet de subordonner les salaires et rémunérations aux diplômes, d</w:t>
      </w:r>
      <w:r w:rsidR="009C7759">
        <w:rPr>
          <w:lang w:val="fr-FR"/>
        </w:rPr>
        <w:t>’</w:t>
      </w:r>
      <w:r>
        <w:rPr>
          <w:lang w:val="fr-FR"/>
        </w:rPr>
        <w:t>établir un système de qualifications sanctionné au niveau national et de réglementer les salaires et congés annuels du personnel à temps partiel ;</w:t>
      </w:r>
    </w:p>
    <w:p w14:paraId="41D966FB" w14:textId="3B2CFF09" w:rsidR="00560776" w:rsidRPr="00C8158A" w:rsidRDefault="00560776" w:rsidP="00EB3C26">
      <w:pPr>
        <w:pStyle w:val="Bullet1G"/>
        <w:rPr>
          <w:lang w:val="fr-FR"/>
        </w:rPr>
      </w:pPr>
      <w:r>
        <w:rPr>
          <w:lang w:val="fr-FR"/>
        </w:rPr>
        <w:t>Le Code comporte également des dispositions précises relatives aux heures de travail et au droit aux congés de la main-d</w:t>
      </w:r>
      <w:r w:rsidR="009C7759">
        <w:rPr>
          <w:lang w:val="fr-FR"/>
        </w:rPr>
        <w:t>’</w:t>
      </w:r>
      <w:r>
        <w:rPr>
          <w:lang w:val="fr-FR"/>
        </w:rPr>
        <w:t>œuvre du secteur de l</w:t>
      </w:r>
      <w:r w:rsidR="009C7759">
        <w:rPr>
          <w:lang w:val="fr-FR"/>
        </w:rPr>
        <w:t>’</w:t>
      </w:r>
      <w:r>
        <w:rPr>
          <w:lang w:val="fr-FR"/>
        </w:rPr>
        <w:t xml:space="preserve">extraction minière qui travaille dans des zones éloignées de son domicile selon un calendrier de roulement régulier ; </w:t>
      </w:r>
    </w:p>
    <w:p w14:paraId="4C5084F2" w14:textId="40EF39A1" w:rsidR="00560776" w:rsidRPr="00C8158A" w:rsidRDefault="00560776" w:rsidP="00EB3C26">
      <w:pPr>
        <w:pStyle w:val="Bullet1G"/>
        <w:rPr>
          <w:lang w:val="fr-FR"/>
        </w:rPr>
      </w:pPr>
      <w:r>
        <w:rPr>
          <w:lang w:val="fr-FR"/>
        </w:rPr>
        <w:t>Les conflits au travail sont classés en deux catégories</w:t>
      </w:r>
      <w:r w:rsidR="00A737F5">
        <w:rPr>
          <w:lang w:val="fr-FR"/>
        </w:rPr>
        <w:t> </w:t>
      </w:r>
      <w:r>
        <w:rPr>
          <w:lang w:val="fr-FR"/>
        </w:rPr>
        <w:t>: conflits d</w:t>
      </w:r>
      <w:r w:rsidR="009C7759">
        <w:rPr>
          <w:lang w:val="fr-FR"/>
        </w:rPr>
        <w:t>’</w:t>
      </w:r>
      <w:r>
        <w:rPr>
          <w:lang w:val="fr-FR"/>
        </w:rPr>
        <w:t>intérêts ou conflits de droits, ces derniers devant être réglés par une commission d</w:t>
      </w:r>
      <w:r w:rsidR="009C7759">
        <w:rPr>
          <w:lang w:val="fr-FR"/>
        </w:rPr>
        <w:t>’</w:t>
      </w:r>
      <w:r>
        <w:rPr>
          <w:lang w:val="fr-FR"/>
        </w:rPr>
        <w:t>une organisation ou d</w:t>
      </w:r>
      <w:r w:rsidR="009C7759">
        <w:rPr>
          <w:lang w:val="fr-FR"/>
        </w:rPr>
        <w:t>’</w:t>
      </w:r>
      <w:r>
        <w:rPr>
          <w:lang w:val="fr-FR"/>
        </w:rPr>
        <w:t>une entité économique, par une commission tripartite relevant d</w:t>
      </w:r>
      <w:r w:rsidR="009C7759">
        <w:rPr>
          <w:lang w:val="fr-FR"/>
        </w:rPr>
        <w:t>’</w:t>
      </w:r>
      <w:r>
        <w:rPr>
          <w:lang w:val="fr-FR"/>
        </w:rPr>
        <w:t>un soum ou d</w:t>
      </w:r>
      <w:r w:rsidR="009C7759">
        <w:rPr>
          <w:lang w:val="fr-FR"/>
        </w:rPr>
        <w:t>’</w:t>
      </w:r>
      <w:r>
        <w:rPr>
          <w:lang w:val="fr-FR"/>
        </w:rPr>
        <w:t>un district, ou par un tribunal. Les conflits d</w:t>
      </w:r>
      <w:r w:rsidR="009C7759">
        <w:rPr>
          <w:lang w:val="fr-FR"/>
        </w:rPr>
        <w:t>’</w:t>
      </w:r>
      <w:r>
        <w:rPr>
          <w:lang w:val="fr-FR"/>
        </w:rPr>
        <w:t xml:space="preserve">intérêts doivent dans un premier temps faire </w:t>
      </w:r>
      <w:r>
        <w:rPr>
          <w:lang w:val="fr-FR"/>
        </w:rPr>
        <w:lastRenderedPageBreak/>
        <w:t>l</w:t>
      </w:r>
      <w:r w:rsidR="009C7759">
        <w:rPr>
          <w:lang w:val="fr-FR"/>
        </w:rPr>
        <w:t>’</w:t>
      </w:r>
      <w:r>
        <w:rPr>
          <w:lang w:val="fr-FR"/>
        </w:rPr>
        <w:t>objet d</w:t>
      </w:r>
      <w:r w:rsidR="009C7759">
        <w:rPr>
          <w:lang w:val="fr-FR"/>
        </w:rPr>
        <w:t>’</w:t>
      </w:r>
      <w:r>
        <w:rPr>
          <w:lang w:val="fr-FR"/>
        </w:rPr>
        <w:t>une conciliation entre les parties, puis être soumis à un médiateur ou un arbitre du travail, avant d</w:t>
      </w:r>
      <w:r w:rsidR="009C7759">
        <w:rPr>
          <w:lang w:val="fr-FR"/>
        </w:rPr>
        <w:t>’</w:t>
      </w:r>
      <w:r>
        <w:rPr>
          <w:lang w:val="fr-FR"/>
        </w:rPr>
        <w:t>être réglés, en dernier recours, par l</w:t>
      </w:r>
      <w:r w:rsidR="009C7759">
        <w:rPr>
          <w:lang w:val="fr-FR"/>
        </w:rPr>
        <w:t>’</w:t>
      </w:r>
      <w:r>
        <w:rPr>
          <w:lang w:val="fr-FR"/>
        </w:rPr>
        <w:t>organisation d</w:t>
      </w:r>
      <w:r w:rsidR="009C7759">
        <w:rPr>
          <w:lang w:val="fr-FR"/>
        </w:rPr>
        <w:t>’</w:t>
      </w:r>
      <w:r>
        <w:rPr>
          <w:lang w:val="fr-FR"/>
        </w:rPr>
        <w:t xml:space="preserve">une grève. </w:t>
      </w:r>
    </w:p>
    <w:p w14:paraId="480928FB" w14:textId="3F18DFAC" w:rsidR="00560776" w:rsidRPr="00C8158A" w:rsidRDefault="00560776" w:rsidP="00560776">
      <w:pPr>
        <w:pStyle w:val="SingleTxtG"/>
        <w:rPr>
          <w:lang w:val="fr-FR"/>
        </w:rPr>
      </w:pPr>
      <w:r>
        <w:rPr>
          <w:lang w:val="fr-FR"/>
        </w:rPr>
        <w:t>111.</w:t>
      </w:r>
      <w:r>
        <w:rPr>
          <w:lang w:val="fr-FR"/>
        </w:rPr>
        <w:tab/>
        <w:t>Dans le cadre de l</w:t>
      </w:r>
      <w:r w:rsidR="009C7759">
        <w:rPr>
          <w:lang w:val="fr-FR"/>
        </w:rPr>
        <w:t>’</w:t>
      </w:r>
      <w:r>
        <w:rPr>
          <w:lang w:val="fr-FR"/>
        </w:rPr>
        <w:t>application de la loi relative à l</w:t>
      </w:r>
      <w:r w:rsidR="009C7759">
        <w:rPr>
          <w:lang w:val="fr-FR"/>
        </w:rPr>
        <w:t>’</w:t>
      </w:r>
      <w:r>
        <w:rPr>
          <w:lang w:val="fr-FR"/>
        </w:rPr>
        <w:t>aide à l</w:t>
      </w:r>
      <w:r w:rsidR="009C7759">
        <w:rPr>
          <w:lang w:val="fr-FR"/>
        </w:rPr>
        <w:t>’</w:t>
      </w:r>
      <w:r>
        <w:rPr>
          <w:lang w:val="fr-FR"/>
        </w:rPr>
        <w:t>emploi, les programmes suivants, approuvés par le Conseil national de l</w:t>
      </w:r>
      <w:r w:rsidR="009C7759">
        <w:rPr>
          <w:lang w:val="fr-FR"/>
        </w:rPr>
        <w:t>’</w:t>
      </w:r>
      <w:r>
        <w:rPr>
          <w:lang w:val="fr-FR"/>
        </w:rPr>
        <w:t>emploi, sont réalisés pour promouvoir l</w:t>
      </w:r>
      <w:r w:rsidR="009C7759">
        <w:rPr>
          <w:lang w:val="fr-FR"/>
        </w:rPr>
        <w:t>’</w:t>
      </w:r>
      <w:r>
        <w:rPr>
          <w:lang w:val="fr-FR"/>
        </w:rPr>
        <w:t>emploi parmi les groupes vulnérables ciblés</w:t>
      </w:r>
      <w:r w:rsidR="008F6EE8">
        <w:rPr>
          <w:lang w:val="fr-FR"/>
        </w:rPr>
        <w:t> </w:t>
      </w:r>
      <w:r>
        <w:rPr>
          <w:lang w:val="fr-FR"/>
        </w:rPr>
        <w:t>: programme de préparation à l</w:t>
      </w:r>
      <w:r w:rsidR="009C7759">
        <w:rPr>
          <w:lang w:val="fr-FR"/>
        </w:rPr>
        <w:t>’</w:t>
      </w:r>
      <w:r>
        <w:rPr>
          <w:lang w:val="fr-FR"/>
        </w:rPr>
        <w:t>emploi et de formation professionnelle, programme de soutien en milieu de travail, programme d</w:t>
      </w:r>
      <w:r w:rsidR="009C7759">
        <w:rPr>
          <w:lang w:val="fr-FR"/>
        </w:rPr>
        <w:t>’</w:t>
      </w:r>
      <w:r>
        <w:rPr>
          <w:lang w:val="fr-FR"/>
        </w:rPr>
        <w:t>aide à l</w:t>
      </w:r>
      <w:r w:rsidR="009C7759">
        <w:rPr>
          <w:lang w:val="fr-FR"/>
        </w:rPr>
        <w:t>’</w:t>
      </w:r>
      <w:r>
        <w:rPr>
          <w:lang w:val="fr-FR"/>
        </w:rPr>
        <w:t>emploi et à la création d</w:t>
      </w:r>
      <w:r w:rsidR="009C7759">
        <w:rPr>
          <w:lang w:val="fr-FR"/>
        </w:rPr>
        <w:t>’</w:t>
      </w:r>
      <w:r>
        <w:rPr>
          <w:lang w:val="fr-FR"/>
        </w:rPr>
        <w:t>entreprise destiné aux jeunes, programme de promotion de l</w:t>
      </w:r>
      <w:r w:rsidR="009C7759">
        <w:rPr>
          <w:lang w:val="fr-FR"/>
        </w:rPr>
        <w:t>’</w:t>
      </w:r>
      <w:r>
        <w:rPr>
          <w:lang w:val="fr-FR"/>
        </w:rPr>
        <w:t>emploi des éleveurs, programme de promotion de l</w:t>
      </w:r>
      <w:r w:rsidR="009C7759">
        <w:rPr>
          <w:lang w:val="fr-FR"/>
        </w:rPr>
        <w:t>’</w:t>
      </w:r>
      <w:r>
        <w:rPr>
          <w:lang w:val="fr-FR"/>
        </w:rPr>
        <w:t>emploi des personnes handicapées et programme de promotion des services de conseil dispensés par des personnes âgées. Les femmes et les hommes appartenant aux groupes cibles susmentionnés ont la possibilité de s</w:t>
      </w:r>
      <w:r w:rsidR="009C7759">
        <w:rPr>
          <w:lang w:val="fr-FR"/>
        </w:rPr>
        <w:t>’</w:t>
      </w:r>
      <w:r>
        <w:rPr>
          <w:lang w:val="fr-FR"/>
        </w:rPr>
        <w:t>inscrire à ces programmes, les femmes représentant 56,3</w:t>
      </w:r>
      <w:r w:rsidR="003057F3">
        <w:rPr>
          <w:lang w:val="fr-FR"/>
        </w:rPr>
        <w:t> </w:t>
      </w:r>
      <w:r>
        <w:rPr>
          <w:lang w:val="fr-FR"/>
        </w:rPr>
        <w:t>% de l</w:t>
      </w:r>
      <w:r w:rsidR="009C7759">
        <w:rPr>
          <w:lang w:val="fr-FR"/>
        </w:rPr>
        <w:t>’</w:t>
      </w:r>
      <w:r>
        <w:rPr>
          <w:lang w:val="fr-FR"/>
        </w:rPr>
        <w:t xml:space="preserve">ensemble des bénéficiaires. </w:t>
      </w:r>
    </w:p>
    <w:p w14:paraId="227602B2" w14:textId="11EC8EC5" w:rsidR="00560776" w:rsidRPr="00C8158A" w:rsidRDefault="00560776" w:rsidP="00560776">
      <w:pPr>
        <w:pStyle w:val="SingleTxtG"/>
        <w:rPr>
          <w:lang w:val="fr-FR"/>
        </w:rPr>
      </w:pPr>
      <w:r>
        <w:rPr>
          <w:lang w:val="fr-FR"/>
        </w:rPr>
        <w:t>112.</w:t>
      </w:r>
      <w:r>
        <w:rPr>
          <w:lang w:val="fr-FR"/>
        </w:rPr>
        <w:tab/>
        <w:t>Le programme de préparation à l</w:t>
      </w:r>
      <w:r w:rsidR="009C7759">
        <w:rPr>
          <w:lang w:val="fr-FR"/>
        </w:rPr>
        <w:t>’</w:t>
      </w:r>
      <w:r>
        <w:rPr>
          <w:lang w:val="fr-FR"/>
        </w:rPr>
        <w:t>emploi et de formation professionnelle vise à favoriser l</w:t>
      </w:r>
      <w:r w:rsidR="009C7759">
        <w:rPr>
          <w:lang w:val="fr-FR"/>
        </w:rPr>
        <w:t>’</w:t>
      </w:r>
      <w:r>
        <w:rPr>
          <w:lang w:val="fr-FR"/>
        </w:rPr>
        <w:t>accès à l</w:t>
      </w:r>
      <w:r w:rsidR="009C7759">
        <w:rPr>
          <w:lang w:val="fr-FR"/>
        </w:rPr>
        <w:t>’</w:t>
      </w:r>
      <w:r>
        <w:rPr>
          <w:lang w:val="fr-FR"/>
        </w:rPr>
        <w:t>emploi des citoyens sans activité professionnelle en leur fournissant des services d</w:t>
      </w:r>
      <w:r w:rsidR="009C7759">
        <w:rPr>
          <w:lang w:val="fr-FR"/>
        </w:rPr>
        <w:t>’</w:t>
      </w:r>
      <w:r>
        <w:rPr>
          <w:lang w:val="fr-FR"/>
        </w:rPr>
        <w:t>orientation professionnelle et d</w:t>
      </w:r>
      <w:r w:rsidR="009C7759">
        <w:rPr>
          <w:lang w:val="fr-FR"/>
        </w:rPr>
        <w:t>’</w:t>
      </w:r>
      <w:r>
        <w:rPr>
          <w:lang w:val="fr-FR"/>
        </w:rPr>
        <w:t>orientation au milieu de travail, et une formation et une expérience professionnelles. Entre 2015 et (avril) 2020, le Fonds de promotion de l</w:t>
      </w:r>
      <w:r w:rsidR="009C7759">
        <w:rPr>
          <w:lang w:val="fr-FR"/>
        </w:rPr>
        <w:t>’</w:t>
      </w:r>
      <w:r>
        <w:rPr>
          <w:lang w:val="fr-FR"/>
        </w:rPr>
        <w:t xml:space="preserve">emploi a alloué un montant total de 5,6 milliards de </w:t>
      </w:r>
      <w:proofErr w:type="spellStart"/>
      <w:r>
        <w:rPr>
          <w:lang w:val="fr-FR"/>
        </w:rPr>
        <w:t>togrogs</w:t>
      </w:r>
      <w:proofErr w:type="spellEnd"/>
      <w:r>
        <w:rPr>
          <w:lang w:val="fr-FR"/>
        </w:rPr>
        <w:t xml:space="preserve"> à la réalisation du programme, lequel a bénéficié à 28</w:t>
      </w:r>
      <w:r w:rsidR="003057F3">
        <w:rPr>
          <w:lang w:val="fr-FR"/>
        </w:rPr>
        <w:t> </w:t>
      </w:r>
      <w:r>
        <w:rPr>
          <w:lang w:val="fr-FR"/>
        </w:rPr>
        <w:t>476</w:t>
      </w:r>
      <w:r w:rsidR="003057F3">
        <w:rPr>
          <w:lang w:val="fr-FR"/>
        </w:rPr>
        <w:t> </w:t>
      </w:r>
      <w:r>
        <w:rPr>
          <w:lang w:val="fr-FR"/>
        </w:rPr>
        <w:t xml:space="preserve">citoyens, dont 7 888 ont trouvé un emploi permanent. </w:t>
      </w:r>
    </w:p>
    <w:p w14:paraId="24523484" w14:textId="38C0F7D9" w:rsidR="00560776" w:rsidRPr="00C8158A" w:rsidRDefault="00560776" w:rsidP="00560776">
      <w:pPr>
        <w:pStyle w:val="SingleTxtG"/>
        <w:rPr>
          <w:lang w:val="fr-FR"/>
        </w:rPr>
      </w:pPr>
      <w:r>
        <w:rPr>
          <w:lang w:val="fr-FR"/>
        </w:rPr>
        <w:t>113.</w:t>
      </w:r>
      <w:r>
        <w:rPr>
          <w:lang w:val="fr-FR"/>
        </w:rPr>
        <w:tab/>
        <w:t>Le programme de soutien en milieu de travail fournit un appui notamment financier aux travailleurs indépendants, aux propriétaires de coopératives et de microentreprises et aux petits prestataires de services. Il favorise ainsi la création d</w:t>
      </w:r>
      <w:r w:rsidR="009C7759">
        <w:rPr>
          <w:lang w:val="fr-FR"/>
        </w:rPr>
        <w:t>’</w:t>
      </w:r>
      <w:r>
        <w:rPr>
          <w:lang w:val="fr-FR"/>
        </w:rPr>
        <w:t>emplois permanents et le maintien en poste, récompense les employeurs et contribue à augmenter les revenus des demandeurs d</w:t>
      </w:r>
      <w:r w:rsidR="009C7759">
        <w:rPr>
          <w:lang w:val="fr-FR"/>
        </w:rPr>
        <w:t>’</w:t>
      </w:r>
      <w:r>
        <w:rPr>
          <w:lang w:val="fr-FR"/>
        </w:rPr>
        <w:t>emploi, des étudiants et des apprentis des écoles de formation professionnelle en leur fournissant des emplois temporaires. Entre 2015 et (avril) 2020, le Fonds de promotion de l</w:t>
      </w:r>
      <w:r w:rsidR="009C7759">
        <w:rPr>
          <w:lang w:val="fr-FR"/>
        </w:rPr>
        <w:t>’</w:t>
      </w:r>
      <w:r>
        <w:rPr>
          <w:lang w:val="fr-FR"/>
        </w:rPr>
        <w:t>emploi a alloué un montant total de 39,7</w:t>
      </w:r>
      <w:r w:rsidR="003057F3">
        <w:rPr>
          <w:lang w:val="fr-FR"/>
        </w:rPr>
        <w:t> </w:t>
      </w:r>
      <w:r>
        <w:rPr>
          <w:lang w:val="fr-FR"/>
        </w:rPr>
        <w:t xml:space="preserve">milliards de </w:t>
      </w:r>
      <w:proofErr w:type="spellStart"/>
      <w:r>
        <w:rPr>
          <w:lang w:val="fr-FR"/>
        </w:rPr>
        <w:t>togrogs</w:t>
      </w:r>
      <w:proofErr w:type="spellEnd"/>
      <w:r>
        <w:rPr>
          <w:lang w:val="fr-FR"/>
        </w:rPr>
        <w:t xml:space="preserve"> à la réalisation du programme, lequel a bénéficié à 97</w:t>
      </w:r>
      <w:r w:rsidR="003057F3">
        <w:rPr>
          <w:lang w:val="fr-FR"/>
        </w:rPr>
        <w:t> </w:t>
      </w:r>
      <w:r>
        <w:rPr>
          <w:lang w:val="fr-FR"/>
        </w:rPr>
        <w:t>570</w:t>
      </w:r>
      <w:r w:rsidR="003057F3">
        <w:rPr>
          <w:lang w:val="fr-FR"/>
        </w:rPr>
        <w:t> </w:t>
      </w:r>
      <w:r>
        <w:rPr>
          <w:lang w:val="fr-FR"/>
        </w:rPr>
        <w:t>citoyens, dont 8</w:t>
      </w:r>
      <w:r w:rsidR="003057F3">
        <w:rPr>
          <w:lang w:val="fr-FR"/>
        </w:rPr>
        <w:t> </w:t>
      </w:r>
      <w:r>
        <w:rPr>
          <w:lang w:val="fr-FR"/>
        </w:rPr>
        <w:t xml:space="preserve">677 </w:t>
      </w:r>
      <w:r w:rsidRPr="00C47A89">
        <w:rPr>
          <w:lang w:val="fr-FR"/>
        </w:rPr>
        <w:t>ont trouvé un emploi permanent</w:t>
      </w:r>
      <w:r w:rsidR="005456BD" w:rsidRPr="00C47A89">
        <w:rPr>
          <w:lang w:val="fr-FR"/>
        </w:rPr>
        <w:t xml:space="preserve"> et</w:t>
      </w:r>
      <w:r w:rsidR="005456BD">
        <w:rPr>
          <w:lang w:val="fr-FR"/>
        </w:rPr>
        <w:t xml:space="preserve"> 48 490 un emploi temporaire</w:t>
      </w:r>
      <w:r>
        <w:rPr>
          <w:lang w:val="fr-FR"/>
        </w:rPr>
        <w:t xml:space="preserve">. </w:t>
      </w:r>
    </w:p>
    <w:p w14:paraId="00B57B3B" w14:textId="5610D663" w:rsidR="00560776" w:rsidRPr="00C8158A" w:rsidRDefault="00560776" w:rsidP="00560776">
      <w:pPr>
        <w:pStyle w:val="SingleTxtG"/>
        <w:rPr>
          <w:lang w:val="fr-FR"/>
        </w:rPr>
      </w:pPr>
      <w:r>
        <w:rPr>
          <w:lang w:val="fr-FR"/>
        </w:rPr>
        <w:t>114.</w:t>
      </w:r>
      <w:r>
        <w:rPr>
          <w:lang w:val="fr-FR"/>
        </w:rPr>
        <w:tab/>
        <w:t>Le programme d</w:t>
      </w:r>
      <w:r w:rsidR="009C7759">
        <w:rPr>
          <w:lang w:val="fr-FR"/>
        </w:rPr>
        <w:t>’</w:t>
      </w:r>
      <w:r>
        <w:rPr>
          <w:lang w:val="fr-FR"/>
        </w:rPr>
        <w:t>aide à l</w:t>
      </w:r>
      <w:r w:rsidR="009C7759">
        <w:rPr>
          <w:lang w:val="fr-FR"/>
        </w:rPr>
        <w:t>’</w:t>
      </w:r>
      <w:r>
        <w:rPr>
          <w:lang w:val="fr-FR"/>
        </w:rPr>
        <w:t>emploi et à la création d</w:t>
      </w:r>
      <w:r w:rsidR="009C7759">
        <w:rPr>
          <w:lang w:val="fr-FR"/>
        </w:rPr>
        <w:t>’</w:t>
      </w:r>
      <w:r>
        <w:rPr>
          <w:lang w:val="fr-FR"/>
        </w:rPr>
        <w:t>entreprises destiné aux jeunes vise à promouvoir l</w:t>
      </w:r>
      <w:r w:rsidR="009C7759">
        <w:rPr>
          <w:lang w:val="fr-FR"/>
        </w:rPr>
        <w:t>’</w:t>
      </w:r>
      <w:r>
        <w:rPr>
          <w:lang w:val="fr-FR"/>
        </w:rPr>
        <w:t>emploi des personnes âgées de 18 à 34</w:t>
      </w:r>
      <w:r w:rsidR="003057F3">
        <w:rPr>
          <w:lang w:val="fr-FR"/>
        </w:rPr>
        <w:t> </w:t>
      </w:r>
      <w:r>
        <w:rPr>
          <w:lang w:val="fr-FR"/>
        </w:rPr>
        <w:t>ans en leur fournissant des services d</w:t>
      </w:r>
      <w:r w:rsidR="009C7759">
        <w:rPr>
          <w:lang w:val="fr-FR"/>
        </w:rPr>
        <w:t>’</w:t>
      </w:r>
      <w:r>
        <w:rPr>
          <w:lang w:val="fr-FR"/>
        </w:rPr>
        <w:t>aide à l</w:t>
      </w:r>
      <w:r w:rsidR="009C7759">
        <w:rPr>
          <w:lang w:val="fr-FR"/>
        </w:rPr>
        <w:t>’</w:t>
      </w:r>
      <w:r>
        <w:rPr>
          <w:lang w:val="fr-FR"/>
        </w:rPr>
        <w:t>obtention d</w:t>
      </w:r>
      <w:r w:rsidR="009C7759">
        <w:rPr>
          <w:lang w:val="fr-FR"/>
        </w:rPr>
        <w:t>’</w:t>
      </w:r>
      <w:r>
        <w:rPr>
          <w:lang w:val="fr-FR"/>
        </w:rPr>
        <w:t>emplois communs, en les associant à des projets de promotion de l</w:t>
      </w:r>
      <w:r w:rsidR="009C7759">
        <w:rPr>
          <w:lang w:val="fr-FR"/>
        </w:rPr>
        <w:t>’</w:t>
      </w:r>
      <w:r>
        <w:rPr>
          <w:lang w:val="fr-FR"/>
        </w:rPr>
        <w:t>emploi, en soutenant leur création d</w:t>
      </w:r>
      <w:r w:rsidR="009C7759">
        <w:rPr>
          <w:lang w:val="fr-FR"/>
        </w:rPr>
        <w:t>’</w:t>
      </w:r>
      <w:r>
        <w:rPr>
          <w:lang w:val="fr-FR"/>
        </w:rPr>
        <w:t>entreprises fondées sur l</w:t>
      </w:r>
      <w:r w:rsidR="009C7759">
        <w:rPr>
          <w:lang w:val="fr-FR"/>
        </w:rPr>
        <w:t>’</w:t>
      </w:r>
      <w:r>
        <w:rPr>
          <w:lang w:val="fr-FR"/>
        </w:rPr>
        <w:t>innovation et l</w:t>
      </w:r>
      <w:r w:rsidR="009C7759">
        <w:rPr>
          <w:lang w:val="fr-FR"/>
        </w:rPr>
        <w:t>’</w:t>
      </w:r>
      <w:r>
        <w:rPr>
          <w:lang w:val="fr-FR"/>
        </w:rPr>
        <w:t>acquisition de compétences commerciales et en les aidant à assurer la viabilité de ces entreprises. Entre 2015 et (avril) 2020, le Fonds de promotion de l</w:t>
      </w:r>
      <w:r w:rsidR="009C7759">
        <w:rPr>
          <w:lang w:val="fr-FR"/>
        </w:rPr>
        <w:t>’</w:t>
      </w:r>
      <w:r>
        <w:rPr>
          <w:lang w:val="fr-FR"/>
        </w:rPr>
        <w:t xml:space="preserve">emploi a alloué un montant total de 8,81 milliards de </w:t>
      </w:r>
      <w:proofErr w:type="spellStart"/>
      <w:r>
        <w:rPr>
          <w:lang w:val="fr-FR"/>
        </w:rPr>
        <w:t>togrogs</w:t>
      </w:r>
      <w:proofErr w:type="spellEnd"/>
      <w:r>
        <w:rPr>
          <w:lang w:val="fr-FR"/>
        </w:rPr>
        <w:t xml:space="preserve"> à la réalisation du programme, lequel a bénéficié à 10</w:t>
      </w:r>
      <w:r w:rsidR="003057F3">
        <w:rPr>
          <w:lang w:val="fr-FR"/>
        </w:rPr>
        <w:t> </w:t>
      </w:r>
      <w:r>
        <w:rPr>
          <w:lang w:val="fr-FR"/>
        </w:rPr>
        <w:t>951</w:t>
      </w:r>
      <w:r w:rsidR="003057F3">
        <w:rPr>
          <w:lang w:val="fr-FR"/>
        </w:rPr>
        <w:t> </w:t>
      </w:r>
      <w:r>
        <w:rPr>
          <w:lang w:val="fr-FR"/>
        </w:rPr>
        <w:t>jeunes, dont 1</w:t>
      </w:r>
      <w:r w:rsidR="003057F3">
        <w:rPr>
          <w:lang w:val="fr-FR"/>
        </w:rPr>
        <w:t> </w:t>
      </w:r>
      <w:r>
        <w:rPr>
          <w:lang w:val="fr-FR"/>
        </w:rPr>
        <w:t>795 ont trouvé un emploi permanent.</w:t>
      </w:r>
    </w:p>
    <w:p w14:paraId="4D4540A7" w14:textId="7C295D11" w:rsidR="00560776" w:rsidRPr="00C8158A" w:rsidRDefault="00560776" w:rsidP="00560776">
      <w:pPr>
        <w:pStyle w:val="SingleTxtG"/>
        <w:rPr>
          <w:lang w:val="fr-FR"/>
        </w:rPr>
      </w:pPr>
      <w:r>
        <w:rPr>
          <w:lang w:val="fr-FR"/>
        </w:rPr>
        <w:t>115.</w:t>
      </w:r>
      <w:r>
        <w:rPr>
          <w:lang w:val="fr-FR"/>
        </w:rPr>
        <w:tab/>
        <w:t>Le programme de promotion de l</w:t>
      </w:r>
      <w:r w:rsidR="009C7759">
        <w:rPr>
          <w:lang w:val="fr-FR"/>
        </w:rPr>
        <w:t>’</w:t>
      </w:r>
      <w:r>
        <w:rPr>
          <w:lang w:val="fr-FR"/>
        </w:rPr>
        <w:t>emploi destiné aux éleveurs vise à promouvoir l</w:t>
      </w:r>
      <w:r w:rsidR="009C7759">
        <w:rPr>
          <w:lang w:val="fr-FR"/>
        </w:rPr>
        <w:t>’</w:t>
      </w:r>
      <w:r>
        <w:rPr>
          <w:lang w:val="fr-FR"/>
        </w:rPr>
        <w:t>emploi parmi cette catégorie de la population en proposant une aide à l</w:t>
      </w:r>
      <w:r w:rsidR="009C7759">
        <w:rPr>
          <w:lang w:val="fr-FR"/>
        </w:rPr>
        <w:t>’</w:t>
      </w:r>
      <w:r>
        <w:rPr>
          <w:lang w:val="fr-FR"/>
        </w:rPr>
        <w:t>emploi aux ménages qui ont quitté les zones urbaines pour vivre en milieu rural et souhaitent s</w:t>
      </w:r>
      <w:r w:rsidR="009C7759">
        <w:rPr>
          <w:lang w:val="fr-FR"/>
        </w:rPr>
        <w:t>’</w:t>
      </w:r>
      <w:r>
        <w:rPr>
          <w:lang w:val="fr-FR"/>
        </w:rPr>
        <w:t>occuper de bétail, ainsi qu</w:t>
      </w:r>
      <w:r w:rsidR="009C7759">
        <w:rPr>
          <w:lang w:val="fr-FR"/>
        </w:rPr>
        <w:t>’</w:t>
      </w:r>
      <w:r>
        <w:rPr>
          <w:lang w:val="fr-FR"/>
        </w:rPr>
        <w:t>en reconstituant le cheptel des citoyens qui n</w:t>
      </w:r>
      <w:r w:rsidR="009C7759">
        <w:rPr>
          <w:lang w:val="fr-FR"/>
        </w:rPr>
        <w:t>’</w:t>
      </w:r>
      <w:r>
        <w:rPr>
          <w:lang w:val="fr-FR"/>
        </w:rPr>
        <w:t>ont pas ou peu d</w:t>
      </w:r>
      <w:r w:rsidR="009C7759">
        <w:rPr>
          <w:lang w:val="fr-FR"/>
        </w:rPr>
        <w:t>’</w:t>
      </w:r>
      <w:r>
        <w:rPr>
          <w:lang w:val="fr-FR"/>
        </w:rPr>
        <w:t>animaux. Entre 2015 et (avril) 2020, le Fonds de promotion de l</w:t>
      </w:r>
      <w:r w:rsidR="009C7759">
        <w:rPr>
          <w:lang w:val="fr-FR"/>
        </w:rPr>
        <w:t>’</w:t>
      </w:r>
      <w:r>
        <w:rPr>
          <w:lang w:val="fr-FR"/>
        </w:rPr>
        <w:t xml:space="preserve">emploi a alloué un montant total de 20,16 milliards de </w:t>
      </w:r>
      <w:proofErr w:type="spellStart"/>
      <w:r>
        <w:rPr>
          <w:lang w:val="fr-FR"/>
        </w:rPr>
        <w:t>togrogs</w:t>
      </w:r>
      <w:proofErr w:type="spellEnd"/>
      <w:r>
        <w:rPr>
          <w:lang w:val="fr-FR"/>
        </w:rPr>
        <w:t xml:space="preserve"> à la réalisation du programme, lequel a bénéficié à 5 511 familles d</w:t>
      </w:r>
      <w:r w:rsidR="009C7759">
        <w:rPr>
          <w:lang w:val="fr-FR"/>
        </w:rPr>
        <w:t>’</w:t>
      </w:r>
      <w:r>
        <w:rPr>
          <w:lang w:val="fr-FR"/>
        </w:rPr>
        <w:t>éleveurs et a permis à 5</w:t>
      </w:r>
      <w:r w:rsidR="005178AC">
        <w:rPr>
          <w:lang w:val="fr-FR"/>
        </w:rPr>
        <w:t> </w:t>
      </w:r>
      <w:r>
        <w:rPr>
          <w:lang w:val="fr-FR"/>
        </w:rPr>
        <w:t>711</w:t>
      </w:r>
      <w:r w:rsidR="005178AC">
        <w:rPr>
          <w:lang w:val="fr-FR"/>
        </w:rPr>
        <w:t> </w:t>
      </w:r>
      <w:r>
        <w:rPr>
          <w:lang w:val="fr-FR"/>
        </w:rPr>
        <w:t>citoyens de trouver un emploi permanent.</w:t>
      </w:r>
    </w:p>
    <w:p w14:paraId="74CE25AD" w14:textId="45F13140" w:rsidR="00560776" w:rsidRPr="00C8158A" w:rsidRDefault="00560776" w:rsidP="00560776">
      <w:pPr>
        <w:pStyle w:val="SingleTxtG"/>
        <w:rPr>
          <w:lang w:val="fr-FR"/>
        </w:rPr>
      </w:pPr>
      <w:r>
        <w:rPr>
          <w:lang w:val="fr-FR"/>
        </w:rPr>
        <w:t>116.</w:t>
      </w:r>
      <w:r>
        <w:rPr>
          <w:lang w:val="fr-FR"/>
        </w:rPr>
        <w:tab/>
        <w:t>Le programme de promotion de l</w:t>
      </w:r>
      <w:r w:rsidR="009C7759">
        <w:rPr>
          <w:lang w:val="fr-FR"/>
        </w:rPr>
        <w:t>’</w:t>
      </w:r>
      <w:r>
        <w:rPr>
          <w:lang w:val="fr-FR"/>
        </w:rPr>
        <w:t>emploi des personnes handicapées vise à promouvoir l</w:t>
      </w:r>
      <w:r w:rsidR="009C7759">
        <w:rPr>
          <w:lang w:val="fr-FR"/>
        </w:rPr>
        <w:t>’</w:t>
      </w:r>
      <w:r>
        <w:rPr>
          <w:lang w:val="fr-FR"/>
        </w:rPr>
        <w:t>emploi de ces personnes et à augmenter le nombre de postes permanents qui leur sont proposés grâce à des services de préparation à l</w:t>
      </w:r>
      <w:r w:rsidR="009C7759">
        <w:rPr>
          <w:lang w:val="fr-FR"/>
        </w:rPr>
        <w:t>’</w:t>
      </w:r>
      <w:r>
        <w:rPr>
          <w:lang w:val="fr-FR"/>
        </w:rPr>
        <w:t>emploi et de médiation et de formation professionnelles et à leur participation à des initiatives de promotion de l</w:t>
      </w:r>
      <w:r w:rsidR="009C7759">
        <w:rPr>
          <w:lang w:val="fr-FR"/>
        </w:rPr>
        <w:t>’</w:t>
      </w:r>
      <w:r>
        <w:rPr>
          <w:lang w:val="fr-FR"/>
        </w:rPr>
        <w:t>emploi et d</w:t>
      </w:r>
      <w:r w:rsidR="009C7759">
        <w:rPr>
          <w:lang w:val="fr-FR"/>
        </w:rPr>
        <w:t>’</w:t>
      </w:r>
      <w:r>
        <w:rPr>
          <w:lang w:val="fr-FR"/>
        </w:rPr>
        <w:t>aide financière spécialement conçues. Entre 2015 et (avril) 2020, le Fonds de promotion de l</w:t>
      </w:r>
      <w:r w:rsidR="009C7759">
        <w:rPr>
          <w:lang w:val="fr-FR"/>
        </w:rPr>
        <w:t>’</w:t>
      </w:r>
      <w:r>
        <w:rPr>
          <w:lang w:val="fr-FR"/>
        </w:rPr>
        <w:t>emploi a alloué un montant total de 12,4</w:t>
      </w:r>
      <w:r w:rsidR="005178AC">
        <w:rPr>
          <w:lang w:val="fr-FR"/>
        </w:rPr>
        <w:t> </w:t>
      </w:r>
      <w:r>
        <w:rPr>
          <w:lang w:val="fr-FR"/>
        </w:rPr>
        <w:t xml:space="preserve">milliards de </w:t>
      </w:r>
      <w:proofErr w:type="spellStart"/>
      <w:r>
        <w:rPr>
          <w:lang w:val="fr-FR"/>
        </w:rPr>
        <w:t>togrogs</w:t>
      </w:r>
      <w:proofErr w:type="spellEnd"/>
      <w:r>
        <w:rPr>
          <w:lang w:val="fr-FR"/>
        </w:rPr>
        <w:t xml:space="preserve"> à la réalisation du programme, lequel a </w:t>
      </w:r>
      <w:r w:rsidRPr="005456BD">
        <w:rPr>
          <w:lang w:val="fr-FR"/>
        </w:rPr>
        <w:t>bénéficié à 17</w:t>
      </w:r>
      <w:r w:rsidR="005178AC" w:rsidRPr="005456BD">
        <w:rPr>
          <w:lang w:val="fr-FR"/>
        </w:rPr>
        <w:t> </w:t>
      </w:r>
      <w:r w:rsidRPr="005456BD">
        <w:rPr>
          <w:lang w:val="fr-FR"/>
        </w:rPr>
        <w:t>43</w:t>
      </w:r>
      <w:r w:rsidR="005456BD" w:rsidRPr="005456BD">
        <w:rPr>
          <w:lang w:val="fr-FR"/>
        </w:rPr>
        <w:t>1</w:t>
      </w:r>
      <w:r w:rsidR="005178AC" w:rsidRPr="005456BD">
        <w:rPr>
          <w:lang w:val="fr-FR"/>
        </w:rPr>
        <w:t> </w:t>
      </w:r>
      <w:r w:rsidRPr="005456BD">
        <w:rPr>
          <w:lang w:val="fr-FR"/>
        </w:rPr>
        <w:t>personnes</w:t>
      </w:r>
      <w:r>
        <w:rPr>
          <w:lang w:val="fr-FR"/>
        </w:rPr>
        <w:t xml:space="preserve"> handicapées, dont 3 609 ont trouvé un emploi permanent et 305 un emploi temporaire. </w:t>
      </w:r>
    </w:p>
    <w:p w14:paraId="23884F71" w14:textId="6D5E05D0" w:rsidR="00560776" w:rsidRPr="00C8158A" w:rsidRDefault="00560776" w:rsidP="00560776">
      <w:pPr>
        <w:pStyle w:val="SingleTxtG"/>
        <w:rPr>
          <w:lang w:val="fr-FR"/>
        </w:rPr>
      </w:pPr>
      <w:r>
        <w:rPr>
          <w:lang w:val="fr-FR"/>
        </w:rPr>
        <w:t>117.</w:t>
      </w:r>
      <w:r>
        <w:rPr>
          <w:lang w:val="fr-FR"/>
        </w:rPr>
        <w:tab/>
        <w:t>Le programme de promotion des services de conseil dispensés par des personnes âgées vise à augmenter les revenus des personnes âgées à la retraite en favorisant leur activité professionnelle en réponse à des demandes déposées dans une base de données. Les</w:t>
      </w:r>
      <w:r w:rsidR="005178AC">
        <w:rPr>
          <w:lang w:val="fr-FR"/>
        </w:rPr>
        <w:t> </w:t>
      </w:r>
      <w:r>
        <w:rPr>
          <w:lang w:val="fr-FR"/>
        </w:rPr>
        <w:t>personnes âgées peuvent ainsi fournir des services de conseil et faire bénéficier la jeune génération de leurs connaissances et de leur expérience professionnelle. Entre 2015 et (avril) 2020, le Fonds de promotion de l</w:t>
      </w:r>
      <w:r w:rsidR="009C7759">
        <w:rPr>
          <w:lang w:val="fr-FR"/>
        </w:rPr>
        <w:t>’</w:t>
      </w:r>
      <w:r>
        <w:rPr>
          <w:lang w:val="fr-FR"/>
        </w:rPr>
        <w:t>emploi a alloué un montant total de 3,82</w:t>
      </w:r>
      <w:r w:rsidR="005178AC">
        <w:rPr>
          <w:lang w:val="fr-FR"/>
        </w:rPr>
        <w:t> </w:t>
      </w:r>
      <w:r>
        <w:rPr>
          <w:lang w:val="fr-FR"/>
        </w:rPr>
        <w:t xml:space="preserve">milliards de </w:t>
      </w:r>
      <w:proofErr w:type="spellStart"/>
      <w:r>
        <w:rPr>
          <w:lang w:val="fr-FR"/>
        </w:rPr>
        <w:lastRenderedPageBreak/>
        <w:t>togrogs</w:t>
      </w:r>
      <w:proofErr w:type="spellEnd"/>
      <w:r>
        <w:rPr>
          <w:lang w:val="fr-FR"/>
        </w:rPr>
        <w:t xml:space="preserve"> à la réalisation du programme, lequel a bénéficié à 5</w:t>
      </w:r>
      <w:r w:rsidR="005178AC">
        <w:rPr>
          <w:lang w:val="fr-FR"/>
        </w:rPr>
        <w:t> </w:t>
      </w:r>
      <w:r>
        <w:rPr>
          <w:lang w:val="fr-FR"/>
        </w:rPr>
        <w:t>617</w:t>
      </w:r>
      <w:r w:rsidR="005178AC">
        <w:rPr>
          <w:lang w:val="fr-FR"/>
        </w:rPr>
        <w:t> </w:t>
      </w:r>
      <w:r>
        <w:rPr>
          <w:lang w:val="fr-FR"/>
        </w:rPr>
        <w:t xml:space="preserve">personnes âgées, dont 1 206 ont trouvé un emploi permanent et 3 554 un emploi temporaire. </w:t>
      </w:r>
    </w:p>
    <w:p w14:paraId="3F5C639D" w14:textId="3670BF8E" w:rsidR="00560776" w:rsidRPr="00C8158A" w:rsidRDefault="00560776" w:rsidP="00560776">
      <w:pPr>
        <w:pStyle w:val="SingleTxtG"/>
        <w:rPr>
          <w:lang w:val="fr-FR"/>
        </w:rPr>
      </w:pPr>
      <w:r>
        <w:rPr>
          <w:lang w:val="fr-FR"/>
        </w:rPr>
        <w:t>118.</w:t>
      </w:r>
      <w:r>
        <w:rPr>
          <w:lang w:val="fr-FR"/>
        </w:rPr>
        <w:tab/>
        <w:t>Pour soutenir l</w:t>
      </w:r>
      <w:r w:rsidR="009C7759">
        <w:rPr>
          <w:lang w:val="fr-FR"/>
        </w:rPr>
        <w:t>’</w:t>
      </w:r>
      <w:r>
        <w:rPr>
          <w:lang w:val="fr-FR"/>
        </w:rPr>
        <w:t>emploi indépendant, les coopératives et les petites entreprises, des micro-crédits ont été accordés à 4</w:t>
      </w:r>
      <w:r w:rsidR="009D3743">
        <w:rPr>
          <w:lang w:val="fr-FR"/>
        </w:rPr>
        <w:t> </w:t>
      </w:r>
      <w:r>
        <w:rPr>
          <w:lang w:val="fr-FR"/>
        </w:rPr>
        <w:t>784</w:t>
      </w:r>
      <w:r w:rsidR="009D3743">
        <w:rPr>
          <w:lang w:val="fr-FR"/>
        </w:rPr>
        <w:t> </w:t>
      </w:r>
      <w:r>
        <w:rPr>
          <w:lang w:val="fr-FR"/>
        </w:rPr>
        <w:t>citoyens et entreprises. Ces micro-crédits favorisent l</w:t>
      </w:r>
      <w:r w:rsidR="009C7759">
        <w:rPr>
          <w:lang w:val="fr-FR"/>
        </w:rPr>
        <w:t>’</w:t>
      </w:r>
      <w:r>
        <w:rPr>
          <w:lang w:val="fr-FR"/>
        </w:rPr>
        <w:t>emploi indépendant et familial, l</w:t>
      </w:r>
      <w:r w:rsidR="009C7759">
        <w:rPr>
          <w:lang w:val="fr-FR"/>
        </w:rPr>
        <w:t>’</w:t>
      </w:r>
      <w:r>
        <w:rPr>
          <w:lang w:val="fr-FR"/>
        </w:rPr>
        <w:t>établissement de coopératives et de partenariats, le fonctionnement et l</w:t>
      </w:r>
      <w:r w:rsidR="009C7759">
        <w:rPr>
          <w:lang w:val="fr-FR"/>
        </w:rPr>
        <w:t>’</w:t>
      </w:r>
      <w:r>
        <w:rPr>
          <w:lang w:val="fr-FR"/>
        </w:rPr>
        <w:t>expansion des petites entreprises et la création et le maintien d</w:t>
      </w:r>
      <w:r w:rsidR="009C7759">
        <w:rPr>
          <w:lang w:val="fr-FR"/>
        </w:rPr>
        <w:t>’</w:t>
      </w:r>
      <w:r>
        <w:rPr>
          <w:lang w:val="fr-FR"/>
        </w:rPr>
        <w:t xml:space="preserve">emplois. De 2015 à avril 2020, des </w:t>
      </w:r>
      <w:proofErr w:type="spellStart"/>
      <w:r>
        <w:rPr>
          <w:lang w:val="fr-FR"/>
        </w:rPr>
        <w:t>microcrédits</w:t>
      </w:r>
      <w:proofErr w:type="spellEnd"/>
      <w:r>
        <w:rPr>
          <w:lang w:val="fr-FR"/>
        </w:rPr>
        <w:t xml:space="preserve"> d</w:t>
      </w:r>
      <w:r w:rsidR="009C7759">
        <w:rPr>
          <w:lang w:val="fr-FR"/>
        </w:rPr>
        <w:t>’</w:t>
      </w:r>
      <w:r>
        <w:rPr>
          <w:lang w:val="fr-FR"/>
        </w:rPr>
        <w:t>un montant total de 46,9</w:t>
      </w:r>
      <w:r w:rsidR="009D3743">
        <w:rPr>
          <w:lang w:val="fr-FR"/>
        </w:rPr>
        <w:t> </w:t>
      </w:r>
      <w:r>
        <w:rPr>
          <w:lang w:val="fr-FR"/>
        </w:rPr>
        <w:t xml:space="preserve">milliards de </w:t>
      </w:r>
      <w:proofErr w:type="spellStart"/>
      <w:r>
        <w:rPr>
          <w:lang w:val="fr-FR"/>
        </w:rPr>
        <w:t>togrogs</w:t>
      </w:r>
      <w:proofErr w:type="spellEnd"/>
      <w:r>
        <w:rPr>
          <w:lang w:val="fr-FR"/>
        </w:rPr>
        <w:t>, financés par le Fonds de promotion de l</w:t>
      </w:r>
      <w:r w:rsidR="009C7759">
        <w:rPr>
          <w:lang w:val="fr-FR"/>
        </w:rPr>
        <w:t>’</w:t>
      </w:r>
      <w:r>
        <w:rPr>
          <w:lang w:val="fr-FR"/>
        </w:rPr>
        <w:t>emploi, ont été accordés par l</w:t>
      </w:r>
      <w:r w:rsidR="009C7759">
        <w:rPr>
          <w:lang w:val="fr-FR"/>
        </w:rPr>
        <w:t>’</w:t>
      </w:r>
      <w:r>
        <w:rPr>
          <w:lang w:val="fr-FR"/>
        </w:rPr>
        <w:t xml:space="preserve">intermédiaire des banques </w:t>
      </w:r>
      <w:proofErr w:type="spellStart"/>
      <w:r>
        <w:rPr>
          <w:lang w:val="fr-FR"/>
        </w:rPr>
        <w:t>Golomt</w:t>
      </w:r>
      <w:proofErr w:type="spellEnd"/>
      <w:r>
        <w:rPr>
          <w:lang w:val="fr-FR"/>
        </w:rPr>
        <w:t xml:space="preserve"> et Khan et de la banque d</w:t>
      </w:r>
      <w:r w:rsidR="009C7759">
        <w:rPr>
          <w:lang w:val="fr-FR"/>
        </w:rPr>
        <w:t>’</w:t>
      </w:r>
      <w:r>
        <w:rPr>
          <w:lang w:val="fr-FR"/>
        </w:rPr>
        <w:t>État à 6</w:t>
      </w:r>
      <w:r w:rsidR="009D3743">
        <w:rPr>
          <w:lang w:val="fr-FR"/>
        </w:rPr>
        <w:t> </w:t>
      </w:r>
      <w:r>
        <w:rPr>
          <w:lang w:val="fr-FR"/>
        </w:rPr>
        <w:t>510</w:t>
      </w:r>
      <w:r w:rsidR="009D3743">
        <w:rPr>
          <w:lang w:val="fr-FR"/>
        </w:rPr>
        <w:t> </w:t>
      </w:r>
      <w:r>
        <w:rPr>
          <w:lang w:val="fr-FR"/>
        </w:rPr>
        <w:t>citoyens, coopératives et partenariats, ce qui a permis de créer 9</w:t>
      </w:r>
      <w:r w:rsidR="009D3743">
        <w:rPr>
          <w:lang w:val="fr-FR"/>
        </w:rPr>
        <w:t> </w:t>
      </w:r>
      <w:r>
        <w:rPr>
          <w:lang w:val="fr-FR"/>
        </w:rPr>
        <w:t>248</w:t>
      </w:r>
      <w:r w:rsidR="009D3743">
        <w:rPr>
          <w:lang w:val="fr-FR"/>
        </w:rPr>
        <w:t> </w:t>
      </w:r>
      <w:r>
        <w:rPr>
          <w:lang w:val="fr-FR"/>
        </w:rPr>
        <w:t xml:space="preserve">emplois permanents. </w:t>
      </w:r>
    </w:p>
    <w:p w14:paraId="56665567" w14:textId="6F53CC85" w:rsidR="00560776" w:rsidRPr="00C8158A" w:rsidRDefault="00560776" w:rsidP="00EB3C26">
      <w:pPr>
        <w:pStyle w:val="H1G"/>
        <w:rPr>
          <w:lang w:val="fr-FR"/>
        </w:rPr>
      </w:pPr>
      <w:r>
        <w:rPr>
          <w:lang w:val="fr-FR"/>
        </w:rPr>
        <w:tab/>
      </w:r>
      <w:r>
        <w:rPr>
          <w:lang w:val="fr-FR"/>
        </w:rPr>
        <w:tab/>
        <w:t>Paragraphe 11 de la liste de points</w:t>
      </w:r>
    </w:p>
    <w:p w14:paraId="2EE72251" w14:textId="2B2DBF72" w:rsidR="00560776" w:rsidRPr="00C8158A" w:rsidRDefault="00560776" w:rsidP="00560776">
      <w:pPr>
        <w:pStyle w:val="SingleTxtG"/>
        <w:rPr>
          <w:lang w:val="fr-FR"/>
        </w:rPr>
      </w:pPr>
      <w:bookmarkStart w:id="5" w:name="Start"/>
      <w:bookmarkEnd w:id="5"/>
      <w:r>
        <w:rPr>
          <w:lang w:val="fr-FR"/>
        </w:rPr>
        <w:t>119.</w:t>
      </w:r>
      <w:r>
        <w:rPr>
          <w:lang w:val="fr-FR"/>
        </w:rPr>
        <w:tab/>
        <w:t>Pour prévenir les accidents du travail et les maladies professionnelles, la Mongolie s</w:t>
      </w:r>
      <w:r w:rsidR="009C7759">
        <w:rPr>
          <w:lang w:val="fr-FR"/>
        </w:rPr>
        <w:t>’</w:t>
      </w:r>
      <w:r>
        <w:rPr>
          <w:lang w:val="fr-FR"/>
        </w:rPr>
        <w:t>est dotée au cours des cinq dernières années de 17</w:t>
      </w:r>
      <w:r w:rsidR="009D3743">
        <w:rPr>
          <w:lang w:val="fr-FR"/>
        </w:rPr>
        <w:t> </w:t>
      </w:r>
      <w:r>
        <w:rPr>
          <w:lang w:val="fr-FR"/>
        </w:rPr>
        <w:t>normes de santé au travail, qu</w:t>
      </w:r>
      <w:r w:rsidR="009C7759">
        <w:rPr>
          <w:lang w:val="fr-FR"/>
        </w:rPr>
        <w:t>’</w:t>
      </w:r>
      <w:r>
        <w:rPr>
          <w:lang w:val="fr-FR"/>
        </w:rPr>
        <w:t>elle a adoptées ou révisées. Elle s</w:t>
      </w:r>
      <w:r w:rsidR="009C7759">
        <w:rPr>
          <w:lang w:val="fr-FR"/>
        </w:rPr>
        <w:t>’</w:t>
      </w:r>
      <w:r>
        <w:rPr>
          <w:lang w:val="fr-FR"/>
        </w:rPr>
        <w:t>emploie à faire réaliser des évaluations des conditions de travail fondées sur ces nouvelles normes, à remplacer les instruments de mesure pour qu</w:t>
      </w:r>
      <w:r w:rsidR="009C7759">
        <w:rPr>
          <w:lang w:val="fr-FR"/>
        </w:rPr>
        <w:t>’</w:t>
      </w:r>
      <w:r>
        <w:rPr>
          <w:lang w:val="fr-FR"/>
        </w:rPr>
        <w:t>ils soient conformes aux nouvelles normes, à renforcer les compétences professionnelles du personnel, à accroître les moyens disponibles et à améliorer la situation des laboratoires chargés d</w:t>
      </w:r>
      <w:r w:rsidR="009C7759">
        <w:rPr>
          <w:lang w:val="fr-FR"/>
        </w:rPr>
        <w:t>’</w:t>
      </w:r>
      <w:r>
        <w:rPr>
          <w:lang w:val="fr-FR"/>
        </w:rPr>
        <w:t>évaluer les conditions de travail. Ces laboratoires ont fait l</w:t>
      </w:r>
      <w:r w:rsidR="009C7759">
        <w:rPr>
          <w:lang w:val="fr-FR"/>
        </w:rPr>
        <w:t>’</w:t>
      </w:r>
      <w:r>
        <w:rPr>
          <w:lang w:val="fr-FR"/>
        </w:rPr>
        <w:t>objet d</w:t>
      </w:r>
      <w:r w:rsidR="009C7759">
        <w:rPr>
          <w:lang w:val="fr-FR"/>
        </w:rPr>
        <w:t>’</w:t>
      </w:r>
      <w:r>
        <w:rPr>
          <w:lang w:val="fr-FR"/>
        </w:rPr>
        <w:t>une étude de portée nationale en 2019, et un projet global de renforcement des capacités d</w:t>
      </w:r>
      <w:r w:rsidR="009C7759">
        <w:rPr>
          <w:lang w:val="fr-FR"/>
        </w:rPr>
        <w:t>’</w:t>
      </w:r>
      <w:r>
        <w:rPr>
          <w:lang w:val="fr-FR"/>
        </w:rPr>
        <w:t>évaluation nationales est en cours d</w:t>
      </w:r>
      <w:r w:rsidR="009C7759">
        <w:rPr>
          <w:lang w:val="fr-FR"/>
        </w:rPr>
        <w:t>’</w:t>
      </w:r>
      <w:r>
        <w:rPr>
          <w:lang w:val="fr-FR"/>
        </w:rPr>
        <w:t xml:space="preserve">élaboration. </w:t>
      </w:r>
    </w:p>
    <w:p w14:paraId="741C455B" w14:textId="2C160D2D" w:rsidR="00560776" w:rsidRPr="00C8158A" w:rsidRDefault="00560776" w:rsidP="00560776">
      <w:pPr>
        <w:pStyle w:val="SingleTxtG"/>
        <w:rPr>
          <w:lang w:val="fr-FR"/>
        </w:rPr>
      </w:pPr>
      <w:r>
        <w:rPr>
          <w:lang w:val="fr-FR"/>
        </w:rPr>
        <w:t>120.</w:t>
      </w:r>
      <w:r>
        <w:rPr>
          <w:lang w:val="fr-FR"/>
        </w:rPr>
        <w:tab/>
        <w:t>Des inspections sont effectuées régulièrement et sur demande, des mesures sont prises pour remédier aux infractions constatées et des services de conseil visant à prévenir les accidents et les maladies professionnelles sont dispensés. Par exemple</w:t>
      </w:r>
      <w:r w:rsidR="008F6EE8">
        <w:rPr>
          <w:lang w:val="fr-FR"/>
        </w:rPr>
        <w:t> </w:t>
      </w:r>
      <w:r>
        <w:rPr>
          <w:lang w:val="fr-FR"/>
        </w:rPr>
        <w:t xml:space="preserve">: </w:t>
      </w:r>
    </w:p>
    <w:p w14:paraId="7B9D9C48" w14:textId="0E7B8907" w:rsidR="00560776" w:rsidRPr="00C8158A" w:rsidRDefault="00560776" w:rsidP="00EB3C26">
      <w:pPr>
        <w:pStyle w:val="Bullet1G"/>
        <w:rPr>
          <w:lang w:val="fr-FR"/>
        </w:rPr>
      </w:pPr>
      <w:r>
        <w:rPr>
          <w:lang w:val="fr-FR"/>
        </w:rPr>
        <w:t>L</w:t>
      </w:r>
      <w:r w:rsidR="009C7759">
        <w:rPr>
          <w:lang w:val="fr-FR"/>
        </w:rPr>
        <w:t>’</w:t>
      </w:r>
      <w:r>
        <w:rPr>
          <w:lang w:val="fr-FR"/>
        </w:rPr>
        <w:t>Inspection du travail a contrôlé 2</w:t>
      </w:r>
      <w:r w:rsidR="00FB5404">
        <w:rPr>
          <w:lang w:val="fr-FR"/>
        </w:rPr>
        <w:t> </w:t>
      </w:r>
      <w:r>
        <w:rPr>
          <w:lang w:val="fr-FR"/>
        </w:rPr>
        <w:t>010</w:t>
      </w:r>
      <w:r w:rsidR="00FB5404">
        <w:rPr>
          <w:lang w:val="fr-FR"/>
        </w:rPr>
        <w:t> </w:t>
      </w:r>
      <w:r>
        <w:rPr>
          <w:lang w:val="fr-FR"/>
        </w:rPr>
        <w:t>organisations en 2018 et a constaté que 368 d</w:t>
      </w:r>
      <w:r w:rsidR="009C7759">
        <w:rPr>
          <w:lang w:val="fr-FR"/>
        </w:rPr>
        <w:t>’</w:t>
      </w:r>
      <w:r>
        <w:rPr>
          <w:lang w:val="fr-FR"/>
        </w:rPr>
        <w:t>entre elles ne respectaient pas certaines dispositions du Code du travail et de la loi relative à la sécurité et la santé au travail. Elle a infligé des amendes d</w:t>
      </w:r>
      <w:r w:rsidR="009C7759">
        <w:rPr>
          <w:lang w:val="fr-FR"/>
        </w:rPr>
        <w:t>’</w:t>
      </w:r>
      <w:r>
        <w:rPr>
          <w:lang w:val="fr-FR"/>
        </w:rPr>
        <w:t>un montant total de 445,4</w:t>
      </w:r>
      <w:r w:rsidR="00FB5404">
        <w:rPr>
          <w:lang w:val="fr-FR"/>
        </w:rPr>
        <w:t> </w:t>
      </w:r>
      <w:r>
        <w:rPr>
          <w:lang w:val="fr-FR"/>
        </w:rPr>
        <w:t xml:space="preserve">millions de </w:t>
      </w:r>
      <w:proofErr w:type="spellStart"/>
      <w:r>
        <w:rPr>
          <w:lang w:val="fr-FR"/>
        </w:rPr>
        <w:t>togrogs</w:t>
      </w:r>
      <w:proofErr w:type="spellEnd"/>
      <w:r>
        <w:rPr>
          <w:lang w:val="fr-FR"/>
        </w:rPr>
        <w:t>. En 2019, 2 133 lieux de travail ont été inspectés, et les inspecteurs de l</w:t>
      </w:r>
      <w:r w:rsidR="009C7759">
        <w:rPr>
          <w:lang w:val="fr-FR"/>
        </w:rPr>
        <w:t>’</w:t>
      </w:r>
      <w:r>
        <w:rPr>
          <w:lang w:val="fr-FR"/>
        </w:rPr>
        <w:t>État ont émis 1 119 avis de rectification portant sur 6 749 infractions, dont ils ont assuré la bonne exécution</w:t>
      </w:r>
      <w:r w:rsidR="00FB5404">
        <w:rPr>
          <w:lang w:val="fr-FR"/>
        </w:rPr>
        <w:t> ;</w:t>
      </w:r>
    </w:p>
    <w:p w14:paraId="68816978" w14:textId="6A9F1654" w:rsidR="00560776" w:rsidRPr="00C8158A" w:rsidRDefault="00560776" w:rsidP="00EB3C26">
      <w:pPr>
        <w:pStyle w:val="Bullet1G"/>
        <w:rPr>
          <w:lang w:val="fr-FR"/>
        </w:rPr>
      </w:pPr>
      <w:r>
        <w:rPr>
          <w:lang w:val="fr-FR"/>
        </w:rPr>
        <w:t>Des inspections préventives des conditions de travail, de santé et de sécurité de 475 nouvelles organisations ont été menées en 2019 dans 12 secteurs d</w:t>
      </w:r>
      <w:r w:rsidR="009C7759">
        <w:rPr>
          <w:lang w:val="fr-FR"/>
        </w:rPr>
        <w:t>’</w:t>
      </w:r>
      <w:r>
        <w:rPr>
          <w:lang w:val="fr-FR"/>
        </w:rPr>
        <w:t>activité, à savoir l</w:t>
      </w:r>
      <w:r w:rsidR="009C7759">
        <w:rPr>
          <w:lang w:val="fr-FR"/>
        </w:rPr>
        <w:t>’</w:t>
      </w:r>
      <w:r>
        <w:rPr>
          <w:lang w:val="fr-FR"/>
        </w:rPr>
        <w:t>éducation, l</w:t>
      </w:r>
      <w:r w:rsidR="009C7759">
        <w:rPr>
          <w:lang w:val="fr-FR"/>
        </w:rPr>
        <w:t>’</w:t>
      </w:r>
      <w:r>
        <w:rPr>
          <w:lang w:val="fr-FR"/>
        </w:rPr>
        <w:t>agriculture, le bâtiment, l</w:t>
      </w:r>
      <w:r w:rsidR="009C7759">
        <w:rPr>
          <w:lang w:val="fr-FR"/>
        </w:rPr>
        <w:t>’</w:t>
      </w:r>
      <w:r>
        <w:rPr>
          <w:lang w:val="fr-FR"/>
        </w:rPr>
        <w:t>exploitation et l</w:t>
      </w:r>
      <w:r w:rsidR="009C7759">
        <w:rPr>
          <w:lang w:val="fr-FR"/>
        </w:rPr>
        <w:t>’</w:t>
      </w:r>
      <w:r>
        <w:rPr>
          <w:lang w:val="fr-FR"/>
        </w:rPr>
        <w:t>extraction minières, l</w:t>
      </w:r>
      <w:r w:rsidR="009C7759">
        <w:rPr>
          <w:lang w:val="fr-FR"/>
        </w:rPr>
        <w:t>’</w:t>
      </w:r>
      <w:r>
        <w:rPr>
          <w:lang w:val="fr-FR"/>
        </w:rPr>
        <w:t>industrie manufacturière, l</w:t>
      </w:r>
      <w:r w:rsidR="009C7759">
        <w:rPr>
          <w:lang w:val="fr-FR"/>
        </w:rPr>
        <w:t>’</w:t>
      </w:r>
      <w:r>
        <w:rPr>
          <w:lang w:val="fr-FR"/>
        </w:rPr>
        <w:t>approvisionnement en eau et l</w:t>
      </w:r>
      <w:r w:rsidR="009C7759">
        <w:rPr>
          <w:lang w:val="fr-FR"/>
        </w:rPr>
        <w:t>’</w:t>
      </w:r>
      <w:r>
        <w:rPr>
          <w:lang w:val="fr-FR"/>
        </w:rPr>
        <w:t>irrigation, la gestion des déchets et la remise en état de l</w:t>
      </w:r>
      <w:r w:rsidR="009C7759">
        <w:rPr>
          <w:lang w:val="fr-FR"/>
        </w:rPr>
        <w:t>’</w:t>
      </w:r>
      <w:r>
        <w:rPr>
          <w:lang w:val="fr-FR"/>
        </w:rPr>
        <w:t>environnement. Des services de conseil ont été fournis à 1</w:t>
      </w:r>
      <w:r w:rsidR="00FB5404">
        <w:rPr>
          <w:lang w:val="fr-FR"/>
        </w:rPr>
        <w:t> </w:t>
      </w:r>
      <w:r>
        <w:rPr>
          <w:lang w:val="fr-FR"/>
        </w:rPr>
        <w:t>469</w:t>
      </w:r>
      <w:r w:rsidR="00FB5404">
        <w:rPr>
          <w:lang w:val="fr-FR"/>
        </w:rPr>
        <w:t> </w:t>
      </w:r>
      <w:r>
        <w:rPr>
          <w:lang w:val="fr-FR"/>
        </w:rPr>
        <w:t>organisations en 2018, et à 1 490 en 2019</w:t>
      </w:r>
      <w:r w:rsidR="00DC23BB">
        <w:rPr>
          <w:lang w:val="fr-FR"/>
        </w:rPr>
        <w:t> </w:t>
      </w:r>
      <w:r>
        <w:rPr>
          <w:lang w:val="fr-FR"/>
        </w:rPr>
        <w:t>; 3 933 recommandations ont ainsi été formulées sur 10</w:t>
      </w:r>
      <w:r w:rsidR="00FB5404">
        <w:rPr>
          <w:lang w:val="fr-FR"/>
        </w:rPr>
        <w:t> </w:t>
      </w:r>
      <w:r>
        <w:rPr>
          <w:lang w:val="fr-FR"/>
        </w:rPr>
        <w:t>890</w:t>
      </w:r>
      <w:r w:rsidR="00FB5404">
        <w:rPr>
          <w:lang w:val="fr-FR"/>
        </w:rPr>
        <w:t> </w:t>
      </w:r>
      <w:r>
        <w:rPr>
          <w:lang w:val="fr-FR"/>
        </w:rPr>
        <w:t>points. En outre, des inspections ont été menées dans 76 organisations qui en avaient fait la demande, ce qui a donné lieu à la délivrance de 119</w:t>
      </w:r>
      <w:r w:rsidR="00FB5404">
        <w:rPr>
          <w:lang w:val="fr-FR"/>
        </w:rPr>
        <w:t> </w:t>
      </w:r>
      <w:r>
        <w:rPr>
          <w:lang w:val="fr-FR"/>
        </w:rPr>
        <w:t>certificats de sécurité opérationnelle de matériel et de machines et à la publication de 102 rapports d</w:t>
      </w:r>
      <w:r w:rsidR="009C7759">
        <w:rPr>
          <w:lang w:val="fr-FR"/>
        </w:rPr>
        <w:t>’</w:t>
      </w:r>
      <w:r>
        <w:rPr>
          <w:lang w:val="fr-FR"/>
        </w:rPr>
        <w:t>évaluation, dont 49 analyses de la sécurité d</w:t>
      </w:r>
      <w:r w:rsidR="009C7759">
        <w:rPr>
          <w:lang w:val="fr-FR"/>
        </w:rPr>
        <w:t>’</w:t>
      </w:r>
      <w:r>
        <w:rPr>
          <w:lang w:val="fr-FR"/>
        </w:rPr>
        <w:t>emplois industriels fondés sur des mesures et une évaluation des conditions de travail effectuées sur place, 16 évaluations de produits, 25 rapports techniques et 10 rapports préliminaires ;</w:t>
      </w:r>
    </w:p>
    <w:p w14:paraId="47B80F6A" w14:textId="51D3BFCA" w:rsidR="00560776" w:rsidRPr="00C8158A" w:rsidRDefault="00560776" w:rsidP="00EB3C26">
      <w:pPr>
        <w:pStyle w:val="Bullet1G"/>
        <w:rPr>
          <w:lang w:val="fr-FR"/>
        </w:rPr>
      </w:pPr>
      <w:r>
        <w:rPr>
          <w:lang w:val="fr-FR"/>
        </w:rPr>
        <w:t>Les inspecteurs d</w:t>
      </w:r>
      <w:r w:rsidR="009C7759">
        <w:rPr>
          <w:lang w:val="fr-FR"/>
        </w:rPr>
        <w:t>’</w:t>
      </w:r>
      <w:r>
        <w:rPr>
          <w:lang w:val="fr-FR"/>
        </w:rPr>
        <w:t>État du travail et de la santé en milieu professionnel ont vérifié 1 095 rapports d</w:t>
      </w:r>
      <w:r w:rsidR="009C7759">
        <w:rPr>
          <w:lang w:val="fr-FR"/>
        </w:rPr>
        <w:t>’</w:t>
      </w:r>
      <w:r>
        <w:rPr>
          <w:lang w:val="fr-FR"/>
        </w:rPr>
        <w:t>accidents industriels et enquêté sur 1</w:t>
      </w:r>
      <w:r w:rsidR="00FB5404">
        <w:rPr>
          <w:lang w:val="fr-FR"/>
        </w:rPr>
        <w:t> </w:t>
      </w:r>
      <w:r>
        <w:rPr>
          <w:lang w:val="fr-FR"/>
        </w:rPr>
        <w:t>032</w:t>
      </w:r>
      <w:r w:rsidR="00FB5404">
        <w:rPr>
          <w:lang w:val="fr-FR"/>
        </w:rPr>
        <w:t> </w:t>
      </w:r>
      <w:r>
        <w:rPr>
          <w:lang w:val="fr-FR"/>
        </w:rPr>
        <w:t>cas d</w:t>
      </w:r>
      <w:r w:rsidR="009C7759">
        <w:rPr>
          <w:lang w:val="fr-FR"/>
        </w:rPr>
        <w:t>’</w:t>
      </w:r>
      <w:r>
        <w:rPr>
          <w:lang w:val="fr-FR"/>
        </w:rPr>
        <w:t>accidents de ce type et 63</w:t>
      </w:r>
      <w:r w:rsidR="00FB5404">
        <w:rPr>
          <w:lang w:val="fr-FR"/>
        </w:rPr>
        <w:t> </w:t>
      </w:r>
      <w:r>
        <w:rPr>
          <w:lang w:val="fr-FR"/>
        </w:rPr>
        <w:t>cas d</w:t>
      </w:r>
      <w:r w:rsidR="009C7759">
        <w:rPr>
          <w:lang w:val="fr-FR"/>
        </w:rPr>
        <w:t>’</w:t>
      </w:r>
      <w:r>
        <w:rPr>
          <w:lang w:val="fr-FR"/>
        </w:rPr>
        <w:t>empoisonnement aigu, ce qui a permis de garantir le droit des victimes et de leur famille de recevoir des indemnités de la Caisse d</w:t>
      </w:r>
      <w:r w:rsidR="009C7759">
        <w:rPr>
          <w:lang w:val="fr-FR"/>
        </w:rPr>
        <w:t>’</w:t>
      </w:r>
      <w:r>
        <w:rPr>
          <w:lang w:val="fr-FR"/>
        </w:rPr>
        <w:t xml:space="preserve">assurance sociale. </w:t>
      </w:r>
    </w:p>
    <w:p w14:paraId="7B3421C8" w14:textId="29566B72" w:rsidR="00560776" w:rsidRPr="00C8158A" w:rsidRDefault="00560776" w:rsidP="00EB3C26">
      <w:pPr>
        <w:pStyle w:val="SingleTxtG"/>
        <w:rPr>
          <w:lang w:val="fr-FR"/>
        </w:rPr>
      </w:pPr>
      <w:r>
        <w:rPr>
          <w:lang w:val="fr-FR"/>
        </w:rPr>
        <w:t>121.</w:t>
      </w:r>
      <w:r>
        <w:rPr>
          <w:lang w:val="fr-FR"/>
        </w:rPr>
        <w:tab/>
        <w:t>Les mesures suivantes ont été prises spécifiquement dans le secteur minier, dans lequel le risque d</w:t>
      </w:r>
      <w:r w:rsidR="009C7759">
        <w:rPr>
          <w:lang w:val="fr-FR"/>
        </w:rPr>
        <w:t>’</w:t>
      </w:r>
      <w:r>
        <w:rPr>
          <w:lang w:val="fr-FR"/>
        </w:rPr>
        <w:t xml:space="preserve">accident est élevé : </w:t>
      </w:r>
    </w:p>
    <w:p w14:paraId="1A00F26A" w14:textId="5C59F4AD" w:rsidR="00560776" w:rsidRPr="00C8158A" w:rsidRDefault="00560776" w:rsidP="00EB3C26">
      <w:pPr>
        <w:pStyle w:val="Bullet1G"/>
        <w:rPr>
          <w:lang w:val="fr-FR"/>
        </w:rPr>
      </w:pPr>
      <w:r>
        <w:rPr>
          <w:lang w:val="fr-FR"/>
        </w:rPr>
        <w:t>L</w:t>
      </w:r>
      <w:r w:rsidR="009C7759">
        <w:rPr>
          <w:lang w:val="fr-FR"/>
        </w:rPr>
        <w:t>’</w:t>
      </w:r>
      <w:r>
        <w:rPr>
          <w:lang w:val="fr-FR"/>
        </w:rPr>
        <w:t>ensemble de normes d</w:t>
      </w:r>
      <w:r w:rsidR="009C7759">
        <w:rPr>
          <w:lang w:val="fr-FR"/>
        </w:rPr>
        <w:t>’</w:t>
      </w:r>
      <w:r>
        <w:rPr>
          <w:lang w:val="fr-FR"/>
        </w:rPr>
        <w:t>évaluation de la teneur en poussière des lieux de travail, le choix des appareils de protection respiratoire et les mesures de réduction de l</w:t>
      </w:r>
      <w:r w:rsidR="009C7759">
        <w:rPr>
          <w:lang w:val="fr-FR"/>
        </w:rPr>
        <w:t>’</w:t>
      </w:r>
      <w:r>
        <w:rPr>
          <w:lang w:val="fr-FR"/>
        </w:rPr>
        <w:t>exposition à la poussière ont été définis et approuvés avec l</w:t>
      </w:r>
      <w:r w:rsidR="009C7759">
        <w:rPr>
          <w:lang w:val="fr-FR"/>
        </w:rPr>
        <w:t>’</w:t>
      </w:r>
      <w:r>
        <w:rPr>
          <w:lang w:val="fr-FR"/>
        </w:rPr>
        <w:t>appui du projet de renforcement de l</w:t>
      </w:r>
      <w:r w:rsidR="009C7759">
        <w:rPr>
          <w:lang w:val="fr-FR"/>
        </w:rPr>
        <w:t>’</w:t>
      </w:r>
      <w:r>
        <w:rPr>
          <w:lang w:val="fr-FR"/>
        </w:rPr>
        <w:t>infrastructure de qualité de l</w:t>
      </w:r>
      <w:r w:rsidR="009C7759">
        <w:rPr>
          <w:lang w:val="fr-FR"/>
        </w:rPr>
        <w:t>’</w:t>
      </w:r>
      <w:r>
        <w:rPr>
          <w:lang w:val="fr-FR"/>
        </w:rPr>
        <w:t>industrie extractive, exécuté par l</w:t>
      </w:r>
      <w:r w:rsidR="009C7759">
        <w:rPr>
          <w:lang w:val="fr-FR"/>
        </w:rPr>
        <w:t>’</w:t>
      </w:r>
      <w:r>
        <w:rPr>
          <w:lang w:val="fr-FR"/>
        </w:rPr>
        <w:t>Institut national de métrologie d</w:t>
      </w:r>
      <w:r w:rsidR="009C7759">
        <w:rPr>
          <w:lang w:val="fr-FR"/>
        </w:rPr>
        <w:t>’</w:t>
      </w:r>
      <w:r>
        <w:rPr>
          <w:lang w:val="fr-FR"/>
        </w:rPr>
        <w:t xml:space="preserve">Allemagne PTB ; </w:t>
      </w:r>
    </w:p>
    <w:p w14:paraId="3160909E" w14:textId="0F924092" w:rsidR="00560776" w:rsidRPr="00C8158A" w:rsidRDefault="00560776" w:rsidP="00EB3C26">
      <w:pPr>
        <w:pStyle w:val="Bullet1G"/>
        <w:rPr>
          <w:lang w:val="fr-FR"/>
        </w:rPr>
      </w:pPr>
      <w:r>
        <w:rPr>
          <w:lang w:val="fr-FR"/>
        </w:rPr>
        <w:lastRenderedPageBreak/>
        <w:t>Une évaluation nationale de l</w:t>
      </w:r>
      <w:r w:rsidR="009C7759">
        <w:rPr>
          <w:lang w:val="fr-FR"/>
        </w:rPr>
        <w:t>’</w:t>
      </w:r>
      <w:r>
        <w:rPr>
          <w:lang w:val="fr-FR"/>
        </w:rPr>
        <w:t>application de la loi relative à la sécurité et la santé au travail dans le secteur minier a été réalisée en 2019. Le rapport établi au terme de cette évaluation a été examiné par le Comité national de la sécurité et la santé au travail et des dispositions continuent d</w:t>
      </w:r>
      <w:r w:rsidR="009C7759">
        <w:rPr>
          <w:lang w:val="fr-FR"/>
        </w:rPr>
        <w:t>’</w:t>
      </w:r>
      <w:r>
        <w:rPr>
          <w:lang w:val="fr-FR"/>
        </w:rPr>
        <w:t>être prises pour intégrer les mesures nécessaires dans le nouveau programme de santé et de sécurité au travail</w:t>
      </w:r>
      <w:r w:rsidR="00DC23BB">
        <w:rPr>
          <w:lang w:val="fr-FR"/>
        </w:rPr>
        <w:t> </w:t>
      </w:r>
      <w:r>
        <w:rPr>
          <w:lang w:val="fr-FR"/>
        </w:rPr>
        <w:t>;</w:t>
      </w:r>
    </w:p>
    <w:p w14:paraId="6098DB82" w14:textId="4F827F06" w:rsidR="00560776" w:rsidRPr="00C8158A" w:rsidRDefault="00560776" w:rsidP="00EB3C26">
      <w:pPr>
        <w:pStyle w:val="Bullet1G"/>
        <w:rPr>
          <w:lang w:val="fr-FR"/>
        </w:rPr>
      </w:pPr>
      <w:r>
        <w:rPr>
          <w:lang w:val="fr-FR"/>
        </w:rPr>
        <w:t>Des inspections préventives ont été menées en 2019 dans des entreprises qui transportent du charbon, du pétrole et d</w:t>
      </w:r>
      <w:r w:rsidR="009C7759">
        <w:rPr>
          <w:lang w:val="fr-FR"/>
        </w:rPr>
        <w:t>’</w:t>
      </w:r>
      <w:r>
        <w:rPr>
          <w:lang w:val="fr-FR"/>
        </w:rPr>
        <w:t xml:space="preserve">autres produits miniers via les points de passage des frontières de </w:t>
      </w:r>
      <w:proofErr w:type="spellStart"/>
      <w:r>
        <w:rPr>
          <w:lang w:val="fr-FR"/>
        </w:rPr>
        <w:t>Gashuunsukhait</w:t>
      </w:r>
      <w:proofErr w:type="spellEnd"/>
      <w:r>
        <w:rPr>
          <w:lang w:val="fr-FR"/>
        </w:rPr>
        <w:t xml:space="preserve"> et </w:t>
      </w:r>
      <w:proofErr w:type="spellStart"/>
      <w:r>
        <w:rPr>
          <w:lang w:val="fr-FR"/>
        </w:rPr>
        <w:t>Shiveekhuren</w:t>
      </w:r>
      <w:proofErr w:type="spellEnd"/>
      <w:r>
        <w:rPr>
          <w:lang w:val="fr-FR"/>
        </w:rPr>
        <w:t xml:space="preserve"> dans l</w:t>
      </w:r>
      <w:r w:rsidR="009C7759">
        <w:rPr>
          <w:lang w:val="fr-FR"/>
        </w:rPr>
        <w:t>’</w:t>
      </w:r>
      <w:r>
        <w:rPr>
          <w:lang w:val="fr-FR"/>
        </w:rPr>
        <w:t>aïmag d</w:t>
      </w:r>
      <w:r w:rsidR="009C7759">
        <w:rPr>
          <w:lang w:val="fr-FR"/>
        </w:rPr>
        <w:t>’</w:t>
      </w:r>
      <w:proofErr w:type="spellStart"/>
      <w:r>
        <w:rPr>
          <w:lang w:val="fr-FR"/>
        </w:rPr>
        <w:t>Umnugobi</w:t>
      </w:r>
      <w:proofErr w:type="spellEnd"/>
      <w:r>
        <w:rPr>
          <w:lang w:val="fr-FR"/>
        </w:rPr>
        <w:t xml:space="preserve">, de </w:t>
      </w:r>
      <w:proofErr w:type="spellStart"/>
      <w:r>
        <w:rPr>
          <w:lang w:val="fr-FR"/>
        </w:rPr>
        <w:t>Bichigt</w:t>
      </w:r>
      <w:proofErr w:type="spellEnd"/>
      <w:r>
        <w:rPr>
          <w:lang w:val="fr-FR"/>
        </w:rPr>
        <w:t xml:space="preserve"> dans l</w:t>
      </w:r>
      <w:r w:rsidR="009C7759">
        <w:rPr>
          <w:lang w:val="fr-FR"/>
        </w:rPr>
        <w:t>’</w:t>
      </w:r>
      <w:r>
        <w:rPr>
          <w:lang w:val="fr-FR"/>
        </w:rPr>
        <w:t xml:space="preserve">aïmag de </w:t>
      </w:r>
      <w:proofErr w:type="spellStart"/>
      <w:r>
        <w:rPr>
          <w:lang w:val="fr-FR"/>
        </w:rPr>
        <w:t>Sukhbaatar</w:t>
      </w:r>
      <w:proofErr w:type="spellEnd"/>
      <w:r>
        <w:rPr>
          <w:lang w:val="fr-FR"/>
        </w:rPr>
        <w:t xml:space="preserve">, de </w:t>
      </w:r>
      <w:proofErr w:type="spellStart"/>
      <w:r>
        <w:rPr>
          <w:lang w:val="fr-FR"/>
        </w:rPr>
        <w:t>Khangi</w:t>
      </w:r>
      <w:proofErr w:type="spellEnd"/>
      <w:r>
        <w:rPr>
          <w:lang w:val="fr-FR"/>
        </w:rPr>
        <w:t xml:space="preserve"> dans l</w:t>
      </w:r>
      <w:r w:rsidR="009C7759">
        <w:rPr>
          <w:lang w:val="fr-FR"/>
        </w:rPr>
        <w:t>’</w:t>
      </w:r>
      <w:r>
        <w:rPr>
          <w:lang w:val="fr-FR"/>
        </w:rPr>
        <w:t xml:space="preserve">aïmag de </w:t>
      </w:r>
      <w:proofErr w:type="spellStart"/>
      <w:r>
        <w:rPr>
          <w:lang w:val="fr-FR"/>
        </w:rPr>
        <w:t>Dornogobi</w:t>
      </w:r>
      <w:proofErr w:type="spellEnd"/>
      <w:r>
        <w:rPr>
          <w:lang w:val="fr-FR"/>
        </w:rPr>
        <w:t xml:space="preserve"> et de </w:t>
      </w:r>
      <w:proofErr w:type="spellStart"/>
      <w:r>
        <w:rPr>
          <w:lang w:val="fr-FR"/>
        </w:rPr>
        <w:t>Bayankhoshuu</w:t>
      </w:r>
      <w:proofErr w:type="spellEnd"/>
      <w:r>
        <w:rPr>
          <w:lang w:val="fr-FR"/>
        </w:rPr>
        <w:t xml:space="preserve"> dans l</w:t>
      </w:r>
      <w:r w:rsidR="009C7759">
        <w:rPr>
          <w:lang w:val="fr-FR"/>
        </w:rPr>
        <w:t>’</w:t>
      </w:r>
      <w:r>
        <w:rPr>
          <w:lang w:val="fr-FR"/>
        </w:rPr>
        <w:t xml:space="preserve">aïmag de </w:t>
      </w:r>
      <w:proofErr w:type="spellStart"/>
      <w:r>
        <w:rPr>
          <w:lang w:val="fr-FR"/>
        </w:rPr>
        <w:t>Dornod</w:t>
      </w:r>
      <w:proofErr w:type="spellEnd"/>
      <w:r>
        <w:rPr>
          <w:lang w:val="fr-FR"/>
        </w:rPr>
        <w:t>. Ces inspections ont été menées sur 86</w:t>
      </w:r>
      <w:r w:rsidR="00F70096">
        <w:rPr>
          <w:lang w:val="fr-FR"/>
        </w:rPr>
        <w:t> </w:t>
      </w:r>
      <w:r>
        <w:rPr>
          <w:lang w:val="fr-FR"/>
        </w:rPr>
        <w:t>sites, l</w:t>
      </w:r>
      <w:r w:rsidR="009C7759">
        <w:rPr>
          <w:lang w:val="fr-FR"/>
        </w:rPr>
        <w:t>’</w:t>
      </w:r>
      <w:r>
        <w:rPr>
          <w:lang w:val="fr-FR"/>
        </w:rPr>
        <w:t>accent étant mis sur le travail, la santé et la sécurité et la protection sociale</w:t>
      </w:r>
      <w:r w:rsidR="00DC23BB">
        <w:rPr>
          <w:lang w:val="fr-FR"/>
        </w:rPr>
        <w:t> </w:t>
      </w:r>
      <w:r>
        <w:rPr>
          <w:lang w:val="fr-FR"/>
        </w:rPr>
        <w:t>; 439 infractions ont ainsi été mises en évidence, dont 86 ont été rectifiées sur place</w:t>
      </w:r>
      <w:r w:rsidR="00DC23BB">
        <w:rPr>
          <w:lang w:val="fr-FR"/>
        </w:rPr>
        <w:t> </w:t>
      </w:r>
      <w:r>
        <w:rPr>
          <w:lang w:val="fr-FR"/>
        </w:rPr>
        <w:t>; 68</w:t>
      </w:r>
      <w:r w:rsidR="00F70096">
        <w:rPr>
          <w:lang w:val="fr-FR"/>
        </w:rPr>
        <w:t> </w:t>
      </w:r>
      <w:r>
        <w:rPr>
          <w:lang w:val="fr-FR"/>
        </w:rPr>
        <w:t>avis de rectification conjoints portant sur les 353</w:t>
      </w:r>
      <w:r w:rsidR="00F70096">
        <w:rPr>
          <w:lang w:val="fr-FR"/>
        </w:rPr>
        <w:t> </w:t>
      </w:r>
      <w:r>
        <w:rPr>
          <w:lang w:val="fr-FR"/>
        </w:rPr>
        <w:t>autres infractions ont été émis. À</w:t>
      </w:r>
      <w:r w:rsidR="00F70096">
        <w:rPr>
          <w:lang w:val="fr-FR"/>
        </w:rPr>
        <w:t> </w:t>
      </w:r>
      <w:r>
        <w:rPr>
          <w:lang w:val="fr-FR"/>
        </w:rPr>
        <w:t>l</w:t>
      </w:r>
      <w:r w:rsidR="009C7759">
        <w:rPr>
          <w:lang w:val="fr-FR"/>
        </w:rPr>
        <w:t>’</w:t>
      </w:r>
      <w:r>
        <w:rPr>
          <w:lang w:val="fr-FR"/>
        </w:rPr>
        <w:t>issue de ces inspections, 36</w:t>
      </w:r>
      <w:r w:rsidR="00F70096">
        <w:rPr>
          <w:lang w:val="fr-FR"/>
        </w:rPr>
        <w:t> </w:t>
      </w:r>
      <w:r>
        <w:rPr>
          <w:lang w:val="fr-FR"/>
        </w:rPr>
        <w:t>sociétés qui ne respectaient pas les lois et la réglementation applicables ont été condamnées à des amendes d</w:t>
      </w:r>
      <w:r w:rsidR="009C7759">
        <w:rPr>
          <w:lang w:val="fr-FR"/>
        </w:rPr>
        <w:t>’</w:t>
      </w:r>
      <w:r>
        <w:rPr>
          <w:lang w:val="fr-FR"/>
        </w:rPr>
        <w:t xml:space="preserve">un montant de 56,5 millions de </w:t>
      </w:r>
      <w:proofErr w:type="spellStart"/>
      <w:r>
        <w:rPr>
          <w:lang w:val="fr-FR"/>
        </w:rPr>
        <w:t>togrogs</w:t>
      </w:r>
      <w:proofErr w:type="spellEnd"/>
      <w:r>
        <w:rPr>
          <w:lang w:val="fr-FR"/>
        </w:rPr>
        <w:t xml:space="preserve"> dans le cadre de la procédure simplifiée mise en place par la loi relative aux infractions administratives ; </w:t>
      </w:r>
    </w:p>
    <w:p w14:paraId="6329E975" w14:textId="03C65A21" w:rsidR="00560776" w:rsidRPr="00C8158A" w:rsidRDefault="00560776" w:rsidP="00EB3C26">
      <w:pPr>
        <w:pStyle w:val="Bullet1G"/>
        <w:rPr>
          <w:lang w:val="fr-FR"/>
        </w:rPr>
      </w:pPr>
      <w:r>
        <w:rPr>
          <w:lang w:val="fr-FR"/>
        </w:rPr>
        <w:t>Conformément à la résolution gouvernementale n</w:t>
      </w:r>
      <w:r w:rsidR="00B71946" w:rsidRPr="00B71946">
        <w:rPr>
          <w:vertAlign w:val="superscript"/>
          <w:lang w:val="fr-FR"/>
        </w:rPr>
        <w:t>o</w:t>
      </w:r>
      <w:r w:rsidR="00B71946">
        <w:rPr>
          <w:lang w:val="fr-FR"/>
        </w:rPr>
        <w:t> </w:t>
      </w:r>
      <w:r>
        <w:rPr>
          <w:lang w:val="fr-FR"/>
        </w:rPr>
        <w:t>236 de 2019, qui vise à accroître l</w:t>
      </w:r>
      <w:r w:rsidR="009C7759">
        <w:rPr>
          <w:lang w:val="fr-FR"/>
        </w:rPr>
        <w:t>’</w:t>
      </w:r>
      <w:r>
        <w:rPr>
          <w:lang w:val="fr-FR"/>
        </w:rPr>
        <w:t>accès et les capacités des pouvoirs publics en matière de contrôle de la sécurité au travail dans les secteurs de l</w:t>
      </w:r>
      <w:r w:rsidR="009C7759">
        <w:rPr>
          <w:lang w:val="fr-FR"/>
        </w:rPr>
        <w:t>’</w:t>
      </w:r>
      <w:r>
        <w:rPr>
          <w:lang w:val="fr-FR"/>
        </w:rPr>
        <w:t>extraction minière et des infrastructures par la fourniture du matériel nécessaire et l</w:t>
      </w:r>
      <w:r w:rsidR="009C7759">
        <w:rPr>
          <w:lang w:val="fr-FR"/>
        </w:rPr>
        <w:t>’</w:t>
      </w:r>
      <w:r>
        <w:rPr>
          <w:lang w:val="fr-FR"/>
        </w:rPr>
        <w:t>augmentation du nombre d</w:t>
      </w:r>
      <w:r w:rsidR="009C7759">
        <w:rPr>
          <w:lang w:val="fr-FR"/>
        </w:rPr>
        <w:t>’</w:t>
      </w:r>
      <w:r>
        <w:rPr>
          <w:lang w:val="fr-FR"/>
        </w:rPr>
        <w:t>inspecteurs d</w:t>
      </w:r>
      <w:r w:rsidR="009C7759">
        <w:rPr>
          <w:lang w:val="fr-FR"/>
        </w:rPr>
        <w:t>’</w:t>
      </w:r>
      <w:r>
        <w:rPr>
          <w:lang w:val="fr-FR"/>
        </w:rPr>
        <w:t>État (en ce qui concerne la géologie et l</w:t>
      </w:r>
      <w:r w:rsidR="009C7759">
        <w:rPr>
          <w:lang w:val="fr-FR"/>
        </w:rPr>
        <w:t>’</w:t>
      </w:r>
      <w:r>
        <w:rPr>
          <w:lang w:val="fr-FR"/>
        </w:rPr>
        <w:t>extraction minière, le travail, le matériel de levage, l</w:t>
      </w:r>
      <w:r w:rsidR="009C7759">
        <w:rPr>
          <w:lang w:val="fr-FR"/>
        </w:rPr>
        <w:t>’</w:t>
      </w:r>
      <w:r>
        <w:rPr>
          <w:lang w:val="fr-FR"/>
        </w:rPr>
        <w:t>approvisionnement en eau et l</w:t>
      </w:r>
      <w:r w:rsidR="009C7759">
        <w:rPr>
          <w:lang w:val="fr-FR"/>
        </w:rPr>
        <w:t>’</w:t>
      </w:r>
      <w:r>
        <w:rPr>
          <w:lang w:val="fr-FR"/>
        </w:rPr>
        <w:t>évacuation des eaux usées, les médicaments et les compléments biologiques, le pétrole et le gaz), l</w:t>
      </w:r>
      <w:r w:rsidR="009C7759">
        <w:rPr>
          <w:lang w:val="fr-FR"/>
        </w:rPr>
        <w:t>’</w:t>
      </w:r>
      <w:r>
        <w:rPr>
          <w:lang w:val="fr-FR"/>
        </w:rPr>
        <w:t>Agence des inspections professionnelles de l</w:t>
      </w:r>
      <w:r w:rsidR="009C7759">
        <w:rPr>
          <w:lang w:val="fr-FR"/>
        </w:rPr>
        <w:t>’</w:t>
      </w:r>
      <w:r>
        <w:rPr>
          <w:lang w:val="fr-FR"/>
        </w:rPr>
        <w:t>État a augmenté le nombre d</w:t>
      </w:r>
      <w:r w:rsidR="009C7759">
        <w:rPr>
          <w:lang w:val="fr-FR"/>
        </w:rPr>
        <w:t>’</w:t>
      </w:r>
      <w:r>
        <w:rPr>
          <w:lang w:val="fr-FR"/>
        </w:rPr>
        <w:t>inspecteurs du travail et d</w:t>
      </w:r>
      <w:r w:rsidR="009C7759">
        <w:rPr>
          <w:lang w:val="fr-FR"/>
        </w:rPr>
        <w:t>’</w:t>
      </w:r>
      <w:r>
        <w:rPr>
          <w:lang w:val="fr-FR"/>
        </w:rPr>
        <w:t>inspecteurs de la santé, en les portant respectivement à 16 et 3</w:t>
      </w:r>
      <w:r w:rsidR="00DC23BB">
        <w:rPr>
          <w:lang w:val="fr-FR"/>
        </w:rPr>
        <w:t> </w:t>
      </w:r>
      <w:r>
        <w:rPr>
          <w:lang w:val="fr-FR"/>
        </w:rPr>
        <w:t xml:space="preserve">; </w:t>
      </w:r>
    </w:p>
    <w:p w14:paraId="59EE2889" w14:textId="1E0F03B5" w:rsidR="00560776" w:rsidRPr="00C8158A" w:rsidRDefault="00560776" w:rsidP="00EB3C26">
      <w:pPr>
        <w:pStyle w:val="Bullet1G"/>
        <w:rPr>
          <w:lang w:val="fr-FR"/>
        </w:rPr>
      </w:pPr>
      <w:r>
        <w:rPr>
          <w:lang w:val="fr-FR"/>
        </w:rPr>
        <w:t>Pour déterminer la teneur en dioxyde de silicium de la poussière provenant des minerais extraits et la concentration de vapeurs de solvants organiques dans l</w:t>
      </w:r>
      <w:r w:rsidR="009C7759">
        <w:rPr>
          <w:lang w:val="fr-FR"/>
        </w:rPr>
        <w:t>’</w:t>
      </w:r>
      <w:r>
        <w:rPr>
          <w:lang w:val="fr-FR"/>
        </w:rPr>
        <w:t>air sur les lieux de travail, 78 prélèvements d</w:t>
      </w:r>
      <w:r w:rsidR="009C7759">
        <w:rPr>
          <w:lang w:val="fr-FR"/>
        </w:rPr>
        <w:t>’</w:t>
      </w:r>
      <w:r>
        <w:rPr>
          <w:lang w:val="fr-FR"/>
        </w:rPr>
        <w:t>air ont été effectués sur 68 lieux de travail de 10 sociétés d</w:t>
      </w:r>
      <w:r w:rsidR="009C7759">
        <w:rPr>
          <w:lang w:val="fr-FR"/>
        </w:rPr>
        <w:t>’</w:t>
      </w:r>
      <w:r>
        <w:rPr>
          <w:lang w:val="fr-FR"/>
        </w:rPr>
        <w:t>extraction de charbon et de minerai de fer, ainsi que dans des usines de béton et de ciment situées à Oulan-Bator et dans les aïmags d</w:t>
      </w:r>
      <w:r w:rsidR="009C7759">
        <w:rPr>
          <w:lang w:val="fr-FR"/>
        </w:rPr>
        <w:t>’</w:t>
      </w:r>
      <w:proofErr w:type="spellStart"/>
      <w:r>
        <w:rPr>
          <w:lang w:val="fr-FR"/>
        </w:rPr>
        <w:t>Uvurkhangai</w:t>
      </w:r>
      <w:proofErr w:type="spellEnd"/>
      <w:r>
        <w:rPr>
          <w:lang w:val="fr-FR"/>
        </w:rPr>
        <w:t xml:space="preserve">, de Darkhan </w:t>
      </w:r>
      <w:proofErr w:type="spellStart"/>
      <w:r>
        <w:rPr>
          <w:lang w:val="fr-FR"/>
        </w:rPr>
        <w:t>Uul</w:t>
      </w:r>
      <w:proofErr w:type="spellEnd"/>
      <w:r>
        <w:rPr>
          <w:lang w:val="fr-FR"/>
        </w:rPr>
        <w:t>, d</w:t>
      </w:r>
      <w:r w:rsidR="009C7759">
        <w:rPr>
          <w:lang w:val="fr-FR"/>
        </w:rPr>
        <w:t>’</w:t>
      </w:r>
      <w:r>
        <w:rPr>
          <w:lang w:val="fr-FR"/>
        </w:rPr>
        <w:t xml:space="preserve">Orkhon, de </w:t>
      </w:r>
      <w:proofErr w:type="spellStart"/>
      <w:r>
        <w:rPr>
          <w:lang w:val="fr-FR"/>
        </w:rPr>
        <w:t>Khentii</w:t>
      </w:r>
      <w:proofErr w:type="spellEnd"/>
      <w:r>
        <w:rPr>
          <w:lang w:val="fr-FR"/>
        </w:rPr>
        <w:t xml:space="preserve"> et de </w:t>
      </w:r>
      <w:proofErr w:type="spellStart"/>
      <w:r>
        <w:rPr>
          <w:lang w:val="fr-FR"/>
        </w:rPr>
        <w:t>Tuv</w:t>
      </w:r>
      <w:proofErr w:type="spellEnd"/>
      <w:r>
        <w:rPr>
          <w:lang w:val="fr-FR"/>
        </w:rPr>
        <w:t xml:space="preserve">. Les résultats de cette étude ont permis de recommander aux sociétés minières de prendre de nouvelles mesures. </w:t>
      </w:r>
    </w:p>
    <w:p w14:paraId="2095F35A" w14:textId="6F94C829" w:rsidR="00560776" w:rsidRPr="00C8158A" w:rsidRDefault="00560776" w:rsidP="00560776">
      <w:pPr>
        <w:pStyle w:val="SingleTxtG"/>
        <w:rPr>
          <w:lang w:val="fr-FR"/>
        </w:rPr>
      </w:pPr>
      <w:r>
        <w:rPr>
          <w:lang w:val="fr-FR"/>
        </w:rPr>
        <w:t>122.</w:t>
      </w:r>
      <w:r>
        <w:rPr>
          <w:lang w:val="fr-FR"/>
        </w:rPr>
        <w:tab/>
        <w:t>Après les formations, des campagnes de sensibilisation et d</w:t>
      </w:r>
      <w:r w:rsidR="009C7759">
        <w:rPr>
          <w:lang w:val="fr-FR"/>
        </w:rPr>
        <w:t>’</w:t>
      </w:r>
      <w:r>
        <w:rPr>
          <w:lang w:val="fr-FR"/>
        </w:rPr>
        <w:t>information ont été menées pour prévenir les accidents et les maladies professionnelles</w:t>
      </w:r>
      <w:r w:rsidR="008F6EE8">
        <w:rPr>
          <w:lang w:val="fr-FR"/>
        </w:rPr>
        <w:t> </w:t>
      </w:r>
      <w:r>
        <w:rPr>
          <w:lang w:val="fr-FR"/>
        </w:rPr>
        <w:t xml:space="preserve">: </w:t>
      </w:r>
    </w:p>
    <w:p w14:paraId="33A58688" w14:textId="5F8C062D" w:rsidR="00560776" w:rsidRPr="00C8158A" w:rsidRDefault="00560776" w:rsidP="00EB3C26">
      <w:pPr>
        <w:pStyle w:val="Bullet1G"/>
        <w:rPr>
          <w:lang w:val="fr-FR"/>
        </w:rPr>
      </w:pPr>
      <w:r>
        <w:rPr>
          <w:lang w:val="fr-FR"/>
        </w:rPr>
        <w:t>De 2017 à 2019, le Ministère du travail et de la politique sociale, l</w:t>
      </w:r>
      <w:r w:rsidR="009C7759">
        <w:rPr>
          <w:lang w:val="fr-FR"/>
        </w:rPr>
        <w:t>’</w:t>
      </w:r>
      <w:r>
        <w:rPr>
          <w:lang w:val="fr-FR"/>
        </w:rPr>
        <w:t>Inspection du travail, la Confédération des syndicats mongols et la Fédération des employeurs mongols ont mené une campagne commune d</w:t>
      </w:r>
      <w:r w:rsidR="009C7759">
        <w:rPr>
          <w:lang w:val="fr-FR"/>
        </w:rPr>
        <w:t>’</w:t>
      </w:r>
      <w:r>
        <w:rPr>
          <w:lang w:val="fr-FR"/>
        </w:rPr>
        <w:t>un mois sur la santé et la sécurité au travail et la prévention des accidents, afin de fournir aux entités économiques et organisations des informations et des formations sur ces questions</w:t>
      </w:r>
      <w:r w:rsidR="00DC23BB">
        <w:rPr>
          <w:lang w:val="fr-FR"/>
        </w:rPr>
        <w:t> </w:t>
      </w:r>
      <w:r>
        <w:rPr>
          <w:lang w:val="fr-FR"/>
        </w:rPr>
        <w:t>;</w:t>
      </w:r>
    </w:p>
    <w:p w14:paraId="7026EA24" w14:textId="40260230" w:rsidR="00560776" w:rsidRPr="00C8158A" w:rsidRDefault="00560776" w:rsidP="00EB3C26">
      <w:pPr>
        <w:pStyle w:val="Bullet1G"/>
        <w:rPr>
          <w:lang w:val="fr-FR"/>
        </w:rPr>
      </w:pPr>
      <w:r>
        <w:rPr>
          <w:lang w:val="fr-FR"/>
        </w:rPr>
        <w:t>Une base de données électronique (http://om.inspection.gov.mn) a été créée sous les auspices de l</w:t>
      </w:r>
      <w:r w:rsidR="009C7759">
        <w:rPr>
          <w:lang w:val="fr-FR"/>
        </w:rPr>
        <w:t>’</w:t>
      </w:r>
      <w:r>
        <w:rPr>
          <w:lang w:val="fr-FR"/>
        </w:rPr>
        <w:t>Inspection du travail pour collecter des données sur les accidents du travail et les cas d</w:t>
      </w:r>
      <w:r w:rsidR="009C7759">
        <w:rPr>
          <w:lang w:val="fr-FR"/>
        </w:rPr>
        <w:t>’</w:t>
      </w:r>
      <w:r>
        <w:rPr>
          <w:lang w:val="fr-FR"/>
        </w:rPr>
        <w:t>empoisonnement aigu. Ces informations sont directement communiquées à la base de données statistiques centralisée de l</w:t>
      </w:r>
      <w:r w:rsidR="009C7759">
        <w:rPr>
          <w:lang w:val="fr-FR"/>
        </w:rPr>
        <w:t>’</w:t>
      </w:r>
      <w:r>
        <w:rPr>
          <w:lang w:val="fr-FR"/>
        </w:rPr>
        <w:t xml:space="preserve">organisme national de statistique ; </w:t>
      </w:r>
    </w:p>
    <w:p w14:paraId="1FF16602" w14:textId="7B6EA9C8" w:rsidR="00560776" w:rsidRPr="00C8158A" w:rsidRDefault="00560776" w:rsidP="00EB3C26">
      <w:pPr>
        <w:pStyle w:val="Bullet1G"/>
        <w:rPr>
          <w:lang w:val="fr-FR"/>
        </w:rPr>
      </w:pPr>
      <w:r>
        <w:rPr>
          <w:lang w:val="fr-FR"/>
        </w:rPr>
        <w:t>Dans le cadre du projet d</w:t>
      </w:r>
      <w:r w:rsidR="009C7759">
        <w:rPr>
          <w:lang w:val="fr-FR"/>
        </w:rPr>
        <w:t>’</w:t>
      </w:r>
      <w:r>
        <w:rPr>
          <w:lang w:val="fr-FR"/>
        </w:rPr>
        <w:t>appui à la création d</w:t>
      </w:r>
      <w:r w:rsidR="009C7759">
        <w:rPr>
          <w:lang w:val="fr-FR"/>
        </w:rPr>
        <w:t>’</w:t>
      </w:r>
      <w:r>
        <w:rPr>
          <w:lang w:val="fr-FR"/>
        </w:rPr>
        <w:t>emplois en Mongolie, une équipe composée de consultants internationaux de l</w:t>
      </w:r>
      <w:r w:rsidR="009C7759">
        <w:rPr>
          <w:lang w:val="fr-FR"/>
        </w:rPr>
        <w:t>’</w:t>
      </w:r>
      <w:r>
        <w:rPr>
          <w:lang w:val="fr-FR"/>
        </w:rPr>
        <w:t>Union européenne et de chefs d</w:t>
      </w:r>
      <w:r w:rsidR="009C7759">
        <w:rPr>
          <w:lang w:val="fr-FR"/>
        </w:rPr>
        <w:t>’</w:t>
      </w:r>
      <w:r>
        <w:rPr>
          <w:lang w:val="fr-FR"/>
        </w:rPr>
        <w:t xml:space="preserve">équipe a dispensé deux séries de formations à environ 260 personnes, dont des inspecteurs du travail et de la santé en milieu professionnel, des enseignants du centre de formation à la santé et à la sécurité au travail et divers employeurs ; </w:t>
      </w:r>
    </w:p>
    <w:p w14:paraId="0AE3292E" w14:textId="2957537E" w:rsidR="00560776" w:rsidRPr="00C8158A" w:rsidRDefault="00560776" w:rsidP="00EB3C26">
      <w:pPr>
        <w:pStyle w:val="Bullet1G"/>
        <w:rPr>
          <w:lang w:val="fr-FR"/>
        </w:rPr>
      </w:pPr>
      <w:r>
        <w:rPr>
          <w:lang w:val="fr-FR"/>
        </w:rPr>
        <w:t>L</w:t>
      </w:r>
      <w:r w:rsidR="009C7759">
        <w:rPr>
          <w:lang w:val="fr-FR"/>
        </w:rPr>
        <w:t>’</w:t>
      </w:r>
      <w:r>
        <w:rPr>
          <w:lang w:val="fr-FR"/>
        </w:rPr>
        <w:t>Inspection du travail a dispensé des formations sur le travail, la santé et la sécurité en milieu professionnel et la protection sociale auprès de 972</w:t>
      </w:r>
      <w:r w:rsidR="00DF03F3">
        <w:rPr>
          <w:lang w:val="fr-FR"/>
        </w:rPr>
        <w:t> </w:t>
      </w:r>
      <w:r>
        <w:rPr>
          <w:lang w:val="fr-FR"/>
        </w:rPr>
        <w:t>organisations en 2018 et de 2</w:t>
      </w:r>
      <w:r w:rsidR="00DF03F3">
        <w:rPr>
          <w:lang w:val="fr-FR"/>
        </w:rPr>
        <w:t> </w:t>
      </w:r>
      <w:r>
        <w:rPr>
          <w:lang w:val="fr-FR"/>
        </w:rPr>
        <w:t>004</w:t>
      </w:r>
      <w:r w:rsidR="00DF03F3">
        <w:rPr>
          <w:lang w:val="fr-FR"/>
        </w:rPr>
        <w:t> </w:t>
      </w:r>
      <w:r>
        <w:rPr>
          <w:lang w:val="fr-FR"/>
        </w:rPr>
        <w:t>organisations en 2019, leur permettant d</w:t>
      </w:r>
      <w:r w:rsidR="009C7759">
        <w:rPr>
          <w:lang w:val="fr-FR"/>
        </w:rPr>
        <w:t>’</w:t>
      </w:r>
      <w:r>
        <w:rPr>
          <w:lang w:val="fr-FR"/>
        </w:rPr>
        <w:t xml:space="preserve">acquérir des connaissances sur le cadre réglementaire, les normes en vigueur et la prévention des risques ; </w:t>
      </w:r>
    </w:p>
    <w:p w14:paraId="47AF8401" w14:textId="0EB36C23" w:rsidR="00560776" w:rsidRPr="00C8158A" w:rsidRDefault="00560776" w:rsidP="00EB3C26">
      <w:pPr>
        <w:pStyle w:val="Bullet1G"/>
        <w:rPr>
          <w:lang w:val="fr-FR"/>
        </w:rPr>
      </w:pPr>
      <w:r>
        <w:rPr>
          <w:lang w:val="fr-FR"/>
        </w:rPr>
        <w:lastRenderedPageBreak/>
        <w:t>En 2019, une formation sur la déclaration des accidents et des cas d</w:t>
      </w:r>
      <w:r w:rsidR="009C7759">
        <w:rPr>
          <w:lang w:val="fr-FR"/>
        </w:rPr>
        <w:t>’</w:t>
      </w:r>
      <w:r>
        <w:rPr>
          <w:lang w:val="fr-FR"/>
        </w:rPr>
        <w:t>empoisonnement aigu et les statistiques qui s</w:t>
      </w:r>
      <w:r w:rsidR="009C7759">
        <w:rPr>
          <w:lang w:val="fr-FR"/>
        </w:rPr>
        <w:t>’</w:t>
      </w:r>
      <w:r>
        <w:rPr>
          <w:lang w:val="fr-FR"/>
        </w:rPr>
        <w:t>y rapportent a été dispensée à 512</w:t>
      </w:r>
      <w:r w:rsidR="00DF03F3">
        <w:rPr>
          <w:lang w:val="fr-FR"/>
        </w:rPr>
        <w:t> </w:t>
      </w:r>
      <w:r>
        <w:rPr>
          <w:lang w:val="fr-FR"/>
        </w:rPr>
        <w:t>personnes de 270</w:t>
      </w:r>
      <w:r w:rsidR="00DF03F3">
        <w:rPr>
          <w:lang w:val="fr-FR"/>
        </w:rPr>
        <w:t> </w:t>
      </w:r>
      <w:r>
        <w:rPr>
          <w:lang w:val="fr-FR"/>
        </w:rPr>
        <w:t xml:space="preserve">entités économiques et organisations (certaines données se répètent). Des conseils sur la saisie des statistiques dans la base de données électronique ont été dispensés à 330 employeurs. </w:t>
      </w:r>
    </w:p>
    <w:p w14:paraId="33680057" w14:textId="7CDA007A" w:rsidR="00560776" w:rsidRPr="00C8158A" w:rsidRDefault="00560776" w:rsidP="00EB3C26">
      <w:pPr>
        <w:pStyle w:val="H1G"/>
        <w:rPr>
          <w:lang w:val="fr-FR"/>
        </w:rPr>
      </w:pPr>
      <w:r>
        <w:rPr>
          <w:lang w:val="fr-FR"/>
        </w:rPr>
        <w:tab/>
      </w:r>
      <w:r>
        <w:rPr>
          <w:lang w:val="fr-FR"/>
        </w:rPr>
        <w:tab/>
      </w:r>
      <w:r w:rsidRPr="0061432F">
        <w:rPr>
          <w:lang w:val="fr-FR"/>
        </w:rPr>
        <w:t>Paragraphe 12 de</w:t>
      </w:r>
      <w:r>
        <w:rPr>
          <w:lang w:val="fr-FR"/>
        </w:rPr>
        <w:t xml:space="preserve"> la liste de points</w:t>
      </w:r>
    </w:p>
    <w:p w14:paraId="37E1EB9D" w14:textId="51E00626" w:rsidR="00560776" w:rsidRPr="00C8158A" w:rsidRDefault="00560776" w:rsidP="00560776">
      <w:pPr>
        <w:pStyle w:val="SingleTxtG"/>
        <w:rPr>
          <w:lang w:val="fr-FR"/>
        </w:rPr>
      </w:pPr>
      <w:r>
        <w:rPr>
          <w:lang w:val="fr-FR"/>
        </w:rPr>
        <w:t>123.</w:t>
      </w:r>
      <w:r>
        <w:rPr>
          <w:lang w:val="fr-FR"/>
        </w:rPr>
        <w:tab/>
        <w:t>Pour mettre en œuvre la loi relative à la lutte contre la violence domestique, des mesures sont prises en vue de prévenir l</w:t>
      </w:r>
      <w:r w:rsidR="009C7759">
        <w:rPr>
          <w:lang w:val="fr-FR"/>
        </w:rPr>
        <w:t>’</w:t>
      </w:r>
      <w:r>
        <w:rPr>
          <w:lang w:val="fr-FR"/>
        </w:rPr>
        <w:t>apparition de toute forme de violence, et des services sociaux et psychologiques et de protection sont fournis aux victimes. Avec l</w:t>
      </w:r>
      <w:r w:rsidR="009C7759">
        <w:rPr>
          <w:lang w:val="fr-FR"/>
        </w:rPr>
        <w:t>’</w:t>
      </w:r>
      <w:r>
        <w:rPr>
          <w:lang w:val="fr-FR"/>
        </w:rPr>
        <w:t xml:space="preserve">appui financier du projet de lutte contre la violence fondée sur le genre, réalisé en coopération avec le Fonds des Nations Unies pour la population (FNUAP), </w:t>
      </w:r>
      <w:r w:rsidRPr="005456BD">
        <w:rPr>
          <w:lang w:val="fr-FR"/>
        </w:rPr>
        <w:t>de</w:t>
      </w:r>
      <w:r w:rsidR="005456BD" w:rsidRPr="005456BD">
        <w:rPr>
          <w:lang w:val="fr-FR"/>
        </w:rPr>
        <w:t>s</w:t>
      </w:r>
      <w:r w:rsidRPr="005456BD">
        <w:rPr>
          <w:lang w:val="fr-FR"/>
        </w:rPr>
        <w:t xml:space="preserve"> centres</w:t>
      </w:r>
      <w:r>
        <w:rPr>
          <w:lang w:val="fr-FR"/>
        </w:rPr>
        <w:t xml:space="preserve"> de services polyvalents visant à protéger les femmes et les enfants de la violence domestique et à leur fournir les services nécessaires ont été ouverts en juin 2018 dans les districts de </w:t>
      </w:r>
      <w:proofErr w:type="spellStart"/>
      <w:r>
        <w:rPr>
          <w:lang w:val="fr-FR"/>
        </w:rPr>
        <w:t>Chingeltei</w:t>
      </w:r>
      <w:proofErr w:type="spellEnd"/>
      <w:r>
        <w:rPr>
          <w:lang w:val="fr-FR"/>
        </w:rPr>
        <w:t xml:space="preserve"> et de </w:t>
      </w:r>
      <w:proofErr w:type="spellStart"/>
      <w:r>
        <w:rPr>
          <w:lang w:val="fr-FR"/>
        </w:rPr>
        <w:t>Sukhbaatar</w:t>
      </w:r>
      <w:proofErr w:type="spellEnd"/>
      <w:r>
        <w:rPr>
          <w:lang w:val="fr-FR"/>
        </w:rPr>
        <w:t xml:space="preserve"> de la ville d</w:t>
      </w:r>
      <w:r w:rsidR="009C7759">
        <w:rPr>
          <w:lang w:val="fr-FR"/>
        </w:rPr>
        <w:t>’</w:t>
      </w:r>
      <w:r>
        <w:rPr>
          <w:lang w:val="fr-FR"/>
        </w:rPr>
        <w:t xml:space="preserve">Oulan-Bator. Ils peuvent </w:t>
      </w:r>
      <w:proofErr w:type="spellStart"/>
      <w:r>
        <w:rPr>
          <w:lang w:val="fr-FR"/>
        </w:rPr>
        <w:t>accueillir huit</w:t>
      </w:r>
      <w:proofErr w:type="spellEnd"/>
      <w:r>
        <w:rPr>
          <w:lang w:val="fr-FR"/>
        </w:rPr>
        <w:t xml:space="preserve"> et vingt personnes respectivement. Actuellement, 18 centres de services polyvalents et 15 foyers d</w:t>
      </w:r>
      <w:r w:rsidR="009C7759">
        <w:rPr>
          <w:lang w:val="fr-FR"/>
        </w:rPr>
        <w:t>’</w:t>
      </w:r>
      <w:r>
        <w:rPr>
          <w:lang w:val="fr-FR"/>
        </w:rPr>
        <w:t xml:space="preserve">hébergement temporaire accueillent les victimes de violences domestiques. </w:t>
      </w:r>
    </w:p>
    <w:p w14:paraId="7118AFFD" w14:textId="32121665" w:rsidR="00560776" w:rsidRPr="00C8158A" w:rsidRDefault="00560776" w:rsidP="00560776">
      <w:pPr>
        <w:pStyle w:val="SingleTxtG"/>
        <w:rPr>
          <w:lang w:val="fr-FR"/>
        </w:rPr>
      </w:pPr>
      <w:r>
        <w:rPr>
          <w:lang w:val="fr-FR"/>
        </w:rPr>
        <w:t>124.</w:t>
      </w:r>
      <w:r>
        <w:rPr>
          <w:lang w:val="fr-FR"/>
        </w:rPr>
        <w:tab/>
        <w:t>Conformément à la loi, la réglementation des services d</w:t>
      </w:r>
      <w:r w:rsidR="009C7759">
        <w:rPr>
          <w:lang w:val="fr-FR"/>
        </w:rPr>
        <w:t>’</w:t>
      </w:r>
      <w:r>
        <w:rPr>
          <w:lang w:val="fr-FR"/>
        </w:rPr>
        <w:t>hébergement temporaire, de protection sociale, de protection de l</w:t>
      </w:r>
      <w:r w:rsidR="009C7759">
        <w:rPr>
          <w:lang w:val="fr-FR"/>
        </w:rPr>
        <w:t>’</w:t>
      </w:r>
      <w:r>
        <w:rPr>
          <w:lang w:val="fr-FR"/>
        </w:rPr>
        <w:t>enfance et de conseils psychologiques et des activités de médiation et la réglementation de l</w:t>
      </w:r>
      <w:r w:rsidR="009C7759">
        <w:rPr>
          <w:lang w:val="fr-FR"/>
        </w:rPr>
        <w:t>’</w:t>
      </w:r>
      <w:r>
        <w:rPr>
          <w:lang w:val="fr-FR"/>
        </w:rPr>
        <w:t>estimation des dépenses variables par personne pour la fourniture de services d</w:t>
      </w:r>
      <w:r w:rsidR="009C7759">
        <w:rPr>
          <w:lang w:val="fr-FR"/>
        </w:rPr>
        <w:t>’</w:t>
      </w:r>
      <w:r>
        <w:rPr>
          <w:lang w:val="fr-FR"/>
        </w:rPr>
        <w:t xml:space="preserve">hébergement temporaire et de protection ont été approuvées respectivement par les arrêtés A/149 et A/150 de 2020 du Ministre du travail et de la protection sociale. </w:t>
      </w:r>
    </w:p>
    <w:p w14:paraId="5B246176" w14:textId="2F972723" w:rsidR="00560776" w:rsidRPr="00C8158A" w:rsidRDefault="00560776" w:rsidP="00560776">
      <w:pPr>
        <w:pStyle w:val="SingleTxtG"/>
        <w:rPr>
          <w:lang w:val="fr-FR"/>
        </w:rPr>
      </w:pPr>
      <w:r>
        <w:rPr>
          <w:lang w:val="fr-FR"/>
        </w:rPr>
        <w:t>125.</w:t>
      </w:r>
      <w:r>
        <w:rPr>
          <w:lang w:val="fr-FR"/>
        </w:rPr>
        <w:tab/>
        <w:t>Dans le cadre de l</w:t>
      </w:r>
      <w:r w:rsidR="009C7759">
        <w:rPr>
          <w:lang w:val="fr-FR"/>
        </w:rPr>
        <w:t>’</w:t>
      </w:r>
      <w:r>
        <w:rPr>
          <w:lang w:val="fr-FR"/>
        </w:rPr>
        <w:t>application de la loi et du programme sur l</w:t>
      </w:r>
      <w:r w:rsidR="009C7759">
        <w:rPr>
          <w:lang w:val="fr-FR"/>
        </w:rPr>
        <w:t>’</w:t>
      </w:r>
      <w:r>
        <w:rPr>
          <w:lang w:val="fr-FR"/>
        </w:rPr>
        <w:t>égalité entre les femmes et les hommes, les organisations gouvernementales ou non gouvernementales, la société civile, le secteur privé et les citoyens sont en permanence sensibilisés à l</w:t>
      </w:r>
      <w:r w:rsidR="009C7759">
        <w:rPr>
          <w:lang w:val="fr-FR"/>
        </w:rPr>
        <w:t>’</w:t>
      </w:r>
      <w:r>
        <w:rPr>
          <w:lang w:val="fr-FR"/>
        </w:rPr>
        <w:t>égalité des sexes. Une attention particulière est accordée à la formation des fonctionnaires et à l</w:t>
      </w:r>
      <w:r w:rsidR="009C7759">
        <w:rPr>
          <w:lang w:val="fr-FR"/>
        </w:rPr>
        <w:t>’</w:t>
      </w:r>
      <w:r>
        <w:rPr>
          <w:lang w:val="fr-FR"/>
        </w:rPr>
        <w:t>amélioration de leurs connaissances, de leurs compétences et de leur prise en compte des questions liées au genre.</w:t>
      </w:r>
    </w:p>
    <w:p w14:paraId="1DBBE315" w14:textId="2C33CD7D" w:rsidR="00560776" w:rsidRPr="00C8158A" w:rsidRDefault="00560776" w:rsidP="00560776">
      <w:pPr>
        <w:pStyle w:val="SingleTxtG"/>
        <w:rPr>
          <w:lang w:val="fr-FR"/>
        </w:rPr>
      </w:pPr>
      <w:r>
        <w:rPr>
          <w:lang w:val="fr-FR"/>
        </w:rPr>
        <w:t>126.</w:t>
      </w:r>
      <w:r>
        <w:rPr>
          <w:lang w:val="fr-FR"/>
        </w:rPr>
        <w:tab/>
        <w:t>Entre 2017 et 2020, le Gouvernement a, en coopération avec le FNUAP, mené le projet de lutte contre la violence fondée sur le genre, avec l</w:t>
      </w:r>
      <w:r w:rsidR="009C7759">
        <w:rPr>
          <w:lang w:val="fr-FR"/>
        </w:rPr>
        <w:t>’</w:t>
      </w:r>
      <w:r>
        <w:rPr>
          <w:lang w:val="fr-FR"/>
        </w:rPr>
        <w:t xml:space="preserve">appui financier de la Direction suisse du développement et de la coopération. Ce projet visait à améliorer la prévention et à renforcer les capacités nationales de lutte contre cette forme de violence et la violence domestique en améliorant la collecte de preuves, en protégeant les victimes, en sensibilisant le public au problème et en amenant les décideurs à mieux connaître et comprendre ces violences. </w:t>
      </w:r>
    </w:p>
    <w:p w14:paraId="4C034FBB" w14:textId="0779AF8D" w:rsidR="00560776" w:rsidRPr="00C8158A" w:rsidRDefault="00560776" w:rsidP="00560776">
      <w:pPr>
        <w:pStyle w:val="SingleTxtG"/>
        <w:rPr>
          <w:lang w:val="fr-FR"/>
        </w:rPr>
      </w:pPr>
      <w:r>
        <w:rPr>
          <w:lang w:val="fr-FR"/>
        </w:rPr>
        <w:t>127.</w:t>
      </w:r>
      <w:r>
        <w:rPr>
          <w:lang w:val="fr-FR"/>
        </w:rPr>
        <w:tab/>
        <w:t>Pour promouvoir l</w:t>
      </w:r>
      <w:r w:rsidR="009C7759">
        <w:rPr>
          <w:lang w:val="fr-FR"/>
        </w:rPr>
        <w:t>’</w:t>
      </w:r>
      <w:r>
        <w:rPr>
          <w:lang w:val="fr-FR"/>
        </w:rPr>
        <w:t>égalité des sexes au moyen du renforcement des capacités aux niveaux national et local, et mieux informer et sensibiliser le public, les mesures suivantes ont été prises :</w:t>
      </w:r>
    </w:p>
    <w:p w14:paraId="36168E21" w14:textId="6F20E16E" w:rsidR="00560776" w:rsidRPr="00C8158A" w:rsidRDefault="00560776" w:rsidP="00EB3C26">
      <w:pPr>
        <w:pStyle w:val="Bullet1G"/>
        <w:rPr>
          <w:lang w:val="fr-FR"/>
        </w:rPr>
      </w:pPr>
      <w:r>
        <w:rPr>
          <w:lang w:val="fr-FR"/>
        </w:rPr>
        <w:t>Une salle d</w:t>
      </w:r>
      <w:r w:rsidR="009C7759">
        <w:rPr>
          <w:lang w:val="fr-FR"/>
        </w:rPr>
        <w:t>’</w:t>
      </w:r>
      <w:r>
        <w:rPr>
          <w:lang w:val="fr-FR"/>
        </w:rPr>
        <w:t>information et d</w:t>
      </w:r>
      <w:r w:rsidR="009C7759">
        <w:rPr>
          <w:lang w:val="fr-FR"/>
        </w:rPr>
        <w:t>’</w:t>
      </w:r>
      <w:r>
        <w:rPr>
          <w:lang w:val="fr-FR"/>
        </w:rPr>
        <w:t>éducation sur les questions liées au genre, financée par le Gouvernement et le FNUAP, a été établie ;</w:t>
      </w:r>
    </w:p>
    <w:p w14:paraId="1A574F9F" w14:textId="546B8798" w:rsidR="00560776" w:rsidRPr="00C8158A" w:rsidRDefault="00560776" w:rsidP="00EB3C26">
      <w:pPr>
        <w:pStyle w:val="Bullet1G"/>
        <w:rPr>
          <w:lang w:val="fr-FR"/>
        </w:rPr>
      </w:pPr>
      <w:r>
        <w:rPr>
          <w:lang w:val="fr-FR"/>
        </w:rPr>
        <w:t>Les questions de genre et la prévention de la violence fondée sur le genre ont été inscrites aux programmes de l</w:t>
      </w:r>
      <w:r w:rsidR="009C7759">
        <w:rPr>
          <w:lang w:val="fr-FR"/>
        </w:rPr>
        <w:t>’</w:t>
      </w:r>
      <w:r>
        <w:rPr>
          <w:lang w:val="fr-FR"/>
        </w:rPr>
        <w:t>école de journalisme et de relations publiques de l</w:t>
      </w:r>
      <w:r w:rsidR="009C7759">
        <w:rPr>
          <w:lang w:val="fr-FR"/>
        </w:rPr>
        <w:t>’</w:t>
      </w:r>
      <w:r>
        <w:rPr>
          <w:lang w:val="fr-FR"/>
        </w:rPr>
        <w:t>Université nationale de Mongolie. Un manuel sur la prise en compte du genre dans le domaine du journalisme a été publié à l</w:t>
      </w:r>
      <w:r w:rsidR="009C7759">
        <w:rPr>
          <w:lang w:val="fr-FR"/>
        </w:rPr>
        <w:t>’</w:t>
      </w:r>
      <w:r>
        <w:rPr>
          <w:lang w:val="fr-FR"/>
        </w:rPr>
        <w:t>intention des étudiants en journalisme. Les</w:t>
      </w:r>
      <w:r w:rsidR="0083318F">
        <w:rPr>
          <w:lang w:val="fr-FR"/>
        </w:rPr>
        <w:t> </w:t>
      </w:r>
      <w:r>
        <w:rPr>
          <w:lang w:val="fr-FR"/>
        </w:rPr>
        <w:t>efforts visant à inscrire les questions de genre aux programmes d</w:t>
      </w:r>
      <w:r w:rsidR="009C7759">
        <w:rPr>
          <w:lang w:val="fr-FR"/>
        </w:rPr>
        <w:t>’</w:t>
      </w:r>
      <w:r>
        <w:rPr>
          <w:lang w:val="fr-FR"/>
        </w:rPr>
        <w:t>autres institutions d</w:t>
      </w:r>
      <w:r w:rsidR="009C7759">
        <w:rPr>
          <w:lang w:val="fr-FR"/>
        </w:rPr>
        <w:t>’</w:t>
      </w:r>
      <w:r>
        <w:rPr>
          <w:lang w:val="fr-FR"/>
        </w:rPr>
        <w:t>enseignement supérieur en journalisme et à organiser à l</w:t>
      </w:r>
      <w:r w:rsidR="009C7759">
        <w:rPr>
          <w:lang w:val="fr-FR"/>
        </w:rPr>
        <w:t>’</w:t>
      </w:r>
      <w:r>
        <w:rPr>
          <w:lang w:val="fr-FR"/>
        </w:rPr>
        <w:t>intention des journalistes des séries de formations à ce sujet se poursuivent</w:t>
      </w:r>
      <w:r w:rsidR="00DC23BB">
        <w:rPr>
          <w:lang w:val="fr-FR"/>
        </w:rPr>
        <w:t> </w:t>
      </w:r>
      <w:r>
        <w:rPr>
          <w:lang w:val="fr-FR"/>
        </w:rPr>
        <w:t xml:space="preserve">; </w:t>
      </w:r>
    </w:p>
    <w:p w14:paraId="2296531E" w14:textId="34F7114D" w:rsidR="00560776" w:rsidRPr="00C8158A" w:rsidRDefault="00560776" w:rsidP="00EB3C26">
      <w:pPr>
        <w:pStyle w:val="Bullet1G"/>
        <w:rPr>
          <w:lang w:val="fr-FR"/>
        </w:rPr>
      </w:pPr>
      <w:r>
        <w:rPr>
          <w:lang w:val="fr-FR"/>
        </w:rPr>
        <w:t>L</w:t>
      </w:r>
      <w:r w:rsidR="009C7759">
        <w:rPr>
          <w:lang w:val="fr-FR"/>
        </w:rPr>
        <w:t>’</w:t>
      </w:r>
      <w:r>
        <w:rPr>
          <w:lang w:val="fr-FR"/>
        </w:rPr>
        <w:t>Université nationale de Mongolie a enrichi le programme d</w:t>
      </w:r>
      <w:r w:rsidR="009C7759">
        <w:rPr>
          <w:lang w:val="fr-FR"/>
        </w:rPr>
        <w:t>’</w:t>
      </w:r>
      <w:r>
        <w:rPr>
          <w:lang w:val="fr-FR"/>
        </w:rPr>
        <w:t>études des travailleurs sociaux en y intégrant des éléments relatifs à la réduction et à la prévention de la violence domestique et de la violence fondée sur le genre. De même, les questions de genre constituent désormais un sujet d</w:t>
      </w:r>
      <w:r w:rsidR="009C7759">
        <w:rPr>
          <w:lang w:val="fr-FR"/>
        </w:rPr>
        <w:t>’</w:t>
      </w:r>
      <w:r>
        <w:rPr>
          <w:lang w:val="fr-FR"/>
        </w:rPr>
        <w:t xml:space="preserve">enseignement distinct, qui est inscrit au programme des autres cours suivis par les travailleurs sociaux ; </w:t>
      </w:r>
    </w:p>
    <w:p w14:paraId="7BFF5CE4" w14:textId="41C4AF90" w:rsidR="00560776" w:rsidRPr="00C8158A" w:rsidRDefault="00560776" w:rsidP="00EB3C26">
      <w:pPr>
        <w:pStyle w:val="Bullet1G"/>
        <w:rPr>
          <w:lang w:val="fr-FR"/>
        </w:rPr>
      </w:pPr>
      <w:r>
        <w:rPr>
          <w:lang w:val="fr-FR"/>
        </w:rPr>
        <w:lastRenderedPageBreak/>
        <w:t>Un module de formation portant sur le genre et la planification des politiques, accompagné d</w:t>
      </w:r>
      <w:r w:rsidR="009C7759">
        <w:rPr>
          <w:lang w:val="fr-FR"/>
        </w:rPr>
        <w:t>’</w:t>
      </w:r>
      <w:r>
        <w:rPr>
          <w:lang w:val="fr-FR"/>
        </w:rPr>
        <w:t>un manuel de l</w:t>
      </w:r>
      <w:r w:rsidR="009C7759">
        <w:rPr>
          <w:lang w:val="fr-FR"/>
        </w:rPr>
        <w:t>’</w:t>
      </w:r>
      <w:r>
        <w:rPr>
          <w:lang w:val="fr-FR"/>
        </w:rPr>
        <w:t>enseignant, a été mis au point et a servi à former 104 formateurs. Entre 2017 et 2020, plus de 96</w:t>
      </w:r>
      <w:r w:rsidR="0083318F">
        <w:rPr>
          <w:lang w:val="fr-FR"/>
        </w:rPr>
        <w:t> </w:t>
      </w:r>
      <w:r>
        <w:rPr>
          <w:lang w:val="fr-FR"/>
        </w:rPr>
        <w:t>000</w:t>
      </w:r>
      <w:r w:rsidR="0083318F">
        <w:rPr>
          <w:lang w:val="fr-FR"/>
        </w:rPr>
        <w:t> </w:t>
      </w:r>
      <w:r>
        <w:rPr>
          <w:lang w:val="fr-FR"/>
        </w:rPr>
        <w:t>fonctionnaires ont été inscrits à des activités de formation ou de sensibilisation</w:t>
      </w:r>
      <w:r w:rsidR="00DC23BB">
        <w:rPr>
          <w:lang w:val="fr-FR"/>
        </w:rPr>
        <w:t> </w:t>
      </w:r>
      <w:r>
        <w:rPr>
          <w:lang w:val="fr-FR"/>
        </w:rPr>
        <w:t xml:space="preserve">; </w:t>
      </w:r>
    </w:p>
    <w:p w14:paraId="0E9BA379" w14:textId="7B6F5383" w:rsidR="00560776" w:rsidRPr="00C8158A" w:rsidRDefault="00560776" w:rsidP="00EB3C26">
      <w:pPr>
        <w:pStyle w:val="Bullet1G"/>
        <w:rPr>
          <w:lang w:val="fr-FR"/>
        </w:rPr>
      </w:pPr>
      <w:r>
        <w:rPr>
          <w:lang w:val="fr-FR"/>
        </w:rPr>
        <w:t>Une soixantaine de femmes de premier plan issues de 15</w:t>
      </w:r>
      <w:r w:rsidR="0083318F">
        <w:rPr>
          <w:lang w:val="fr-FR"/>
        </w:rPr>
        <w:t> </w:t>
      </w:r>
      <w:r>
        <w:rPr>
          <w:lang w:val="fr-FR"/>
        </w:rPr>
        <w:t xml:space="preserve">partis politiques ont participé à une formation visant à améliorer le cadre juridique de lutte contre la violence fondée sur le genre et à des activités de sensibilisation connexes ; </w:t>
      </w:r>
    </w:p>
    <w:p w14:paraId="03DB0A30" w14:textId="194A2359" w:rsidR="00560776" w:rsidRPr="00C8158A" w:rsidRDefault="00560776" w:rsidP="00EB3C26">
      <w:pPr>
        <w:pStyle w:val="Bullet1G"/>
        <w:rPr>
          <w:lang w:val="fr-FR"/>
        </w:rPr>
      </w:pPr>
      <w:r>
        <w:rPr>
          <w:lang w:val="fr-FR"/>
        </w:rPr>
        <w:t>Plusieurs manifestations sont organisées chaque année en coopération avec les organisations gouvernementales, la société civile et des organes de presse pour sensibiliser le public aux questions de genre, à savoir la Journée internationale de la femme, la campagne de 16 jours visant à combattre la violence fondée sur le genre, la Campagne et le mouvement du ruban blanc :</w:t>
      </w:r>
    </w:p>
    <w:p w14:paraId="052293E1" w14:textId="298CC699" w:rsidR="00560776" w:rsidRPr="00C8158A" w:rsidRDefault="00560776" w:rsidP="00B67B87">
      <w:pPr>
        <w:pStyle w:val="Bullet2G"/>
        <w:rPr>
          <w:lang w:val="fr-FR"/>
        </w:rPr>
      </w:pPr>
      <w:r>
        <w:rPr>
          <w:lang w:val="fr-FR"/>
        </w:rPr>
        <w:t>En 2018, la campagne de lutte contre la violence fondée sur le genre a réuni plus de 10</w:t>
      </w:r>
      <w:r w:rsidR="00B67B87">
        <w:rPr>
          <w:lang w:val="fr-FR"/>
        </w:rPr>
        <w:t> </w:t>
      </w:r>
      <w:r>
        <w:rPr>
          <w:lang w:val="fr-FR"/>
        </w:rPr>
        <w:t>000</w:t>
      </w:r>
      <w:r w:rsidR="00B67B87">
        <w:rPr>
          <w:lang w:val="fr-FR"/>
        </w:rPr>
        <w:t> </w:t>
      </w:r>
      <w:r>
        <w:rPr>
          <w:lang w:val="fr-FR"/>
        </w:rPr>
        <w:t>fonctionnaires de près d</w:t>
      </w:r>
      <w:r w:rsidR="009C7759">
        <w:rPr>
          <w:lang w:val="fr-FR"/>
        </w:rPr>
        <w:t>’</w:t>
      </w:r>
      <w:r>
        <w:rPr>
          <w:lang w:val="fr-FR"/>
        </w:rPr>
        <w:t>une centaine d</w:t>
      </w:r>
      <w:r w:rsidR="009C7759">
        <w:rPr>
          <w:lang w:val="fr-FR"/>
        </w:rPr>
        <w:t>’</w:t>
      </w:r>
      <w:r>
        <w:rPr>
          <w:lang w:val="fr-FR"/>
        </w:rPr>
        <w:t>organisations gouvernementales et a diffusé son message auprès de 718</w:t>
      </w:r>
      <w:r w:rsidR="00B67B87">
        <w:rPr>
          <w:lang w:val="fr-FR"/>
        </w:rPr>
        <w:t> </w:t>
      </w:r>
      <w:r>
        <w:rPr>
          <w:lang w:val="fr-FR"/>
        </w:rPr>
        <w:t>847</w:t>
      </w:r>
      <w:r w:rsidR="00B67B87">
        <w:rPr>
          <w:lang w:val="fr-FR"/>
        </w:rPr>
        <w:t> </w:t>
      </w:r>
      <w:r>
        <w:rPr>
          <w:lang w:val="fr-FR"/>
        </w:rPr>
        <w:t>personnes, obtenant 50</w:t>
      </w:r>
      <w:r w:rsidR="00B67B87">
        <w:rPr>
          <w:lang w:val="fr-FR"/>
        </w:rPr>
        <w:t> </w:t>
      </w:r>
      <w:r>
        <w:rPr>
          <w:lang w:val="fr-FR"/>
        </w:rPr>
        <w:t>022 « partages » et 5</w:t>
      </w:r>
      <w:r w:rsidR="00B67B87">
        <w:rPr>
          <w:lang w:val="fr-FR"/>
        </w:rPr>
        <w:t> </w:t>
      </w:r>
      <w:r>
        <w:rPr>
          <w:lang w:val="fr-FR"/>
        </w:rPr>
        <w:t>751</w:t>
      </w:r>
      <w:r w:rsidR="00B67B87">
        <w:rPr>
          <w:lang w:val="fr-FR"/>
        </w:rPr>
        <w:t> </w:t>
      </w:r>
      <w:r>
        <w:rPr>
          <w:lang w:val="fr-FR"/>
        </w:rPr>
        <w:t>commentaires sur les réseaux sociaux, ce qui constitue une nette augmentation de son champ d</w:t>
      </w:r>
      <w:r w:rsidR="009C7759">
        <w:rPr>
          <w:lang w:val="fr-FR"/>
        </w:rPr>
        <w:t>’</w:t>
      </w:r>
      <w:r>
        <w:rPr>
          <w:lang w:val="fr-FR"/>
        </w:rPr>
        <w:t>action par rapport à l</w:t>
      </w:r>
      <w:r w:rsidR="009C7759">
        <w:rPr>
          <w:lang w:val="fr-FR"/>
        </w:rPr>
        <w:t>’</w:t>
      </w:r>
      <w:r>
        <w:rPr>
          <w:lang w:val="fr-FR"/>
        </w:rPr>
        <w:t xml:space="preserve">année précédente ; </w:t>
      </w:r>
    </w:p>
    <w:p w14:paraId="1A8FDA4F" w14:textId="622902B5" w:rsidR="00560776" w:rsidRPr="00C8158A" w:rsidRDefault="00560776" w:rsidP="00B67B87">
      <w:pPr>
        <w:pStyle w:val="Bullet2G"/>
        <w:rPr>
          <w:lang w:val="fr-FR"/>
        </w:rPr>
      </w:pPr>
      <w:r>
        <w:rPr>
          <w:lang w:val="fr-FR"/>
        </w:rPr>
        <w:t>En 2019, les organisations gouvernementales, non gouvernementales et internationales concernées, ainsi que les départements et divisions des services de protection de l</w:t>
      </w:r>
      <w:r w:rsidR="009C7759">
        <w:rPr>
          <w:lang w:val="fr-FR"/>
        </w:rPr>
        <w:t>’</w:t>
      </w:r>
      <w:r>
        <w:rPr>
          <w:lang w:val="fr-FR"/>
        </w:rPr>
        <w:t>enfance et de la famille de 21 aïmags et de neuf districts ont uni leurs efforts pour organiser des campagnes d</w:t>
      </w:r>
      <w:r w:rsidR="009C7759">
        <w:rPr>
          <w:lang w:val="fr-FR"/>
        </w:rPr>
        <w:t>’</w:t>
      </w:r>
      <w:r>
        <w:rPr>
          <w:lang w:val="fr-FR"/>
        </w:rPr>
        <w:t>information et de sensibilisation du public sur le thème de la compréhension et du respect. Ces</w:t>
      </w:r>
      <w:r w:rsidR="00B67B87">
        <w:rPr>
          <w:lang w:val="fr-FR"/>
        </w:rPr>
        <w:t> </w:t>
      </w:r>
      <w:r>
        <w:rPr>
          <w:lang w:val="fr-FR"/>
        </w:rPr>
        <w:t>campagnes ont été menées auprès d</w:t>
      </w:r>
      <w:r w:rsidR="009C7759">
        <w:rPr>
          <w:lang w:val="fr-FR"/>
        </w:rPr>
        <w:t>’</w:t>
      </w:r>
      <w:r>
        <w:rPr>
          <w:lang w:val="fr-FR"/>
        </w:rPr>
        <w:t>environ 160</w:t>
      </w:r>
      <w:r w:rsidR="00B67B87">
        <w:rPr>
          <w:lang w:val="fr-FR"/>
        </w:rPr>
        <w:t> </w:t>
      </w:r>
      <w:r>
        <w:rPr>
          <w:lang w:val="fr-FR"/>
        </w:rPr>
        <w:t>000</w:t>
      </w:r>
      <w:r w:rsidR="00B67B87">
        <w:rPr>
          <w:lang w:val="fr-FR"/>
        </w:rPr>
        <w:t> </w:t>
      </w:r>
      <w:r>
        <w:rPr>
          <w:lang w:val="fr-FR"/>
        </w:rPr>
        <w:t>personnes ;</w:t>
      </w:r>
    </w:p>
    <w:p w14:paraId="1BB6CBB0" w14:textId="23DF2301" w:rsidR="00560776" w:rsidRPr="00C8158A" w:rsidRDefault="00560776" w:rsidP="00B67B87">
      <w:pPr>
        <w:pStyle w:val="Bullet2G"/>
        <w:rPr>
          <w:lang w:val="fr-FR"/>
        </w:rPr>
      </w:pPr>
      <w:r>
        <w:rPr>
          <w:lang w:val="fr-FR"/>
        </w:rPr>
        <w:t>À l</w:t>
      </w:r>
      <w:r w:rsidR="009C7759">
        <w:rPr>
          <w:lang w:val="fr-FR"/>
        </w:rPr>
        <w:t>’</w:t>
      </w:r>
      <w:r>
        <w:rPr>
          <w:lang w:val="fr-FR"/>
        </w:rPr>
        <w:t>occasion de la Journée internationale des femmes de 2019, une campagne visant à faire participer les jeunes à la lutte contre la violence fondée sur le genre a été organisée. Dans le cadre de cette campagne, une conférence a été donnée sur le thème de la confiance dans les valeurs familiales et de la participation des jeunes à la réduction de la violence domestique</w:t>
      </w:r>
      <w:r w:rsidR="00DC23BB">
        <w:rPr>
          <w:lang w:val="fr-FR"/>
        </w:rPr>
        <w:t> </w:t>
      </w:r>
      <w:r>
        <w:rPr>
          <w:lang w:val="fr-FR"/>
        </w:rPr>
        <w:t xml:space="preserve">; </w:t>
      </w:r>
    </w:p>
    <w:p w14:paraId="4EB0E140" w14:textId="31ADD88B" w:rsidR="00560776" w:rsidRPr="00C8158A" w:rsidRDefault="00560776" w:rsidP="00B67B87">
      <w:pPr>
        <w:pStyle w:val="Bullet2G"/>
        <w:rPr>
          <w:lang w:val="fr-FR"/>
        </w:rPr>
      </w:pPr>
      <w:r>
        <w:rPr>
          <w:lang w:val="fr-FR"/>
        </w:rPr>
        <w:t xml:space="preserve">En 2020, une campagne médiatique a été organisée, avec le concours de neuf organes de presse, sur le thème de la participation des femmes à la prise de décisions et a donné lieu à la réalisation de 27 articles et émissions. </w:t>
      </w:r>
    </w:p>
    <w:p w14:paraId="72BE2492" w14:textId="52513EEE" w:rsidR="00560776" w:rsidRPr="00C8158A" w:rsidRDefault="00560776" w:rsidP="00EB3C26">
      <w:pPr>
        <w:pStyle w:val="H1G"/>
        <w:rPr>
          <w:lang w:val="fr-FR"/>
        </w:rPr>
      </w:pPr>
      <w:r>
        <w:rPr>
          <w:lang w:val="fr-FR"/>
        </w:rPr>
        <w:tab/>
      </w:r>
      <w:r>
        <w:rPr>
          <w:lang w:val="fr-FR"/>
        </w:rPr>
        <w:tab/>
        <w:t xml:space="preserve">Paragraphe 13 de la liste de points </w:t>
      </w:r>
    </w:p>
    <w:p w14:paraId="038DEA75" w14:textId="0531C00B" w:rsidR="00560776" w:rsidRPr="00C8158A" w:rsidRDefault="00560776" w:rsidP="00560776">
      <w:pPr>
        <w:pStyle w:val="SingleTxtG"/>
        <w:rPr>
          <w:lang w:val="fr-FR"/>
        </w:rPr>
      </w:pPr>
      <w:r>
        <w:rPr>
          <w:lang w:val="fr-FR"/>
        </w:rPr>
        <w:t>128.</w:t>
      </w:r>
      <w:r>
        <w:rPr>
          <w:lang w:val="fr-FR"/>
        </w:rPr>
        <w:tab/>
        <w:t>Quatre-vingts pour cent de l</w:t>
      </w:r>
      <w:r w:rsidR="009C7759">
        <w:rPr>
          <w:lang w:val="fr-FR"/>
        </w:rPr>
        <w:t>’</w:t>
      </w:r>
      <w:r>
        <w:rPr>
          <w:lang w:val="fr-FR"/>
        </w:rPr>
        <w:t>ensemble de la population et 99,5</w:t>
      </w:r>
      <w:r w:rsidR="00B67B87">
        <w:rPr>
          <w:lang w:val="fr-FR"/>
        </w:rPr>
        <w:t> </w:t>
      </w:r>
      <w:r>
        <w:rPr>
          <w:lang w:val="fr-FR"/>
        </w:rPr>
        <w:t>% des habitants d</w:t>
      </w:r>
      <w:r w:rsidR="009C7759">
        <w:rPr>
          <w:lang w:val="fr-FR"/>
        </w:rPr>
        <w:t>’</w:t>
      </w:r>
      <w:r>
        <w:rPr>
          <w:lang w:val="fr-FR"/>
        </w:rPr>
        <w:t>Oulan-Bator disposent d</w:t>
      </w:r>
      <w:r w:rsidR="009C7759">
        <w:rPr>
          <w:lang w:val="fr-FR"/>
        </w:rPr>
        <w:t>’</w:t>
      </w:r>
      <w:r>
        <w:rPr>
          <w:lang w:val="fr-FR"/>
        </w:rPr>
        <w:t>une source d</w:t>
      </w:r>
      <w:r w:rsidR="009C7759">
        <w:rPr>
          <w:lang w:val="fr-FR"/>
        </w:rPr>
        <w:t>’</w:t>
      </w:r>
      <w:r>
        <w:rPr>
          <w:lang w:val="fr-FR"/>
        </w:rPr>
        <w:t>eau garantie. Cet indicateur varie toutefois considérablement entre la capitale et les aïmags. Par exemple, la population de plus de 20 soums de 7 aïmags (</w:t>
      </w:r>
      <w:proofErr w:type="spellStart"/>
      <w:r>
        <w:rPr>
          <w:lang w:val="fr-FR"/>
        </w:rPr>
        <w:t>Dundgobi</w:t>
      </w:r>
      <w:proofErr w:type="spellEnd"/>
      <w:r>
        <w:rPr>
          <w:lang w:val="fr-FR"/>
        </w:rPr>
        <w:t xml:space="preserve">, </w:t>
      </w:r>
      <w:proofErr w:type="spellStart"/>
      <w:r>
        <w:rPr>
          <w:lang w:val="fr-FR"/>
        </w:rPr>
        <w:t>Dornogobi</w:t>
      </w:r>
      <w:proofErr w:type="spellEnd"/>
      <w:r>
        <w:rPr>
          <w:lang w:val="fr-FR"/>
        </w:rPr>
        <w:t xml:space="preserve">, </w:t>
      </w:r>
      <w:proofErr w:type="spellStart"/>
      <w:r>
        <w:rPr>
          <w:lang w:val="fr-FR"/>
        </w:rPr>
        <w:t>Umnugobi</w:t>
      </w:r>
      <w:proofErr w:type="spellEnd"/>
      <w:r>
        <w:rPr>
          <w:lang w:val="fr-FR"/>
        </w:rPr>
        <w:t xml:space="preserve">, </w:t>
      </w:r>
      <w:proofErr w:type="spellStart"/>
      <w:r>
        <w:rPr>
          <w:lang w:val="fr-FR"/>
        </w:rPr>
        <w:t>Bayankhongor</w:t>
      </w:r>
      <w:proofErr w:type="spellEnd"/>
      <w:r>
        <w:rPr>
          <w:lang w:val="fr-FR"/>
        </w:rPr>
        <w:t xml:space="preserve">, </w:t>
      </w:r>
      <w:proofErr w:type="spellStart"/>
      <w:r>
        <w:rPr>
          <w:lang w:val="fr-FR"/>
        </w:rPr>
        <w:t>Sukhbaatar</w:t>
      </w:r>
      <w:proofErr w:type="spellEnd"/>
      <w:r>
        <w:rPr>
          <w:lang w:val="fr-FR"/>
        </w:rPr>
        <w:t>, Gobi</w:t>
      </w:r>
      <w:r w:rsidR="00B67B87">
        <w:rPr>
          <w:lang w:val="fr-FR"/>
        </w:rPr>
        <w:noBreakHyphen/>
      </w:r>
      <w:proofErr w:type="spellStart"/>
      <w:r>
        <w:rPr>
          <w:lang w:val="fr-FR"/>
        </w:rPr>
        <w:t>Altai</w:t>
      </w:r>
      <w:proofErr w:type="spellEnd"/>
      <w:r>
        <w:rPr>
          <w:lang w:val="fr-FR"/>
        </w:rPr>
        <w:t xml:space="preserve"> et </w:t>
      </w:r>
      <w:proofErr w:type="spellStart"/>
      <w:r>
        <w:rPr>
          <w:lang w:val="fr-FR"/>
        </w:rPr>
        <w:t>Khentii</w:t>
      </w:r>
      <w:proofErr w:type="spellEnd"/>
      <w:r>
        <w:rPr>
          <w:lang w:val="fr-FR"/>
        </w:rPr>
        <w:t>) consomme une eau très minéralisée et dure. Environ la moitié de la population des régions occidentales et centrales utilise de l</w:t>
      </w:r>
      <w:r w:rsidR="009C7759">
        <w:rPr>
          <w:lang w:val="fr-FR"/>
        </w:rPr>
        <w:t>’</w:t>
      </w:r>
      <w:r>
        <w:rPr>
          <w:lang w:val="fr-FR"/>
        </w:rPr>
        <w:t xml:space="preserve">eau provenant directement des rivières, des sources, de la neige ou de la glace. </w:t>
      </w:r>
    </w:p>
    <w:p w14:paraId="76682FE4" w14:textId="6343372B" w:rsidR="00560776" w:rsidRPr="00C8158A" w:rsidRDefault="00560776" w:rsidP="0040732C">
      <w:pPr>
        <w:pStyle w:val="SingleTxtG"/>
        <w:rPr>
          <w:lang w:val="fr-FR"/>
        </w:rPr>
      </w:pPr>
      <w:r>
        <w:rPr>
          <w:lang w:val="fr-FR"/>
        </w:rPr>
        <w:t>129.</w:t>
      </w:r>
      <w:r>
        <w:rPr>
          <w:lang w:val="fr-FR"/>
        </w:rPr>
        <w:tab/>
        <w:t>En 2019, la part de la population ayant accès à des installations sanitaires adéquates était de 41,1</w:t>
      </w:r>
      <w:r w:rsidR="00B67B87">
        <w:rPr>
          <w:lang w:val="fr-FR"/>
        </w:rPr>
        <w:t> </w:t>
      </w:r>
      <w:r>
        <w:rPr>
          <w:lang w:val="fr-FR"/>
        </w:rPr>
        <w:t>%, dont 26,4</w:t>
      </w:r>
      <w:r w:rsidR="00B67B87">
        <w:rPr>
          <w:lang w:val="fr-FR"/>
        </w:rPr>
        <w:t> </w:t>
      </w:r>
      <w:r>
        <w:rPr>
          <w:lang w:val="fr-FR"/>
        </w:rPr>
        <w:t>% étaient raccordés à un réseau d</w:t>
      </w:r>
      <w:r w:rsidR="009C7759">
        <w:rPr>
          <w:lang w:val="fr-FR"/>
        </w:rPr>
        <w:t>’</w:t>
      </w:r>
      <w:r>
        <w:rPr>
          <w:lang w:val="fr-FR"/>
        </w:rPr>
        <w:t>égouts public. Les latrines à fosse représentaient 40</w:t>
      </w:r>
      <w:r w:rsidR="00B67B87">
        <w:rPr>
          <w:lang w:val="fr-FR"/>
        </w:rPr>
        <w:t> </w:t>
      </w:r>
      <w:r>
        <w:rPr>
          <w:lang w:val="fr-FR"/>
        </w:rPr>
        <w:t>% des installations sanitaires inadéquates, tandis que 18,8</w:t>
      </w:r>
      <w:r w:rsidR="00B67B87">
        <w:rPr>
          <w:lang w:val="fr-FR"/>
        </w:rPr>
        <w:t> </w:t>
      </w:r>
      <w:r>
        <w:rPr>
          <w:lang w:val="fr-FR"/>
        </w:rPr>
        <w:t>% de la population ne bénéficiait toujours d</w:t>
      </w:r>
      <w:r w:rsidR="009C7759">
        <w:rPr>
          <w:lang w:val="fr-FR"/>
        </w:rPr>
        <w:t>’</w:t>
      </w:r>
      <w:r>
        <w:rPr>
          <w:lang w:val="fr-FR"/>
        </w:rPr>
        <w:t>aucune forme d</w:t>
      </w:r>
      <w:r w:rsidR="009C7759">
        <w:rPr>
          <w:lang w:val="fr-FR"/>
        </w:rPr>
        <w:t>’</w:t>
      </w:r>
      <w:r>
        <w:rPr>
          <w:lang w:val="fr-FR"/>
        </w:rPr>
        <w:t xml:space="preserve">assainissement. </w:t>
      </w:r>
    </w:p>
    <w:p w14:paraId="1602302C" w14:textId="34D18EB8" w:rsidR="00560776" w:rsidRPr="00C8158A" w:rsidRDefault="00560776" w:rsidP="0040732C">
      <w:pPr>
        <w:pStyle w:val="SingleTxtG"/>
        <w:rPr>
          <w:lang w:val="fr-FR"/>
        </w:rPr>
      </w:pPr>
      <w:r>
        <w:rPr>
          <w:lang w:val="fr-FR"/>
        </w:rPr>
        <w:t>130.</w:t>
      </w:r>
      <w:r>
        <w:rPr>
          <w:lang w:val="fr-FR"/>
        </w:rPr>
        <w:tab/>
        <w:t>Les mesures suivantes ont été prises depuis 2015 pour réduire l</w:t>
      </w:r>
      <w:r w:rsidR="009C7759">
        <w:rPr>
          <w:lang w:val="fr-FR"/>
        </w:rPr>
        <w:t>’</w:t>
      </w:r>
      <w:r>
        <w:rPr>
          <w:lang w:val="fr-FR"/>
        </w:rPr>
        <w:t>écart en matière d</w:t>
      </w:r>
      <w:r w:rsidR="009C7759">
        <w:rPr>
          <w:lang w:val="fr-FR"/>
        </w:rPr>
        <w:t>’</w:t>
      </w:r>
      <w:r>
        <w:rPr>
          <w:lang w:val="fr-FR"/>
        </w:rPr>
        <w:t>accès à l</w:t>
      </w:r>
      <w:r w:rsidR="009C7759">
        <w:rPr>
          <w:lang w:val="fr-FR"/>
        </w:rPr>
        <w:t>’</w:t>
      </w:r>
      <w:r>
        <w:rPr>
          <w:lang w:val="fr-FR"/>
        </w:rPr>
        <w:t>eau potable et à l</w:t>
      </w:r>
      <w:r w:rsidR="009C7759">
        <w:rPr>
          <w:lang w:val="fr-FR"/>
        </w:rPr>
        <w:t>’</w:t>
      </w:r>
      <w:r>
        <w:rPr>
          <w:lang w:val="fr-FR"/>
        </w:rPr>
        <w:t xml:space="preserve">assainissement entre zones urbaines et zones rurales et, dans les agglomérations urbaines, entre les zones à forte concentration de </w:t>
      </w:r>
      <w:proofErr w:type="spellStart"/>
      <w:r w:rsidRPr="00E23392">
        <w:rPr>
          <w:i/>
          <w:iCs/>
          <w:lang w:val="fr-FR"/>
        </w:rPr>
        <w:t>gers</w:t>
      </w:r>
      <w:proofErr w:type="spellEnd"/>
      <w:r>
        <w:rPr>
          <w:lang w:val="fr-FR"/>
        </w:rPr>
        <w:t xml:space="preserve"> et celles qui comprennent surtout des appartements :</w:t>
      </w:r>
    </w:p>
    <w:p w14:paraId="6CFEC2A7" w14:textId="77777777" w:rsidR="00560776" w:rsidRPr="00C8158A" w:rsidRDefault="00560776" w:rsidP="00EB3C26">
      <w:pPr>
        <w:pStyle w:val="H23G"/>
        <w:rPr>
          <w:lang w:val="fr-FR"/>
        </w:rPr>
      </w:pPr>
      <w:r>
        <w:rPr>
          <w:lang w:val="fr-FR"/>
        </w:rPr>
        <w:tab/>
      </w:r>
      <w:r>
        <w:rPr>
          <w:lang w:val="fr-FR"/>
        </w:rPr>
        <w:tab/>
        <w:t>Mesures visant à améliorer le cadre juridique</w:t>
      </w:r>
    </w:p>
    <w:p w14:paraId="047E6321" w14:textId="5B4557B5" w:rsidR="00560776" w:rsidRPr="00C8158A" w:rsidRDefault="00560776" w:rsidP="00EB3C26">
      <w:pPr>
        <w:pStyle w:val="Bullet1G"/>
        <w:rPr>
          <w:lang w:val="fr-FR"/>
        </w:rPr>
      </w:pPr>
      <w:r>
        <w:rPr>
          <w:lang w:val="fr-FR"/>
        </w:rPr>
        <w:t>La loi relative à l</w:t>
      </w:r>
      <w:r w:rsidR="009C7759">
        <w:rPr>
          <w:lang w:val="fr-FR"/>
        </w:rPr>
        <w:t>’</w:t>
      </w:r>
      <w:r>
        <w:rPr>
          <w:lang w:val="fr-FR"/>
        </w:rPr>
        <w:t>approvisionnement en eau et l</w:t>
      </w:r>
      <w:r w:rsidR="009C7759">
        <w:rPr>
          <w:lang w:val="fr-FR"/>
        </w:rPr>
        <w:t>’</w:t>
      </w:r>
      <w:r>
        <w:rPr>
          <w:lang w:val="fr-FR"/>
        </w:rPr>
        <w:t>utilisation de l</w:t>
      </w:r>
      <w:r w:rsidR="009C7759">
        <w:rPr>
          <w:lang w:val="fr-FR"/>
        </w:rPr>
        <w:t>’</w:t>
      </w:r>
      <w:r>
        <w:rPr>
          <w:lang w:val="fr-FR"/>
        </w:rPr>
        <w:t>assainissement en milieu urbain est en cours de révision</w:t>
      </w:r>
      <w:r w:rsidR="00DC23BB">
        <w:rPr>
          <w:lang w:val="fr-FR"/>
        </w:rPr>
        <w:t> </w:t>
      </w:r>
      <w:r>
        <w:rPr>
          <w:lang w:val="fr-FR"/>
        </w:rPr>
        <w:t xml:space="preserve">; </w:t>
      </w:r>
    </w:p>
    <w:p w14:paraId="7FAD902C" w14:textId="7C9290D3" w:rsidR="00560776" w:rsidRPr="00C8158A" w:rsidRDefault="00560776" w:rsidP="00EB3C26">
      <w:pPr>
        <w:pStyle w:val="Bullet1G"/>
        <w:rPr>
          <w:lang w:val="fr-FR"/>
        </w:rPr>
      </w:pPr>
      <w:r>
        <w:rPr>
          <w:lang w:val="fr-FR"/>
        </w:rPr>
        <w:lastRenderedPageBreak/>
        <w:t>La politique nationale en matière de logement et de services collectifs a été approuvée par la résolution gouvernementale n</w:t>
      </w:r>
      <w:r w:rsidR="00B67B87" w:rsidRPr="00B67B87">
        <w:rPr>
          <w:vertAlign w:val="superscript"/>
          <w:lang w:val="fr-FR"/>
        </w:rPr>
        <w:t>o</w:t>
      </w:r>
      <w:r w:rsidR="00B67B87">
        <w:rPr>
          <w:lang w:val="fr-FR"/>
        </w:rPr>
        <w:t> </w:t>
      </w:r>
      <w:r>
        <w:rPr>
          <w:lang w:val="fr-FR"/>
        </w:rPr>
        <w:t>94 de 2020. Ce document favorise la gestion durable en fixant comme objectifs à atteindre pour l</w:t>
      </w:r>
      <w:r w:rsidR="009C7759">
        <w:rPr>
          <w:lang w:val="fr-FR"/>
        </w:rPr>
        <w:t>’</w:t>
      </w:r>
      <w:r>
        <w:rPr>
          <w:lang w:val="fr-FR"/>
        </w:rPr>
        <w:t>ensemble de la population d</w:t>
      </w:r>
      <w:r w:rsidR="009C7759">
        <w:rPr>
          <w:lang w:val="fr-FR"/>
        </w:rPr>
        <w:t>’</w:t>
      </w:r>
      <w:r>
        <w:rPr>
          <w:lang w:val="fr-FR"/>
        </w:rPr>
        <w:t>ici à 2030 l</w:t>
      </w:r>
      <w:r w:rsidR="009C7759">
        <w:rPr>
          <w:lang w:val="fr-FR"/>
        </w:rPr>
        <w:t>’</w:t>
      </w:r>
      <w:r>
        <w:rPr>
          <w:lang w:val="fr-FR"/>
        </w:rPr>
        <w:t>approvisionnement en eau potable et l</w:t>
      </w:r>
      <w:r w:rsidR="009C7759">
        <w:rPr>
          <w:lang w:val="fr-FR"/>
        </w:rPr>
        <w:t>’</w:t>
      </w:r>
      <w:r>
        <w:rPr>
          <w:lang w:val="fr-FR"/>
        </w:rPr>
        <w:t>accès à un assainissement adéquat, ainsi que le traitement des eaux usées dans des installations prévues à cette fin</w:t>
      </w:r>
      <w:r w:rsidR="00DC23BB">
        <w:rPr>
          <w:lang w:val="fr-FR"/>
        </w:rPr>
        <w:t> </w:t>
      </w:r>
      <w:r>
        <w:rPr>
          <w:lang w:val="fr-FR"/>
        </w:rPr>
        <w:t>;</w:t>
      </w:r>
      <w:bookmarkStart w:id="6" w:name="Nov2"/>
      <w:bookmarkEnd w:id="6"/>
    </w:p>
    <w:p w14:paraId="4080E81D" w14:textId="74918C36" w:rsidR="00560776" w:rsidRPr="00C8158A" w:rsidRDefault="00560776" w:rsidP="00EB3C26">
      <w:pPr>
        <w:pStyle w:val="Bullet1G"/>
        <w:rPr>
          <w:lang w:val="fr-FR"/>
        </w:rPr>
      </w:pPr>
      <w:r>
        <w:rPr>
          <w:lang w:val="fr-FR"/>
        </w:rPr>
        <w:t>Des lignes directrices relatives à l</w:t>
      </w:r>
      <w:r w:rsidR="009C7759">
        <w:rPr>
          <w:lang w:val="fr-FR"/>
        </w:rPr>
        <w:t>’</w:t>
      </w:r>
      <w:r>
        <w:rPr>
          <w:lang w:val="fr-FR"/>
        </w:rPr>
        <w:t>élaboration du plan de sécurité en matière d</w:t>
      </w:r>
      <w:r w:rsidR="009C7759">
        <w:rPr>
          <w:lang w:val="fr-FR"/>
        </w:rPr>
        <w:t>’</w:t>
      </w:r>
      <w:r>
        <w:rPr>
          <w:lang w:val="fr-FR"/>
        </w:rPr>
        <w:t>eau potable ont été approuvées par l</w:t>
      </w:r>
      <w:r w:rsidR="009C7759">
        <w:rPr>
          <w:lang w:val="fr-FR"/>
        </w:rPr>
        <w:t>’</w:t>
      </w:r>
      <w:r>
        <w:rPr>
          <w:lang w:val="fr-FR"/>
        </w:rPr>
        <w:t>arrêté</w:t>
      </w:r>
      <w:r w:rsidR="000E32C7">
        <w:rPr>
          <w:lang w:val="fr-FR"/>
        </w:rPr>
        <w:t> </w:t>
      </w:r>
      <w:r>
        <w:rPr>
          <w:lang w:val="fr-FR"/>
        </w:rPr>
        <w:t>74/37 pris conjointement en 2015 par le Ministre de la santé et des sports et le Ministre de la construction et du développement urbain</w:t>
      </w:r>
      <w:r w:rsidR="00DC23BB">
        <w:rPr>
          <w:lang w:val="fr-FR"/>
        </w:rPr>
        <w:t> </w:t>
      </w:r>
      <w:r>
        <w:rPr>
          <w:lang w:val="fr-FR"/>
        </w:rPr>
        <w:t xml:space="preserve">; </w:t>
      </w:r>
    </w:p>
    <w:p w14:paraId="2C556B64" w14:textId="1494F68F" w:rsidR="00560776" w:rsidRPr="00C8158A" w:rsidRDefault="00560776" w:rsidP="00EB3C26">
      <w:pPr>
        <w:pStyle w:val="Bullet1G"/>
        <w:rPr>
          <w:lang w:val="fr-FR"/>
        </w:rPr>
      </w:pPr>
      <w:r>
        <w:rPr>
          <w:lang w:val="fr-FR"/>
        </w:rPr>
        <w:t>Des lignes directrices relatives à l</w:t>
      </w:r>
      <w:r w:rsidR="009C7759">
        <w:rPr>
          <w:lang w:val="fr-FR"/>
        </w:rPr>
        <w:t>’</w:t>
      </w:r>
      <w:r>
        <w:rPr>
          <w:lang w:val="fr-FR"/>
        </w:rPr>
        <w:t>évaluation des risques concernant le système d</w:t>
      </w:r>
      <w:r w:rsidR="009C7759">
        <w:rPr>
          <w:lang w:val="fr-FR"/>
        </w:rPr>
        <w:t>’</w:t>
      </w:r>
      <w:r>
        <w:rPr>
          <w:lang w:val="fr-FR"/>
        </w:rPr>
        <w:t>approvisionnement en eau et d</w:t>
      </w:r>
      <w:r w:rsidR="009C7759">
        <w:rPr>
          <w:lang w:val="fr-FR"/>
        </w:rPr>
        <w:t>’</w:t>
      </w:r>
      <w:r>
        <w:rPr>
          <w:lang w:val="fr-FR"/>
        </w:rPr>
        <w:t>assainissement ont été approuvées par l</w:t>
      </w:r>
      <w:r w:rsidR="009C7759">
        <w:rPr>
          <w:lang w:val="fr-FR"/>
        </w:rPr>
        <w:t>’</w:t>
      </w:r>
      <w:r>
        <w:rPr>
          <w:lang w:val="fr-FR"/>
        </w:rPr>
        <w:t>arrêté А/149/78 pris conjointement en 2017 par le Ministre de la santé et Ministre de la construction et du développement urbain</w:t>
      </w:r>
      <w:r w:rsidR="00DC23BB">
        <w:rPr>
          <w:lang w:val="fr-FR"/>
        </w:rPr>
        <w:t> </w:t>
      </w:r>
      <w:r>
        <w:rPr>
          <w:lang w:val="fr-FR"/>
        </w:rPr>
        <w:t xml:space="preserve">; </w:t>
      </w:r>
    </w:p>
    <w:p w14:paraId="6405A069" w14:textId="4967678D" w:rsidR="00560776" w:rsidRPr="00C8158A" w:rsidRDefault="00560776" w:rsidP="00EB3C26">
      <w:pPr>
        <w:pStyle w:val="Bullet1G"/>
        <w:rPr>
          <w:lang w:val="fr-FR"/>
        </w:rPr>
      </w:pPr>
      <w:r>
        <w:rPr>
          <w:lang w:val="fr-FR"/>
        </w:rPr>
        <w:t>Un système d</w:t>
      </w:r>
      <w:r w:rsidR="009C7759">
        <w:rPr>
          <w:lang w:val="fr-FR"/>
        </w:rPr>
        <w:t>’</w:t>
      </w:r>
      <w:r>
        <w:rPr>
          <w:lang w:val="fr-FR"/>
        </w:rPr>
        <w:t>indicateurs et de types d</w:t>
      </w:r>
      <w:r w:rsidR="009C7759">
        <w:rPr>
          <w:lang w:val="fr-FR"/>
        </w:rPr>
        <w:t>’</w:t>
      </w:r>
      <w:r>
        <w:rPr>
          <w:lang w:val="fr-FR"/>
        </w:rPr>
        <w:t>approvisionnement en eau et d</w:t>
      </w:r>
      <w:r w:rsidR="009C7759">
        <w:rPr>
          <w:lang w:val="fr-FR"/>
        </w:rPr>
        <w:t>’</w:t>
      </w:r>
      <w:r>
        <w:rPr>
          <w:lang w:val="fr-FR"/>
        </w:rPr>
        <w:t>assainissement, visant à définir et évaluer l</w:t>
      </w:r>
      <w:r w:rsidR="009C7759">
        <w:rPr>
          <w:lang w:val="fr-FR"/>
        </w:rPr>
        <w:t>’</w:t>
      </w:r>
      <w:r>
        <w:rPr>
          <w:lang w:val="fr-FR"/>
        </w:rPr>
        <w:t>accès à l</w:t>
      </w:r>
      <w:r w:rsidR="009C7759">
        <w:rPr>
          <w:lang w:val="fr-FR"/>
        </w:rPr>
        <w:t>’</w:t>
      </w:r>
      <w:r>
        <w:rPr>
          <w:lang w:val="fr-FR"/>
        </w:rPr>
        <w:t>eau et à l</w:t>
      </w:r>
      <w:r w:rsidR="009C7759">
        <w:rPr>
          <w:lang w:val="fr-FR"/>
        </w:rPr>
        <w:t>’</w:t>
      </w:r>
      <w:r>
        <w:rPr>
          <w:lang w:val="fr-FR"/>
        </w:rPr>
        <w:t>assainissement et les conditions sanitaires et à en rendre compte, a été approuvé par l</w:t>
      </w:r>
      <w:r w:rsidR="009C7759">
        <w:rPr>
          <w:lang w:val="fr-FR"/>
        </w:rPr>
        <w:t>’</w:t>
      </w:r>
      <w:r>
        <w:rPr>
          <w:lang w:val="fr-FR"/>
        </w:rPr>
        <w:t>arrêté 2019 A/175 du chef de l</w:t>
      </w:r>
      <w:r w:rsidR="009C7759">
        <w:rPr>
          <w:lang w:val="fr-FR"/>
        </w:rPr>
        <w:t>’</w:t>
      </w:r>
      <w:r>
        <w:rPr>
          <w:lang w:val="fr-FR"/>
        </w:rPr>
        <w:t xml:space="preserve">organisme national de statistique. </w:t>
      </w:r>
    </w:p>
    <w:p w14:paraId="46E7C81E" w14:textId="77777777" w:rsidR="00560776" w:rsidRPr="00C8158A" w:rsidRDefault="00560776" w:rsidP="00EB3C26">
      <w:pPr>
        <w:pStyle w:val="H23G"/>
        <w:rPr>
          <w:lang w:val="fr-FR"/>
        </w:rPr>
      </w:pPr>
      <w:r>
        <w:rPr>
          <w:lang w:val="fr-FR"/>
        </w:rPr>
        <w:tab/>
      </w:r>
      <w:r>
        <w:rPr>
          <w:lang w:val="fr-FR"/>
        </w:rPr>
        <w:tab/>
        <w:t>Mesures visant à améliorer les normes et les instruments de réglementation</w:t>
      </w:r>
    </w:p>
    <w:p w14:paraId="44F4F6EC" w14:textId="279B7C59" w:rsidR="00560776" w:rsidRPr="00C8158A" w:rsidRDefault="00560776" w:rsidP="0040732C">
      <w:pPr>
        <w:pStyle w:val="SingleTxtG"/>
        <w:rPr>
          <w:lang w:val="fr-FR"/>
        </w:rPr>
      </w:pPr>
      <w:r w:rsidRPr="00227057">
        <w:rPr>
          <w:lang w:val="fr-FR"/>
        </w:rPr>
        <w:t>131.</w:t>
      </w:r>
      <w:r w:rsidRPr="00227057">
        <w:rPr>
          <w:lang w:val="fr-FR"/>
        </w:rPr>
        <w:tab/>
        <w:t>On trouvera ci-après</w:t>
      </w:r>
      <w:r>
        <w:rPr>
          <w:lang w:val="fr-FR"/>
        </w:rPr>
        <w:t xml:space="preserve"> la liste des normes et dispositions réglementaires en matière de construction nouvellement approuvées ou révisées concernant l</w:t>
      </w:r>
      <w:r w:rsidR="009C7759">
        <w:rPr>
          <w:lang w:val="fr-FR"/>
        </w:rPr>
        <w:t>’</w:t>
      </w:r>
      <w:r>
        <w:rPr>
          <w:lang w:val="fr-FR"/>
        </w:rPr>
        <w:t>approvisionnement en eau, l</w:t>
      </w:r>
      <w:r w:rsidR="009C7759">
        <w:rPr>
          <w:lang w:val="fr-FR"/>
        </w:rPr>
        <w:t>’</w:t>
      </w:r>
      <w:r>
        <w:rPr>
          <w:lang w:val="fr-FR"/>
        </w:rPr>
        <w:t>évacuation des eaux usées et les installations sanitaires :</w:t>
      </w:r>
    </w:p>
    <w:p w14:paraId="04B19547" w14:textId="3BA554B2" w:rsidR="00560776" w:rsidRPr="00C8158A" w:rsidRDefault="00560776" w:rsidP="00EB3C26">
      <w:pPr>
        <w:pStyle w:val="Bullet1G"/>
        <w:rPr>
          <w:lang w:val="fr-FR"/>
        </w:rPr>
      </w:pPr>
      <w:r>
        <w:rPr>
          <w:lang w:val="fr-FR"/>
        </w:rPr>
        <w:t>Normes et règles de construction 40-02-16 relatives à l</w:t>
      </w:r>
      <w:r w:rsidR="009C7759">
        <w:rPr>
          <w:lang w:val="fr-FR"/>
        </w:rPr>
        <w:t>’</w:t>
      </w:r>
      <w:r>
        <w:rPr>
          <w:lang w:val="fr-FR"/>
        </w:rPr>
        <w:t>approvisionnement en eau, au réseau extérieur et aux installations ;</w:t>
      </w:r>
    </w:p>
    <w:p w14:paraId="2BB87A98" w14:textId="35BF95F7" w:rsidR="00560776" w:rsidRPr="00C8158A" w:rsidRDefault="00560776" w:rsidP="00EB3C26">
      <w:pPr>
        <w:pStyle w:val="Bullet1G"/>
        <w:rPr>
          <w:lang w:val="fr-FR"/>
        </w:rPr>
      </w:pPr>
      <w:r>
        <w:rPr>
          <w:lang w:val="fr-FR"/>
        </w:rPr>
        <w:t>Normes et règles de construction 40-05-16, révisées en juin 2020, relatives à l</w:t>
      </w:r>
      <w:r w:rsidR="009C7759">
        <w:rPr>
          <w:lang w:val="fr-FR"/>
        </w:rPr>
        <w:t>’</w:t>
      </w:r>
      <w:r>
        <w:rPr>
          <w:lang w:val="fr-FR"/>
        </w:rPr>
        <w:t>alimentation en eau et à l</w:t>
      </w:r>
      <w:r w:rsidR="009C7759">
        <w:rPr>
          <w:lang w:val="fr-FR"/>
        </w:rPr>
        <w:t>’</w:t>
      </w:r>
      <w:r>
        <w:rPr>
          <w:lang w:val="fr-FR"/>
        </w:rPr>
        <w:t>assainissement à l</w:t>
      </w:r>
      <w:r w:rsidR="009C7759">
        <w:rPr>
          <w:lang w:val="fr-FR"/>
        </w:rPr>
        <w:t>’</w:t>
      </w:r>
      <w:r>
        <w:rPr>
          <w:lang w:val="fr-FR"/>
        </w:rPr>
        <w:t>intérieur des bâtiments</w:t>
      </w:r>
      <w:r w:rsidR="00DC23BB">
        <w:rPr>
          <w:lang w:val="fr-FR"/>
        </w:rPr>
        <w:t> </w:t>
      </w:r>
      <w:r>
        <w:rPr>
          <w:lang w:val="fr-FR"/>
        </w:rPr>
        <w:t xml:space="preserve">; </w:t>
      </w:r>
    </w:p>
    <w:p w14:paraId="5F43DCBA" w14:textId="33301091" w:rsidR="00560776" w:rsidRPr="00C8158A" w:rsidRDefault="00560776" w:rsidP="00EB3C26">
      <w:pPr>
        <w:pStyle w:val="Bullet1G"/>
        <w:rPr>
          <w:lang w:val="fr-FR"/>
        </w:rPr>
      </w:pPr>
      <w:r>
        <w:rPr>
          <w:lang w:val="fr-FR"/>
        </w:rPr>
        <w:t>Système de gestion des eaux grises. Norme MNS ВS 8525-1:2015 relative aux obligations générales</w:t>
      </w:r>
      <w:r w:rsidR="00DC23BB">
        <w:rPr>
          <w:lang w:val="fr-FR"/>
        </w:rPr>
        <w:t> ;</w:t>
      </w:r>
    </w:p>
    <w:p w14:paraId="4977BEA9" w14:textId="30BA013A" w:rsidR="00560776" w:rsidRPr="00C8158A" w:rsidRDefault="00560776" w:rsidP="00EB3C26">
      <w:pPr>
        <w:pStyle w:val="Bullet1G"/>
        <w:rPr>
          <w:lang w:val="fr-FR"/>
        </w:rPr>
      </w:pPr>
      <w:r>
        <w:rPr>
          <w:lang w:val="fr-FR"/>
        </w:rPr>
        <w:t>Norme MNS 5924:2015 relative aux latrines à fosse et fosses d</w:t>
      </w:r>
      <w:r w:rsidR="009C7759">
        <w:rPr>
          <w:lang w:val="fr-FR"/>
        </w:rPr>
        <w:t>’</w:t>
      </w:r>
      <w:r>
        <w:rPr>
          <w:lang w:val="fr-FR"/>
        </w:rPr>
        <w:t>eaux usées</w:t>
      </w:r>
      <w:r w:rsidR="00DC23BB">
        <w:rPr>
          <w:lang w:val="fr-FR"/>
        </w:rPr>
        <w:t> ;</w:t>
      </w:r>
    </w:p>
    <w:p w14:paraId="11DA333D" w14:textId="77695145" w:rsidR="00560776" w:rsidRPr="00C8158A" w:rsidRDefault="00560776" w:rsidP="00EB3C26">
      <w:pPr>
        <w:pStyle w:val="Bullet1G"/>
        <w:rPr>
          <w:lang w:val="fr-FR"/>
        </w:rPr>
      </w:pPr>
      <w:r>
        <w:rPr>
          <w:lang w:val="fr-FR"/>
        </w:rPr>
        <w:t>Série de quatre normes MNS ISO 16075:2018 relatives à l</w:t>
      </w:r>
      <w:r w:rsidR="009C7759">
        <w:rPr>
          <w:lang w:val="fr-FR"/>
        </w:rPr>
        <w:t>’</w:t>
      </w:r>
      <w:r>
        <w:rPr>
          <w:lang w:val="fr-FR"/>
        </w:rPr>
        <w:t>utilisation des eaux usées traitées</w:t>
      </w:r>
      <w:r w:rsidR="00DC23BB">
        <w:rPr>
          <w:lang w:val="fr-FR"/>
        </w:rPr>
        <w:t> ;</w:t>
      </w:r>
    </w:p>
    <w:p w14:paraId="7AEC5677" w14:textId="319CF925" w:rsidR="00560776" w:rsidRPr="00C8158A" w:rsidRDefault="00560776" w:rsidP="00EB3C26">
      <w:pPr>
        <w:pStyle w:val="Bullet1G"/>
        <w:rPr>
          <w:lang w:val="fr-FR"/>
        </w:rPr>
      </w:pPr>
      <w:r>
        <w:rPr>
          <w:lang w:val="fr-FR"/>
        </w:rPr>
        <w:t>Norme MNS ВS 8515:2019 relative aux règles d</w:t>
      </w:r>
      <w:r w:rsidR="009C7759">
        <w:rPr>
          <w:lang w:val="fr-FR"/>
        </w:rPr>
        <w:t>’</w:t>
      </w:r>
      <w:r>
        <w:rPr>
          <w:lang w:val="fr-FR"/>
        </w:rPr>
        <w:t>exploitation des systèmes de collecte des eaux de pluie.</w:t>
      </w:r>
    </w:p>
    <w:p w14:paraId="57BE12FB" w14:textId="52073E95" w:rsidR="00560776" w:rsidRPr="00C8158A" w:rsidRDefault="00560776" w:rsidP="0040732C">
      <w:pPr>
        <w:pStyle w:val="SingleTxtG"/>
        <w:rPr>
          <w:lang w:val="fr-FR"/>
        </w:rPr>
      </w:pPr>
      <w:r>
        <w:rPr>
          <w:lang w:val="fr-FR"/>
        </w:rPr>
        <w:t>132.</w:t>
      </w:r>
      <w:r>
        <w:rPr>
          <w:lang w:val="fr-FR"/>
        </w:rPr>
        <w:tab/>
        <w:t>Dans le cadre de l</w:t>
      </w:r>
      <w:r w:rsidR="009C7759">
        <w:rPr>
          <w:lang w:val="fr-FR"/>
        </w:rPr>
        <w:t>’</w:t>
      </w:r>
      <w:r>
        <w:rPr>
          <w:lang w:val="fr-FR"/>
        </w:rPr>
        <w:t>objectif visant à fournir à la population rurale une source fiable d</w:t>
      </w:r>
      <w:r w:rsidR="009C7759">
        <w:rPr>
          <w:lang w:val="fr-FR"/>
        </w:rPr>
        <w:t>’</w:t>
      </w:r>
      <w:r>
        <w:rPr>
          <w:lang w:val="fr-FR"/>
        </w:rPr>
        <w:t>eau potable, des activités de prospection et de cartographie des sources fiables d</w:t>
      </w:r>
      <w:r w:rsidR="009C7759">
        <w:rPr>
          <w:lang w:val="fr-FR"/>
        </w:rPr>
        <w:t>’</w:t>
      </w:r>
      <w:r>
        <w:rPr>
          <w:lang w:val="fr-FR"/>
        </w:rPr>
        <w:t>eau potable et d</w:t>
      </w:r>
      <w:r w:rsidR="009C7759">
        <w:rPr>
          <w:lang w:val="fr-FR"/>
        </w:rPr>
        <w:t>’</w:t>
      </w:r>
      <w:r>
        <w:rPr>
          <w:lang w:val="fr-FR"/>
        </w:rPr>
        <w:t>eau à usage domestique, financées par l</w:t>
      </w:r>
      <w:r w:rsidR="009C7759">
        <w:rPr>
          <w:lang w:val="fr-FR"/>
        </w:rPr>
        <w:t>’</w:t>
      </w:r>
      <w:r>
        <w:rPr>
          <w:lang w:val="fr-FR"/>
        </w:rPr>
        <w:t>État, sont menées chaque année dans un ou deux chefs-lieux de soum ; depuis 2015, 10 sources d</w:t>
      </w:r>
      <w:r w:rsidR="009C7759">
        <w:rPr>
          <w:lang w:val="fr-FR"/>
        </w:rPr>
        <w:t>’</w:t>
      </w:r>
      <w:r>
        <w:rPr>
          <w:lang w:val="fr-FR"/>
        </w:rPr>
        <w:t xml:space="preserve">eau fiables ont ainsi été répertoriées. </w:t>
      </w:r>
    </w:p>
    <w:p w14:paraId="31EB1BD9" w14:textId="1D75CDE7" w:rsidR="00560776" w:rsidRPr="00C8158A" w:rsidRDefault="00560776" w:rsidP="0040732C">
      <w:pPr>
        <w:pStyle w:val="SingleTxtG"/>
        <w:rPr>
          <w:lang w:val="fr-FR"/>
        </w:rPr>
      </w:pPr>
      <w:r>
        <w:rPr>
          <w:lang w:val="fr-FR"/>
        </w:rPr>
        <w:t>133.</w:t>
      </w:r>
      <w:r>
        <w:rPr>
          <w:lang w:val="fr-FR"/>
        </w:rPr>
        <w:tab/>
        <w:t>Il importe, pour fournir à la population de l</w:t>
      </w:r>
      <w:r w:rsidR="009C7759">
        <w:rPr>
          <w:lang w:val="fr-FR"/>
        </w:rPr>
        <w:t>’</w:t>
      </w:r>
      <w:r>
        <w:rPr>
          <w:lang w:val="fr-FR"/>
        </w:rPr>
        <w:t>eau potable provenant d</w:t>
      </w:r>
      <w:r w:rsidR="009C7759">
        <w:rPr>
          <w:lang w:val="fr-FR"/>
        </w:rPr>
        <w:t>’</w:t>
      </w:r>
      <w:r>
        <w:rPr>
          <w:lang w:val="fr-FR"/>
        </w:rPr>
        <w:t>une source fiable, de localiser les sources d</w:t>
      </w:r>
      <w:r w:rsidR="009C7759">
        <w:rPr>
          <w:lang w:val="fr-FR"/>
        </w:rPr>
        <w:t>’</w:t>
      </w:r>
      <w:r>
        <w:rPr>
          <w:lang w:val="fr-FR"/>
        </w:rPr>
        <w:t>eau potable que peuvent utiliser les chefs-lieux de soum et d</w:t>
      </w:r>
      <w:r w:rsidR="009C7759">
        <w:rPr>
          <w:lang w:val="fr-FR"/>
        </w:rPr>
        <w:t>’</w:t>
      </w:r>
      <w:r>
        <w:rPr>
          <w:lang w:val="fr-FR"/>
        </w:rPr>
        <w:t>en confirmer l</w:t>
      </w:r>
      <w:r w:rsidR="009C7759">
        <w:rPr>
          <w:lang w:val="fr-FR"/>
        </w:rPr>
        <w:t>’</w:t>
      </w:r>
      <w:r>
        <w:rPr>
          <w:lang w:val="fr-FR"/>
        </w:rPr>
        <w:t xml:space="preserve">existence. </w:t>
      </w:r>
    </w:p>
    <w:p w14:paraId="2398268E" w14:textId="4B26E5D3" w:rsidR="00560776" w:rsidRPr="00C8158A" w:rsidRDefault="00560776" w:rsidP="0040732C">
      <w:pPr>
        <w:pStyle w:val="SingleTxtG"/>
        <w:rPr>
          <w:lang w:val="fr-FR"/>
        </w:rPr>
      </w:pPr>
      <w:r>
        <w:rPr>
          <w:lang w:val="fr-FR"/>
        </w:rPr>
        <w:t>134.</w:t>
      </w:r>
      <w:r>
        <w:rPr>
          <w:lang w:val="fr-FR"/>
        </w:rPr>
        <w:tab/>
        <w:t>Les travaux suivants ont été réalisés dans le cadre de projets d</w:t>
      </w:r>
      <w:r w:rsidR="009C7759">
        <w:rPr>
          <w:lang w:val="fr-FR"/>
        </w:rPr>
        <w:t>’</w:t>
      </w:r>
      <w:r>
        <w:rPr>
          <w:lang w:val="fr-FR"/>
        </w:rPr>
        <w:t>approvisionnement en eau, d</w:t>
      </w:r>
      <w:r w:rsidR="009C7759">
        <w:rPr>
          <w:lang w:val="fr-FR"/>
        </w:rPr>
        <w:t>’</w:t>
      </w:r>
      <w:r>
        <w:rPr>
          <w:lang w:val="fr-FR"/>
        </w:rPr>
        <w:t>assainissement, de gestion des eaux usées domestiques et de stations d</w:t>
      </w:r>
      <w:r w:rsidR="009C7759">
        <w:rPr>
          <w:lang w:val="fr-FR"/>
        </w:rPr>
        <w:t>’</w:t>
      </w:r>
      <w:r>
        <w:rPr>
          <w:lang w:val="fr-FR"/>
        </w:rPr>
        <w:t>épuration, grâce à des fonds publics ou à des aides et des prêts nationaux et internationaux :</w:t>
      </w:r>
    </w:p>
    <w:p w14:paraId="1F0BDD72" w14:textId="2A109D29" w:rsidR="00560776" w:rsidRPr="00C8158A" w:rsidRDefault="00560776" w:rsidP="00D46DBA">
      <w:pPr>
        <w:pStyle w:val="H23G"/>
        <w:rPr>
          <w:lang w:val="fr-FR"/>
        </w:rPr>
      </w:pPr>
      <w:r>
        <w:rPr>
          <w:lang w:val="fr-FR"/>
        </w:rPr>
        <w:tab/>
      </w:r>
      <w:r>
        <w:rPr>
          <w:lang w:val="fr-FR"/>
        </w:rPr>
        <w:tab/>
        <w:t>Dans le cadre de l</w:t>
      </w:r>
      <w:r w:rsidR="009C7759">
        <w:rPr>
          <w:lang w:val="fr-FR"/>
        </w:rPr>
        <w:t>’</w:t>
      </w:r>
      <w:r>
        <w:rPr>
          <w:lang w:val="fr-FR"/>
        </w:rPr>
        <w:t xml:space="preserve">objectif visant à fournir à la population </w:t>
      </w:r>
      <w:r w:rsidR="00D46DBA">
        <w:rPr>
          <w:lang w:val="fr-FR"/>
        </w:rPr>
        <w:br/>
      </w:r>
      <w:r>
        <w:rPr>
          <w:lang w:val="fr-FR"/>
        </w:rPr>
        <w:t>une eau potable à un prix raisonnable</w:t>
      </w:r>
    </w:p>
    <w:p w14:paraId="253B194F" w14:textId="37492C6E" w:rsidR="00560776" w:rsidRPr="00C8158A" w:rsidRDefault="00560776" w:rsidP="00D46DBA">
      <w:pPr>
        <w:pStyle w:val="Bullet1G"/>
        <w:rPr>
          <w:lang w:val="fr-FR"/>
        </w:rPr>
      </w:pPr>
      <w:r>
        <w:rPr>
          <w:lang w:val="fr-FR"/>
        </w:rPr>
        <w:t>Des projets visant à protéger et à équiper les sources d</w:t>
      </w:r>
      <w:r w:rsidR="009C7759">
        <w:rPr>
          <w:lang w:val="fr-FR"/>
        </w:rPr>
        <w:t>’</w:t>
      </w:r>
      <w:r>
        <w:rPr>
          <w:lang w:val="fr-FR"/>
        </w:rPr>
        <w:t xml:space="preserve">eau, à installer du matériel moderne et à réduire la déperdition de chaleur dans les établissements scolaires et écoles maternelles ont été menés dans les aïmags de </w:t>
      </w:r>
      <w:proofErr w:type="spellStart"/>
      <w:r>
        <w:rPr>
          <w:lang w:val="fr-FR"/>
        </w:rPr>
        <w:t>Khovd</w:t>
      </w:r>
      <w:proofErr w:type="spellEnd"/>
      <w:r>
        <w:rPr>
          <w:lang w:val="fr-FR"/>
        </w:rPr>
        <w:t>, d</w:t>
      </w:r>
      <w:r w:rsidR="009C7759">
        <w:rPr>
          <w:lang w:val="fr-FR"/>
        </w:rPr>
        <w:t>’</w:t>
      </w:r>
      <w:proofErr w:type="spellStart"/>
      <w:r>
        <w:rPr>
          <w:lang w:val="fr-FR"/>
        </w:rPr>
        <w:t>Umnugobi</w:t>
      </w:r>
      <w:proofErr w:type="spellEnd"/>
      <w:r>
        <w:rPr>
          <w:lang w:val="fr-FR"/>
        </w:rPr>
        <w:t xml:space="preserve"> et de </w:t>
      </w:r>
      <w:proofErr w:type="spellStart"/>
      <w:r>
        <w:rPr>
          <w:lang w:val="fr-FR"/>
        </w:rPr>
        <w:t>Bayankhongor</w:t>
      </w:r>
      <w:proofErr w:type="spellEnd"/>
      <w:r>
        <w:rPr>
          <w:lang w:val="fr-FR"/>
        </w:rPr>
        <w:t>, dans les soums d</w:t>
      </w:r>
      <w:r w:rsidR="009C7759">
        <w:rPr>
          <w:lang w:val="fr-FR"/>
        </w:rPr>
        <w:t>’</w:t>
      </w:r>
      <w:proofErr w:type="spellStart"/>
      <w:r>
        <w:rPr>
          <w:lang w:val="fr-FR"/>
        </w:rPr>
        <w:t>Esunbulag</w:t>
      </w:r>
      <w:proofErr w:type="spellEnd"/>
      <w:r>
        <w:rPr>
          <w:lang w:val="fr-FR"/>
        </w:rPr>
        <w:t xml:space="preserve"> et de </w:t>
      </w:r>
      <w:proofErr w:type="spellStart"/>
      <w:r>
        <w:rPr>
          <w:lang w:val="fr-FR"/>
        </w:rPr>
        <w:t>Jargalan</w:t>
      </w:r>
      <w:proofErr w:type="spellEnd"/>
      <w:r>
        <w:rPr>
          <w:lang w:val="fr-FR"/>
        </w:rPr>
        <w:t xml:space="preserve"> de l</w:t>
      </w:r>
      <w:r w:rsidR="009C7759">
        <w:rPr>
          <w:lang w:val="fr-FR"/>
        </w:rPr>
        <w:t>’</w:t>
      </w:r>
      <w:r>
        <w:rPr>
          <w:lang w:val="fr-FR"/>
        </w:rPr>
        <w:t xml:space="preserve">aïmag de Gobi </w:t>
      </w:r>
      <w:proofErr w:type="spellStart"/>
      <w:r>
        <w:rPr>
          <w:lang w:val="fr-FR"/>
        </w:rPr>
        <w:t>Altai</w:t>
      </w:r>
      <w:proofErr w:type="spellEnd"/>
      <w:r>
        <w:rPr>
          <w:lang w:val="fr-FR"/>
        </w:rPr>
        <w:t xml:space="preserve"> et dans le soum d</w:t>
      </w:r>
      <w:r w:rsidR="009C7759">
        <w:rPr>
          <w:lang w:val="fr-FR"/>
        </w:rPr>
        <w:t>’</w:t>
      </w:r>
      <w:proofErr w:type="spellStart"/>
      <w:r>
        <w:rPr>
          <w:lang w:val="fr-FR"/>
        </w:rPr>
        <w:t>Erdenedalai</w:t>
      </w:r>
      <w:proofErr w:type="spellEnd"/>
      <w:r>
        <w:rPr>
          <w:lang w:val="fr-FR"/>
        </w:rPr>
        <w:t xml:space="preserve"> de l</w:t>
      </w:r>
      <w:r w:rsidR="009C7759">
        <w:rPr>
          <w:lang w:val="fr-FR"/>
        </w:rPr>
        <w:t>’</w:t>
      </w:r>
      <w:r>
        <w:rPr>
          <w:lang w:val="fr-FR"/>
        </w:rPr>
        <w:t xml:space="preserve">aïmag de </w:t>
      </w:r>
      <w:proofErr w:type="spellStart"/>
      <w:r>
        <w:rPr>
          <w:lang w:val="fr-FR"/>
        </w:rPr>
        <w:t>Dundgobi</w:t>
      </w:r>
      <w:proofErr w:type="spellEnd"/>
      <w:r>
        <w:rPr>
          <w:lang w:val="fr-FR"/>
        </w:rPr>
        <w:t> ;</w:t>
      </w:r>
    </w:p>
    <w:p w14:paraId="6746BCB2" w14:textId="019BBBA7" w:rsidR="00560776" w:rsidRPr="00C8158A" w:rsidRDefault="00560776" w:rsidP="00D46DBA">
      <w:pPr>
        <w:pStyle w:val="Bullet1G"/>
        <w:rPr>
          <w:lang w:val="fr-FR"/>
        </w:rPr>
      </w:pPr>
      <w:r>
        <w:rPr>
          <w:lang w:val="fr-FR"/>
        </w:rPr>
        <w:lastRenderedPageBreak/>
        <w:t>Les projets de « nouveau » soum et de rénovation des chefs-lieux de soum, qui sont financés par le budget de l</w:t>
      </w:r>
      <w:r w:rsidR="009C7759">
        <w:rPr>
          <w:lang w:val="fr-FR"/>
        </w:rPr>
        <w:t>’</w:t>
      </w:r>
      <w:r>
        <w:rPr>
          <w:lang w:val="fr-FR"/>
        </w:rPr>
        <w:t>État, l</w:t>
      </w:r>
      <w:r w:rsidR="009C7759">
        <w:rPr>
          <w:lang w:val="fr-FR"/>
        </w:rPr>
        <w:t>’</w:t>
      </w:r>
      <w:r>
        <w:rPr>
          <w:lang w:val="fr-FR"/>
        </w:rPr>
        <w:t>aide étrangère et des prêts, et réalisés à Oulan-Bator et dans 11 aïmags et 4 chefs-lieux de soum, ont permis d</w:t>
      </w:r>
      <w:r w:rsidR="009C7759">
        <w:rPr>
          <w:lang w:val="fr-FR"/>
        </w:rPr>
        <w:t>’</w:t>
      </w:r>
      <w:r>
        <w:rPr>
          <w:lang w:val="fr-FR"/>
        </w:rPr>
        <w:t>installer des réservoirs d</w:t>
      </w:r>
      <w:r w:rsidR="009C7759">
        <w:rPr>
          <w:lang w:val="fr-FR"/>
        </w:rPr>
        <w:t>’</w:t>
      </w:r>
      <w:r>
        <w:rPr>
          <w:lang w:val="fr-FR"/>
        </w:rPr>
        <w:t>eau, des puits artésiens, des stations de pompage d</w:t>
      </w:r>
      <w:r w:rsidR="009C7759">
        <w:rPr>
          <w:lang w:val="fr-FR"/>
        </w:rPr>
        <w:t>’</w:t>
      </w:r>
      <w:r>
        <w:rPr>
          <w:lang w:val="fr-FR"/>
        </w:rPr>
        <w:t>eau, des installations de traitement de l</w:t>
      </w:r>
      <w:r w:rsidR="009C7759">
        <w:rPr>
          <w:lang w:val="fr-FR"/>
        </w:rPr>
        <w:t>’</w:t>
      </w:r>
      <w:r>
        <w:rPr>
          <w:lang w:val="fr-FR"/>
        </w:rPr>
        <w:t>eau, plus de 450</w:t>
      </w:r>
      <w:r w:rsidR="00676250">
        <w:rPr>
          <w:lang w:val="fr-FR"/>
        </w:rPr>
        <w:t> </w:t>
      </w:r>
      <w:r>
        <w:rPr>
          <w:lang w:val="fr-FR"/>
        </w:rPr>
        <w:t>km de réseau d</w:t>
      </w:r>
      <w:r w:rsidR="009C7759">
        <w:rPr>
          <w:lang w:val="fr-FR"/>
        </w:rPr>
        <w:t>’</w:t>
      </w:r>
      <w:r>
        <w:rPr>
          <w:lang w:val="fr-FR"/>
        </w:rPr>
        <w:t>acheminement d</w:t>
      </w:r>
      <w:r w:rsidR="009C7759">
        <w:rPr>
          <w:lang w:val="fr-FR"/>
        </w:rPr>
        <w:t>’</w:t>
      </w:r>
      <w:r>
        <w:rPr>
          <w:lang w:val="fr-FR"/>
        </w:rPr>
        <w:t xml:space="preserve">eau propre et une centaine de puits abrités, avec des systèmes de distribution automatisés fonctionnant 24 heures sur 24 ; </w:t>
      </w:r>
    </w:p>
    <w:p w14:paraId="1FC1E011" w14:textId="3F5BB9D3" w:rsidR="00560776" w:rsidRPr="00C8158A" w:rsidRDefault="00560776" w:rsidP="00D46DBA">
      <w:pPr>
        <w:pStyle w:val="Bullet1G"/>
        <w:rPr>
          <w:lang w:val="fr-FR"/>
        </w:rPr>
      </w:pPr>
      <w:r>
        <w:rPr>
          <w:lang w:val="fr-FR"/>
        </w:rPr>
        <w:t>Le projet d</w:t>
      </w:r>
      <w:r w:rsidR="009C7759">
        <w:rPr>
          <w:lang w:val="fr-FR"/>
        </w:rPr>
        <w:t>’</w:t>
      </w:r>
      <w:r>
        <w:rPr>
          <w:lang w:val="fr-FR"/>
        </w:rPr>
        <w:t xml:space="preserve">approvisionnement en eau de </w:t>
      </w:r>
      <w:proofErr w:type="spellStart"/>
      <w:r>
        <w:rPr>
          <w:lang w:val="fr-FR"/>
        </w:rPr>
        <w:t>Taishir-Altai</w:t>
      </w:r>
      <w:proofErr w:type="spellEnd"/>
      <w:r>
        <w:rPr>
          <w:lang w:val="fr-FR"/>
        </w:rPr>
        <w:t>, qui a débuté en 2018 et est financé par un prêt du Gouvernement autrichien, est le premier système d</w:t>
      </w:r>
      <w:r w:rsidR="009C7759">
        <w:rPr>
          <w:lang w:val="fr-FR"/>
        </w:rPr>
        <w:t>’</w:t>
      </w:r>
      <w:r>
        <w:rPr>
          <w:lang w:val="fr-FR"/>
        </w:rPr>
        <w:t>approvisionnement en eau de Mongolie à utiliser les eaux de surface. Ce projet consiste à construire un récepteur d</w:t>
      </w:r>
      <w:r w:rsidR="009C7759">
        <w:rPr>
          <w:lang w:val="fr-FR"/>
        </w:rPr>
        <w:t>’</w:t>
      </w:r>
      <w:r>
        <w:rPr>
          <w:lang w:val="fr-FR"/>
        </w:rPr>
        <w:t>eau, une conduite principale d</w:t>
      </w:r>
      <w:r w:rsidR="009C7759">
        <w:rPr>
          <w:lang w:val="fr-FR"/>
        </w:rPr>
        <w:t>’</w:t>
      </w:r>
      <w:r>
        <w:rPr>
          <w:lang w:val="fr-FR"/>
        </w:rPr>
        <w:t xml:space="preserve">acheminement, un réservoir, une installation de traitement et une station de pompage sous pression, qui devraient être mis en service en 2021 ; </w:t>
      </w:r>
    </w:p>
    <w:p w14:paraId="6BBDB920" w14:textId="5C7A8B7B" w:rsidR="00560776" w:rsidRPr="00C8158A" w:rsidRDefault="00560776" w:rsidP="00D46DBA">
      <w:pPr>
        <w:pStyle w:val="Bullet1G"/>
        <w:rPr>
          <w:lang w:val="fr-FR"/>
        </w:rPr>
      </w:pPr>
      <w:r>
        <w:rPr>
          <w:lang w:val="fr-FR"/>
        </w:rPr>
        <w:t>Il est prévu, grâce à la subvention provenant du compte du Millennium Challenge des États-Unis, d</w:t>
      </w:r>
      <w:r w:rsidR="009C7759">
        <w:rPr>
          <w:lang w:val="fr-FR"/>
        </w:rPr>
        <w:t>’</w:t>
      </w:r>
      <w:r>
        <w:rPr>
          <w:lang w:val="fr-FR"/>
        </w:rPr>
        <w:t>établir des champs de captage d</w:t>
      </w:r>
      <w:r w:rsidR="009C7759">
        <w:rPr>
          <w:lang w:val="fr-FR"/>
        </w:rPr>
        <w:t>’</w:t>
      </w:r>
      <w:r>
        <w:rPr>
          <w:lang w:val="fr-FR"/>
        </w:rPr>
        <w:t>eau souterraine dans l</w:t>
      </w:r>
      <w:r w:rsidR="009C7759">
        <w:rPr>
          <w:lang w:val="fr-FR"/>
        </w:rPr>
        <w:t>’</w:t>
      </w:r>
      <w:r>
        <w:rPr>
          <w:lang w:val="fr-FR"/>
        </w:rPr>
        <w:t>ouest de la ville d</w:t>
      </w:r>
      <w:r w:rsidR="009C7759">
        <w:rPr>
          <w:lang w:val="fr-FR"/>
        </w:rPr>
        <w:t>’</w:t>
      </w:r>
      <w:r>
        <w:rPr>
          <w:lang w:val="fr-FR"/>
        </w:rPr>
        <w:t xml:space="preserve">Oulan-Bator, de raccorder les puits des districts à forte concentration de </w:t>
      </w:r>
      <w:proofErr w:type="spellStart"/>
      <w:r w:rsidRPr="00E23392">
        <w:rPr>
          <w:i/>
          <w:lang w:val="fr-FR"/>
        </w:rPr>
        <w:t>gers</w:t>
      </w:r>
      <w:proofErr w:type="spellEnd"/>
      <w:r>
        <w:rPr>
          <w:lang w:val="fr-FR"/>
        </w:rPr>
        <w:t xml:space="preserve"> au système centralisé, d</w:t>
      </w:r>
      <w:r w:rsidR="009C7759">
        <w:rPr>
          <w:lang w:val="fr-FR"/>
        </w:rPr>
        <w:t>’</w:t>
      </w:r>
      <w:r>
        <w:rPr>
          <w:lang w:val="fr-FR"/>
        </w:rPr>
        <w:t>automatiser le fonctionnement des puits abrités ou de les doter d</w:t>
      </w:r>
      <w:r w:rsidR="009C7759">
        <w:rPr>
          <w:lang w:val="fr-FR"/>
        </w:rPr>
        <w:t>’</w:t>
      </w:r>
      <w:r>
        <w:rPr>
          <w:lang w:val="fr-FR"/>
        </w:rPr>
        <w:t>un système d</w:t>
      </w:r>
      <w:r w:rsidR="009C7759">
        <w:rPr>
          <w:lang w:val="fr-FR"/>
        </w:rPr>
        <w:t>’</w:t>
      </w:r>
      <w:r>
        <w:rPr>
          <w:lang w:val="fr-FR"/>
        </w:rPr>
        <w:t>exploitation « intelligent »</w:t>
      </w:r>
      <w:r w:rsidR="00DC23BB">
        <w:rPr>
          <w:lang w:val="fr-FR"/>
        </w:rPr>
        <w:t> </w:t>
      </w:r>
      <w:r>
        <w:rPr>
          <w:lang w:val="fr-FR"/>
        </w:rPr>
        <w:t>;</w:t>
      </w:r>
    </w:p>
    <w:p w14:paraId="6873EF5E" w14:textId="57DCC836" w:rsidR="00560776" w:rsidRPr="00C8158A" w:rsidRDefault="00560776" w:rsidP="00D46DBA">
      <w:pPr>
        <w:pStyle w:val="Bullet1G"/>
        <w:rPr>
          <w:lang w:val="fr-FR"/>
        </w:rPr>
      </w:pPr>
      <w:r>
        <w:rPr>
          <w:lang w:val="fr-FR"/>
        </w:rPr>
        <w:t>Afin d</w:t>
      </w:r>
      <w:r w:rsidR="009C7759">
        <w:rPr>
          <w:lang w:val="fr-FR"/>
        </w:rPr>
        <w:t>’</w:t>
      </w:r>
      <w:r>
        <w:rPr>
          <w:lang w:val="fr-FR"/>
        </w:rPr>
        <w:t>améliorer la gestion intégrée des ressources en eau, un organisme gouvernemental d</w:t>
      </w:r>
      <w:r w:rsidR="009C7759">
        <w:rPr>
          <w:lang w:val="fr-FR"/>
        </w:rPr>
        <w:t>’</w:t>
      </w:r>
      <w:r>
        <w:rPr>
          <w:lang w:val="fr-FR"/>
        </w:rPr>
        <w:t xml:space="preserve">exécution </w:t>
      </w:r>
      <w:r w:rsidR="008A625F" w:rsidRPr="00FA2080">
        <w:rPr>
          <w:lang w:val="fr-FR"/>
        </w:rPr>
        <w:t>−</w:t>
      </w:r>
      <w:r>
        <w:rPr>
          <w:lang w:val="fr-FR"/>
        </w:rPr>
        <w:t xml:space="preserve"> le service des eaux </w:t>
      </w:r>
      <w:r w:rsidR="008A625F" w:rsidRPr="00FA2080">
        <w:rPr>
          <w:lang w:val="fr-FR"/>
        </w:rPr>
        <w:t>−</w:t>
      </w:r>
      <w:r>
        <w:rPr>
          <w:lang w:val="fr-FR"/>
        </w:rPr>
        <w:t xml:space="preserve"> a été établi en 2020.</w:t>
      </w:r>
    </w:p>
    <w:p w14:paraId="42B2D4F8" w14:textId="7107D9B9" w:rsidR="00560776" w:rsidRPr="00C8158A" w:rsidRDefault="00560776" w:rsidP="00D46DBA">
      <w:pPr>
        <w:pStyle w:val="H23G"/>
        <w:rPr>
          <w:lang w:val="fr-FR"/>
        </w:rPr>
      </w:pPr>
      <w:r>
        <w:rPr>
          <w:lang w:val="fr-FR"/>
        </w:rPr>
        <w:tab/>
      </w:r>
      <w:r>
        <w:rPr>
          <w:lang w:val="fr-FR"/>
        </w:rPr>
        <w:tab/>
        <w:t xml:space="preserve">Construction, rénovation et agrandissement des installations </w:t>
      </w:r>
      <w:r w:rsidR="00D46DBA">
        <w:rPr>
          <w:lang w:val="fr-FR"/>
        </w:rPr>
        <w:br/>
      </w:r>
      <w:r>
        <w:rPr>
          <w:lang w:val="fr-FR"/>
        </w:rPr>
        <w:t>de traitement des eaux usées</w:t>
      </w:r>
    </w:p>
    <w:p w14:paraId="61A1168B" w14:textId="341DC421" w:rsidR="00560776" w:rsidRPr="00C8158A" w:rsidRDefault="00560776" w:rsidP="00D46DBA">
      <w:pPr>
        <w:pStyle w:val="Bullet1G"/>
        <w:rPr>
          <w:lang w:val="fr-FR"/>
        </w:rPr>
      </w:pPr>
      <w:r>
        <w:rPr>
          <w:lang w:val="fr-FR"/>
        </w:rPr>
        <w:t>De nouvelles installations de traitement des eaux usées, financées par des prêts de la République populaire de Chine, de la Banque asiatique de développement (</w:t>
      </w:r>
      <w:proofErr w:type="spellStart"/>
      <w:r>
        <w:rPr>
          <w:lang w:val="fr-FR"/>
        </w:rPr>
        <w:t>BAsD</w:t>
      </w:r>
      <w:proofErr w:type="spellEnd"/>
      <w:r>
        <w:rPr>
          <w:lang w:val="fr-FR"/>
        </w:rPr>
        <w:t>) et du Gouvernement français, sont en cours de construction dans la ville d</w:t>
      </w:r>
      <w:r w:rsidR="009C7759">
        <w:rPr>
          <w:lang w:val="fr-FR"/>
        </w:rPr>
        <w:t>’</w:t>
      </w:r>
      <w:r>
        <w:rPr>
          <w:lang w:val="fr-FR"/>
        </w:rPr>
        <w:t>Oulan-Bator et dans les chefs-lieux des aïmags de Darkhan-</w:t>
      </w:r>
      <w:proofErr w:type="spellStart"/>
      <w:r>
        <w:rPr>
          <w:lang w:val="fr-FR"/>
        </w:rPr>
        <w:t>Uul</w:t>
      </w:r>
      <w:proofErr w:type="spellEnd"/>
      <w:r>
        <w:rPr>
          <w:lang w:val="fr-FR"/>
        </w:rPr>
        <w:t>, d</w:t>
      </w:r>
      <w:r w:rsidR="009C7759">
        <w:rPr>
          <w:lang w:val="fr-FR"/>
        </w:rPr>
        <w:t>’</w:t>
      </w:r>
      <w:r>
        <w:rPr>
          <w:lang w:val="fr-FR"/>
        </w:rPr>
        <w:t>Orkhon, d</w:t>
      </w:r>
      <w:r w:rsidR="009C7759">
        <w:rPr>
          <w:lang w:val="fr-FR"/>
        </w:rPr>
        <w:t>’</w:t>
      </w:r>
      <w:proofErr w:type="spellStart"/>
      <w:r>
        <w:rPr>
          <w:lang w:val="fr-FR"/>
        </w:rPr>
        <w:t>Arkhangai</w:t>
      </w:r>
      <w:proofErr w:type="spellEnd"/>
      <w:r>
        <w:rPr>
          <w:lang w:val="fr-FR"/>
        </w:rPr>
        <w:t>, d</w:t>
      </w:r>
      <w:r w:rsidR="009C7759">
        <w:rPr>
          <w:lang w:val="fr-FR"/>
        </w:rPr>
        <w:t>’</w:t>
      </w:r>
      <w:proofErr w:type="spellStart"/>
      <w:r>
        <w:rPr>
          <w:lang w:val="fr-FR"/>
        </w:rPr>
        <w:t>Uvurkhangai</w:t>
      </w:r>
      <w:proofErr w:type="spellEnd"/>
      <w:r>
        <w:rPr>
          <w:lang w:val="fr-FR"/>
        </w:rPr>
        <w:t xml:space="preserve">, de </w:t>
      </w:r>
      <w:proofErr w:type="spellStart"/>
      <w:r>
        <w:rPr>
          <w:lang w:val="fr-FR"/>
        </w:rPr>
        <w:t>Dornogobi</w:t>
      </w:r>
      <w:proofErr w:type="spellEnd"/>
      <w:r>
        <w:rPr>
          <w:lang w:val="fr-FR"/>
        </w:rPr>
        <w:t>, d</w:t>
      </w:r>
      <w:r w:rsidR="009C7759">
        <w:rPr>
          <w:lang w:val="fr-FR"/>
        </w:rPr>
        <w:t>’</w:t>
      </w:r>
      <w:proofErr w:type="spellStart"/>
      <w:r>
        <w:rPr>
          <w:lang w:val="fr-FR"/>
        </w:rPr>
        <w:t>Umnugobi</w:t>
      </w:r>
      <w:proofErr w:type="spellEnd"/>
      <w:r>
        <w:rPr>
          <w:lang w:val="fr-FR"/>
        </w:rPr>
        <w:t xml:space="preserve">, de </w:t>
      </w:r>
      <w:proofErr w:type="spellStart"/>
      <w:r>
        <w:rPr>
          <w:lang w:val="fr-FR"/>
        </w:rPr>
        <w:t>Bulgan</w:t>
      </w:r>
      <w:proofErr w:type="spellEnd"/>
      <w:r>
        <w:rPr>
          <w:lang w:val="fr-FR"/>
        </w:rPr>
        <w:t xml:space="preserve">, de </w:t>
      </w:r>
      <w:proofErr w:type="spellStart"/>
      <w:r>
        <w:rPr>
          <w:lang w:val="fr-FR"/>
        </w:rPr>
        <w:t>Khuvsgul</w:t>
      </w:r>
      <w:proofErr w:type="spellEnd"/>
      <w:r>
        <w:rPr>
          <w:lang w:val="fr-FR"/>
        </w:rPr>
        <w:t xml:space="preserve">, de </w:t>
      </w:r>
      <w:proofErr w:type="spellStart"/>
      <w:r>
        <w:rPr>
          <w:lang w:val="fr-FR"/>
        </w:rPr>
        <w:t>Dundgobi</w:t>
      </w:r>
      <w:proofErr w:type="spellEnd"/>
      <w:r>
        <w:rPr>
          <w:lang w:val="fr-FR"/>
        </w:rPr>
        <w:t xml:space="preserve">, de </w:t>
      </w:r>
      <w:proofErr w:type="spellStart"/>
      <w:r>
        <w:rPr>
          <w:lang w:val="fr-FR"/>
        </w:rPr>
        <w:t>Sukhbaatar</w:t>
      </w:r>
      <w:proofErr w:type="spellEnd"/>
      <w:r>
        <w:rPr>
          <w:lang w:val="fr-FR"/>
        </w:rPr>
        <w:t xml:space="preserve"> et de </w:t>
      </w:r>
      <w:proofErr w:type="spellStart"/>
      <w:r>
        <w:rPr>
          <w:lang w:val="fr-FR"/>
        </w:rPr>
        <w:t>Khentii</w:t>
      </w:r>
      <w:proofErr w:type="spellEnd"/>
      <w:r w:rsidR="00DC23BB">
        <w:rPr>
          <w:lang w:val="fr-FR"/>
        </w:rPr>
        <w:t> </w:t>
      </w:r>
      <w:r>
        <w:rPr>
          <w:lang w:val="fr-FR"/>
        </w:rPr>
        <w:t xml:space="preserve">; </w:t>
      </w:r>
    </w:p>
    <w:p w14:paraId="7BEAB446" w14:textId="501477D8" w:rsidR="00560776" w:rsidRPr="00C8158A" w:rsidRDefault="00560776" w:rsidP="00D46DBA">
      <w:pPr>
        <w:pStyle w:val="Bullet1G"/>
        <w:rPr>
          <w:lang w:val="fr-FR"/>
        </w:rPr>
      </w:pPr>
      <w:r>
        <w:rPr>
          <w:lang w:val="fr-FR"/>
        </w:rPr>
        <w:t>Deux nouvelles installations de sédimentation secondaire et dix fosses d</w:t>
      </w:r>
      <w:r w:rsidR="009C7759">
        <w:rPr>
          <w:lang w:val="fr-FR"/>
        </w:rPr>
        <w:t>’</w:t>
      </w:r>
      <w:r>
        <w:rPr>
          <w:lang w:val="fr-FR"/>
        </w:rPr>
        <w:t>oxydation ont été construites à la station d</w:t>
      </w:r>
      <w:r w:rsidR="009C7759">
        <w:rPr>
          <w:lang w:val="fr-FR"/>
        </w:rPr>
        <w:t>’</w:t>
      </w:r>
      <w:r>
        <w:rPr>
          <w:lang w:val="fr-FR"/>
        </w:rPr>
        <w:t>épuration centrale d</w:t>
      </w:r>
      <w:r w:rsidR="009C7759">
        <w:rPr>
          <w:lang w:val="fr-FR"/>
        </w:rPr>
        <w:t>’</w:t>
      </w:r>
      <w:r>
        <w:rPr>
          <w:lang w:val="fr-FR"/>
        </w:rPr>
        <w:t>Oulan-Bator avec le financement de l</w:t>
      </w:r>
      <w:r w:rsidR="009C7759">
        <w:rPr>
          <w:lang w:val="fr-FR"/>
        </w:rPr>
        <w:t>’</w:t>
      </w:r>
      <w:r>
        <w:rPr>
          <w:lang w:val="fr-FR"/>
        </w:rPr>
        <w:t>État. Par ailleurs, 820</w:t>
      </w:r>
      <w:r w:rsidR="008A625F">
        <w:rPr>
          <w:lang w:val="fr-FR"/>
        </w:rPr>
        <w:t> </w:t>
      </w:r>
      <w:r>
        <w:rPr>
          <w:lang w:val="fr-FR"/>
        </w:rPr>
        <w:t>000</w:t>
      </w:r>
      <w:r w:rsidR="008A625F">
        <w:rPr>
          <w:lang w:val="fr-FR"/>
        </w:rPr>
        <w:t> </w:t>
      </w:r>
      <w:r>
        <w:rPr>
          <w:lang w:val="fr-FR"/>
        </w:rPr>
        <w:t>m</w:t>
      </w:r>
      <w:r w:rsidRPr="00555CA9">
        <w:rPr>
          <w:vertAlign w:val="superscript"/>
          <w:lang w:val="fr-FR"/>
        </w:rPr>
        <w:t>3</w:t>
      </w:r>
      <w:r>
        <w:rPr>
          <w:lang w:val="fr-FR"/>
        </w:rPr>
        <w:t xml:space="preserve"> de boue résiduaire accumulée dans la station centrale de traitement et les champs de stockage d</w:t>
      </w:r>
      <w:r w:rsidR="009C7759">
        <w:rPr>
          <w:lang w:val="fr-FR"/>
        </w:rPr>
        <w:t>’</w:t>
      </w:r>
      <w:r>
        <w:rPr>
          <w:lang w:val="fr-FR"/>
        </w:rPr>
        <w:t xml:space="preserve">Oulan-Bator ont été traités et assainis, et une nouvelle installation de déshydratation de boue a été construite et mise en service ; </w:t>
      </w:r>
    </w:p>
    <w:p w14:paraId="7612E334" w14:textId="321B04C1" w:rsidR="00560776" w:rsidRPr="00C8158A" w:rsidRDefault="00560776" w:rsidP="00D46DBA">
      <w:pPr>
        <w:pStyle w:val="Bullet1G"/>
        <w:rPr>
          <w:lang w:val="fr-FR"/>
        </w:rPr>
      </w:pPr>
      <w:r>
        <w:rPr>
          <w:lang w:val="fr-FR"/>
        </w:rPr>
        <w:t xml:space="preserve">Des toilettes à fosse ont été installées dans 330 foyers des zones à forte concentration de </w:t>
      </w:r>
      <w:proofErr w:type="spellStart"/>
      <w:r w:rsidRPr="00E23392">
        <w:rPr>
          <w:i/>
          <w:lang w:val="fr-FR"/>
        </w:rPr>
        <w:t>gers</w:t>
      </w:r>
      <w:proofErr w:type="spellEnd"/>
      <w:r>
        <w:rPr>
          <w:lang w:val="fr-FR"/>
        </w:rPr>
        <w:t xml:space="preserve"> des chefs-lieux des aïmags d</w:t>
      </w:r>
      <w:r w:rsidR="009C7759">
        <w:rPr>
          <w:lang w:val="fr-FR"/>
        </w:rPr>
        <w:t>’</w:t>
      </w:r>
      <w:proofErr w:type="spellStart"/>
      <w:r>
        <w:rPr>
          <w:lang w:val="fr-FR"/>
        </w:rPr>
        <w:t>Uvurkhangai</w:t>
      </w:r>
      <w:proofErr w:type="spellEnd"/>
      <w:r>
        <w:rPr>
          <w:lang w:val="fr-FR"/>
        </w:rPr>
        <w:t xml:space="preserve"> et d</w:t>
      </w:r>
      <w:r w:rsidR="009C7759">
        <w:rPr>
          <w:lang w:val="fr-FR"/>
        </w:rPr>
        <w:t>’</w:t>
      </w:r>
      <w:proofErr w:type="spellStart"/>
      <w:r>
        <w:rPr>
          <w:lang w:val="fr-FR"/>
        </w:rPr>
        <w:t>Arkhangai</w:t>
      </w:r>
      <w:proofErr w:type="spellEnd"/>
      <w:r>
        <w:rPr>
          <w:lang w:val="fr-FR"/>
        </w:rPr>
        <w:t xml:space="preserve"> et dans 350 foyers du district de </w:t>
      </w:r>
      <w:proofErr w:type="spellStart"/>
      <w:r>
        <w:rPr>
          <w:lang w:val="fr-FR"/>
        </w:rPr>
        <w:t>Bayanzurkh</w:t>
      </w:r>
      <w:proofErr w:type="spellEnd"/>
      <w:r>
        <w:rPr>
          <w:lang w:val="fr-FR"/>
        </w:rPr>
        <w:t xml:space="preserve"> de la ville d</w:t>
      </w:r>
      <w:r w:rsidR="009C7759">
        <w:rPr>
          <w:lang w:val="fr-FR"/>
        </w:rPr>
        <w:t>’</w:t>
      </w:r>
      <w:r>
        <w:rPr>
          <w:lang w:val="fr-FR"/>
        </w:rPr>
        <w:t>Oulan-Bator. Dans deux aïmags, la boue résiduaire de ces toilettes est traitée dans l</w:t>
      </w:r>
      <w:r w:rsidR="009C7759">
        <w:rPr>
          <w:lang w:val="fr-FR"/>
        </w:rPr>
        <w:t>’</w:t>
      </w:r>
      <w:r>
        <w:rPr>
          <w:lang w:val="fr-FR"/>
        </w:rPr>
        <w:t>installation centrale du chef-lieu</w:t>
      </w:r>
      <w:r w:rsidR="00DC23BB">
        <w:rPr>
          <w:lang w:val="fr-FR"/>
        </w:rPr>
        <w:t> </w:t>
      </w:r>
      <w:r>
        <w:rPr>
          <w:lang w:val="fr-FR"/>
        </w:rPr>
        <w:t xml:space="preserve">; </w:t>
      </w:r>
    </w:p>
    <w:p w14:paraId="4DA332CF" w14:textId="3C468598" w:rsidR="00560776" w:rsidRPr="00C8158A" w:rsidRDefault="00560776" w:rsidP="00D46DBA">
      <w:pPr>
        <w:pStyle w:val="Bullet1G"/>
        <w:rPr>
          <w:lang w:val="fr-FR"/>
        </w:rPr>
      </w:pPr>
      <w:r>
        <w:rPr>
          <w:lang w:val="fr-FR"/>
        </w:rPr>
        <w:t>Un projet pilote visant à produire, à partir des boues résiduaires, de l</w:t>
      </w:r>
      <w:r w:rsidR="009C7759">
        <w:rPr>
          <w:lang w:val="fr-FR"/>
        </w:rPr>
        <w:t>’</w:t>
      </w:r>
      <w:r>
        <w:rPr>
          <w:lang w:val="fr-FR"/>
        </w:rPr>
        <w:t>amendement de sols et un agent durcisseur pour le combustible pressé a été mené avec succès dans les chefs-lieux des aïmags d</w:t>
      </w:r>
      <w:r w:rsidR="009C7759">
        <w:rPr>
          <w:lang w:val="fr-FR"/>
        </w:rPr>
        <w:t>’</w:t>
      </w:r>
      <w:proofErr w:type="spellStart"/>
      <w:r>
        <w:rPr>
          <w:lang w:val="fr-FR"/>
        </w:rPr>
        <w:t>Arkhangai</w:t>
      </w:r>
      <w:proofErr w:type="spellEnd"/>
      <w:r>
        <w:rPr>
          <w:lang w:val="fr-FR"/>
        </w:rPr>
        <w:t xml:space="preserve"> et d</w:t>
      </w:r>
      <w:r w:rsidR="009C7759">
        <w:rPr>
          <w:lang w:val="fr-FR"/>
        </w:rPr>
        <w:t>’</w:t>
      </w:r>
      <w:proofErr w:type="spellStart"/>
      <w:r>
        <w:rPr>
          <w:lang w:val="fr-FR"/>
        </w:rPr>
        <w:t>Uvurkhangai</w:t>
      </w:r>
      <w:proofErr w:type="spellEnd"/>
      <w:r>
        <w:rPr>
          <w:lang w:val="fr-FR"/>
        </w:rPr>
        <w:t>. La phase de production du projet peut maintenant commencer ;</w:t>
      </w:r>
    </w:p>
    <w:p w14:paraId="08E0FEDA" w14:textId="7CCDD0DC" w:rsidR="00560776" w:rsidRPr="00C8158A" w:rsidRDefault="00560776" w:rsidP="00D46DBA">
      <w:pPr>
        <w:pStyle w:val="Bullet1G"/>
        <w:rPr>
          <w:lang w:val="fr-FR"/>
        </w:rPr>
      </w:pPr>
      <w:r>
        <w:rPr>
          <w:lang w:val="fr-FR"/>
        </w:rPr>
        <w:t>Il est prévu de construire, avec l</w:t>
      </w:r>
      <w:r w:rsidR="009C7759">
        <w:rPr>
          <w:lang w:val="fr-FR"/>
        </w:rPr>
        <w:t>’</w:t>
      </w:r>
      <w:r>
        <w:rPr>
          <w:lang w:val="fr-FR"/>
        </w:rPr>
        <w:t>appui financier du compte du Millennium Challenge des États-Unis, une usine de recyclage de l</w:t>
      </w:r>
      <w:r w:rsidR="009C7759">
        <w:rPr>
          <w:lang w:val="fr-FR"/>
        </w:rPr>
        <w:t>’</w:t>
      </w:r>
      <w:r>
        <w:rPr>
          <w:lang w:val="fr-FR"/>
        </w:rPr>
        <w:t>eau permettant de soumettre à un traitement supplémentaire les effluents de la station centrale d</w:t>
      </w:r>
      <w:r w:rsidR="009C7759">
        <w:rPr>
          <w:lang w:val="fr-FR"/>
        </w:rPr>
        <w:t>’</w:t>
      </w:r>
      <w:r>
        <w:rPr>
          <w:lang w:val="fr-FR"/>
        </w:rPr>
        <w:t>épuration de la ville et de fournir de l</w:t>
      </w:r>
      <w:r w:rsidR="009C7759">
        <w:rPr>
          <w:lang w:val="fr-FR"/>
        </w:rPr>
        <w:t>’</w:t>
      </w:r>
      <w:r>
        <w:rPr>
          <w:lang w:val="fr-FR"/>
        </w:rPr>
        <w:t xml:space="preserve">eau recyclée au système de refroidissement des centrales thermiques au charbon et aux dépôts de cendres. </w:t>
      </w:r>
    </w:p>
    <w:p w14:paraId="3A9DA7E5" w14:textId="5ADBC28C" w:rsidR="00560776" w:rsidRPr="00C8158A" w:rsidRDefault="00560776" w:rsidP="0040732C">
      <w:pPr>
        <w:pStyle w:val="SingleTxtG"/>
        <w:rPr>
          <w:lang w:val="fr-FR"/>
        </w:rPr>
      </w:pPr>
      <w:r>
        <w:rPr>
          <w:lang w:val="fr-FR"/>
        </w:rPr>
        <w:t>135.</w:t>
      </w:r>
      <w:r>
        <w:rPr>
          <w:lang w:val="fr-FR"/>
        </w:rPr>
        <w:tab/>
        <w:t>Des projets financés par l</w:t>
      </w:r>
      <w:r w:rsidR="009C7759">
        <w:rPr>
          <w:lang w:val="fr-FR"/>
        </w:rPr>
        <w:t>’</w:t>
      </w:r>
      <w:r>
        <w:rPr>
          <w:lang w:val="fr-FR"/>
        </w:rPr>
        <w:t>État et par des subventions et prêts étrangers ont permis d</w:t>
      </w:r>
      <w:r w:rsidR="009C7759">
        <w:rPr>
          <w:lang w:val="fr-FR"/>
        </w:rPr>
        <w:t>’</w:t>
      </w:r>
      <w:r>
        <w:rPr>
          <w:lang w:val="fr-FR"/>
        </w:rPr>
        <w:t>élaborer des plans généraux ou partiels d</w:t>
      </w:r>
      <w:r w:rsidR="009C7759">
        <w:rPr>
          <w:lang w:val="fr-FR"/>
        </w:rPr>
        <w:t>’</w:t>
      </w:r>
      <w:r>
        <w:rPr>
          <w:lang w:val="fr-FR"/>
        </w:rPr>
        <w:t>urbanisation et de mettre en place des infrastructures de génie civil dans 30 soums de 27 aïmags, d</w:t>
      </w:r>
      <w:r w:rsidR="009C7759">
        <w:rPr>
          <w:lang w:val="fr-FR"/>
        </w:rPr>
        <w:t>’</w:t>
      </w:r>
      <w:r>
        <w:rPr>
          <w:lang w:val="fr-FR"/>
        </w:rPr>
        <w:t>installer des conduites d</w:t>
      </w:r>
      <w:r w:rsidR="009C7759">
        <w:rPr>
          <w:lang w:val="fr-FR"/>
        </w:rPr>
        <w:t>’</w:t>
      </w:r>
      <w:r>
        <w:rPr>
          <w:lang w:val="fr-FR"/>
        </w:rPr>
        <w:t>acheminement de l</w:t>
      </w:r>
      <w:r w:rsidR="009C7759">
        <w:rPr>
          <w:lang w:val="fr-FR"/>
        </w:rPr>
        <w:t>’</w:t>
      </w:r>
      <w:r>
        <w:rPr>
          <w:lang w:val="fr-FR"/>
        </w:rPr>
        <w:t>eau potable et d</w:t>
      </w:r>
      <w:r w:rsidR="009C7759">
        <w:rPr>
          <w:lang w:val="fr-FR"/>
        </w:rPr>
        <w:t>’</w:t>
      </w:r>
      <w:r>
        <w:rPr>
          <w:lang w:val="fr-FR"/>
        </w:rPr>
        <w:t>évacuation des eaux usées et des stations d</w:t>
      </w:r>
      <w:r w:rsidR="009C7759">
        <w:rPr>
          <w:lang w:val="fr-FR"/>
        </w:rPr>
        <w:t>’</w:t>
      </w:r>
      <w:r>
        <w:rPr>
          <w:lang w:val="fr-FR"/>
        </w:rPr>
        <w:t>épuration dans 14 soums de huit aïmags, et d</w:t>
      </w:r>
      <w:r w:rsidR="009C7759">
        <w:rPr>
          <w:lang w:val="fr-FR"/>
        </w:rPr>
        <w:t>’</w:t>
      </w:r>
      <w:r>
        <w:rPr>
          <w:lang w:val="fr-FR"/>
        </w:rPr>
        <w:t>agrandir et de rénover des installations de traitement des eaux dans deux villes. Ces travaux ont contribué pour beaucoup à accroître l</w:t>
      </w:r>
      <w:r w:rsidR="009C7759">
        <w:rPr>
          <w:lang w:val="fr-FR"/>
        </w:rPr>
        <w:t>’</w:t>
      </w:r>
      <w:r>
        <w:rPr>
          <w:lang w:val="fr-FR"/>
        </w:rPr>
        <w:t>approvisionnement en eau potable, à favoriser l</w:t>
      </w:r>
      <w:r w:rsidR="009C7759">
        <w:rPr>
          <w:lang w:val="fr-FR"/>
        </w:rPr>
        <w:t>’</w:t>
      </w:r>
      <w:r>
        <w:rPr>
          <w:lang w:val="fr-FR"/>
        </w:rPr>
        <w:t>égalité d</w:t>
      </w:r>
      <w:r w:rsidR="009C7759">
        <w:rPr>
          <w:lang w:val="fr-FR"/>
        </w:rPr>
        <w:t>’</w:t>
      </w:r>
      <w:r>
        <w:rPr>
          <w:lang w:val="fr-FR"/>
        </w:rPr>
        <w:t>accès à l</w:t>
      </w:r>
      <w:r w:rsidR="009C7759">
        <w:rPr>
          <w:lang w:val="fr-FR"/>
        </w:rPr>
        <w:t>’</w:t>
      </w:r>
      <w:r>
        <w:rPr>
          <w:lang w:val="fr-FR"/>
        </w:rPr>
        <w:t xml:space="preserve">assainissement, à éliminer les disparités entre les zones urbaines et les zones rurales, à réduire la pollution de </w:t>
      </w:r>
      <w:r>
        <w:rPr>
          <w:lang w:val="fr-FR"/>
        </w:rPr>
        <w:lastRenderedPageBreak/>
        <w:t>l</w:t>
      </w:r>
      <w:r w:rsidR="009C7759">
        <w:rPr>
          <w:lang w:val="fr-FR"/>
        </w:rPr>
        <w:t>’</w:t>
      </w:r>
      <w:r>
        <w:rPr>
          <w:lang w:val="fr-FR"/>
        </w:rPr>
        <w:t>air, de l</w:t>
      </w:r>
      <w:r w:rsidR="009C7759">
        <w:rPr>
          <w:lang w:val="fr-FR"/>
        </w:rPr>
        <w:t>’</w:t>
      </w:r>
      <w:r>
        <w:rPr>
          <w:lang w:val="fr-FR"/>
        </w:rPr>
        <w:t>eau et des sols en milieu urbain et à augmenter l</w:t>
      </w:r>
      <w:r w:rsidR="009C7759">
        <w:rPr>
          <w:lang w:val="fr-FR"/>
        </w:rPr>
        <w:t>’</w:t>
      </w:r>
      <w:r>
        <w:rPr>
          <w:lang w:val="fr-FR"/>
        </w:rPr>
        <w:t xml:space="preserve">accès aux infrastructures techniques et leur capacité. </w:t>
      </w:r>
    </w:p>
    <w:p w14:paraId="4D3EC698" w14:textId="3641D456" w:rsidR="00560776" w:rsidRPr="00C8158A" w:rsidRDefault="00560776" w:rsidP="0040732C">
      <w:pPr>
        <w:pStyle w:val="SingleTxtG"/>
        <w:rPr>
          <w:lang w:val="fr-FR"/>
        </w:rPr>
      </w:pPr>
      <w:r>
        <w:rPr>
          <w:lang w:val="fr-FR"/>
        </w:rPr>
        <w:t>136.</w:t>
      </w:r>
      <w:r>
        <w:rPr>
          <w:lang w:val="fr-FR"/>
        </w:rPr>
        <w:tab/>
        <w:t>La réalisation progressive des mesures susmentionnées a permis de fournir des services de base d</w:t>
      </w:r>
      <w:r w:rsidR="009C7759">
        <w:rPr>
          <w:lang w:val="fr-FR"/>
        </w:rPr>
        <w:t>’</w:t>
      </w:r>
      <w:r>
        <w:rPr>
          <w:lang w:val="fr-FR"/>
        </w:rPr>
        <w:t>approvisionnement en eau potable à 94</w:t>
      </w:r>
      <w:r w:rsidR="004E4AD8">
        <w:rPr>
          <w:lang w:val="fr-FR"/>
        </w:rPr>
        <w:t> </w:t>
      </w:r>
      <w:r>
        <w:rPr>
          <w:lang w:val="fr-FR"/>
        </w:rPr>
        <w:t>% des ménages vivant en milieu urbain et 54</w:t>
      </w:r>
      <w:r w:rsidR="004E4AD8">
        <w:rPr>
          <w:lang w:val="fr-FR"/>
        </w:rPr>
        <w:t> </w:t>
      </w:r>
      <w:r>
        <w:rPr>
          <w:lang w:val="fr-FR"/>
        </w:rPr>
        <w:t>% de ceux vivant en milieu rural, et des services d</w:t>
      </w:r>
      <w:r w:rsidR="009C7759">
        <w:rPr>
          <w:lang w:val="fr-FR"/>
        </w:rPr>
        <w:t>’</w:t>
      </w:r>
      <w:r>
        <w:rPr>
          <w:lang w:val="fr-FR"/>
        </w:rPr>
        <w:t>assainissement à 78</w:t>
      </w:r>
      <w:r w:rsidR="004E4AD8">
        <w:rPr>
          <w:lang w:val="fr-FR"/>
        </w:rPr>
        <w:t> </w:t>
      </w:r>
      <w:r>
        <w:rPr>
          <w:lang w:val="fr-FR"/>
        </w:rPr>
        <w:t>% de la population urbaine et 50</w:t>
      </w:r>
      <w:r w:rsidR="004E4AD8">
        <w:rPr>
          <w:lang w:val="fr-FR"/>
        </w:rPr>
        <w:t> </w:t>
      </w:r>
      <w:r>
        <w:rPr>
          <w:lang w:val="fr-FR"/>
        </w:rPr>
        <w:t>% de la population rurale, ainsi que de réduire en conséquence la pollution de l</w:t>
      </w:r>
      <w:r w:rsidR="009C7759">
        <w:rPr>
          <w:lang w:val="fr-FR"/>
        </w:rPr>
        <w:t>’</w:t>
      </w:r>
      <w:r>
        <w:rPr>
          <w:lang w:val="fr-FR"/>
        </w:rPr>
        <w:t>air, de l</w:t>
      </w:r>
      <w:r w:rsidR="009C7759">
        <w:rPr>
          <w:lang w:val="fr-FR"/>
        </w:rPr>
        <w:t>’</w:t>
      </w:r>
      <w:r>
        <w:rPr>
          <w:lang w:val="fr-FR"/>
        </w:rPr>
        <w:t>eau, des sols et du milieu naturel</w:t>
      </w:r>
      <w:r w:rsidRPr="00474DA1">
        <w:rPr>
          <w:rStyle w:val="Appelnotedebasdep"/>
        </w:rPr>
        <w:footnoteReference w:id="5"/>
      </w:r>
      <w:r>
        <w:rPr>
          <w:lang w:val="fr-FR"/>
        </w:rPr>
        <w:t>.</w:t>
      </w:r>
    </w:p>
    <w:p w14:paraId="7C559D37" w14:textId="107EA3CD" w:rsidR="00560776" w:rsidRPr="00C8158A" w:rsidRDefault="00560776" w:rsidP="0040732C">
      <w:pPr>
        <w:pStyle w:val="SingleTxtG"/>
        <w:rPr>
          <w:lang w:val="fr-FR"/>
        </w:rPr>
      </w:pPr>
      <w:r>
        <w:rPr>
          <w:lang w:val="fr-FR"/>
        </w:rPr>
        <w:t>137.</w:t>
      </w:r>
      <w:r>
        <w:rPr>
          <w:lang w:val="fr-FR"/>
        </w:rPr>
        <w:tab/>
        <w:t>De même, les nouveaux systèmes d</w:t>
      </w:r>
      <w:r w:rsidR="009C7759">
        <w:rPr>
          <w:lang w:val="fr-FR"/>
        </w:rPr>
        <w:t>’</w:t>
      </w:r>
      <w:r>
        <w:rPr>
          <w:lang w:val="fr-FR"/>
        </w:rPr>
        <w:t>approvisionnement en eau et d</w:t>
      </w:r>
      <w:r w:rsidR="009C7759">
        <w:rPr>
          <w:lang w:val="fr-FR"/>
        </w:rPr>
        <w:t>’</w:t>
      </w:r>
      <w:r>
        <w:rPr>
          <w:lang w:val="fr-FR"/>
        </w:rPr>
        <w:t>évacuation des eaux usées et canalisations mises en place dans les chefs-lieux des soums et les zones d</w:t>
      </w:r>
      <w:r w:rsidR="009C7759">
        <w:rPr>
          <w:lang w:val="fr-FR"/>
        </w:rPr>
        <w:t>’</w:t>
      </w:r>
      <w:r>
        <w:rPr>
          <w:lang w:val="fr-FR"/>
        </w:rPr>
        <w:t>habitation ont contribué à réduire l</w:t>
      </w:r>
      <w:r w:rsidR="009C7759">
        <w:rPr>
          <w:lang w:val="fr-FR"/>
        </w:rPr>
        <w:t>’</w:t>
      </w:r>
      <w:r>
        <w:rPr>
          <w:lang w:val="fr-FR"/>
        </w:rPr>
        <w:t xml:space="preserve">exode urbain, à accroître la formation de petites et moyennes entreprises, à créer de nouveaux emplois et à permettre de générer des revenus et de vivre confortablement dans les soums. </w:t>
      </w:r>
    </w:p>
    <w:p w14:paraId="7B7D4BAD" w14:textId="11E81EFC" w:rsidR="00560776" w:rsidRPr="00C8158A" w:rsidRDefault="00560776" w:rsidP="00D46DBA">
      <w:pPr>
        <w:pStyle w:val="H1G"/>
        <w:rPr>
          <w:lang w:val="fr-FR"/>
        </w:rPr>
      </w:pPr>
      <w:r>
        <w:rPr>
          <w:lang w:val="fr-FR"/>
        </w:rPr>
        <w:tab/>
      </w:r>
      <w:r>
        <w:rPr>
          <w:lang w:val="fr-FR"/>
        </w:rPr>
        <w:tab/>
        <w:t>Paragraphe 14 de la liste de points</w:t>
      </w:r>
    </w:p>
    <w:p w14:paraId="10CD2011" w14:textId="13E5A98A" w:rsidR="00560776" w:rsidRPr="00C8158A" w:rsidRDefault="00560776" w:rsidP="0040732C">
      <w:pPr>
        <w:pStyle w:val="SingleTxtG"/>
        <w:rPr>
          <w:lang w:val="fr-FR"/>
        </w:rPr>
      </w:pPr>
      <w:r>
        <w:rPr>
          <w:lang w:val="fr-FR"/>
        </w:rPr>
        <w:t>138.</w:t>
      </w:r>
      <w:r>
        <w:rPr>
          <w:lang w:val="fr-FR"/>
        </w:rPr>
        <w:tab/>
        <w:t xml:space="preserve">Le Grand </w:t>
      </w:r>
      <w:proofErr w:type="spellStart"/>
      <w:r>
        <w:rPr>
          <w:lang w:val="fr-FR"/>
        </w:rPr>
        <w:t>Khoural</w:t>
      </w:r>
      <w:proofErr w:type="spellEnd"/>
      <w:r>
        <w:rPr>
          <w:lang w:val="fr-FR"/>
        </w:rPr>
        <w:t xml:space="preserve"> d</w:t>
      </w:r>
      <w:r w:rsidR="009C7759">
        <w:rPr>
          <w:lang w:val="fr-FR"/>
        </w:rPr>
        <w:t>’</w:t>
      </w:r>
      <w:r>
        <w:rPr>
          <w:lang w:val="fr-FR"/>
        </w:rPr>
        <w:t>État a approuvé en 2019 la révision de la loi relative aux taxes liées à la pollution. Les taux de taxation maximaux et minimaux ont été révisés selon le principe du pollueur-payeur. La loi comprend des dispositions visant à aider les citoyens et entreprises qui recyclent les eaux usées selon les normes en vigueur. Par exemple, les entreprises qui font traiter leurs eaux usées dans une station d</w:t>
      </w:r>
      <w:r w:rsidR="009C7759">
        <w:rPr>
          <w:lang w:val="fr-FR"/>
        </w:rPr>
        <w:t>’</w:t>
      </w:r>
      <w:r>
        <w:rPr>
          <w:lang w:val="fr-FR"/>
        </w:rPr>
        <w:t>épuration bénéficient d</w:t>
      </w:r>
      <w:r w:rsidR="009C7759">
        <w:rPr>
          <w:lang w:val="fr-FR"/>
        </w:rPr>
        <w:t>’</w:t>
      </w:r>
      <w:r>
        <w:rPr>
          <w:lang w:val="fr-FR"/>
        </w:rPr>
        <w:t>une réduction de taxes pendant trois ans. La loi prévoit également qu</w:t>
      </w:r>
      <w:r w:rsidR="009C7759">
        <w:rPr>
          <w:lang w:val="fr-FR"/>
        </w:rPr>
        <w:t>’</w:t>
      </w:r>
      <w:r>
        <w:rPr>
          <w:lang w:val="fr-FR"/>
        </w:rPr>
        <w:t>au moins 50</w:t>
      </w:r>
      <w:r w:rsidR="00680452">
        <w:rPr>
          <w:lang w:val="fr-FR"/>
        </w:rPr>
        <w:t> </w:t>
      </w:r>
      <w:r>
        <w:rPr>
          <w:lang w:val="fr-FR"/>
        </w:rPr>
        <w:t>% des taxes liées à la pollution de l</w:t>
      </w:r>
      <w:r w:rsidR="009C7759">
        <w:rPr>
          <w:lang w:val="fr-FR"/>
        </w:rPr>
        <w:t>’</w:t>
      </w:r>
      <w:r>
        <w:rPr>
          <w:lang w:val="fr-FR"/>
        </w:rPr>
        <w:t>eau soient affectées à la rénovation et à l</w:t>
      </w:r>
      <w:r w:rsidR="009C7759">
        <w:rPr>
          <w:lang w:val="fr-FR"/>
        </w:rPr>
        <w:t>’</w:t>
      </w:r>
      <w:r>
        <w:rPr>
          <w:lang w:val="fr-FR"/>
        </w:rPr>
        <w:t>entretien des installations de traitement. Les mesures suivantes ont été adoptées en application de cette loi</w:t>
      </w:r>
      <w:r w:rsidR="00891BD0">
        <w:rPr>
          <w:lang w:val="fr-FR"/>
        </w:rPr>
        <w:t> </w:t>
      </w:r>
      <w:r>
        <w:rPr>
          <w:lang w:val="fr-FR"/>
        </w:rPr>
        <w:t xml:space="preserve">: </w:t>
      </w:r>
    </w:p>
    <w:p w14:paraId="2853D52A" w14:textId="2E9BC207" w:rsidR="00560776" w:rsidRPr="00C8158A" w:rsidRDefault="00560776" w:rsidP="00D46DBA">
      <w:pPr>
        <w:pStyle w:val="Bullet1G"/>
        <w:rPr>
          <w:lang w:val="fr-FR"/>
        </w:rPr>
      </w:pPr>
      <w:r>
        <w:rPr>
          <w:lang w:val="fr-FR"/>
        </w:rPr>
        <w:t>Taxes liées à la pollution de l</w:t>
      </w:r>
      <w:r w:rsidR="009C7759">
        <w:rPr>
          <w:lang w:val="fr-FR"/>
        </w:rPr>
        <w:t>’</w:t>
      </w:r>
      <w:r>
        <w:rPr>
          <w:lang w:val="fr-FR"/>
        </w:rPr>
        <w:t>eau, liste des entreprises et organisations pouvant bénéficier de réductions des taxes liées à la pollution de l</w:t>
      </w:r>
      <w:r w:rsidR="009C7759">
        <w:rPr>
          <w:lang w:val="fr-FR"/>
        </w:rPr>
        <w:t>’</w:t>
      </w:r>
      <w:r>
        <w:rPr>
          <w:lang w:val="fr-FR"/>
        </w:rPr>
        <w:t>eau et méthode de calcul du pourcentage de réduction (résolution gouvernementale n</w:t>
      </w:r>
      <w:r w:rsidRPr="00680452">
        <w:rPr>
          <w:vertAlign w:val="superscript"/>
          <w:lang w:val="fr-FR"/>
        </w:rPr>
        <w:t>o</w:t>
      </w:r>
      <w:r w:rsidR="00680452">
        <w:rPr>
          <w:lang w:val="fr-FR"/>
        </w:rPr>
        <w:t> </w:t>
      </w:r>
      <w:r>
        <w:rPr>
          <w:lang w:val="fr-FR"/>
        </w:rPr>
        <w:t>316 de 2019) ;</w:t>
      </w:r>
    </w:p>
    <w:p w14:paraId="33256D72" w14:textId="29A6AF57" w:rsidR="00560776" w:rsidRPr="00C8158A" w:rsidRDefault="00560776" w:rsidP="00D46DBA">
      <w:pPr>
        <w:pStyle w:val="Bullet1G"/>
        <w:rPr>
          <w:lang w:val="fr-FR"/>
        </w:rPr>
      </w:pPr>
      <w:r>
        <w:rPr>
          <w:lang w:val="fr-FR"/>
        </w:rPr>
        <w:t>Modèle d</w:t>
      </w:r>
      <w:r w:rsidR="009C7759">
        <w:rPr>
          <w:lang w:val="fr-FR"/>
        </w:rPr>
        <w:t>’</w:t>
      </w:r>
      <w:r>
        <w:rPr>
          <w:lang w:val="fr-FR"/>
        </w:rPr>
        <w:t>approbation de l</w:t>
      </w:r>
      <w:r w:rsidR="009C7759">
        <w:rPr>
          <w:lang w:val="fr-FR"/>
        </w:rPr>
        <w:t>’</w:t>
      </w:r>
      <w:r>
        <w:rPr>
          <w:lang w:val="fr-FR"/>
        </w:rPr>
        <w:t>autorisation d</w:t>
      </w:r>
      <w:r w:rsidR="009C7759">
        <w:rPr>
          <w:lang w:val="fr-FR"/>
        </w:rPr>
        <w:t>’</w:t>
      </w:r>
      <w:r>
        <w:rPr>
          <w:lang w:val="fr-FR"/>
        </w:rPr>
        <w:t>évacuation et d</w:t>
      </w:r>
      <w:r w:rsidR="009C7759">
        <w:rPr>
          <w:lang w:val="fr-FR"/>
        </w:rPr>
        <w:t>’</w:t>
      </w:r>
      <w:r>
        <w:rPr>
          <w:lang w:val="fr-FR"/>
        </w:rPr>
        <w:t>élimination des eaux usées (arrêté 2019-A/719/189 du Ministre de l</w:t>
      </w:r>
      <w:r w:rsidR="009C7759">
        <w:rPr>
          <w:lang w:val="fr-FR"/>
        </w:rPr>
        <w:t>’</w:t>
      </w:r>
      <w:r>
        <w:rPr>
          <w:lang w:val="fr-FR"/>
        </w:rPr>
        <w:t>environnement et du tourisme) ;</w:t>
      </w:r>
    </w:p>
    <w:p w14:paraId="3DE4894D" w14:textId="1E49F099" w:rsidR="00560776" w:rsidRPr="00C8158A" w:rsidRDefault="00560776" w:rsidP="00D46DBA">
      <w:pPr>
        <w:pStyle w:val="Bullet1G"/>
        <w:rPr>
          <w:lang w:val="fr-FR"/>
        </w:rPr>
      </w:pPr>
      <w:r>
        <w:rPr>
          <w:lang w:val="fr-FR"/>
        </w:rPr>
        <w:t>Établissement de la valeur de référence de la teneur en agents polluants des eaux usées (arrêté 2019-A/816/218 du Ministre de l</w:t>
      </w:r>
      <w:r w:rsidR="009C7759">
        <w:rPr>
          <w:lang w:val="fr-FR"/>
        </w:rPr>
        <w:t>’</w:t>
      </w:r>
      <w:r>
        <w:rPr>
          <w:lang w:val="fr-FR"/>
        </w:rPr>
        <w:t>environnement et du tourisme) ;</w:t>
      </w:r>
    </w:p>
    <w:p w14:paraId="0374357B" w14:textId="430D6213" w:rsidR="00560776" w:rsidRPr="00C8158A" w:rsidRDefault="00560776" w:rsidP="00D46DBA">
      <w:pPr>
        <w:pStyle w:val="Bullet1G"/>
        <w:rPr>
          <w:lang w:val="fr-FR"/>
        </w:rPr>
      </w:pPr>
      <w:r>
        <w:rPr>
          <w:lang w:val="fr-FR"/>
        </w:rPr>
        <w:t>Approbation de la liste des polluants de l</w:t>
      </w:r>
      <w:r w:rsidR="009C7759">
        <w:rPr>
          <w:lang w:val="fr-FR"/>
        </w:rPr>
        <w:t>’</w:t>
      </w:r>
      <w:r>
        <w:rPr>
          <w:lang w:val="fr-FR"/>
        </w:rPr>
        <w:t>eau (arrêté 2019-A/543 du Ministre de l</w:t>
      </w:r>
      <w:r w:rsidR="009C7759">
        <w:rPr>
          <w:lang w:val="fr-FR"/>
        </w:rPr>
        <w:t>’</w:t>
      </w:r>
      <w:r>
        <w:rPr>
          <w:lang w:val="fr-FR"/>
        </w:rPr>
        <w:t>environnement et du tourisme) ;</w:t>
      </w:r>
    </w:p>
    <w:p w14:paraId="1C344F61" w14:textId="0F5470F4" w:rsidR="00560776" w:rsidRPr="00C8158A" w:rsidRDefault="00560776" w:rsidP="00D46DBA">
      <w:pPr>
        <w:pStyle w:val="Bullet1G"/>
        <w:rPr>
          <w:lang w:val="fr-FR"/>
        </w:rPr>
      </w:pPr>
      <w:r>
        <w:rPr>
          <w:lang w:val="fr-FR"/>
        </w:rPr>
        <w:t>Approbation de la procédure à suivre pour utiliser la méthode par paliers de perception des taxes liées à la pollution de l</w:t>
      </w:r>
      <w:r w:rsidR="009C7759">
        <w:rPr>
          <w:lang w:val="fr-FR"/>
        </w:rPr>
        <w:t>’</w:t>
      </w:r>
      <w:r>
        <w:rPr>
          <w:lang w:val="fr-FR"/>
        </w:rPr>
        <w:t>eau (arrêté 2019-A/635 du Ministre de l</w:t>
      </w:r>
      <w:r w:rsidR="009C7759">
        <w:rPr>
          <w:lang w:val="fr-FR"/>
        </w:rPr>
        <w:t>’</w:t>
      </w:r>
      <w:r>
        <w:rPr>
          <w:lang w:val="fr-FR"/>
        </w:rPr>
        <w:t>environnement et du tourisme) ;</w:t>
      </w:r>
    </w:p>
    <w:p w14:paraId="1DD60FB6" w14:textId="20D24DD9" w:rsidR="00560776" w:rsidRPr="00C8158A" w:rsidRDefault="00560776" w:rsidP="00D46DBA">
      <w:pPr>
        <w:pStyle w:val="Bullet1G"/>
        <w:rPr>
          <w:lang w:val="fr-FR"/>
        </w:rPr>
      </w:pPr>
      <w:r>
        <w:rPr>
          <w:lang w:val="fr-FR"/>
        </w:rPr>
        <w:t>Approbation de l</w:t>
      </w:r>
      <w:r w:rsidR="009C7759">
        <w:rPr>
          <w:lang w:val="fr-FR"/>
        </w:rPr>
        <w:t>’</w:t>
      </w:r>
      <w:r>
        <w:rPr>
          <w:lang w:val="fr-FR"/>
        </w:rPr>
        <w:t>accord type sur les taxes liées à la pollution de l</w:t>
      </w:r>
      <w:r w:rsidR="009C7759">
        <w:rPr>
          <w:lang w:val="fr-FR"/>
        </w:rPr>
        <w:t>’</w:t>
      </w:r>
      <w:r>
        <w:rPr>
          <w:lang w:val="fr-FR"/>
        </w:rPr>
        <w:t>eau à conclure avec les entités rejetant directement des eaux usées dans l</w:t>
      </w:r>
      <w:r w:rsidR="009C7759">
        <w:rPr>
          <w:lang w:val="fr-FR"/>
        </w:rPr>
        <w:t>’</w:t>
      </w:r>
      <w:r>
        <w:rPr>
          <w:lang w:val="fr-FR"/>
        </w:rPr>
        <w:t>environnement (arrêté 2019</w:t>
      </w:r>
      <w:r w:rsidR="00680452">
        <w:rPr>
          <w:lang w:val="fr-FR"/>
        </w:rPr>
        <w:noBreakHyphen/>
      </w:r>
      <w:r>
        <w:rPr>
          <w:lang w:val="fr-FR"/>
        </w:rPr>
        <w:t>A/634 du Ministre de l</w:t>
      </w:r>
      <w:r w:rsidR="009C7759">
        <w:rPr>
          <w:lang w:val="fr-FR"/>
        </w:rPr>
        <w:t>’</w:t>
      </w:r>
      <w:r>
        <w:rPr>
          <w:lang w:val="fr-FR"/>
        </w:rPr>
        <w:t>environnement et du tourisme) ;</w:t>
      </w:r>
    </w:p>
    <w:p w14:paraId="382579EE" w14:textId="3AA3217A" w:rsidR="00560776" w:rsidRPr="00C8158A" w:rsidRDefault="00560776" w:rsidP="0040732C">
      <w:pPr>
        <w:pStyle w:val="SingleTxtG"/>
        <w:rPr>
          <w:lang w:val="fr-FR"/>
        </w:rPr>
      </w:pPr>
      <w:r>
        <w:rPr>
          <w:lang w:val="fr-FR"/>
        </w:rPr>
        <w:t>139.</w:t>
      </w:r>
      <w:r>
        <w:rPr>
          <w:lang w:val="fr-FR"/>
        </w:rPr>
        <w:tab/>
        <w:t>Ces dispositions réglementaires facilitent l</w:t>
      </w:r>
      <w:r w:rsidR="009C7759">
        <w:rPr>
          <w:lang w:val="fr-FR"/>
        </w:rPr>
        <w:t>’</w:t>
      </w:r>
      <w:r>
        <w:rPr>
          <w:lang w:val="fr-FR"/>
        </w:rPr>
        <w:t>application de la loi, en permettant aux entités économiques et organisations de traiter et de recycler les eaux usées selon les normes en vigueur, et contribuent ainsi à diminuer considérablement les volumes d</w:t>
      </w:r>
      <w:r w:rsidR="009C7759">
        <w:rPr>
          <w:lang w:val="fr-FR"/>
        </w:rPr>
        <w:t>’</w:t>
      </w:r>
      <w:r>
        <w:rPr>
          <w:lang w:val="fr-FR"/>
        </w:rPr>
        <w:t>eau que les stations d</w:t>
      </w:r>
      <w:r w:rsidR="009C7759">
        <w:rPr>
          <w:lang w:val="fr-FR"/>
        </w:rPr>
        <w:t>’</w:t>
      </w:r>
      <w:r>
        <w:rPr>
          <w:lang w:val="fr-FR"/>
        </w:rPr>
        <w:t>épuration ont à traiter et à réduire la pollution.</w:t>
      </w:r>
    </w:p>
    <w:p w14:paraId="10C37DE0" w14:textId="5E0CC400" w:rsidR="00560776" w:rsidRPr="00C8158A" w:rsidRDefault="00560776" w:rsidP="0040732C">
      <w:pPr>
        <w:pStyle w:val="SingleTxtG"/>
        <w:rPr>
          <w:lang w:val="fr-FR"/>
        </w:rPr>
      </w:pPr>
      <w:r>
        <w:rPr>
          <w:lang w:val="fr-FR"/>
        </w:rPr>
        <w:t>140.</w:t>
      </w:r>
      <w:r>
        <w:rPr>
          <w:lang w:val="fr-FR"/>
        </w:rPr>
        <w:tab/>
        <w:t>Les divisions de l</w:t>
      </w:r>
      <w:r w:rsidR="009C7759">
        <w:rPr>
          <w:lang w:val="fr-FR"/>
        </w:rPr>
        <w:t>’</w:t>
      </w:r>
      <w:r>
        <w:rPr>
          <w:lang w:val="fr-FR"/>
        </w:rPr>
        <w:t>environnement et du tourisme des aïmags et de la capitale, les administrations des bassins hydrographiques et les autres organisations chargées de l</w:t>
      </w:r>
      <w:r w:rsidR="009C7759">
        <w:rPr>
          <w:lang w:val="fr-FR"/>
        </w:rPr>
        <w:t>’</w:t>
      </w:r>
      <w:r>
        <w:rPr>
          <w:lang w:val="fr-FR"/>
        </w:rPr>
        <w:t>application de la loi fournissent à la population et aux entreprises locales des informations pertinentes et s</w:t>
      </w:r>
      <w:r w:rsidR="009C7759">
        <w:rPr>
          <w:lang w:val="fr-FR"/>
        </w:rPr>
        <w:t>’</w:t>
      </w:r>
      <w:r>
        <w:rPr>
          <w:lang w:val="fr-FR"/>
        </w:rPr>
        <w:t xml:space="preserve">efforcent de mieux faire connaître la loi. </w:t>
      </w:r>
    </w:p>
    <w:p w14:paraId="36C0A8C2" w14:textId="19EB90C0" w:rsidR="00560776" w:rsidRPr="00C8158A" w:rsidRDefault="00560776" w:rsidP="0040732C">
      <w:pPr>
        <w:pStyle w:val="SingleTxtG"/>
        <w:rPr>
          <w:lang w:val="fr-FR"/>
        </w:rPr>
      </w:pPr>
      <w:r>
        <w:rPr>
          <w:lang w:val="fr-FR"/>
        </w:rPr>
        <w:t>141.</w:t>
      </w:r>
      <w:r>
        <w:rPr>
          <w:lang w:val="fr-FR"/>
        </w:rPr>
        <w:tab/>
        <w:t>Des mesures ont également été prises en vue d</w:t>
      </w:r>
      <w:r w:rsidR="009C7759">
        <w:rPr>
          <w:lang w:val="fr-FR"/>
        </w:rPr>
        <w:t>’</w:t>
      </w:r>
      <w:r>
        <w:rPr>
          <w:lang w:val="fr-FR"/>
        </w:rPr>
        <w:t>accroître la capacité de traitement des stations d</w:t>
      </w:r>
      <w:r w:rsidR="009C7759">
        <w:rPr>
          <w:lang w:val="fr-FR"/>
        </w:rPr>
        <w:t>’</w:t>
      </w:r>
      <w:r>
        <w:rPr>
          <w:lang w:val="fr-FR"/>
        </w:rPr>
        <w:t>épuration qui contribuent à la pollution de l</w:t>
      </w:r>
      <w:r w:rsidR="009C7759">
        <w:rPr>
          <w:lang w:val="fr-FR"/>
        </w:rPr>
        <w:t>’</w:t>
      </w:r>
      <w:r>
        <w:rPr>
          <w:lang w:val="fr-FR"/>
        </w:rPr>
        <w:t>eau et de fermer les entreprises qui extraient de l</w:t>
      </w:r>
      <w:r w:rsidR="009C7759">
        <w:rPr>
          <w:lang w:val="fr-FR"/>
        </w:rPr>
        <w:t>’</w:t>
      </w:r>
      <w:r>
        <w:rPr>
          <w:lang w:val="fr-FR"/>
        </w:rPr>
        <w:t>or à la source des principaux cours d</w:t>
      </w:r>
      <w:r w:rsidR="009C7759">
        <w:rPr>
          <w:lang w:val="fr-FR"/>
        </w:rPr>
        <w:t>’</w:t>
      </w:r>
      <w:r>
        <w:rPr>
          <w:lang w:val="fr-FR"/>
        </w:rPr>
        <w:t>eau (par exemple, l</w:t>
      </w:r>
      <w:r w:rsidR="009C7759">
        <w:rPr>
          <w:lang w:val="fr-FR"/>
        </w:rPr>
        <w:t>’</w:t>
      </w:r>
      <w:r>
        <w:rPr>
          <w:lang w:val="fr-FR"/>
        </w:rPr>
        <w:t xml:space="preserve">Orkhon et le </w:t>
      </w:r>
      <w:proofErr w:type="spellStart"/>
      <w:r>
        <w:rPr>
          <w:lang w:val="fr-FR"/>
        </w:rPr>
        <w:t>Gutain</w:t>
      </w:r>
      <w:proofErr w:type="spellEnd"/>
      <w:r>
        <w:rPr>
          <w:lang w:val="fr-FR"/>
        </w:rPr>
        <w:t xml:space="preserve"> </w:t>
      </w:r>
      <w:proofErr w:type="spellStart"/>
      <w:r>
        <w:rPr>
          <w:lang w:val="fr-FR"/>
        </w:rPr>
        <w:t>Davaa</w:t>
      </w:r>
      <w:proofErr w:type="spellEnd"/>
      <w:r>
        <w:rPr>
          <w:lang w:val="fr-FR"/>
        </w:rPr>
        <w:t xml:space="preserve">). </w:t>
      </w:r>
    </w:p>
    <w:p w14:paraId="1816DEAA" w14:textId="43AFB502" w:rsidR="00560776" w:rsidRPr="00C8158A" w:rsidRDefault="00560776" w:rsidP="0040732C">
      <w:pPr>
        <w:pStyle w:val="SingleTxtG"/>
        <w:rPr>
          <w:lang w:val="fr-FR"/>
        </w:rPr>
      </w:pPr>
      <w:r>
        <w:rPr>
          <w:lang w:val="fr-FR"/>
        </w:rPr>
        <w:lastRenderedPageBreak/>
        <w:t>142.</w:t>
      </w:r>
      <w:r>
        <w:rPr>
          <w:lang w:val="fr-FR"/>
        </w:rPr>
        <w:tab/>
        <w:t>Un rapport sur les perspectives en matière d</w:t>
      </w:r>
      <w:r w:rsidR="009C7759">
        <w:rPr>
          <w:lang w:val="fr-FR"/>
        </w:rPr>
        <w:t>’</w:t>
      </w:r>
      <w:r>
        <w:rPr>
          <w:lang w:val="fr-FR"/>
        </w:rPr>
        <w:t xml:space="preserve">environnement est établi tous les deux ans, présenté au Grand </w:t>
      </w:r>
      <w:proofErr w:type="spellStart"/>
      <w:r>
        <w:rPr>
          <w:lang w:val="fr-FR"/>
        </w:rPr>
        <w:t>Khoural</w:t>
      </w:r>
      <w:proofErr w:type="spellEnd"/>
      <w:r>
        <w:rPr>
          <w:lang w:val="fr-FR"/>
        </w:rPr>
        <w:t xml:space="preserve"> d</w:t>
      </w:r>
      <w:r w:rsidR="009C7759">
        <w:rPr>
          <w:lang w:val="fr-FR"/>
        </w:rPr>
        <w:t>’</w:t>
      </w:r>
      <w:r>
        <w:rPr>
          <w:lang w:val="fr-FR"/>
        </w:rPr>
        <w:t>État et mis à la disposition du public. Le rapport portant sur la période 2017-2018 a été établi et publié sur le site Web du Ministère du tourisme et de l</w:t>
      </w:r>
      <w:r w:rsidR="009C7759">
        <w:rPr>
          <w:lang w:val="fr-FR"/>
        </w:rPr>
        <w:t>’</w:t>
      </w:r>
      <w:r>
        <w:rPr>
          <w:lang w:val="fr-FR"/>
        </w:rPr>
        <w:t>environnement en 2019.</w:t>
      </w:r>
    </w:p>
    <w:p w14:paraId="4068DE79" w14:textId="46BFF7C0" w:rsidR="00560776" w:rsidRPr="00C8158A" w:rsidRDefault="00560776" w:rsidP="00891BD0">
      <w:pPr>
        <w:pStyle w:val="H1G"/>
        <w:rPr>
          <w:lang w:val="fr-FR"/>
        </w:rPr>
      </w:pPr>
      <w:r>
        <w:rPr>
          <w:lang w:val="fr-FR"/>
        </w:rPr>
        <w:tab/>
      </w:r>
      <w:r>
        <w:rPr>
          <w:lang w:val="fr-FR"/>
        </w:rPr>
        <w:tab/>
        <w:t>Paragraphe 15 a) de la liste de points</w:t>
      </w:r>
    </w:p>
    <w:p w14:paraId="122BA313" w14:textId="71A4154B" w:rsidR="00560776" w:rsidRPr="00C8158A" w:rsidRDefault="00560776" w:rsidP="0040732C">
      <w:pPr>
        <w:pStyle w:val="SingleTxtG"/>
        <w:rPr>
          <w:lang w:val="fr-FR"/>
        </w:rPr>
      </w:pPr>
      <w:r>
        <w:rPr>
          <w:lang w:val="fr-FR"/>
        </w:rPr>
        <w:t>143.</w:t>
      </w:r>
      <w:r>
        <w:rPr>
          <w:lang w:val="fr-FR"/>
        </w:rPr>
        <w:tab/>
        <w:t>Dans le cadre de l</w:t>
      </w:r>
      <w:r w:rsidR="009C7759">
        <w:rPr>
          <w:lang w:val="fr-FR"/>
        </w:rPr>
        <w:t>’</w:t>
      </w:r>
      <w:r>
        <w:rPr>
          <w:lang w:val="fr-FR"/>
        </w:rPr>
        <w:t>effort d</w:t>
      </w:r>
      <w:r w:rsidR="009C7759">
        <w:rPr>
          <w:lang w:val="fr-FR"/>
        </w:rPr>
        <w:t>’</w:t>
      </w:r>
      <w:r>
        <w:rPr>
          <w:lang w:val="fr-FR"/>
        </w:rPr>
        <w:t>amélioration de la législation, la loi sur les aliments biologiques a été approuvée en 2016 et celle sur l</w:t>
      </w:r>
      <w:r w:rsidR="009C7759">
        <w:rPr>
          <w:lang w:val="fr-FR"/>
        </w:rPr>
        <w:t>’</w:t>
      </w:r>
      <w:r>
        <w:rPr>
          <w:lang w:val="fr-FR"/>
        </w:rPr>
        <w:t xml:space="preserve">enrichissement des aliments en 2018. Pour garantir la sécurité alimentaire, le Grand </w:t>
      </w:r>
      <w:proofErr w:type="spellStart"/>
      <w:r>
        <w:rPr>
          <w:lang w:val="fr-FR"/>
        </w:rPr>
        <w:t>Khoural</w:t>
      </w:r>
      <w:proofErr w:type="spellEnd"/>
      <w:r>
        <w:rPr>
          <w:lang w:val="fr-FR"/>
        </w:rPr>
        <w:t xml:space="preserve"> d</w:t>
      </w:r>
      <w:r w:rsidR="009C7759">
        <w:rPr>
          <w:lang w:val="fr-FR"/>
        </w:rPr>
        <w:t>’</w:t>
      </w:r>
      <w:r>
        <w:rPr>
          <w:lang w:val="fr-FR"/>
        </w:rPr>
        <w:t>État a approuvé en 2015 la politique d</w:t>
      </w:r>
      <w:r w:rsidR="009C7759">
        <w:rPr>
          <w:lang w:val="fr-FR"/>
        </w:rPr>
        <w:t>’</w:t>
      </w:r>
      <w:r>
        <w:rPr>
          <w:lang w:val="fr-FR"/>
        </w:rPr>
        <w:t>État en matière d</w:t>
      </w:r>
      <w:r w:rsidR="009C7759">
        <w:rPr>
          <w:lang w:val="fr-FR"/>
        </w:rPr>
        <w:t>’</w:t>
      </w:r>
      <w:r>
        <w:rPr>
          <w:lang w:val="fr-FR"/>
        </w:rPr>
        <w:t>alimentation et d</w:t>
      </w:r>
      <w:r w:rsidR="009C7759">
        <w:rPr>
          <w:lang w:val="fr-FR"/>
        </w:rPr>
        <w:t>’</w:t>
      </w:r>
      <w:r>
        <w:rPr>
          <w:lang w:val="fr-FR"/>
        </w:rPr>
        <w:t>agriculture. Conformément à l</w:t>
      </w:r>
      <w:r w:rsidR="009C7759">
        <w:rPr>
          <w:lang w:val="fr-FR"/>
        </w:rPr>
        <w:t>’</w:t>
      </w:r>
      <w:r>
        <w:rPr>
          <w:lang w:val="fr-FR"/>
        </w:rPr>
        <w:t>objectif stratégique de cette stratégie qui consiste à mettre en place un réseau logistique garantissant le respect des normes de stockage et de transport à tous les niveaux de la chaîne d</w:t>
      </w:r>
      <w:r w:rsidR="009C7759">
        <w:rPr>
          <w:lang w:val="fr-FR"/>
        </w:rPr>
        <w:t>’</w:t>
      </w:r>
      <w:r>
        <w:rPr>
          <w:lang w:val="fr-FR"/>
        </w:rPr>
        <w:t>approvisionnement alimentaire, des dispositions sont actuellement prises pour établir un système de gestion logistique du commerce alimentaire. Par exemple, l</w:t>
      </w:r>
      <w:r w:rsidR="009C7759">
        <w:rPr>
          <w:lang w:val="fr-FR"/>
        </w:rPr>
        <w:t>’</w:t>
      </w:r>
      <w:r>
        <w:rPr>
          <w:lang w:val="fr-FR"/>
        </w:rPr>
        <w:t>État et le secteur privé coopèrent en vue d</w:t>
      </w:r>
      <w:r w:rsidR="009C7759">
        <w:rPr>
          <w:lang w:val="fr-FR"/>
        </w:rPr>
        <w:t>’</w:t>
      </w:r>
      <w:r>
        <w:rPr>
          <w:lang w:val="fr-FR"/>
        </w:rPr>
        <w:t>établir des abattoirs et des centres spécialisés de commerce de la viande équipés d</w:t>
      </w:r>
      <w:r w:rsidR="009C7759">
        <w:rPr>
          <w:lang w:val="fr-FR"/>
        </w:rPr>
        <w:t>’</w:t>
      </w:r>
      <w:r>
        <w:rPr>
          <w:lang w:val="fr-FR"/>
        </w:rPr>
        <w:t>entrepôts à l</w:t>
      </w:r>
      <w:r w:rsidR="009C7759">
        <w:rPr>
          <w:lang w:val="fr-FR"/>
        </w:rPr>
        <w:t>’</w:t>
      </w:r>
      <w:r>
        <w:rPr>
          <w:lang w:val="fr-FR"/>
        </w:rPr>
        <w:t>est et à l</w:t>
      </w:r>
      <w:r w:rsidR="009C7759">
        <w:rPr>
          <w:lang w:val="fr-FR"/>
        </w:rPr>
        <w:t>’</w:t>
      </w:r>
      <w:r>
        <w:rPr>
          <w:lang w:val="fr-FR"/>
        </w:rPr>
        <w:t>ouest de la ville d</w:t>
      </w:r>
      <w:r w:rsidR="009C7759">
        <w:rPr>
          <w:lang w:val="fr-FR"/>
        </w:rPr>
        <w:t>’</w:t>
      </w:r>
      <w:r>
        <w:rPr>
          <w:lang w:val="fr-FR"/>
        </w:rPr>
        <w:t>Oulan-Bator. Une étude de faisabilité portant sur l</w:t>
      </w:r>
      <w:r w:rsidR="009C7759">
        <w:rPr>
          <w:lang w:val="fr-FR"/>
        </w:rPr>
        <w:t>’</w:t>
      </w:r>
      <w:r>
        <w:rPr>
          <w:lang w:val="fr-FR"/>
        </w:rPr>
        <w:t>ouverture dans cette ville d</w:t>
      </w:r>
      <w:r w:rsidR="009C7759">
        <w:rPr>
          <w:lang w:val="fr-FR"/>
        </w:rPr>
        <w:t>’</w:t>
      </w:r>
      <w:r>
        <w:rPr>
          <w:lang w:val="fr-FR"/>
        </w:rPr>
        <w:t>un complexe de commerce de pommes de terre, de légumes et de fruits a été achevée en 2018. On recherche actuellement les fonds nécessaires à la mise en place de ce complexe. L</w:t>
      </w:r>
      <w:r w:rsidR="009C7759">
        <w:rPr>
          <w:lang w:val="fr-FR"/>
        </w:rPr>
        <w:t>’</w:t>
      </w:r>
      <w:r>
        <w:rPr>
          <w:lang w:val="fr-FR"/>
        </w:rPr>
        <w:t>établissement de ces centres commerciaux logistiques devrait permettre d</w:t>
      </w:r>
      <w:r w:rsidR="009C7759">
        <w:rPr>
          <w:lang w:val="fr-FR"/>
        </w:rPr>
        <w:t>’</w:t>
      </w:r>
      <w:r>
        <w:rPr>
          <w:lang w:val="fr-FR"/>
        </w:rPr>
        <w:t xml:space="preserve">établir un système de distribution alimentaire sûr pour la population. </w:t>
      </w:r>
    </w:p>
    <w:p w14:paraId="2F1BBE96" w14:textId="360FC31B" w:rsidR="00560776" w:rsidRPr="00C8158A" w:rsidRDefault="00560776" w:rsidP="0040732C">
      <w:pPr>
        <w:pStyle w:val="SingleTxtG"/>
        <w:rPr>
          <w:lang w:val="fr-FR"/>
        </w:rPr>
      </w:pPr>
      <w:r>
        <w:rPr>
          <w:lang w:val="fr-FR"/>
        </w:rPr>
        <w:t>144.</w:t>
      </w:r>
      <w:r>
        <w:rPr>
          <w:lang w:val="fr-FR"/>
        </w:rPr>
        <w:tab/>
        <w:t>Pour former un système efficace de distribution d</w:t>
      </w:r>
      <w:r w:rsidR="009C7759">
        <w:rPr>
          <w:lang w:val="fr-FR"/>
        </w:rPr>
        <w:t>’</w:t>
      </w:r>
      <w:r>
        <w:rPr>
          <w:lang w:val="fr-FR"/>
        </w:rPr>
        <w:t>aliments sûrs vendus à un prix abordable, il est nécessaire de mettre en place un cadre juridique adapté au commerce. C</w:t>
      </w:r>
      <w:r w:rsidR="009C7759">
        <w:rPr>
          <w:lang w:val="fr-FR"/>
        </w:rPr>
        <w:t>’</w:t>
      </w:r>
      <w:r>
        <w:rPr>
          <w:lang w:val="fr-FR"/>
        </w:rPr>
        <w:t>est</w:t>
      </w:r>
      <w:r w:rsidR="008851D7">
        <w:rPr>
          <w:lang w:val="fr-FR"/>
        </w:rPr>
        <w:t> </w:t>
      </w:r>
      <w:r>
        <w:rPr>
          <w:lang w:val="fr-FR"/>
        </w:rPr>
        <w:t>pourquoi le Gouvernement s</w:t>
      </w:r>
      <w:r w:rsidR="009C7759">
        <w:rPr>
          <w:lang w:val="fr-FR"/>
        </w:rPr>
        <w:t>’</w:t>
      </w:r>
      <w:r>
        <w:rPr>
          <w:lang w:val="fr-FR"/>
        </w:rPr>
        <w:t xml:space="preserve">emploie actuellement à élaborer une loi sur le commerce. </w:t>
      </w:r>
    </w:p>
    <w:p w14:paraId="566B3A30" w14:textId="348D96C5" w:rsidR="00560776" w:rsidRPr="00C8158A" w:rsidRDefault="00560776" w:rsidP="0040732C">
      <w:pPr>
        <w:pStyle w:val="SingleTxtG"/>
        <w:rPr>
          <w:lang w:val="fr-FR"/>
        </w:rPr>
      </w:pPr>
      <w:r>
        <w:rPr>
          <w:lang w:val="fr-FR"/>
        </w:rPr>
        <w:t>145.</w:t>
      </w:r>
      <w:r>
        <w:rPr>
          <w:lang w:val="fr-FR"/>
        </w:rPr>
        <w:tab/>
        <w:t>Afin de garantir la sécurité alimentaire et d</w:t>
      </w:r>
      <w:r w:rsidR="009C7759">
        <w:rPr>
          <w:lang w:val="fr-FR"/>
        </w:rPr>
        <w:t>’</w:t>
      </w:r>
      <w:r>
        <w:rPr>
          <w:lang w:val="fr-FR"/>
        </w:rPr>
        <w:t>instaurer des conditions propices à la bonne santé des Mongols, le programme national en faveur d</w:t>
      </w:r>
      <w:r w:rsidR="009C7759">
        <w:rPr>
          <w:lang w:val="fr-FR"/>
        </w:rPr>
        <w:t>’</w:t>
      </w:r>
      <w:r>
        <w:rPr>
          <w:lang w:val="fr-FR"/>
        </w:rPr>
        <w:t>une alimentation saine pour des Mongols en bonne santé a été approuvé par la résolution gouvernementale n</w:t>
      </w:r>
      <w:r w:rsidR="008851D7" w:rsidRPr="008851D7">
        <w:rPr>
          <w:vertAlign w:val="superscript"/>
          <w:lang w:val="fr-FR"/>
        </w:rPr>
        <w:t>o</w:t>
      </w:r>
      <w:r w:rsidR="008851D7">
        <w:rPr>
          <w:lang w:val="fr-FR"/>
        </w:rPr>
        <w:t> </w:t>
      </w:r>
      <w:r>
        <w:rPr>
          <w:lang w:val="fr-FR"/>
        </w:rPr>
        <w:t>52 de 2019. La réalisation de ce programme jusqu</w:t>
      </w:r>
      <w:r w:rsidR="009C7759">
        <w:rPr>
          <w:lang w:val="fr-FR"/>
        </w:rPr>
        <w:t>’</w:t>
      </w:r>
      <w:r>
        <w:rPr>
          <w:lang w:val="fr-FR"/>
        </w:rPr>
        <w:t>en 2023 permettra de garantir une offre de produits alimentaires durable et équilibrée, d</w:t>
      </w:r>
      <w:r w:rsidR="009C7759">
        <w:rPr>
          <w:lang w:val="fr-FR"/>
        </w:rPr>
        <w:t>’</w:t>
      </w:r>
      <w:r>
        <w:rPr>
          <w:lang w:val="fr-FR"/>
        </w:rPr>
        <w:t>améliorer la qualité nutritionnelle des aliments, d</w:t>
      </w:r>
      <w:r w:rsidR="009C7759">
        <w:rPr>
          <w:lang w:val="fr-FR"/>
        </w:rPr>
        <w:t>’</w:t>
      </w:r>
      <w:r>
        <w:rPr>
          <w:lang w:val="fr-FR"/>
        </w:rPr>
        <w:t>assurer la sécurité des denrées de base et des produits le long de la chaîne d</w:t>
      </w:r>
      <w:r w:rsidR="009C7759">
        <w:rPr>
          <w:lang w:val="fr-FR"/>
        </w:rPr>
        <w:t>’</w:t>
      </w:r>
      <w:r>
        <w:rPr>
          <w:lang w:val="fr-FR"/>
        </w:rPr>
        <w:t>approvisionnement alimentaire, d</w:t>
      </w:r>
      <w:r w:rsidR="009C7759">
        <w:rPr>
          <w:lang w:val="fr-FR"/>
        </w:rPr>
        <w:t>’</w:t>
      </w:r>
      <w:r>
        <w:rPr>
          <w:lang w:val="fr-FR"/>
        </w:rPr>
        <w:t>instaurer un secteur alimentaire orienté vers l</w:t>
      </w:r>
      <w:r w:rsidR="009C7759">
        <w:rPr>
          <w:lang w:val="fr-FR"/>
        </w:rPr>
        <w:t>’</w:t>
      </w:r>
      <w:r>
        <w:rPr>
          <w:lang w:val="fr-FR"/>
        </w:rPr>
        <w:t xml:space="preserve">exportation, de créer une structure et un système optimal pour garantir la sécurité alimentaire et de renforcer les ressources humaines du secteur alimentaire. </w:t>
      </w:r>
    </w:p>
    <w:p w14:paraId="6AA41807" w14:textId="64F308F1" w:rsidR="00560776" w:rsidRPr="00C8158A" w:rsidRDefault="00560776" w:rsidP="0040732C">
      <w:pPr>
        <w:pStyle w:val="SingleTxtG"/>
        <w:rPr>
          <w:lang w:val="fr-FR"/>
        </w:rPr>
      </w:pPr>
      <w:r>
        <w:rPr>
          <w:lang w:val="fr-FR"/>
        </w:rPr>
        <w:t>146.</w:t>
      </w:r>
      <w:r>
        <w:rPr>
          <w:lang w:val="fr-FR"/>
        </w:rPr>
        <w:tab/>
        <w:t>Les indicateurs de sécurité alimentaire de la Mongolie sont établis chaque année selon la méthode approuvée par le chef de l</w:t>
      </w:r>
      <w:r w:rsidR="009C7759">
        <w:rPr>
          <w:lang w:val="fr-FR"/>
        </w:rPr>
        <w:t>’</w:t>
      </w:r>
      <w:r>
        <w:rPr>
          <w:lang w:val="fr-FR"/>
        </w:rPr>
        <w:t xml:space="preserve">organisme national de statistique et sont diffusés auprès du public par cet organisme. </w:t>
      </w:r>
    </w:p>
    <w:p w14:paraId="343AC785" w14:textId="786B71B8" w:rsidR="00560776" w:rsidRPr="00C8158A" w:rsidRDefault="00560776" w:rsidP="00891BD0">
      <w:pPr>
        <w:pStyle w:val="H1G"/>
        <w:rPr>
          <w:lang w:val="fr-FR"/>
        </w:rPr>
      </w:pPr>
      <w:r>
        <w:rPr>
          <w:lang w:val="fr-FR"/>
        </w:rPr>
        <w:tab/>
      </w:r>
      <w:r>
        <w:rPr>
          <w:lang w:val="fr-FR"/>
        </w:rPr>
        <w:tab/>
        <w:t>Paragraphe 15 b) de la liste de points</w:t>
      </w:r>
    </w:p>
    <w:p w14:paraId="4E050046" w14:textId="09E3A26B" w:rsidR="00560776" w:rsidRPr="00C8158A" w:rsidRDefault="00560776" w:rsidP="0040732C">
      <w:pPr>
        <w:pStyle w:val="SingleTxtG"/>
        <w:rPr>
          <w:lang w:val="fr-FR"/>
        </w:rPr>
      </w:pPr>
      <w:r>
        <w:rPr>
          <w:lang w:val="fr-FR"/>
        </w:rPr>
        <w:t>147.</w:t>
      </w:r>
      <w:r>
        <w:rPr>
          <w:lang w:val="fr-FR"/>
        </w:rPr>
        <w:tab/>
        <w:t>Selon l</w:t>
      </w:r>
      <w:r w:rsidR="009C7759">
        <w:rPr>
          <w:lang w:val="fr-FR"/>
        </w:rPr>
        <w:t>’</w:t>
      </w:r>
      <w:r>
        <w:rPr>
          <w:lang w:val="fr-FR"/>
        </w:rPr>
        <w:t>étude nationale sur l</w:t>
      </w:r>
      <w:r w:rsidR="009C7759">
        <w:rPr>
          <w:lang w:val="fr-FR"/>
        </w:rPr>
        <w:t>’</w:t>
      </w:r>
      <w:r>
        <w:rPr>
          <w:lang w:val="fr-FR"/>
        </w:rPr>
        <w:t>alimentation et la nutrition de la population menée en 2016-2017, la prévalence du surpoids et de l</w:t>
      </w:r>
      <w:r w:rsidR="009C7759">
        <w:rPr>
          <w:lang w:val="fr-FR"/>
        </w:rPr>
        <w:t>’</w:t>
      </w:r>
      <w:r>
        <w:rPr>
          <w:lang w:val="fr-FR"/>
        </w:rPr>
        <w:t>obésité augmente dans tous les groupes d</w:t>
      </w:r>
      <w:r w:rsidR="009C7759">
        <w:rPr>
          <w:lang w:val="fr-FR"/>
        </w:rPr>
        <w:t>’</w:t>
      </w:r>
      <w:r>
        <w:rPr>
          <w:lang w:val="fr-FR"/>
        </w:rPr>
        <w:t>âge, indépendamment de la région ou du niveau de revenu considéré. Selon les chiffres de 2017, 11,7</w:t>
      </w:r>
      <w:r w:rsidR="00B86776">
        <w:rPr>
          <w:lang w:val="fr-FR"/>
        </w:rPr>
        <w:t> </w:t>
      </w:r>
      <w:r>
        <w:rPr>
          <w:lang w:val="fr-FR"/>
        </w:rPr>
        <w:t>% des enfants de moins de cinq ans, 22,2</w:t>
      </w:r>
      <w:r w:rsidR="00B86776">
        <w:rPr>
          <w:lang w:val="fr-FR"/>
        </w:rPr>
        <w:t> </w:t>
      </w:r>
      <w:r>
        <w:rPr>
          <w:lang w:val="fr-FR"/>
        </w:rPr>
        <w:t>% des enfants de 6 à 11 ans, 46,2</w:t>
      </w:r>
      <w:r w:rsidR="00B86776">
        <w:rPr>
          <w:lang w:val="fr-FR"/>
        </w:rPr>
        <w:t> </w:t>
      </w:r>
      <w:r>
        <w:rPr>
          <w:lang w:val="fr-FR"/>
        </w:rPr>
        <w:t>% des femmes de 15 à 49</w:t>
      </w:r>
      <w:r w:rsidR="00B86776">
        <w:rPr>
          <w:lang w:val="fr-FR"/>
        </w:rPr>
        <w:t> </w:t>
      </w:r>
      <w:r>
        <w:rPr>
          <w:lang w:val="fr-FR"/>
        </w:rPr>
        <w:t>ans et 48,8</w:t>
      </w:r>
      <w:r w:rsidR="00B86776">
        <w:rPr>
          <w:lang w:val="fr-FR"/>
        </w:rPr>
        <w:t> </w:t>
      </w:r>
      <w:r>
        <w:rPr>
          <w:lang w:val="fr-FR"/>
        </w:rPr>
        <w:t>% des hommes de 15 à 49</w:t>
      </w:r>
      <w:r w:rsidR="00B86776">
        <w:rPr>
          <w:lang w:val="fr-FR"/>
        </w:rPr>
        <w:t> </w:t>
      </w:r>
      <w:r>
        <w:rPr>
          <w:lang w:val="fr-FR"/>
        </w:rPr>
        <w:t xml:space="preserve">ans sont en surpoids ou obèses. </w:t>
      </w:r>
    </w:p>
    <w:p w14:paraId="30E857CB" w14:textId="1EC178DB" w:rsidR="00560776" w:rsidRPr="00C8158A" w:rsidRDefault="00560776" w:rsidP="0040732C">
      <w:pPr>
        <w:pStyle w:val="SingleTxtG"/>
        <w:rPr>
          <w:lang w:val="fr-FR"/>
        </w:rPr>
      </w:pPr>
      <w:r>
        <w:rPr>
          <w:lang w:val="fr-FR"/>
        </w:rPr>
        <w:t>148.</w:t>
      </w:r>
      <w:r>
        <w:rPr>
          <w:lang w:val="fr-FR"/>
        </w:rPr>
        <w:tab/>
        <w:t>Afin de maîtriser et de réduire l</w:t>
      </w:r>
      <w:r w:rsidR="009C7759">
        <w:rPr>
          <w:lang w:val="fr-FR"/>
        </w:rPr>
        <w:t>’</w:t>
      </w:r>
      <w:r>
        <w:rPr>
          <w:lang w:val="fr-FR"/>
        </w:rPr>
        <w:t xml:space="preserve">obésité infantile, des dispositions réglementaires visant à évaluer, enregistrer et répertorier le poids des enfants sont appliquées dans tous les établissements scolaires et écoles maternelles depuis 2019. Un projet pilote visant à familiariser les écoliers à un mode de vie sain est mené dans le district de </w:t>
      </w:r>
      <w:proofErr w:type="spellStart"/>
      <w:r>
        <w:rPr>
          <w:lang w:val="fr-FR"/>
        </w:rPr>
        <w:t>Bayanzurkh</w:t>
      </w:r>
      <w:proofErr w:type="spellEnd"/>
      <w:r>
        <w:rPr>
          <w:lang w:val="fr-FR"/>
        </w:rPr>
        <w:t xml:space="preserve"> de la capitale et dans les écoles des aïmags de </w:t>
      </w:r>
      <w:proofErr w:type="spellStart"/>
      <w:r>
        <w:rPr>
          <w:lang w:val="fr-FR"/>
        </w:rPr>
        <w:t>Bayankhongor</w:t>
      </w:r>
      <w:proofErr w:type="spellEnd"/>
      <w:r>
        <w:rPr>
          <w:lang w:val="fr-FR"/>
        </w:rPr>
        <w:t xml:space="preserve">, </w:t>
      </w:r>
      <w:proofErr w:type="spellStart"/>
      <w:r>
        <w:rPr>
          <w:lang w:val="fr-FR"/>
        </w:rPr>
        <w:t>Zavkhan</w:t>
      </w:r>
      <w:proofErr w:type="spellEnd"/>
      <w:r>
        <w:rPr>
          <w:lang w:val="fr-FR"/>
        </w:rPr>
        <w:t xml:space="preserve"> et Gobi-</w:t>
      </w:r>
      <w:proofErr w:type="spellStart"/>
      <w:r>
        <w:rPr>
          <w:lang w:val="fr-FR"/>
        </w:rPr>
        <w:t>Altai</w:t>
      </w:r>
      <w:proofErr w:type="spellEnd"/>
      <w:r>
        <w:rPr>
          <w:lang w:val="fr-FR"/>
        </w:rPr>
        <w:t xml:space="preserve">. </w:t>
      </w:r>
    </w:p>
    <w:p w14:paraId="5C7CE2D5" w14:textId="2E3CBBF8" w:rsidR="00560776" w:rsidRPr="00C8158A" w:rsidRDefault="00560776" w:rsidP="0040732C">
      <w:pPr>
        <w:pStyle w:val="SingleTxtG"/>
        <w:rPr>
          <w:lang w:val="fr-FR"/>
        </w:rPr>
      </w:pPr>
      <w:r>
        <w:rPr>
          <w:lang w:val="fr-FR"/>
        </w:rPr>
        <w:t>149.</w:t>
      </w:r>
      <w:r>
        <w:rPr>
          <w:lang w:val="fr-FR"/>
        </w:rPr>
        <w:tab/>
        <w:t xml:space="preserve">En 2017, le Grand </w:t>
      </w:r>
      <w:proofErr w:type="spellStart"/>
      <w:r>
        <w:rPr>
          <w:lang w:val="fr-FR"/>
        </w:rPr>
        <w:t>Khoural</w:t>
      </w:r>
      <w:proofErr w:type="spellEnd"/>
      <w:r>
        <w:rPr>
          <w:lang w:val="fr-FR"/>
        </w:rPr>
        <w:t xml:space="preserve"> d</w:t>
      </w:r>
      <w:r w:rsidR="009C7759">
        <w:rPr>
          <w:lang w:val="fr-FR"/>
        </w:rPr>
        <w:t>’</w:t>
      </w:r>
      <w:r>
        <w:rPr>
          <w:lang w:val="fr-FR"/>
        </w:rPr>
        <w:t>État a approuvé la loi sur l</w:t>
      </w:r>
      <w:r w:rsidR="009C7759">
        <w:rPr>
          <w:lang w:val="fr-FR"/>
        </w:rPr>
        <w:t>’</w:t>
      </w:r>
      <w:r>
        <w:rPr>
          <w:lang w:val="fr-FR"/>
        </w:rPr>
        <w:t>alimentation des nourrissons et des jeunes enfants. En 2020, le Gouvernement a approuvé le programme national d</w:t>
      </w:r>
      <w:r w:rsidR="009C7759">
        <w:rPr>
          <w:lang w:val="fr-FR"/>
        </w:rPr>
        <w:t>’</w:t>
      </w:r>
      <w:r>
        <w:rPr>
          <w:lang w:val="fr-FR"/>
        </w:rPr>
        <w:t>appui à l</w:t>
      </w:r>
      <w:r w:rsidR="009C7759">
        <w:rPr>
          <w:lang w:val="fr-FR"/>
        </w:rPr>
        <w:t>’</w:t>
      </w:r>
      <w:r>
        <w:rPr>
          <w:lang w:val="fr-FR"/>
        </w:rPr>
        <w:t>alimentation saine et au régime alimentaire approprié des mères, des nourrissons et des enfants.</w:t>
      </w:r>
    </w:p>
    <w:p w14:paraId="3E16E849" w14:textId="7CDA893B" w:rsidR="00560776" w:rsidRPr="00C8158A" w:rsidRDefault="00560776" w:rsidP="00E916C8">
      <w:pPr>
        <w:pStyle w:val="SingleTxtG"/>
        <w:keepNext/>
        <w:keepLines/>
        <w:rPr>
          <w:lang w:val="fr-FR"/>
        </w:rPr>
      </w:pPr>
      <w:r>
        <w:rPr>
          <w:lang w:val="fr-FR"/>
        </w:rPr>
        <w:lastRenderedPageBreak/>
        <w:t>150.</w:t>
      </w:r>
      <w:r>
        <w:rPr>
          <w:lang w:val="fr-FR"/>
        </w:rPr>
        <w:tab/>
        <w:t>Afin de réglementer la publicité pour les aliments et les boissons destinés aux enfants, les directives relatives au placement d</w:t>
      </w:r>
      <w:r w:rsidR="009C7759">
        <w:rPr>
          <w:lang w:val="fr-FR"/>
        </w:rPr>
        <w:t>’</w:t>
      </w:r>
      <w:r>
        <w:rPr>
          <w:lang w:val="fr-FR"/>
        </w:rPr>
        <w:t>informations nutritionnelles sur le devant des étiquettes d</w:t>
      </w:r>
      <w:r w:rsidR="009C7759">
        <w:rPr>
          <w:lang w:val="fr-FR"/>
        </w:rPr>
        <w:t>’</w:t>
      </w:r>
      <w:r>
        <w:rPr>
          <w:lang w:val="fr-FR"/>
        </w:rPr>
        <w:t>emballage des aliments, les directives sur la réglementation de la publicité pour les aliments destinés aux enfants et la procédure relative à l</w:t>
      </w:r>
      <w:r w:rsidR="009C7759">
        <w:rPr>
          <w:lang w:val="fr-FR"/>
        </w:rPr>
        <w:t>’</w:t>
      </w:r>
      <w:r>
        <w:rPr>
          <w:lang w:val="fr-FR"/>
        </w:rPr>
        <w:t>emballage et l</w:t>
      </w:r>
      <w:r w:rsidR="009C7759">
        <w:rPr>
          <w:lang w:val="fr-FR"/>
        </w:rPr>
        <w:t>’</w:t>
      </w:r>
      <w:r>
        <w:rPr>
          <w:lang w:val="fr-FR"/>
        </w:rPr>
        <w:t>étiquetage du lait maternisé, des aliments complémentaire</w:t>
      </w:r>
      <w:r w:rsidR="00B86776">
        <w:rPr>
          <w:lang w:val="fr-FR"/>
        </w:rPr>
        <w:t>s</w:t>
      </w:r>
      <w:r>
        <w:rPr>
          <w:lang w:val="fr-FR"/>
        </w:rPr>
        <w:t xml:space="preserve"> et des accessoires d</w:t>
      </w:r>
      <w:r w:rsidR="009C7759">
        <w:rPr>
          <w:lang w:val="fr-FR"/>
        </w:rPr>
        <w:t>’</w:t>
      </w:r>
      <w:r>
        <w:rPr>
          <w:lang w:val="fr-FR"/>
        </w:rPr>
        <w:t xml:space="preserve">alimentation pour les nourrissons et les enfants ont été approuvées par arrêté par le Ministre de la santé et sont appliquées. </w:t>
      </w:r>
    </w:p>
    <w:p w14:paraId="0FDA095F" w14:textId="0C183D24" w:rsidR="00560776" w:rsidRPr="00C8158A" w:rsidRDefault="00560776" w:rsidP="0040732C">
      <w:pPr>
        <w:pStyle w:val="SingleTxtG"/>
        <w:rPr>
          <w:lang w:val="fr-FR"/>
        </w:rPr>
      </w:pPr>
      <w:r>
        <w:rPr>
          <w:lang w:val="fr-FR"/>
        </w:rPr>
        <w:t>151.</w:t>
      </w:r>
      <w:r>
        <w:rPr>
          <w:lang w:val="fr-FR"/>
        </w:rPr>
        <w:tab/>
        <w:t>Un projet visant à réduire la consommation d</w:t>
      </w:r>
      <w:r w:rsidR="009C7759">
        <w:rPr>
          <w:lang w:val="fr-FR"/>
        </w:rPr>
        <w:t>’</w:t>
      </w:r>
      <w:r>
        <w:rPr>
          <w:lang w:val="fr-FR"/>
        </w:rPr>
        <w:t>aliments néfastes à la santé est actuellement à l</w:t>
      </w:r>
      <w:r w:rsidR="009C7759">
        <w:rPr>
          <w:lang w:val="fr-FR"/>
        </w:rPr>
        <w:t>’</w:t>
      </w:r>
      <w:r>
        <w:rPr>
          <w:lang w:val="fr-FR"/>
        </w:rPr>
        <w:t xml:space="preserve">étude. Des travaux de recherches ont été effectués en 2017 sur les calculs économiques relatifs au prélèvement des taxes sur les boissons sucrées et un débat a été organisé en 2020 sur la consommation de boissons gazeuses et ses effets négatifs sur la santé. </w:t>
      </w:r>
    </w:p>
    <w:p w14:paraId="3AA6349D" w14:textId="4EBE6CF5" w:rsidR="00560776" w:rsidRPr="00C8158A" w:rsidRDefault="00560776" w:rsidP="0040732C">
      <w:pPr>
        <w:pStyle w:val="SingleTxtG"/>
        <w:rPr>
          <w:lang w:val="fr-FR"/>
        </w:rPr>
      </w:pPr>
      <w:r>
        <w:rPr>
          <w:lang w:val="fr-FR"/>
        </w:rPr>
        <w:t>152.</w:t>
      </w:r>
      <w:r>
        <w:rPr>
          <w:lang w:val="fr-FR"/>
        </w:rPr>
        <w:tab/>
        <w:t>Il est ressorti de la quatrième enquête nationale STEPS sur la prévalence des maladies non transmissibles et des risques d</w:t>
      </w:r>
      <w:r w:rsidR="009C7759">
        <w:rPr>
          <w:lang w:val="fr-FR"/>
        </w:rPr>
        <w:t>’</w:t>
      </w:r>
      <w:r>
        <w:rPr>
          <w:lang w:val="fr-FR"/>
        </w:rPr>
        <w:t>accidents, menée en 2019, que la consommation quotidienne de sel des Mongols âgés de 15 à 69 ans était encore deux fois supérieure à la quantité recommandée par l</w:t>
      </w:r>
      <w:r w:rsidR="009C7759">
        <w:rPr>
          <w:lang w:val="fr-FR"/>
        </w:rPr>
        <w:t>’</w:t>
      </w:r>
      <w:r>
        <w:rPr>
          <w:lang w:val="fr-FR"/>
        </w:rPr>
        <w:t xml:space="preserve">OMS. </w:t>
      </w:r>
    </w:p>
    <w:p w14:paraId="153D403B" w14:textId="3A0FDC85" w:rsidR="00560776" w:rsidRPr="00C8158A" w:rsidRDefault="00560776" w:rsidP="0040732C">
      <w:pPr>
        <w:pStyle w:val="SingleTxtG"/>
        <w:rPr>
          <w:lang w:val="fr-FR"/>
        </w:rPr>
      </w:pPr>
      <w:r>
        <w:rPr>
          <w:lang w:val="fr-FR"/>
        </w:rPr>
        <w:t>153.</w:t>
      </w:r>
      <w:r>
        <w:rPr>
          <w:lang w:val="fr-FR"/>
        </w:rPr>
        <w:tab/>
        <w:t>La stratégie nationale de réduction de la consommation de sel (2015-2025) est mise en œuvre depuis son approbation par la résolution gouvernementale n</w:t>
      </w:r>
      <w:r w:rsidR="007F3F1E" w:rsidRPr="007F3F1E">
        <w:rPr>
          <w:vertAlign w:val="superscript"/>
          <w:lang w:val="fr-FR"/>
        </w:rPr>
        <w:t>o</w:t>
      </w:r>
      <w:r w:rsidR="007F3F1E">
        <w:rPr>
          <w:lang w:val="fr-FR"/>
        </w:rPr>
        <w:t> </w:t>
      </w:r>
      <w:r>
        <w:rPr>
          <w:lang w:val="fr-FR"/>
        </w:rPr>
        <w:t>353 de 2015. Une campagne de soutien aux produits à faible teneur en sel, visant à encourager les producteurs de denrées alimentaires et les prestataires de services à proposer de tels produits, a été menée en 2018 et 2019.</w:t>
      </w:r>
    </w:p>
    <w:p w14:paraId="69D5DF10" w14:textId="4332C2D1" w:rsidR="00560776" w:rsidRPr="00C8158A" w:rsidRDefault="00560776" w:rsidP="0040732C">
      <w:pPr>
        <w:pStyle w:val="SingleTxtG"/>
        <w:rPr>
          <w:lang w:val="fr-FR"/>
        </w:rPr>
      </w:pPr>
      <w:r>
        <w:rPr>
          <w:lang w:val="fr-FR"/>
        </w:rPr>
        <w:t>154.</w:t>
      </w:r>
      <w:r>
        <w:rPr>
          <w:lang w:val="fr-FR"/>
        </w:rPr>
        <w:tab/>
        <w:t>Il est ressorti de l</w:t>
      </w:r>
      <w:r w:rsidR="009C7759">
        <w:rPr>
          <w:lang w:val="fr-FR"/>
        </w:rPr>
        <w:t>’</w:t>
      </w:r>
      <w:r>
        <w:rPr>
          <w:lang w:val="fr-FR"/>
        </w:rPr>
        <w:t>enquête nationale STEPS sur la prévalence des maladies non transmissibles et des risques d</w:t>
      </w:r>
      <w:r w:rsidR="009C7759">
        <w:rPr>
          <w:lang w:val="fr-FR"/>
        </w:rPr>
        <w:t>’</w:t>
      </w:r>
      <w:r>
        <w:rPr>
          <w:lang w:val="fr-FR"/>
        </w:rPr>
        <w:t>accidents que 96,4</w:t>
      </w:r>
      <w:r w:rsidR="007F3F1E">
        <w:rPr>
          <w:lang w:val="fr-FR"/>
        </w:rPr>
        <w:t> </w:t>
      </w:r>
      <w:r>
        <w:rPr>
          <w:lang w:val="fr-FR"/>
        </w:rPr>
        <w:t>% de la population consommaient 5</w:t>
      </w:r>
      <w:r w:rsidR="007F3F1E">
        <w:rPr>
          <w:lang w:val="fr-FR"/>
        </w:rPr>
        <w:t> </w:t>
      </w:r>
      <w:r>
        <w:rPr>
          <w:lang w:val="fr-FR"/>
        </w:rPr>
        <w:t>fruits et légumes ou moins par jour, quantité inférieure aux recommandations de l</w:t>
      </w:r>
      <w:r w:rsidR="009C7759">
        <w:rPr>
          <w:lang w:val="fr-FR"/>
        </w:rPr>
        <w:t>’</w:t>
      </w:r>
      <w:r>
        <w:rPr>
          <w:lang w:val="fr-FR"/>
        </w:rPr>
        <w:t xml:space="preserve">OMS. </w:t>
      </w:r>
    </w:p>
    <w:p w14:paraId="4CDB5B87" w14:textId="13BA67D8" w:rsidR="00560776" w:rsidRPr="00C8158A" w:rsidRDefault="00560776" w:rsidP="0040732C">
      <w:pPr>
        <w:pStyle w:val="SingleTxtG"/>
        <w:rPr>
          <w:lang w:val="fr-FR"/>
        </w:rPr>
      </w:pPr>
      <w:r>
        <w:rPr>
          <w:lang w:val="fr-FR"/>
        </w:rPr>
        <w:t>155.</w:t>
      </w:r>
      <w:r>
        <w:rPr>
          <w:lang w:val="fr-FR"/>
        </w:rPr>
        <w:tab/>
        <w:t>Afin d</w:t>
      </w:r>
      <w:r w:rsidR="009C7759">
        <w:rPr>
          <w:lang w:val="fr-FR"/>
        </w:rPr>
        <w:t>’</w:t>
      </w:r>
      <w:r>
        <w:rPr>
          <w:lang w:val="fr-FR"/>
        </w:rPr>
        <w:t xml:space="preserve">aider les écoliers à avoir une alimentation saine et adéquate et de leur fournir un déjeuner chaud en milieu scolaire, le Grand </w:t>
      </w:r>
      <w:proofErr w:type="spellStart"/>
      <w:r>
        <w:rPr>
          <w:lang w:val="fr-FR"/>
        </w:rPr>
        <w:t>Khoural</w:t>
      </w:r>
      <w:proofErr w:type="spellEnd"/>
      <w:r>
        <w:rPr>
          <w:lang w:val="fr-FR"/>
        </w:rPr>
        <w:t xml:space="preserve"> d</w:t>
      </w:r>
      <w:r w:rsidR="009C7759">
        <w:rPr>
          <w:lang w:val="fr-FR"/>
        </w:rPr>
        <w:t>’</w:t>
      </w:r>
      <w:r>
        <w:rPr>
          <w:lang w:val="fr-FR"/>
        </w:rPr>
        <w:t>État a approuvé en 2019 la loi relative à la préparation des repas scolaires et aux services connexes. La liste des produits interdits à la vente à proximité des écoles et la liste des ingrédients et des produits à utiliser lors de la préparation de repas scolaires et dans le cadre des services connexes ont été approuvées et servent à faciliter l</w:t>
      </w:r>
      <w:r w:rsidR="009C7759">
        <w:rPr>
          <w:lang w:val="fr-FR"/>
        </w:rPr>
        <w:t>’</w:t>
      </w:r>
      <w:r>
        <w:rPr>
          <w:lang w:val="fr-FR"/>
        </w:rPr>
        <w:t>application de la loi. Adopté par la résolution gouvernementale n</w:t>
      </w:r>
      <w:r w:rsidR="007F3F1E" w:rsidRPr="007F3F1E">
        <w:rPr>
          <w:vertAlign w:val="superscript"/>
          <w:lang w:val="fr-FR"/>
        </w:rPr>
        <w:t>o</w:t>
      </w:r>
      <w:r w:rsidR="007F3F1E">
        <w:rPr>
          <w:lang w:val="fr-FR"/>
        </w:rPr>
        <w:t> </w:t>
      </w:r>
      <w:r>
        <w:rPr>
          <w:lang w:val="fr-FR"/>
        </w:rPr>
        <w:t>207 de 2020, le programme national d</w:t>
      </w:r>
      <w:r w:rsidR="009C7759">
        <w:rPr>
          <w:lang w:val="fr-FR"/>
        </w:rPr>
        <w:t>’</w:t>
      </w:r>
      <w:r>
        <w:rPr>
          <w:lang w:val="fr-FR"/>
        </w:rPr>
        <w:t>appui à la préparation des repas scolaires et aux services connexes est en cours d</w:t>
      </w:r>
      <w:r w:rsidR="009C7759">
        <w:rPr>
          <w:lang w:val="fr-FR"/>
        </w:rPr>
        <w:t>’</w:t>
      </w:r>
      <w:r>
        <w:rPr>
          <w:lang w:val="fr-FR"/>
        </w:rPr>
        <w:t>application.</w:t>
      </w:r>
    </w:p>
    <w:p w14:paraId="16532768" w14:textId="5B77A1A5" w:rsidR="00560776" w:rsidRPr="00C8158A" w:rsidRDefault="00560776" w:rsidP="0040732C">
      <w:pPr>
        <w:pStyle w:val="SingleTxtG"/>
        <w:rPr>
          <w:lang w:val="fr-FR"/>
        </w:rPr>
      </w:pPr>
      <w:r>
        <w:rPr>
          <w:lang w:val="fr-FR"/>
        </w:rPr>
        <w:t>156.</w:t>
      </w:r>
      <w:r>
        <w:rPr>
          <w:lang w:val="fr-FR"/>
        </w:rPr>
        <w:tab/>
        <w:t>Pour diminuer l</w:t>
      </w:r>
      <w:r w:rsidR="009C7759">
        <w:rPr>
          <w:lang w:val="fr-FR"/>
        </w:rPr>
        <w:t>’</w:t>
      </w:r>
      <w:r>
        <w:rPr>
          <w:lang w:val="fr-FR"/>
        </w:rPr>
        <w:t>incidence des carences en vitamines et minéraux chez les femmes et les enfants, de fortes doses de vitamine A sont distribuées tous les ans depuis 2013 aux jeunes enfants en mai et en octobre. L</w:t>
      </w:r>
      <w:r w:rsidR="009C7759">
        <w:rPr>
          <w:lang w:val="fr-FR"/>
        </w:rPr>
        <w:t>’</w:t>
      </w:r>
      <w:r>
        <w:rPr>
          <w:lang w:val="fr-FR"/>
        </w:rPr>
        <w:t>achat de suppléments en micronutriments multiples destinés aux enfants et aux femmes a été inscrit au budget des centres médicaux des familles, des soums et des villages, les dépenses annuelles engagées à ce titre s</w:t>
      </w:r>
      <w:r w:rsidR="009C7759">
        <w:rPr>
          <w:lang w:val="fr-FR"/>
        </w:rPr>
        <w:t>’</w:t>
      </w:r>
      <w:r>
        <w:rPr>
          <w:lang w:val="fr-FR"/>
        </w:rPr>
        <w:t>élevant à 1,2</w:t>
      </w:r>
      <w:r w:rsidR="00705366">
        <w:rPr>
          <w:lang w:val="fr-FR"/>
        </w:rPr>
        <w:t> </w:t>
      </w:r>
      <w:r>
        <w:rPr>
          <w:lang w:val="fr-FR"/>
        </w:rPr>
        <w:t xml:space="preserve">milliard de </w:t>
      </w:r>
      <w:proofErr w:type="spellStart"/>
      <w:r>
        <w:rPr>
          <w:lang w:val="fr-FR"/>
        </w:rPr>
        <w:t>togrogs</w:t>
      </w:r>
      <w:proofErr w:type="spellEnd"/>
      <w:r>
        <w:rPr>
          <w:lang w:val="fr-FR"/>
        </w:rPr>
        <w:t xml:space="preserve"> depuis 2017.</w:t>
      </w:r>
    </w:p>
    <w:p w14:paraId="0F1B80B3" w14:textId="7A89FC7E" w:rsidR="00560776" w:rsidRPr="00C8158A" w:rsidRDefault="00560776" w:rsidP="0040732C">
      <w:pPr>
        <w:pStyle w:val="SingleTxtG"/>
        <w:rPr>
          <w:lang w:val="fr-FR"/>
        </w:rPr>
      </w:pPr>
      <w:r>
        <w:rPr>
          <w:lang w:val="fr-FR"/>
        </w:rPr>
        <w:t>157.</w:t>
      </w:r>
      <w:r>
        <w:rPr>
          <w:lang w:val="fr-FR"/>
        </w:rPr>
        <w:tab/>
        <w:t>L</w:t>
      </w:r>
      <w:r w:rsidR="009C7759">
        <w:rPr>
          <w:lang w:val="fr-FR"/>
        </w:rPr>
        <w:t>’</w:t>
      </w:r>
      <w:r>
        <w:rPr>
          <w:lang w:val="fr-FR"/>
        </w:rPr>
        <w:t xml:space="preserve">enrichissement de denrées alimentaires telles que la farine et le sel est un moyen peu coûteux de prévenir et de maîtriser les carences en vitamines et en minéraux au sein de la population. Le Grand </w:t>
      </w:r>
      <w:proofErr w:type="spellStart"/>
      <w:r>
        <w:rPr>
          <w:lang w:val="fr-FR"/>
        </w:rPr>
        <w:t>Khoural</w:t>
      </w:r>
      <w:proofErr w:type="spellEnd"/>
      <w:r>
        <w:rPr>
          <w:lang w:val="fr-FR"/>
        </w:rPr>
        <w:t xml:space="preserve"> d</w:t>
      </w:r>
      <w:r w:rsidR="009C7759">
        <w:rPr>
          <w:lang w:val="fr-FR"/>
        </w:rPr>
        <w:t>’</w:t>
      </w:r>
      <w:r>
        <w:rPr>
          <w:lang w:val="fr-FR"/>
        </w:rPr>
        <w:t>État a promulgué à cette fin en 2018 la loi relative à l</w:t>
      </w:r>
      <w:r w:rsidR="009C7759">
        <w:rPr>
          <w:lang w:val="fr-FR"/>
        </w:rPr>
        <w:t>’</w:t>
      </w:r>
      <w:r>
        <w:rPr>
          <w:lang w:val="fr-FR"/>
        </w:rPr>
        <w:t xml:space="preserve">enrichissement des aliments. </w:t>
      </w:r>
    </w:p>
    <w:p w14:paraId="2D25042F" w14:textId="10F959F4" w:rsidR="00560776" w:rsidRPr="00C8158A" w:rsidRDefault="00560776" w:rsidP="00891BD0">
      <w:pPr>
        <w:pStyle w:val="H1G"/>
        <w:rPr>
          <w:lang w:val="fr-FR"/>
        </w:rPr>
      </w:pPr>
      <w:r>
        <w:rPr>
          <w:lang w:val="fr-FR"/>
        </w:rPr>
        <w:tab/>
      </w:r>
      <w:r>
        <w:rPr>
          <w:lang w:val="fr-FR"/>
        </w:rPr>
        <w:tab/>
        <w:t>Paragraphe 16 de la liste de points</w:t>
      </w:r>
    </w:p>
    <w:p w14:paraId="001E388C" w14:textId="07BC46D7" w:rsidR="00560776" w:rsidRPr="00C8158A" w:rsidRDefault="00560776" w:rsidP="0040732C">
      <w:pPr>
        <w:pStyle w:val="SingleTxtG"/>
        <w:rPr>
          <w:lang w:val="fr-FR"/>
        </w:rPr>
      </w:pPr>
      <w:r>
        <w:rPr>
          <w:lang w:val="fr-FR"/>
        </w:rPr>
        <w:t>158.</w:t>
      </w:r>
      <w:r>
        <w:rPr>
          <w:lang w:val="fr-FR"/>
        </w:rPr>
        <w:tab/>
        <w:t>La loi relative aux services médicaux a été adoptée en 2016. Elle régit les relations relatives à l</w:t>
      </w:r>
      <w:r w:rsidR="009C7759">
        <w:rPr>
          <w:lang w:val="fr-FR"/>
        </w:rPr>
        <w:t>’</w:t>
      </w:r>
      <w:r>
        <w:rPr>
          <w:lang w:val="fr-FR"/>
        </w:rPr>
        <w:t>organisation, à la gestion, au financement et au contrôle des services médicaux fournis à la population. Elle réglemente par exemple l</w:t>
      </w:r>
      <w:r w:rsidR="009C7759">
        <w:rPr>
          <w:lang w:val="fr-FR"/>
        </w:rPr>
        <w:t>’</w:t>
      </w:r>
      <w:r>
        <w:rPr>
          <w:lang w:val="fr-FR"/>
        </w:rPr>
        <w:t>organisation et la fonction de chaque service de soins, l</w:t>
      </w:r>
      <w:r w:rsidR="009C7759">
        <w:rPr>
          <w:lang w:val="fr-FR"/>
        </w:rPr>
        <w:t>’</w:t>
      </w:r>
      <w:r>
        <w:rPr>
          <w:lang w:val="fr-FR"/>
        </w:rPr>
        <w:t>enregistrement et les références des médecins, les soins et services à fournir à chaque niveau, la gestion et l</w:t>
      </w:r>
      <w:r w:rsidR="009C7759">
        <w:rPr>
          <w:lang w:val="fr-FR"/>
        </w:rPr>
        <w:t>’</w:t>
      </w:r>
      <w:r>
        <w:rPr>
          <w:lang w:val="fr-FR"/>
        </w:rPr>
        <w:t>organisation des hôpitaux de l</w:t>
      </w:r>
      <w:r w:rsidR="009C7759">
        <w:rPr>
          <w:lang w:val="fr-FR"/>
        </w:rPr>
        <w:t>’</w:t>
      </w:r>
      <w:r>
        <w:rPr>
          <w:lang w:val="fr-FR"/>
        </w:rPr>
        <w:t>État et des aïmags, la sélection des membres de leur conseil d</w:t>
      </w:r>
      <w:r w:rsidR="009C7759">
        <w:rPr>
          <w:lang w:val="fr-FR"/>
        </w:rPr>
        <w:t>’</w:t>
      </w:r>
      <w:r>
        <w:rPr>
          <w:lang w:val="fr-FR"/>
        </w:rPr>
        <w:t xml:space="preserve">administration et les conditions à remplir pour y siéger, la direction des hôpitaux spécialisés et des cliniques, leurs droits et responsabilités, les soins et services devant être fournis par les maternités, les centres de soins infirmiers, les centres de rééducation et les sanatoriums, le financement des soins et services médicaux, les droits et responsabilités des médecins et la certification des hôpitaux. </w:t>
      </w:r>
    </w:p>
    <w:p w14:paraId="226C128D" w14:textId="2FF04F4A" w:rsidR="00560776" w:rsidRPr="00C8158A" w:rsidRDefault="00560776" w:rsidP="00705366">
      <w:pPr>
        <w:pStyle w:val="SingleTxtG"/>
        <w:keepNext/>
        <w:keepLines/>
        <w:rPr>
          <w:lang w:val="fr-FR"/>
        </w:rPr>
      </w:pPr>
      <w:r>
        <w:rPr>
          <w:lang w:val="fr-FR"/>
        </w:rPr>
        <w:lastRenderedPageBreak/>
        <w:t>159.</w:t>
      </w:r>
      <w:r>
        <w:rPr>
          <w:lang w:val="fr-FR"/>
        </w:rPr>
        <w:tab/>
        <w:t>Les modifications apportées à la loi sur l</w:t>
      </w:r>
      <w:r w:rsidR="009C7759">
        <w:rPr>
          <w:lang w:val="fr-FR"/>
        </w:rPr>
        <w:t>’</w:t>
      </w:r>
      <w:r>
        <w:rPr>
          <w:lang w:val="fr-FR"/>
        </w:rPr>
        <w:t xml:space="preserve">assurance maladie ont été approuvées par le Grand </w:t>
      </w:r>
      <w:proofErr w:type="spellStart"/>
      <w:r>
        <w:rPr>
          <w:lang w:val="fr-FR"/>
        </w:rPr>
        <w:t>Khoural</w:t>
      </w:r>
      <w:proofErr w:type="spellEnd"/>
      <w:r>
        <w:rPr>
          <w:lang w:val="fr-FR"/>
        </w:rPr>
        <w:t xml:space="preserve"> d</w:t>
      </w:r>
      <w:r w:rsidR="009C7759">
        <w:rPr>
          <w:lang w:val="fr-FR"/>
        </w:rPr>
        <w:t>’</w:t>
      </w:r>
      <w:r>
        <w:rPr>
          <w:lang w:val="fr-FR"/>
        </w:rPr>
        <w:t>État en 2020, et les citoyens peuvent désormais, grâce à leur assurance, bénéficier de tous les types de services médicaux sans formalités administratives excessives et acheter des médicaments à prix réduit en présentant l</w:t>
      </w:r>
      <w:r w:rsidR="009C7759">
        <w:rPr>
          <w:lang w:val="fr-FR"/>
        </w:rPr>
        <w:t>’</w:t>
      </w:r>
      <w:r>
        <w:rPr>
          <w:lang w:val="fr-FR"/>
        </w:rPr>
        <w:t>ordonnance d</w:t>
      </w:r>
      <w:r w:rsidR="009C7759">
        <w:rPr>
          <w:lang w:val="fr-FR"/>
        </w:rPr>
        <w:t>’</w:t>
      </w:r>
      <w:r>
        <w:rPr>
          <w:lang w:val="fr-FR"/>
        </w:rPr>
        <w:t>un médecin d</w:t>
      </w:r>
      <w:r w:rsidR="009C7759">
        <w:rPr>
          <w:lang w:val="fr-FR"/>
        </w:rPr>
        <w:t>’</w:t>
      </w:r>
      <w:r>
        <w:rPr>
          <w:lang w:val="fr-FR"/>
        </w:rPr>
        <w:t>un hôpital de n</w:t>
      </w:r>
      <w:r w:rsidR="009C7759">
        <w:rPr>
          <w:lang w:val="fr-FR"/>
        </w:rPr>
        <w:t>’</w:t>
      </w:r>
      <w:r>
        <w:rPr>
          <w:lang w:val="fr-FR"/>
        </w:rPr>
        <w:t>importe quel niveau. Des modifications ont été apportées à la loi en vue d</w:t>
      </w:r>
      <w:r w:rsidR="009C7759">
        <w:rPr>
          <w:lang w:val="fr-FR"/>
        </w:rPr>
        <w:t>’</w:t>
      </w:r>
      <w:r>
        <w:rPr>
          <w:lang w:val="fr-FR"/>
        </w:rPr>
        <w:t>accroître l</w:t>
      </w:r>
      <w:r w:rsidR="009C7759">
        <w:rPr>
          <w:lang w:val="fr-FR"/>
        </w:rPr>
        <w:t>’</w:t>
      </w:r>
      <w:r>
        <w:rPr>
          <w:lang w:val="fr-FR"/>
        </w:rPr>
        <w:t>efficacité de la réforme du financement des soins de santé, et plus particulièrement d</w:t>
      </w:r>
      <w:r w:rsidR="009C7759">
        <w:rPr>
          <w:lang w:val="fr-FR"/>
        </w:rPr>
        <w:t>’</w:t>
      </w:r>
      <w:r>
        <w:rPr>
          <w:lang w:val="fr-FR"/>
        </w:rPr>
        <w:t>améliorer le contrôle de la qualité des services médicaux fournis aux citoyens par l</w:t>
      </w:r>
      <w:r w:rsidR="009C7759">
        <w:rPr>
          <w:lang w:val="fr-FR"/>
        </w:rPr>
        <w:t>’</w:t>
      </w:r>
      <w:r>
        <w:rPr>
          <w:lang w:val="fr-FR"/>
        </w:rPr>
        <w:t>intermédiaire des organismes d</w:t>
      </w:r>
      <w:r w:rsidR="009C7759">
        <w:rPr>
          <w:lang w:val="fr-FR"/>
        </w:rPr>
        <w:t>’</w:t>
      </w:r>
      <w:r>
        <w:rPr>
          <w:lang w:val="fr-FR"/>
        </w:rPr>
        <w:t>assurance maladie, de renforcer l</w:t>
      </w:r>
      <w:r w:rsidR="009C7759">
        <w:rPr>
          <w:lang w:val="fr-FR"/>
        </w:rPr>
        <w:t>’</w:t>
      </w:r>
      <w:r>
        <w:rPr>
          <w:lang w:val="fr-FR"/>
        </w:rPr>
        <w:t>application des normes internationales afin de s</w:t>
      </w:r>
      <w:r w:rsidR="009C7759">
        <w:rPr>
          <w:lang w:val="fr-FR"/>
        </w:rPr>
        <w:t>’</w:t>
      </w:r>
      <w:r>
        <w:rPr>
          <w:lang w:val="fr-FR"/>
        </w:rPr>
        <w:t>en rapprocher, de numériser les données et d</w:t>
      </w:r>
      <w:r w:rsidR="009C7759">
        <w:rPr>
          <w:lang w:val="fr-FR"/>
        </w:rPr>
        <w:t>’</w:t>
      </w:r>
      <w:r>
        <w:rPr>
          <w:lang w:val="fr-FR"/>
        </w:rPr>
        <w:t>accroître les performances et le rendement des médecins et des travailleurs médicaux (</w:t>
      </w:r>
      <w:r w:rsidR="002470FD">
        <w:rPr>
          <w:lang w:val="fr-FR"/>
        </w:rPr>
        <w:t>v</w:t>
      </w:r>
      <w:r>
        <w:rPr>
          <w:lang w:val="fr-FR"/>
        </w:rPr>
        <w:t>oir les informations détaillées présentées au point 2.b.7).</w:t>
      </w:r>
    </w:p>
    <w:p w14:paraId="27106DD6" w14:textId="243864B1" w:rsidR="00560776" w:rsidRPr="00C8158A" w:rsidRDefault="00560776" w:rsidP="0040732C">
      <w:pPr>
        <w:pStyle w:val="SingleTxtG"/>
        <w:rPr>
          <w:lang w:val="fr-FR"/>
        </w:rPr>
      </w:pPr>
      <w:r>
        <w:rPr>
          <w:lang w:val="fr-FR"/>
        </w:rPr>
        <w:t>160.</w:t>
      </w:r>
      <w:r>
        <w:rPr>
          <w:lang w:val="fr-FR"/>
        </w:rPr>
        <w:tab/>
        <w:t>Pour réduire la prévalence du cancer du foie, l</w:t>
      </w:r>
      <w:r w:rsidR="009C7759">
        <w:rPr>
          <w:lang w:val="fr-FR"/>
        </w:rPr>
        <w:t>’</w:t>
      </w:r>
      <w:r>
        <w:rPr>
          <w:lang w:val="fr-FR"/>
        </w:rPr>
        <w:t>une des principales causes de mortalité en Mongolie, le Gouvernement a mis en œuvre le programme national de santé du foie entre 2016 et 2020. Dans le cadre de ce programme, des tests de dépistage de l</w:t>
      </w:r>
      <w:r w:rsidR="009C7759">
        <w:rPr>
          <w:lang w:val="fr-FR"/>
        </w:rPr>
        <w:t>’</w:t>
      </w:r>
      <w:r>
        <w:rPr>
          <w:lang w:val="fr-FR"/>
        </w:rPr>
        <w:t>hépatite B et C ont été administrés à 1,3</w:t>
      </w:r>
      <w:r w:rsidR="0019079D">
        <w:rPr>
          <w:lang w:val="fr-FR"/>
        </w:rPr>
        <w:t> </w:t>
      </w:r>
      <w:r>
        <w:rPr>
          <w:lang w:val="fr-FR"/>
        </w:rPr>
        <w:t>million de personnes, et 20</w:t>
      </w:r>
      <w:r w:rsidR="0019079D">
        <w:rPr>
          <w:lang w:val="fr-FR"/>
        </w:rPr>
        <w:t> </w:t>
      </w:r>
      <w:r>
        <w:rPr>
          <w:lang w:val="fr-FR"/>
        </w:rPr>
        <w:t>814</w:t>
      </w:r>
      <w:r w:rsidR="0019079D">
        <w:rPr>
          <w:lang w:val="fr-FR"/>
        </w:rPr>
        <w:t> </w:t>
      </w:r>
      <w:r>
        <w:rPr>
          <w:lang w:val="fr-FR"/>
        </w:rPr>
        <w:t>personnes atteintes d</w:t>
      </w:r>
      <w:r w:rsidR="009C7759">
        <w:rPr>
          <w:lang w:val="fr-FR"/>
        </w:rPr>
        <w:t>’</w:t>
      </w:r>
      <w:r>
        <w:rPr>
          <w:lang w:val="fr-FR"/>
        </w:rPr>
        <w:t>hépatite C et 14 437 personnes atteintes d</w:t>
      </w:r>
      <w:r w:rsidR="009C7759">
        <w:rPr>
          <w:lang w:val="fr-FR"/>
        </w:rPr>
        <w:t>’</w:t>
      </w:r>
      <w:r>
        <w:rPr>
          <w:lang w:val="fr-FR"/>
        </w:rPr>
        <w:t>hépatite B ont suivi un traitement contre le virus. La Caisse d</w:t>
      </w:r>
      <w:r w:rsidR="009C7759">
        <w:rPr>
          <w:lang w:val="fr-FR"/>
        </w:rPr>
        <w:t>’</w:t>
      </w:r>
      <w:r>
        <w:rPr>
          <w:lang w:val="fr-FR"/>
        </w:rPr>
        <w:t>assurance maladie a dépensé à cette fin 48,9</w:t>
      </w:r>
      <w:r w:rsidR="0019079D">
        <w:rPr>
          <w:lang w:val="fr-FR"/>
        </w:rPr>
        <w:t> </w:t>
      </w:r>
      <w:r>
        <w:rPr>
          <w:lang w:val="fr-FR"/>
        </w:rPr>
        <w:t xml:space="preserve">milliards de </w:t>
      </w:r>
      <w:proofErr w:type="spellStart"/>
      <w:r>
        <w:rPr>
          <w:lang w:val="fr-FR"/>
        </w:rPr>
        <w:t>togrogs</w:t>
      </w:r>
      <w:proofErr w:type="spellEnd"/>
      <w:r>
        <w:rPr>
          <w:lang w:val="fr-FR"/>
        </w:rPr>
        <w:t>, en réduisant de 210 000 </w:t>
      </w:r>
      <w:proofErr w:type="spellStart"/>
      <w:r>
        <w:rPr>
          <w:lang w:val="fr-FR"/>
        </w:rPr>
        <w:t>togrogs</w:t>
      </w:r>
      <w:proofErr w:type="spellEnd"/>
      <w:r>
        <w:rPr>
          <w:lang w:val="fr-FR"/>
        </w:rPr>
        <w:t xml:space="preserve"> le prix par boîte de cinq types de médicaments contre l</w:t>
      </w:r>
      <w:r w:rsidR="009C7759">
        <w:rPr>
          <w:lang w:val="fr-FR"/>
        </w:rPr>
        <w:t>’</w:t>
      </w:r>
      <w:r>
        <w:rPr>
          <w:lang w:val="fr-FR"/>
        </w:rPr>
        <w:t>hépatite C et B, et de 60 à 150</w:t>
      </w:r>
      <w:r w:rsidR="0019079D">
        <w:rPr>
          <w:lang w:val="fr-FR"/>
        </w:rPr>
        <w:t> </w:t>
      </w:r>
      <w:r>
        <w:rPr>
          <w:lang w:val="fr-FR"/>
        </w:rPr>
        <w:t>000</w:t>
      </w:r>
      <w:r w:rsidR="0019079D">
        <w:rPr>
          <w:lang w:val="fr-FR"/>
        </w:rPr>
        <w:t> </w:t>
      </w:r>
      <w:proofErr w:type="spellStart"/>
      <w:r>
        <w:rPr>
          <w:lang w:val="fr-FR"/>
        </w:rPr>
        <w:t>togrogs</w:t>
      </w:r>
      <w:proofErr w:type="spellEnd"/>
      <w:r>
        <w:rPr>
          <w:lang w:val="fr-FR"/>
        </w:rPr>
        <w:t xml:space="preserve"> celui de deux médicaments à composant unique. </w:t>
      </w:r>
    </w:p>
    <w:p w14:paraId="3C527EF6" w14:textId="207DD693" w:rsidR="00560776" w:rsidRPr="00C8158A" w:rsidRDefault="00560776" w:rsidP="0040732C">
      <w:pPr>
        <w:pStyle w:val="SingleTxtG"/>
        <w:rPr>
          <w:lang w:val="fr-FR"/>
        </w:rPr>
      </w:pPr>
      <w:r>
        <w:rPr>
          <w:lang w:val="fr-FR"/>
        </w:rPr>
        <w:t>161.</w:t>
      </w:r>
      <w:r>
        <w:rPr>
          <w:lang w:val="fr-FR"/>
        </w:rPr>
        <w:tab/>
        <w:t>Depuis le premier cas dépisté en 1992, 286 cas de VIH ont été recensés au total en Mongolie. Dans la majorité des cas (98,4</w:t>
      </w:r>
      <w:r w:rsidR="0019079D">
        <w:rPr>
          <w:lang w:val="fr-FR"/>
        </w:rPr>
        <w:t> </w:t>
      </w:r>
      <w:r>
        <w:rPr>
          <w:lang w:val="fr-FR"/>
        </w:rPr>
        <w:t>%), la transmission s</w:t>
      </w:r>
      <w:r w:rsidR="009C7759">
        <w:rPr>
          <w:lang w:val="fr-FR"/>
        </w:rPr>
        <w:t>’</w:t>
      </w:r>
      <w:r>
        <w:rPr>
          <w:lang w:val="fr-FR"/>
        </w:rPr>
        <w:t>est faite par voie sexuelle. Il</w:t>
      </w:r>
      <w:r w:rsidR="0019079D">
        <w:rPr>
          <w:lang w:val="fr-FR"/>
        </w:rPr>
        <w:t> </w:t>
      </w:r>
      <w:r>
        <w:rPr>
          <w:lang w:val="fr-FR"/>
        </w:rPr>
        <w:t>n</w:t>
      </w:r>
      <w:r w:rsidR="009C7759">
        <w:rPr>
          <w:lang w:val="fr-FR"/>
        </w:rPr>
        <w:t>’</w:t>
      </w:r>
      <w:r>
        <w:rPr>
          <w:lang w:val="fr-FR"/>
        </w:rPr>
        <w:t>y a eu aucun cas de transmission par le sang, par des produits sanguins, ou par la prestation de services médicaux, ni de transmission de la mère à l</w:t>
      </w:r>
      <w:r w:rsidR="009C7759">
        <w:rPr>
          <w:lang w:val="fr-FR"/>
        </w:rPr>
        <w:t>’</w:t>
      </w:r>
      <w:r>
        <w:rPr>
          <w:lang w:val="fr-FR"/>
        </w:rPr>
        <w:t xml:space="preserve">enfant. </w:t>
      </w:r>
    </w:p>
    <w:p w14:paraId="43DD8380" w14:textId="6934CFBE" w:rsidR="00560776" w:rsidRPr="00C8158A" w:rsidRDefault="00560776" w:rsidP="0040732C">
      <w:pPr>
        <w:pStyle w:val="SingleTxtG"/>
        <w:rPr>
          <w:lang w:val="fr-FR"/>
        </w:rPr>
      </w:pPr>
      <w:r>
        <w:rPr>
          <w:lang w:val="fr-FR"/>
        </w:rPr>
        <w:t>162.</w:t>
      </w:r>
      <w:r>
        <w:rPr>
          <w:lang w:val="fr-FR"/>
        </w:rPr>
        <w:tab/>
        <w:t>La loi relative à la prévention du VIH/sida a été approuvée en 2004 et révisée en 2012. L</w:t>
      </w:r>
      <w:r w:rsidR="009C7759">
        <w:rPr>
          <w:lang w:val="fr-FR"/>
        </w:rPr>
        <w:t>’</w:t>
      </w:r>
      <w:r>
        <w:rPr>
          <w:lang w:val="fr-FR"/>
        </w:rPr>
        <w:t>article 5.1.2 de la loi révisée dispose que l</w:t>
      </w:r>
      <w:r w:rsidR="009C7759">
        <w:rPr>
          <w:lang w:val="fr-FR"/>
        </w:rPr>
        <w:t>’</w:t>
      </w:r>
      <w:r>
        <w:rPr>
          <w:lang w:val="fr-FR"/>
        </w:rPr>
        <w:t>organe administratif central de l</w:t>
      </w:r>
      <w:r w:rsidR="009C7759">
        <w:rPr>
          <w:lang w:val="fr-FR"/>
        </w:rPr>
        <w:t>’</w:t>
      </w:r>
      <w:r>
        <w:rPr>
          <w:lang w:val="fr-FR"/>
        </w:rPr>
        <w:t>État chargé des soins de santé a pour responsabilité de diffuser des informations officielles sur le VIH/sida. L</w:t>
      </w:r>
      <w:r w:rsidR="009C7759">
        <w:rPr>
          <w:lang w:val="fr-FR"/>
        </w:rPr>
        <w:t>’</w:t>
      </w:r>
      <w:r>
        <w:rPr>
          <w:lang w:val="fr-FR"/>
        </w:rPr>
        <w:t>article 8.3.5 interdit de communiquer des informations sur les personnes ayant reçu un diagnostic de VIH/sida et l</w:t>
      </w:r>
      <w:r w:rsidR="009C7759">
        <w:rPr>
          <w:lang w:val="fr-FR"/>
        </w:rPr>
        <w:t>’</w:t>
      </w:r>
      <w:r>
        <w:rPr>
          <w:lang w:val="fr-FR"/>
        </w:rPr>
        <w:t xml:space="preserve">article 11.3 interdit aux organisations, aux fonctionnaires et aux citoyens de diffuser des informations sur les personnes infectées par le VIH/SIDA, sauf dans les cas prévus par la loi. </w:t>
      </w:r>
    </w:p>
    <w:p w14:paraId="240AA110" w14:textId="437D5EF7" w:rsidR="00560776" w:rsidRPr="00C8158A" w:rsidRDefault="00560776" w:rsidP="0040732C">
      <w:pPr>
        <w:pStyle w:val="SingleTxtG"/>
        <w:rPr>
          <w:lang w:val="fr-FR"/>
        </w:rPr>
      </w:pPr>
      <w:r>
        <w:rPr>
          <w:lang w:val="fr-FR"/>
        </w:rPr>
        <w:t>163.</w:t>
      </w:r>
      <w:r>
        <w:rPr>
          <w:lang w:val="fr-FR"/>
        </w:rPr>
        <w:tab/>
        <w:t>En vertu de la loi relative au secret de la vie privée, le fait d</w:t>
      </w:r>
      <w:r w:rsidR="009C7759">
        <w:rPr>
          <w:lang w:val="fr-FR"/>
        </w:rPr>
        <w:t>’</w:t>
      </w:r>
      <w:r>
        <w:rPr>
          <w:lang w:val="fr-FR"/>
        </w:rPr>
        <w:t>avoir eu une maladie, quelle qu</w:t>
      </w:r>
      <w:r w:rsidR="009C7759">
        <w:rPr>
          <w:lang w:val="fr-FR"/>
        </w:rPr>
        <w:t>’</w:t>
      </w:r>
      <w:r>
        <w:rPr>
          <w:lang w:val="fr-FR"/>
        </w:rPr>
        <w:t xml:space="preserve">elle soit, est confidentiel, sauf dans certains cas de maladies transmissibles qui présentent un danger pour le public. Les personnes vivant avec le VIH/sida bénéficient de la confidentialité prévue par cette loi. </w:t>
      </w:r>
    </w:p>
    <w:p w14:paraId="46D1BB4D" w14:textId="77777777" w:rsidR="00560776" w:rsidRPr="00C8158A" w:rsidRDefault="00560776" w:rsidP="00891BD0">
      <w:pPr>
        <w:pStyle w:val="H23G"/>
        <w:rPr>
          <w:lang w:val="fr-FR"/>
        </w:rPr>
      </w:pPr>
      <w:r>
        <w:rPr>
          <w:lang w:val="fr-FR"/>
        </w:rPr>
        <w:tab/>
      </w:r>
      <w:r>
        <w:rPr>
          <w:lang w:val="fr-FR"/>
        </w:rPr>
        <w:tab/>
        <w:t>Mesures visant à réduire la propagation des maladies transmissibles</w:t>
      </w:r>
    </w:p>
    <w:p w14:paraId="770B66AA" w14:textId="54C3F7BE" w:rsidR="00560776" w:rsidRPr="00C8158A" w:rsidRDefault="00560776" w:rsidP="0040732C">
      <w:pPr>
        <w:pStyle w:val="SingleTxtG"/>
        <w:rPr>
          <w:lang w:val="fr-FR"/>
        </w:rPr>
      </w:pPr>
      <w:r>
        <w:rPr>
          <w:lang w:val="fr-FR"/>
        </w:rPr>
        <w:t>164.</w:t>
      </w:r>
      <w:r>
        <w:rPr>
          <w:lang w:val="fr-FR"/>
        </w:rPr>
        <w:tab/>
        <w:t>Le programme national de contrôle et de prévention des maladies transmissibles a été approuvé par la résolution gouvernementale n</w:t>
      </w:r>
      <w:r w:rsidR="0019079D" w:rsidRPr="00D26CBE">
        <w:rPr>
          <w:vertAlign w:val="superscript"/>
          <w:lang w:val="fr-FR"/>
        </w:rPr>
        <w:t>o</w:t>
      </w:r>
      <w:r w:rsidR="0019079D">
        <w:rPr>
          <w:lang w:val="fr-FR"/>
        </w:rPr>
        <w:t> </w:t>
      </w:r>
      <w:r>
        <w:rPr>
          <w:lang w:val="fr-FR"/>
        </w:rPr>
        <w:t>11 de 2017. Il a pour objectif de réduire la propagation des maladies transmissibles grâce à des activités de surveillance et de prévention et au renforcement des capacités permettant d</w:t>
      </w:r>
      <w:r w:rsidR="009C7759">
        <w:rPr>
          <w:lang w:val="fr-FR"/>
        </w:rPr>
        <w:t>’</w:t>
      </w:r>
      <w:r>
        <w:rPr>
          <w:lang w:val="fr-FR"/>
        </w:rPr>
        <w:t xml:space="preserve">apporter une réponse immédiate, souple, accessible et de qualité aux flambées épidémiques. </w:t>
      </w:r>
    </w:p>
    <w:p w14:paraId="0B6E84F7" w14:textId="7B96F984" w:rsidR="00560776" w:rsidRPr="00C8158A" w:rsidRDefault="00560776" w:rsidP="0040732C">
      <w:pPr>
        <w:pStyle w:val="SingleTxtG"/>
        <w:rPr>
          <w:lang w:val="fr-FR"/>
        </w:rPr>
      </w:pPr>
      <w:r>
        <w:rPr>
          <w:lang w:val="fr-FR"/>
        </w:rPr>
        <w:t>165.</w:t>
      </w:r>
      <w:r>
        <w:rPr>
          <w:lang w:val="fr-FR"/>
        </w:rPr>
        <w:tab/>
        <w:t>Au cours des dix dernières années, 45</w:t>
      </w:r>
      <w:r w:rsidR="00D26CBE">
        <w:rPr>
          <w:lang w:val="fr-FR"/>
        </w:rPr>
        <w:t> </w:t>
      </w:r>
      <w:r>
        <w:rPr>
          <w:lang w:val="fr-FR"/>
        </w:rPr>
        <w:t>902</w:t>
      </w:r>
      <w:r w:rsidR="00D26CBE">
        <w:rPr>
          <w:lang w:val="fr-FR"/>
        </w:rPr>
        <w:t> </w:t>
      </w:r>
      <w:r>
        <w:rPr>
          <w:lang w:val="fr-FR"/>
        </w:rPr>
        <w:t>cas de 31</w:t>
      </w:r>
      <w:r w:rsidR="00D26CBE">
        <w:rPr>
          <w:lang w:val="fr-FR"/>
        </w:rPr>
        <w:t> </w:t>
      </w:r>
      <w:r>
        <w:rPr>
          <w:lang w:val="fr-FR"/>
        </w:rPr>
        <w:t>maladies transmissibles ont été recensés, soit une moyenne décennale de 157,2</w:t>
      </w:r>
      <w:r w:rsidR="00D26CBE">
        <w:rPr>
          <w:lang w:val="fr-FR"/>
        </w:rPr>
        <w:t> </w:t>
      </w:r>
      <w:r>
        <w:rPr>
          <w:lang w:val="fr-FR"/>
        </w:rPr>
        <w:t>cas pour 10</w:t>
      </w:r>
      <w:r w:rsidR="00D26CBE">
        <w:rPr>
          <w:lang w:val="fr-FR"/>
        </w:rPr>
        <w:t> </w:t>
      </w:r>
      <w:r>
        <w:rPr>
          <w:lang w:val="fr-FR"/>
        </w:rPr>
        <w:t>000</w:t>
      </w:r>
      <w:r w:rsidR="00D26CBE">
        <w:rPr>
          <w:lang w:val="fr-FR"/>
        </w:rPr>
        <w:t> </w:t>
      </w:r>
      <w:r>
        <w:rPr>
          <w:lang w:val="fr-FR"/>
        </w:rPr>
        <w:t xml:space="preserve">habitants. </w:t>
      </w:r>
    </w:p>
    <w:p w14:paraId="29EFBF4A" w14:textId="1807705B" w:rsidR="00560776" w:rsidRPr="00C8158A" w:rsidRDefault="00560776" w:rsidP="0040732C">
      <w:pPr>
        <w:pStyle w:val="SingleTxtG"/>
        <w:rPr>
          <w:lang w:val="fr-FR"/>
        </w:rPr>
      </w:pPr>
      <w:r>
        <w:rPr>
          <w:lang w:val="fr-FR"/>
        </w:rPr>
        <w:t>166.</w:t>
      </w:r>
      <w:r>
        <w:rPr>
          <w:lang w:val="fr-FR"/>
        </w:rPr>
        <w:tab/>
        <w:t>Les infections sexuellement transmissibles représentent de 35 à 40</w:t>
      </w:r>
      <w:r w:rsidR="00D26CBE">
        <w:rPr>
          <w:lang w:val="fr-FR"/>
        </w:rPr>
        <w:t> </w:t>
      </w:r>
      <w:r>
        <w:rPr>
          <w:lang w:val="fr-FR"/>
        </w:rPr>
        <w:t>% du nombre total d</w:t>
      </w:r>
      <w:r w:rsidR="009C7759">
        <w:rPr>
          <w:lang w:val="fr-FR"/>
        </w:rPr>
        <w:t>’</w:t>
      </w:r>
      <w:r>
        <w:rPr>
          <w:lang w:val="fr-FR"/>
        </w:rPr>
        <w:t>infections. Au cours des cinq dernières années, la prévalence des infections sexuellement transmissibles s</w:t>
      </w:r>
      <w:r w:rsidR="009C7759">
        <w:rPr>
          <w:lang w:val="fr-FR"/>
        </w:rPr>
        <w:t>’</w:t>
      </w:r>
      <w:r>
        <w:rPr>
          <w:lang w:val="fr-FR"/>
        </w:rPr>
        <w:t>est maintenue à un niveau élevé, le nombre de cas de syphilis augmentant. La campagne d</w:t>
      </w:r>
      <w:r w:rsidR="009C7759">
        <w:rPr>
          <w:lang w:val="fr-FR"/>
        </w:rPr>
        <w:t>’</w:t>
      </w:r>
      <w:r>
        <w:rPr>
          <w:lang w:val="fr-FR"/>
        </w:rPr>
        <w:t>éradication de la syphilis a donc été menée à l</w:t>
      </w:r>
      <w:r w:rsidR="009C7759">
        <w:rPr>
          <w:lang w:val="fr-FR"/>
        </w:rPr>
        <w:t>’</w:t>
      </w:r>
      <w:r>
        <w:rPr>
          <w:lang w:val="fr-FR"/>
        </w:rPr>
        <w:t>échelle nationale. Elle a permis de dispenser des informations et des formations et de diffuser des annonces auprès de la population sur la prévention des infections sexuellement transmissibles et d</w:t>
      </w:r>
      <w:r w:rsidR="009C7759">
        <w:rPr>
          <w:lang w:val="fr-FR"/>
        </w:rPr>
        <w:t>’</w:t>
      </w:r>
      <w:r>
        <w:rPr>
          <w:lang w:val="fr-FR"/>
        </w:rPr>
        <w:t>inciter les gens à se faire dépister et à consulter un médecin</w:t>
      </w:r>
      <w:r w:rsidR="00DC23BB">
        <w:rPr>
          <w:lang w:val="fr-FR"/>
        </w:rPr>
        <w:t> </w:t>
      </w:r>
      <w:r>
        <w:rPr>
          <w:lang w:val="fr-FR"/>
        </w:rPr>
        <w:t>; 370</w:t>
      </w:r>
      <w:r w:rsidR="00DC23BB">
        <w:rPr>
          <w:lang w:val="fr-FR"/>
        </w:rPr>
        <w:t> </w:t>
      </w:r>
      <w:r>
        <w:rPr>
          <w:lang w:val="fr-FR"/>
        </w:rPr>
        <w:t>000</w:t>
      </w:r>
      <w:r w:rsidR="00DC23BB">
        <w:rPr>
          <w:lang w:val="fr-FR"/>
        </w:rPr>
        <w:t> </w:t>
      </w:r>
      <w:r>
        <w:rPr>
          <w:lang w:val="fr-FR"/>
        </w:rPr>
        <w:t xml:space="preserve">personnes ont ainsi été diagnostiquées et traitées. </w:t>
      </w:r>
    </w:p>
    <w:p w14:paraId="6D8A3F44" w14:textId="10A7FD9D" w:rsidR="00560776" w:rsidRPr="00C8158A" w:rsidRDefault="00560776" w:rsidP="0040732C">
      <w:pPr>
        <w:pStyle w:val="SingleTxtG"/>
        <w:rPr>
          <w:lang w:val="fr-FR"/>
        </w:rPr>
      </w:pPr>
      <w:r>
        <w:rPr>
          <w:lang w:val="fr-FR"/>
        </w:rPr>
        <w:t>167.</w:t>
      </w:r>
      <w:r>
        <w:rPr>
          <w:lang w:val="fr-FR"/>
        </w:rPr>
        <w:tab/>
        <w:t>La Mongolie est l</w:t>
      </w:r>
      <w:r w:rsidR="009C7759">
        <w:rPr>
          <w:lang w:val="fr-FR"/>
        </w:rPr>
        <w:t>’</w:t>
      </w:r>
      <w:r>
        <w:rPr>
          <w:lang w:val="fr-FR"/>
        </w:rPr>
        <w:t>un des sept pays de la région du Pacifique occidental (selon la classification de l</w:t>
      </w:r>
      <w:r w:rsidR="009C7759">
        <w:rPr>
          <w:lang w:val="fr-FR"/>
        </w:rPr>
        <w:t>’</w:t>
      </w:r>
      <w:r>
        <w:rPr>
          <w:lang w:val="fr-FR"/>
        </w:rPr>
        <w:t>OMS) à avoir un nombre élevé de cas de tuberculose. Une conférence internationale sur la recherche des moyens d</w:t>
      </w:r>
      <w:r w:rsidR="009C7759">
        <w:rPr>
          <w:lang w:val="fr-FR"/>
        </w:rPr>
        <w:t>’</w:t>
      </w:r>
      <w:r>
        <w:rPr>
          <w:lang w:val="fr-FR"/>
        </w:rPr>
        <w:t xml:space="preserve">éliminer la tuberculose en Asie a été organisée </w:t>
      </w:r>
      <w:r>
        <w:rPr>
          <w:lang w:val="fr-FR"/>
        </w:rPr>
        <w:lastRenderedPageBreak/>
        <w:t>sous les auspices du Premier Ministre mongol et a permis aux pays asiatiques de faire part de l</w:t>
      </w:r>
      <w:r w:rsidR="009C7759">
        <w:rPr>
          <w:lang w:val="fr-FR"/>
        </w:rPr>
        <w:t>’</w:t>
      </w:r>
      <w:r>
        <w:rPr>
          <w:lang w:val="fr-FR"/>
        </w:rPr>
        <w:t>expérience qu</w:t>
      </w:r>
      <w:r w:rsidR="009C7759">
        <w:rPr>
          <w:lang w:val="fr-FR"/>
        </w:rPr>
        <w:t>’</w:t>
      </w:r>
      <w:r>
        <w:rPr>
          <w:lang w:val="fr-FR"/>
        </w:rPr>
        <w:t>ils avaient acquise en matière de lutte contre la tuberculose.</w:t>
      </w:r>
    </w:p>
    <w:p w14:paraId="6BA9F52F" w14:textId="493C9916" w:rsidR="00560776" w:rsidRPr="00C8158A" w:rsidRDefault="00560776" w:rsidP="0040732C">
      <w:pPr>
        <w:pStyle w:val="SingleTxtG"/>
        <w:rPr>
          <w:lang w:val="fr-FR"/>
        </w:rPr>
      </w:pPr>
      <w:r>
        <w:rPr>
          <w:lang w:val="fr-FR"/>
        </w:rPr>
        <w:t>168.</w:t>
      </w:r>
      <w:r>
        <w:rPr>
          <w:lang w:val="fr-FR"/>
        </w:rPr>
        <w:tab/>
        <w:t>Le Gouvernement a pris les mesures nécessaires pour assurer l</w:t>
      </w:r>
      <w:r w:rsidR="009C7759">
        <w:rPr>
          <w:lang w:val="fr-FR"/>
        </w:rPr>
        <w:t>’</w:t>
      </w:r>
      <w:r>
        <w:rPr>
          <w:lang w:val="fr-FR"/>
        </w:rPr>
        <w:t>approvisionnement ininterrompu en médicaments antituberculeux conformes aux normes internationales. Les</w:t>
      </w:r>
      <w:r w:rsidR="00D26CBE">
        <w:rPr>
          <w:lang w:val="fr-FR"/>
        </w:rPr>
        <w:t> </w:t>
      </w:r>
      <w:r>
        <w:rPr>
          <w:lang w:val="fr-FR"/>
        </w:rPr>
        <w:t xml:space="preserve">médicaments sont fournis aux patients gratuitement. </w:t>
      </w:r>
    </w:p>
    <w:p w14:paraId="722FF20D" w14:textId="32C6CAF0" w:rsidR="00560776" w:rsidRPr="00C8158A" w:rsidRDefault="00560776" w:rsidP="0040732C">
      <w:pPr>
        <w:pStyle w:val="SingleTxtG"/>
        <w:rPr>
          <w:lang w:val="fr-FR"/>
        </w:rPr>
      </w:pPr>
      <w:r>
        <w:rPr>
          <w:lang w:val="fr-FR"/>
        </w:rPr>
        <w:t>169.</w:t>
      </w:r>
      <w:r>
        <w:rPr>
          <w:lang w:val="fr-FR"/>
        </w:rPr>
        <w:tab/>
        <w:t>L</w:t>
      </w:r>
      <w:r w:rsidR="009C7759">
        <w:rPr>
          <w:lang w:val="fr-FR"/>
        </w:rPr>
        <w:t>’</w:t>
      </w:r>
      <w:r>
        <w:rPr>
          <w:lang w:val="fr-FR"/>
        </w:rPr>
        <w:t xml:space="preserve">introduction en 2014 de nouvelles méthodes de dépistage rapide de la tuberculose </w:t>
      </w:r>
      <w:proofErr w:type="spellStart"/>
      <w:r>
        <w:rPr>
          <w:lang w:val="fr-FR"/>
        </w:rPr>
        <w:t>multirésistante</w:t>
      </w:r>
      <w:proofErr w:type="spellEnd"/>
      <w:r>
        <w:rPr>
          <w:lang w:val="fr-FR"/>
        </w:rPr>
        <w:t xml:space="preserve"> (détection des mycobactéries, détection moléculaire-génétique, détection moléculaire-biologique, nouvelle méthode </w:t>
      </w:r>
      <w:proofErr w:type="spellStart"/>
      <w:r>
        <w:rPr>
          <w:lang w:val="fr-FR"/>
        </w:rPr>
        <w:t>Hain</w:t>
      </w:r>
      <w:proofErr w:type="spellEnd"/>
      <w:r>
        <w:rPr>
          <w:lang w:val="fr-FR"/>
        </w:rPr>
        <w:t>) au Laboratoire national de référence contre la tuberculose a contribué pour beaucoup à la décentralisation des soins et des services, à l</w:t>
      </w:r>
      <w:r w:rsidR="009C7759">
        <w:rPr>
          <w:lang w:val="fr-FR"/>
        </w:rPr>
        <w:t>’</w:t>
      </w:r>
      <w:r>
        <w:rPr>
          <w:lang w:val="fr-FR"/>
        </w:rPr>
        <w:t>obtention d</w:t>
      </w:r>
      <w:r w:rsidR="009C7759">
        <w:rPr>
          <w:lang w:val="fr-FR"/>
        </w:rPr>
        <w:t>’</w:t>
      </w:r>
      <w:r>
        <w:rPr>
          <w:lang w:val="fr-FR"/>
        </w:rPr>
        <w:t>un diagnostic rapide (le délai d</w:t>
      </w:r>
      <w:r w:rsidR="009C7759">
        <w:rPr>
          <w:lang w:val="fr-FR"/>
        </w:rPr>
        <w:t>’</w:t>
      </w:r>
      <w:r>
        <w:rPr>
          <w:lang w:val="fr-FR"/>
        </w:rPr>
        <w:t xml:space="preserve">attente des résultats des tests de dépistage de la tuberculose </w:t>
      </w:r>
      <w:proofErr w:type="spellStart"/>
      <w:r>
        <w:rPr>
          <w:lang w:val="fr-FR"/>
        </w:rPr>
        <w:t>multirésistante</w:t>
      </w:r>
      <w:proofErr w:type="spellEnd"/>
      <w:r>
        <w:rPr>
          <w:lang w:val="fr-FR"/>
        </w:rPr>
        <w:t xml:space="preserve"> étant passé de </w:t>
      </w:r>
      <w:r w:rsidR="00D26CBE">
        <w:rPr>
          <w:lang w:val="fr-FR"/>
        </w:rPr>
        <w:t>cinquante-six</w:t>
      </w:r>
      <w:r>
        <w:rPr>
          <w:lang w:val="fr-FR"/>
        </w:rPr>
        <w:t xml:space="preserve"> jours à </w:t>
      </w:r>
      <w:r w:rsidR="00D26CBE">
        <w:rPr>
          <w:lang w:val="fr-FR"/>
        </w:rPr>
        <w:t>deux</w:t>
      </w:r>
      <w:r>
        <w:rPr>
          <w:lang w:val="fr-FR"/>
        </w:rPr>
        <w:t xml:space="preserve"> heures), à l</w:t>
      </w:r>
      <w:r w:rsidR="009C7759">
        <w:rPr>
          <w:lang w:val="fr-FR"/>
        </w:rPr>
        <w:t>’</w:t>
      </w:r>
      <w:r>
        <w:rPr>
          <w:lang w:val="fr-FR"/>
        </w:rPr>
        <w:t>augmentation des taux de guérison et donc à la réduction de la propagation de la maladie.</w:t>
      </w:r>
    </w:p>
    <w:p w14:paraId="3465BECE" w14:textId="14443EA1" w:rsidR="00560776" w:rsidRPr="00C8158A" w:rsidRDefault="00560776" w:rsidP="0040732C">
      <w:pPr>
        <w:pStyle w:val="SingleTxtG"/>
        <w:rPr>
          <w:lang w:val="fr-FR"/>
        </w:rPr>
      </w:pPr>
      <w:r>
        <w:rPr>
          <w:lang w:val="fr-FR"/>
        </w:rPr>
        <w:t>170.</w:t>
      </w:r>
      <w:r>
        <w:rPr>
          <w:lang w:val="fr-FR"/>
        </w:rPr>
        <w:tab/>
        <w:t>Ces dernières années, la participation des entreprises et des citoyens au dépistage de la tuberculose s</w:t>
      </w:r>
      <w:r w:rsidR="009C7759">
        <w:rPr>
          <w:lang w:val="fr-FR"/>
        </w:rPr>
        <w:t>’</w:t>
      </w:r>
      <w:r>
        <w:rPr>
          <w:lang w:val="fr-FR"/>
        </w:rPr>
        <w:t>est accrue, et la recherche active de cas a été mise en place dans les établissements d</w:t>
      </w:r>
      <w:r w:rsidR="009C7759">
        <w:rPr>
          <w:lang w:val="fr-FR"/>
        </w:rPr>
        <w:t>’</w:t>
      </w:r>
      <w:r>
        <w:rPr>
          <w:lang w:val="fr-FR"/>
        </w:rPr>
        <w:t>enseignement général.</w:t>
      </w:r>
    </w:p>
    <w:p w14:paraId="3E55B5D5" w14:textId="7A9EC8B5" w:rsidR="00560776" w:rsidRPr="00C8158A" w:rsidRDefault="00560776" w:rsidP="0040732C">
      <w:pPr>
        <w:pStyle w:val="SingleTxtG"/>
        <w:rPr>
          <w:lang w:val="fr-FR"/>
        </w:rPr>
      </w:pPr>
      <w:r>
        <w:rPr>
          <w:lang w:val="fr-FR"/>
        </w:rPr>
        <w:t>171.</w:t>
      </w:r>
      <w:r>
        <w:rPr>
          <w:lang w:val="fr-FR"/>
        </w:rPr>
        <w:tab/>
        <w:t xml:space="preserve">Un projet visant à ramener de </w:t>
      </w:r>
      <w:r w:rsidR="00D26CBE">
        <w:rPr>
          <w:lang w:val="fr-FR"/>
        </w:rPr>
        <w:t>vingt-quatre</w:t>
      </w:r>
      <w:r>
        <w:rPr>
          <w:lang w:val="fr-FR"/>
        </w:rPr>
        <w:t xml:space="preserve"> à </w:t>
      </w:r>
      <w:r w:rsidR="00D26CBE">
        <w:rPr>
          <w:lang w:val="fr-FR"/>
        </w:rPr>
        <w:t>neuf</w:t>
      </w:r>
      <w:r>
        <w:rPr>
          <w:lang w:val="fr-FR"/>
        </w:rPr>
        <w:t xml:space="preserve"> mois la durée de traitement de la tuberculose </w:t>
      </w:r>
      <w:proofErr w:type="spellStart"/>
      <w:r>
        <w:rPr>
          <w:lang w:val="fr-FR"/>
        </w:rPr>
        <w:t>multirésistante</w:t>
      </w:r>
      <w:proofErr w:type="spellEnd"/>
      <w:r>
        <w:rPr>
          <w:lang w:val="fr-FR"/>
        </w:rPr>
        <w:t xml:space="preserve"> a été mis en œuvre avec succès dans l</w:t>
      </w:r>
      <w:r w:rsidR="009C7759">
        <w:rPr>
          <w:lang w:val="fr-FR"/>
        </w:rPr>
        <w:t>’</w:t>
      </w:r>
      <w:r>
        <w:rPr>
          <w:lang w:val="fr-FR"/>
        </w:rPr>
        <w:t>ensemble du pays.</w:t>
      </w:r>
    </w:p>
    <w:p w14:paraId="792D93C7" w14:textId="3600AE33" w:rsidR="00560776" w:rsidRPr="00C8158A" w:rsidRDefault="00560776" w:rsidP="0040732C">
      <w:pPr>
        <w:pStyle w:val="SingleTxtG"/>
        <w:rPr>
          <w:lang w:val="fr-FR"/>
        </w:rPr>
      </w:pPr>
      <w:r>
        <w:rPr>
          <w:lang w:val="fr-FR"/>
        </w:rPr>
        <w:t>172.</w:t>
      </w:r>
      <w:r>
        <w:rPr>
          <w:lang w:val="fr-FR"/>
        </w:rPr>
        <w:tab/>
        <w:t>Des mesures sont prises pour réduire la prévalence des maladies transmissibles au niveau local dans le cadre d</w:t>
      </w:r>
      <w:r w:rsidR="009C7759">
        <w:rPr>
          <w:lang w:val="fr-FR"/>
        </w:rPr>
        <w:t>’</w:t>
      </w:r>
      <w:r>
        <w:rPr>
          <w:lang w:val="fr-FR"/>
        </w:rPr>
        <w:t xml:space="preserve">un accord de coopération conclu par le Ministre de la santé et les gouverneurs des aïmags. </w:t>
      </w:r>
    </w:p>
    <w:p w14:paraId="648B2C9B" w14:textId="48FCA627" w:rsidR="00560776" w:rsidRPr="00C8158A" w:rsidRDefault="00560776" w:rsidP="00891BD0">
      <w:pPr>
        <w:pStyle w:val="H1G"/>
        <w:rPr>
          <w:lang w:val="fr-FR"/>
        </w:rPr>
      </w:pPr>
      <w:r>
        <w:rPr>
          <w:lang w:val="fr-FR"/>
        </w:rPr>
        <w:tab/>
      </w:r>
      <w:r>
        <w:rPr>
          <w:lang w:val="fr-FR"/>
        </w:rPr>
        <w:tab/>
      </w:r>
      <w:r w:rsidRPr="003009E4">
        <w:rPr>
          <w:lang w:val="fr-FR"/>
        </w:rPr>
        <w:t>Paragraphe 17</w:t>
      </w:r>
      <w:r>
        <w:rPr>
          <w:lang w:val="fr-FR"/>
        </w:rPr>
        <w:t xml:space="preserve"> de la liste de points</w:t>
      </w:r>
    </w:p>
    <w:p w14:paraId="4A3B2521" w14:textId="0C972F6E" w:rsidR="00560776" w:rsidRPr="00C8158A" w:rsidRDefault="00560776" w:rsidP="0040732C">
      <w:pPr>
        <w:pStyle w:val="SingleTxtG"/>
        <w:rPr>
          <w:lang w:val="fr-FR"/>
        </w:rPr>
      </w:pPr>
      <w:r>
        <w:rPr>
          <w:lang w:val="fr-FR"/>
        </w:rPr>
        <w:t>173.</w:t>
      </w:r>
      <w:r>
        <w:rPr>
          <w:lang w:val="fr-FR"/>
        </w:rPr>
        <w:tab/>
        <w:t>Selon l</w:t>
      </w:r>
      <w:r w:rsidR="009C7759">
        <w:rPr>
          <w:lang w:val="fr-FR"/>
        </w:rPr>
        <w:t>’</w:t>
      </w:r>
      <w:r>
        <w:rPr>
          <w:lang w:val="fr-FR"/>
        </w:rPr>
        <w:t>enquête menée en 2015, un habitant sur cinq de la Mongolie est atteint d</w:t>
      </w:r>
      <w:r w:rsidR="009C7759">
        <w:rPr>
          <w:lang w:val="fr-FR"/>
        </w:rPr>
        <w:t>’</w:t>
      </w:r>
      <w:r>
        <w:rPr>
          <w:lang w:val="fr-FR"/>
        </w:rPr>
        <w:t>anxiété et d</w:t>
      </w:r>
      <w:r w:rsidR="009C7759">
        <w:rPr>
          <w:lang w:val="fr-FR"/>
        </w:rPr>
        <w:t>’</w:t>
      </w:r>
      <w:r>
        <w:rPr>
          <w:lang w:val="fr-FR"/>
        </w:rPr>
        <w:t>insomnie d</w:t>
      </w:r>
      <w:r w:rsidR="009C7759">
        <w:rPr>
          <w:lang w:val="fr-FR"/>
        </w:rPr>
        <w:t>’</w:t>
      </w:r>
      <w:r>
        <w:rPr>
          <w:lang w:val="fr-FR"/>
        </w:rPr>
        <w:t>origine non organique et un sur six de fatigue chronique, un sur huit présente des symptômes inexplicables, un sur quinze est alcoolodépendant et un sur seize souffre de dépression.</w:t>
      </w:r>
    </w:p>
    <w:p w14:paraId="5A0C2F44" w14:textId="1400E528" w:rsidR="00560776" w:rsidRPr="00C8158A" w:rsidRDefault="00560776" w:rsidP="0040732C">
      <w:pPr>
        <w:pStyle w:val="SingleTxtG"/>
        <w:rPr>
          <w:lang w:val="fr-FR"/>
        </w:rPr>
      </w:pPr>
      <w:r>
        <w:rPr>
          <w:lang w:val="fr-FR"/>
        </w:rPr>
        <w:t>174.</w:t>
      </w:r>
      <w:r>
        <w:rPr>
          <w:lang w:val="fr-FR"/>
        </w:rPr>
        <w:tab/>
        <w:t>Il est ressorti d</w:t>
      </w:r>
      <w:r w:rsidR="009C7759">
        <w:rPr>
          <w:lang w:val="fr-FR"/>
        </w:rPr>
        <w:t>’</w:t>
      </w:r>
      <w:r>
        <w:rPr>
          <w:lang w:val="fr-FR"/>
        </w:rPr>
        <w:t>une enquête menée en 2013 par l</w:t>
      </w:r>
      <w:r w:rsidR="009C7759">
        <w:rPr>
          <w:lang w:val="fr-FR"/>
        </w:rPr>
        <w:t>’</w:t>
      </w:r>
      <w:r>
        <w:rPr>
          <w:lang w:val="fr-FR"/>
        </w:rPr>
        <w:t>OMS dans plusieurs pays auprès d</w:t>
      </w:r>
      <w:r w:rsidR="009C7759">
        <w:rPr>
          <w:lang w:val="fr-FR"/>
        </w:rPr>
        <w:t>’</w:t>
      </w:r>
      <w:r>
        <w:rPr>
          <w:lang w:val="fr-FR"/>
        </w:rPr>
        <w:t>adolescents âgés de 13 à 17</w:t>
      </w:r>
      <w:r w:rsidR="002E70C0">
        <w:rPr>
          <w:lang w:val="fr-FR"/>
        </w:rPr>
        <w:t> </w:t>
      </w:r>
      <w:r>
        <w:rPr>
          <w:lang w:val="fr-FR"/>
        </w:rPr>
        <w:t>ans fréquentant des établissements d</w:t>
      </w:r>
      <w:r w:rsidR="009C7759">
        <w:rPr>
          <w:lang w:val="fr-FR"/>
        </w:rPr>
        <w:t>’</w:t>
      </w:r>
      <w:r>
        <w:rPr>
          <w:lang w:val="fr-FR"/>
        </w:rPr>
        <w:t>enseignement général que 23</w:t>
      </w:r>
      <w:r w:rsidR="002E70C0">
        <w:rPr>
          <w:lang w:val="fr-FR"/>
        </w:rPr>
        <w:t> </w:t>
      </w:r>
      <w:r>
        <w:rPr>
          <w:lang w:val="fr-FR"/>
        </w:rPr>
        <w:t>% des jeunes Mongols, soit un sur cinq, avaient des pensées suicidaires, tandis que 9,3</w:t>
      </w:r>
      <w:r w:rsidR="002E70C0">
        <w:rPr>
          <w:lang w:val="fr-FR"/>
        </w:rPr>
        <w:t> </w:t>
      </w:r>
      <w:r>
        <w:rPr>
          <w:lang w:val="fr-FR"/>
        </w:rPr>
        <w:t xml:space="preserve">%, soit environ un sur dix, avaient tenté de mettre fin à leurs jours, ce qui a conduit à conclure que la santé mentale des adolescents se caractérisait par des signes de dépression ayant des implications durables. </w:t>
      </w:r>
    </w:p>
    <w:p w14:paraId="207E1A19" w14:textId="6FE34572" w:rsidR="00560776" w:rsidRPr="00C8158A" w:rsidRDefault="00560776" w:rsidP="0040732C">
      <w:pPr>
        <w:pStyle w:val="SingleTxtG"/>
        <w:rPr>
          <w:lang w:val="fr-FR"/>
        </w:rPr>
      </w:pPr>
      <w:r>
        <w:rPr>
          <w:lang w:val="fr-FR"/>
        </w:rPr>
        <w:t>175.</w:t>
      </w:r>
      <w:r>
        <w:rPr>
          <w:lang w:val="fr-FR"/>
        </w:rPr>
        <w:tab/>
        <w:t>Ces dernières années, on a constaté une hausse importante de l</w:t>
      </w:r>
      <w:r w:rsidR="009C7759">
        <w:rPr>
          <w:lang w:val="fr-FR"/>
        </w:rPr>
        <w:t>’</w:t>
      </w:r>
      <w:r>
        <w:rPr>
          <w:lang w:val="fr-FR"/>
        </w:rPr>
        <w:t>alcoolisme, des délires alcooliques, des dépressions, des suicides, des troubles mentaux dus à l</w:t>
      </w:r>
      <w:r w:rsidR="009C7759">
        <w:rPr>
          <w:lang w:val="fr-FR"/>
        </w:rPr>
        <w:t>’</w:t>
      </w:r>
      <w:r>
        <w:rPr>
          <w:lang w:val="fr-FR"/>
        </w:rPr>
        <w:t>empoisonnement et des troubles comportementaux et émotionnels chez les enfants. Les maladies mentales sont à l</w:t>
      </w:r>
      <w:r w:rsidR="009C7759">
        <w:rPr>
          <w:lang w:val="fr-FR"/>
        </w:rPr>
        <w:t>’</w:t>
      </w:r>
      <w:r>
        <w:rPr>
          <w:lang w:val="fr-FR"/>
        </w:rPr>
        <w:t>origine de 19</w:t>
      </w:r>
      <w:r w:rsidR="002E70C0">
        <w:rPr>
          <w:lang w:val="fr-FR"/>
        </w:rPr>
        <w:t> </w:t>
      </w:r>
      <w:r>
        <w:rPr>
          <w:lang w:val="fr-FR"/>
        </w:rPr>
        <w:t>% de tous les cas d</w:t>
      </w:r>
      <w:r w:rsidR="009C7759">
        <w:rPr>
          <w:lang w:val="fr-FR"/>
        </w:rPr>
        <w:t>’</w:t>
      </w:r>
      <w:r>
        <w:rPr>
          <w:lang w:val="fr-FR"/>
        </w:rPr>
        <w:t>invalidité en Mongolie.</w:t>
      </w:r>
    </w:p>
    <w:p w14:paraId="20BBF51F" w14:textId="524B259E" w:rsidR="00560776" w:rsidRPr="00C8158A" w:rsidRDefault="00560776" w:rsidP="0040732C">
      <w:pPr>
        <w:pStyle w:val="SingleTxtG"/>
        <w:rPr>
          <w:lang w:val="fr-FR"/>
        </w:rPr>
      </w:pPr>
      <w:r>
        <w:rPr>
          <w:lang w:val="fr-FR"/>
        </w:rPr>
        <w:t>176.</w:t>
      </w:r>
      <w:r>
        <w:rPr>
          <w:lang w:val="fr-FR"/>
        </w:rPr>
        <w:tab/>
        <w:t xml:space="preserve">En 2013, le Grand </w:t>
      </w:r>
      <w:proofErr w:type="spellStart"/>
      <w:r>
        <w:rPr>
          <w:lang w:val="fr-FR"/>
        </w:rPr>
        <w:t>Khoural</w:t>
      </w:r>
      <w:proofErr w:type="spellEnd"/>
      <w:r>
        <w:rPr>
          <w:lang w:val="fr-FR"/>
        </w:rPr>
        <w:t xml:space="preserve"> d</w:t>
      </w:r>
      <w:r w:rsidR="009C7759">
        <w:rPr>
          <w:lang w:val="fr-FR"/>
        </w:rPr>
        <w:t>’</w:t>
      </w:r>
      <w:r>
        <w:rPr>
          <w:lang w:val="fr-FR"/>
        </w:rPr>
        <w:t>État a approuvé la loi révisée sur la santé mentale, la loi portant modification de la loi sur la lutte contre l</w:t>
      </w:r>
      <w:r w:rsidR="009C7759">
        <w:rPr>
          <w:lang w:val="fr-FR"/>
        </w:rPr>
        <w:t>’</w:t>
      </w:r>
      <w:r>
        <w:rPr>
          <w:lang w:val="fr-FR"/>
        </w:rPr>
        <w:t>alcoolisme, la loi sur le contrôle de la circulation des stupéfiants et des substances psychotropes et la loi révisée sur le traitement obligatoire de la dépendance à l</w:t>
      </w:r>
      <w:r w:rsidR="009C7759">
        <w:rPr>
          <w:lang w:val="fr-FR"/>
        </w:rPr>
        <w:t>’</w:t>
      </w:r>
      <w:r>
        <w:rPr>
          <w:lang w:val="fr-FR"/>
        </w:rPr>
        <w:t>alcool et aux stupéfiants. Le Gouvernement a mis en œuvre avec succès le deuxième programme national de santé mentale (2010-2019) et le programme national visant à lutter et combattre l</w:t>
      </w:r>
      <w:r w:rsidR="009C7759">
        <w:rPr>
          <w:lang w:val="fr-FR"/>
        </w:rPr>
        <w:t>’</w:t>
      </w:r>
      <w:r>
        <w:rPr>
          <w:lang w:val="fr-FR"/>
        </w:rPr>
        <w:t>alcoolisme (2003-2012).</w:t>
      </w:r>
    </w:p>
    <w:p w14:paraId="65B7570A" w14:textId="7CEC1211" w:rsidR="00560776" w:rsidRPr="00C8158A" w:rsidRDefault="00560776" w:rsidP="0040732C">
      <w:pPr>
        <w:pStyle w:val="SingleTxtG"/>
        <w:rPr>
          <w:lang w:val="fr-FR"/>
        </w:rPr>
      </w:pPr>
      <w:r>
        <w:rPr>
          <w:lang w:val="fr-FR"/>
        </w:rPr>
        <w:t>177.</w:t>
      </w:r>
      <w:r>
        <w:rPr>
          <w:lang w:val="fr-FR"/>
        </w:rPr>
        <w:tab/>
        <w:t>L</w:t>
      </w:r>
      <w:r w:rsidR="009C7759">
        <w:rPr>
          <w:lang w:val="fr-FR"/>
        </w:rPr>
        <w:t>’</w:t>
      </w:r>
      <w:r>
        <w:rPr>
          <w:lang w:val="fr-FR"/>
        </w:rPr>
        <w:t>introduction en 2015 de la psychothérapie et des thérapies individuelles et de groupe et, en 2016, de plusieurs outils de diagnostic tels que le test de Szondi permettant de mettre en évidence les modifications des intérêts, des besoins et de l</w:t>
      </w:r>
      <w:r w:rsidR="009C7759">
        <w:rPr>
          <w:lang w:val="fr-FR"/>
        </w:rPr>
        <w:t>’</w:t>
      </w:r>
      <w:r>
        <w:rPr>
          <w:lang w:val="fr-FR"/>
        </w:rPr>
        <w:t>état mental d</w:t>
      </w:r>
      <w:r w:rsidR="009C7759">
        <w:rPr>
          <w:lang w:val="fr-FR"/>
        </w:rPr>
        <w:t>’</w:t>
      </w:r>
      <w:r>
        <w:rPr>
          <w:lang w:val="fr-FR"/>
        </w:rPr>
        <w:t>un individu, le test Signal permettant d</w:t>
      </w:r>
      <w:r w:rsidR="009C7759">
        <w:rPr>
          <w:lang w:val="fr-FR"/>
        </w:rPr>
        <w:t>’</w:t>
      </w:r>
      <w:r>
        <w:rPr>
          <w:lang w:val="fr-FR"/>
        </w:rPr>
        <w:t xml:space="preserve">évaluer le risque de suicide, le test de </w:t>
      </w:r>
      <w:proofErr w:type="spellStart"/>
      <w:r>
        <w:rPr>
          <w:lang w:val="fr-FR"/>
        </w:rPr>
        <w:t>Landolt</w:t>
      </w:r>
      <w:proofErr w:type="spellEnd"/>
      <w:r>
        <w:rPr>
          <w:lang w:val="fr-FR"/>
        </w:rPr>
        <w:t xml:space="preserve"> permettant d</w:t>
      </w:r>
      <w:r w:rsidR="009C7759">
        <w:rPr>
          <w:lang w:val="fr-FR"/>
        </w:rPr>
        <w:t>’</w:t>
      </w:r>
      <w:r>
        <w:rPr>
          <w:lang w:val="fr-FR"/>
        </w:rPr>
        <w:t>évaluer la capacité intellectuelle et l</w:t>
      </w:r>
      <w:r w:rsidR="009C7759">
        <w:rPr>
          <w:lang w:val="fr-FR"/>
        </w:rPr>
        <w:t>’</w:t>
      </w:r>
      <w:r>
        <w:rPr>
          <w:lang w:val="fr-FR"/>
        </w:rPr>
        <w:t>attention et un ensemble de tests pour enfants permettant d</w:t>
      </w:r>
      <w:r w:rsidR="009C7759">
        <w:rPr>
          <w:lang w:val="fr-FR"/>
        </w:rPr>
        <w:t>’</w:t>
      </w:r>
      <w:r>
        <w:rPr>
          <w:lang w:val="fr-FR"/>
        </w:rPr>
        <w:t xml:space="preserve">évaluer leur développement mental ont permis de diagnostiquer précocement les problèmes et syndromes de santé mentale urgents. La thérapie par le dessin a été introduite en 2018. </w:t>
      </w:r>
    </w:p>
    <w:p w14:paraId="4592FDFD" w14:textId="01EEBCDF" w:rsidR="00560776" w:rsidRPr="00C8158A" w:rsidRDefault="00560776" w:rsidP="002E70C0">
      <w:pPr>
        <w:pStyle w:val="SingleTxtG"/>
        <w:keepNext/>
        <w:keepLines/>
        <w:rPr>
          <w:lang w:val="fr-FR"/>
        </w:rPr>
      </w:pPr>
      <w:r>
        <w:rPr>
          <w:lang w:val="fr-FR"/>
        </w:rPr>
        <w:lastRenderedPageBreak/>
        <w:t>178.</w:t>
      </w:r>
      <w:r>
        <w:rPr>
          <w:lang w:val="fr-FR"/>
        </w:rPr>
        <w:tab/>
        <w:t>Pour améliorer la prestation de services de santé mentale, la participation d</w:t>
      </w:r>
      <w:r w:rsidR="009C7759">
        <w:rPr>
          <w:lang w:val="fr-FR"/>
        </w:rPr>
        <w:t>’</w:t>
      </w:r>
      <w:r>
        <w:rPr>
          <w:lang w:val="fr-FR"/>
        </w:rPr>
        <w:t>autres secteurs a été accrue et un centre d</w:t>
      </w:r>
      <w:r w:rsidR="009C7759">
        <w:rPr>
          <w:lang w:val="fr-FR"/>
        </w:rPr>
        <w:t>’</w:t>
      </w:r>
      <w:r>
        <w:rPr>
          <w:lang w:val="fr-FR"/>
        </w:rPr>
        <w:t>assistance psychologique gratuite et anonyme et une ligne d</w:t>
      </w:r>
      <w:r w:rsidR="009C7759">
        <w:rPr>
          <w:lang w:val="fr-FR"/>
        </w:rPr>
        <w:t>’</w:t>
      </w:r>
      <w:r>
        <w:rPr>
          <w:lang w:val="fr-FR"/>
        </w:rPr>
        <w:t>appel d</w:t>
      </w:r>
      <w:r w:rsidR="009C7759">
        <w:rPr>
          <w:lang w:val="fr-FR"/>
        </w:rPr>
        <w:t>’</w:t>
      </w:r>
      <w:r>
        <w:rPr>
          <w:lang w:val="fr-FR"/>
        </w:rPr>
        <w:t>urgence pour la protection de l</w:t>
      </w:r>
      <w:r w:rsidR="009C7759">
        <w:rPr>
          <w:lang w:val="fr-FR"/>
        </w:rPr>
        <w:t>’</w:t>
      </w:r>
      <w:r>
        <w:rPr>
          <w:lang w:val="fr-FR"/>
        </w:rPr>
        <w:t>enfance (108) dotés de psychiatres ont été mis en place à Oulan-Bator, où des membres d</w:t>
      </w:r>
      <w:r w:rsidR="009C7759">
        <w:rPr>
          <w:lang w:val="fr-FR"/>
        </w:rPr>
        <w:t>’</w:t>
      </w:r>
      <w:r>
        <w:rPr>
          <w:lang w:val="fr-FR"/>
        </w:rPr>
        <w:t>autres professions suivent une formation méthodologique et obtiennent une assistance. À compter de 2018, le programme de lutte contre la drogue du plan Colombo, visant à prévenir et traiter la toxicomanie et à réinsérer les toxicomanes, a été mis en œuvre avec succès en coopération avec le Ministère de la justice et des affaires intérieures, et une ligne d</w:t>
      </w:r>
      <w:r w:rsidR="009C7759">
        <w:rPr>
          <w:lang w:val="fr-FR"/>
        </w:rPr>
        <w:t>’</w:t>
      </w:r>
      <w:r>
        <w:rPr>
          <w:lang w:val="fr-FR"/>
        </w:rPr>
        <w:t>information (1800-2000) a été ouverte 24</w:t>
      </w:r>
      <w:r w:rsidR="00E9185B">
        <w:rPr>
          <w:lang w:val="fr-FR"/>
        </w:rPr>
        <w:t> </w:t>
      </w:r>
      <w:r>
        <w:rPr>
          <w:lang w:val="fr-FR"/>
        </w:rPr>
        <w:t>heures sur</w:t>
      </w:r>
      <w:r w:rsidR="00E9185B">
        <w:rPr>
          <w:lang w:val="fr-FR"/>
        </w:rPr>
        <w:t> </w:t>
      </w:r>
      <w:r>
        <w:rPr>
          <w:lang w:val="fr-FR"/>
        </w:rPr>
        <w:t xml:space="preserve">24. </w:t>
      </w:r>
    </w:p>
    <w:p w14:paraId="3326A735" w14:textId="5DC80856" w:rsidR="00560776" w:rsidRPr="00C8158A" w:rsidRDefault="00560776" w:rsidP="0040732C">
      <w:pPr>
        <w:pStyle w:val="SingleTxtG"/>
        <w:rPr>
          <w:lang w:val="fr-FR"/>
        </w:rPr>
      </w:pPr>
      <w:r>
        <w:rPr>
          <w:lang w:val="fr-FR"/>
        </w:rPr>
        <w:t>179.</w:t>
      </w:r>
      <w:r>
        <w:rPr>
          <w:lang w:val="fr-FR"/>
        </w:rPr>
        <w:tab/>
        <w:t>La page Web http://ncmh.gov.mn/ a été créée pour contribuer à préserver la santé mentale de la population et lui fournir des informations sur la santé. Des leçons interactives portant sur 24 thèmes relatifs aux troubles mentaux les plus courants des enfants et des adultes ont été préparées et sont diffusées auprès des citoyens par tous les moyens d</w:t>
      </w:r>
      <w:r w:rsidR="009C7759">
        <w:rPr>
          <w:lang w:val="fr-FR"/>
        </w:rPr>
        <w:t>’</w:t>
      </w:r>
      <w:r>
        <w:rPr>
          <w:lang w:val="fr-FR"/>
        </w:rPr>
        <w:t>information.</w:t>
      </w:r>
    </w:p>
    <w:p w14:paraId="6CE95CFD" w14:textId="5D7A1944" w:rsidR="00560776" w:rsidRPr="00C8158A" w:rsidRDefault="00560776" w:rsidP="00891BD0">
      <w:pPr>
        <w:pStyle w:val="H1G"/>
        <w:rPr>
          <w:lang w:val="fr-FR"/>
        </w:rPr>
      </w:pPr>
      <w:r>
        <w:rPr>
          <w:lang w:val="fr-FR"/>
        </w:rPr>
        <w:tab/>
      </w:r>
      <w:r>
        <w:rPr>
          <w:lang w:val="fr-FR"/>
        </w:rPr>
        <w:tab/>
        <w:t>Paragraphe 18 de la liste de points</w:t>
      </w:r>
    </w:p>
    <w:p w14:paraId="4FA153B7" w14:textId="6467A0E7" w:rsidR="00560776" w:rsidRPr="00C8158A" w:rsidRDefault="00560776" w:rsidP="0040732C">
      <w:pPr>
        <w:pStyle w:val="SingleTxtG"/>
        <w:rPr>
          <w:lang w:val="fr-FR"/>
        </w:rPr>
      </w:pPr>
      <w:r>
        <w:rPr>
          <w:lang w:val="fr-FR"/>
        </w:rPr>
        <w:t>180.</w:t>
      </w:r>
      <w:r>
        <w:rPr>
          <w:lang w:val="fr-FR"/>
        </w:rPr>
        <w:tab/>
        <w:t>L</w:t>
      </w:r>
      <w:r w:rsidR="009C7759">
        <w:rPr>
          <w:lang w:val="fr-FR"/>
        </w:rPr>
        <w:t>’</w:t>
      </w:r>
      <w:r>
        <w:rPr>
          <w:lang w:val="fr-FR"/>
        </w:rPr>
        <w:t>Agence mongole de normalisation et de métrologie a publié la norme MNS5548:88 sur les services complets d</w:t>
      </w:r>
      <w:r w:rsidR="009C7759">
        <w:rPr>
          <w:lang w:val="fr-FR"/>
        </w:rPr>
        <w:t>’</w:t>
      </w:r>
      <w:r>
        <w:rPr>
          <w:lang w:val="fr-FR"/>
        </w:rPr>
        <w:t>avortement, et le Ministère de la santé a adopté et applique la procédure de réglementation de l</w:t>
      </w:r>
      <w:r w:rsidR="009C7759">
        <w:rPr>
          <w:lang w:val="fr-FR"/>
        </w:rPr>
        <w:t>’</w:t>
      </w:r>
      <w:r>
        <w:rPr>
          <w:lang w:val="fr-FR"/>
        </w:rPr>
        <w:t>avortement et les directives relatives à la fourniture de soins et de services médicaux propres aux filles et à la fourniture de soins et de services médicaux aux adolescentes enceintes. D</w:t>
      </w:r>
      <w:r w:rsidR="009C7759">
        <w:rPr>
          <w:lang w:val="fr-FR"/>
        </w:rPr>
        <w:t>’</w:t>
      </w:r>
      <w:r>
        <w:rPr>
          <w:lang w:val="fr-FR"/>
        </w:rPr>
        <w:t>après ces directives, compte tenu de l</w:t>
      </w:r>
      <w:r w:rsidR="009C7759">
        <w:rPr>
          <w:lang w:val="fr-FR"/>
        </w:rPr>
        <w:t>’</w:t>
      </w:r>
      <w:r>
        <w:rPr>
          <w:lang w:val="fr-FR"/>
        </w:rPr>
        <w:t>âge, de la croissance, des particularités du développement et du problème considéré, l</w:t>
      </w:r>
      <w:r w:rsidR="009C7759">
        <w:rPr>
          <w:lang w:val="fr-FR"/>
        </w:rPr>
        <w:t>’</w:t>
      </w:r>
      <w:r>
        <w:rPr>
          <w:lang w:val="fr-FR"/>
        </w:rPr>
        <w:t>établissement des antécédents médicaux, l</w:t>
      </w:r>
      <w:r w:rsidR="009C7759">
        <w:rPr>
          <w:lang w:val="fr-FR"/>
        </w:rPr>
        <w:t>’</w:t>
      </w:r>
      <w:r>
        <w:rPr>
          <w:lang w:val="fr-FR"/>
        </w:rPr>
        <w:t>examen des organes reproducteurs, les tests et le diagnostic ne peuvent être effectués qu</w:t>
      </w:r>
      <w:r w:rsidR="009C7759">
        <w:rPr>
          <w:lang w:val="fr-FR"/>
        </w:rPr>
        <w:t>’</w:t>
      </w:r>
      <w:r>
        <w:rPr>
          <w:lang w:val="fr-FR"/>
        </w:rPr>
        <w:t>avec le consentement des parents, des tuteurs ou des accompagnateurs dans le cas d</w:t>
      </w:r>
      <w:r w:rsidR="009C7759">
        <w:rPr>
          <w:lang w:val="fr-FR"/>
        </w:rPr>
        <w:t>’</w:t>
      </w:r>
      <w:r>
        <w:rPr>
          <w:lang w:val="fr-FR"/>
        </w:rPr>
        <w:t>une petite fille et avec le libre consentement de la patiente elle-même dans le cas d</w:t>
      </w:r>
      <w:r w:rsidR="009C7759">
        <w:rPr>
          <w:lang w:val="fr-FR"/>
        </w:rPr>
        <w:t>’</w:t>
      </w:r>
      <w:r>
        <w:rPr>
          <w:lang w:val="fr-FR"/>
        </w:rPr>
        <w:t xml:space="preserve">une adolescente. </w:t>
      </w:r>
    </w:p>
    <w:p w14:paraId="7B156C6B" w14:textId="3D23A6D6" w:rsidR="00560776" w:rsidRPr="00C8158A" w:rsidRDefault="00560776" w:rsidP="0040732C">
      <w:pPr>
        <w:pStyle w:val="SingleTxtG"/>
        <w:rPr>
          <w:lang w:val="fr-FR"/>
        </w:rPr>
      </w:pPr>
      <w:r>
        <w:rPr>
          <w:lang w:val="fr-FR"/>
        </w:rPr>
        <w:t>181.</w:t>
      </w:r>
      <w:r>
        <w:rPr>
          <w:lang w:val="fr-FR"/>
        </w:rPr>
        <w:tab/>
        <w:t>En vertu de la mission n</w:t>
      </w:r>
      <w:r w:rsidR="00E9185B" w:rsidRPr="00E9185B">
        <w:rPr>
          <w:vertAlign w:val="superscript"/>
          <w:lang w:val="fr-FR"/>
        </w:rPr>
        <w:t>o</w:t>
      </w:r>
      <w:r w:rsidR="00E9185B">
        <w:rPr>
          <w:lang w:val="fr-FR"/>
        </w:rPr>
        <w:t> </w:t>
      </w:r>
      <w:r>
        <w:rPr>
          <w:lang w:val="fr-FR"/>
        </w:rPr>
        <w:t>12 de 2019 relative à la fourniture de soins de santé et à la prévention de la violence, le Ministre de la santé a mis en place une équipe de médecins chargée de déterminer les causes et les conditions conduisant à la grossesse, à l</w:t>
      </w:r>
      <w:r w:rsidR="009C7759">
        <w:rPr>
          <w:lang w:val="fr-FR"/>
        </w:rPr>
        <w:t>’</w:t>
      </w:r>
      <w:r>
        <w:rPr>
          <w:lang w:val="fr-FR"/>
        </w:rPr>
        <w:t>avortement, à l</w:t>
      </w:r>
      <w:r w:rsidR="009C7759">
        <w:rPr>
          <w:lang w:val="fr-FR"/>
        </w:rPr>
        <w:t>’</w:t>
      </w:r>
      <w:r>
        <w:rPr>
          <w:lang w:val="fr-FR"/>
        </w:rPr>
        <w:t>accouchement et au mariage précoce des jeunes filles mineures, et à améliorer le dépistage précoce, le traitement, l</w:t>
      </w:r>
      <w:r w:rsidR="009C7759">
        <w:rPr>
          <w:lang w:val="fr-FR"/>
        </w:rPr>
        <w:t>’</w:t>
      </w:r>
      <w:r>
        <w:rPr>
          <w:lang w:val="fr-FR"/>
        </w:rPr>
        <w:t>enregistrement et la surveillance des infections sexuellement transmissibles et de la tuberculose.</w:t>
      </w:r>
    </w:p>
    <w:p w14:paraId="7FED3602" w14:textId="03CD0186" w:rsidR="00560776" w:rsidRPr="00C8158A" w:rsidRDefault="00560776" w:rsidP="0040732C">
      <w:pPr>
        <w:pStyle w:val="SingleTxtG"/>
        <w:rPr>
          <w:lang w:val="fr-FR"/>
        </w:rPr>
      </w:pPr>
      <w:r>
        <w:rPr>
          <w:lang w:val="fr-FR"/>
        </w:rPr>
        <w:t>182.</w:t>
      </w:r>
      <w:r>
        <w:rPr>
          <w:lang w:val="fr-FR"/>
        </w:rPr>
        <w:tab/>
        <w:t>Certains indicateurs de suivi de la grossesse des femmes handicapées ont été ajoutés aux statistiques sanitaires, ce qui contribue ainsi à assurer l</w:t>
      </w:r>
      <w:r w:rsidR="009C7759">
        <w:rPr>
          <w:lang w:val="fr-FR"/>
        </w:rPr>
        <w:t>’</w:t>
      </w:r>
      <w:r>
        <w:rPr>
          <w:lang w:val="fr-FR"/>
        </w:rPr>
        <w:t>exhaustivité du système de données médicales et permet aux responsables politiques et aux décideurs d</w:t>
      </w:r>
      <w:r w:rsidR="009C7759">
        <w:rPr>
          <w:lang w:val="fr-FR"/>
        </w:rPr>
        <w:t>’</w:t>
      </w:r>
      <w:r>
        <w:rPr>
          <w:lang w:val="fr-FR"/>
        </w:rPr>
        <w:t>avoir accès à des données factuelles.</w:t>
      </w:r>
    </w:p>
    <w:p w14:paraId="4A3DF5B8" w14:textId="67E586A2" w:rsidR="00560776" w:rsidRPr="00C8158A" w:rsidRDefault="00560776" w:rsidP="0040732C">
      <w:pPr>
        <w:pStyle w:val="SingleTxtG"/>
        <w:rPr>
          <w:lang w:val="fr-FR"/>
        </w:rPr>
      </w:pPr>
      <w:r>
        <w:rPr>
          <w:lang w:val="fr-FR"/>
        </w:rPr>
        <w:t>183.</w:t>
      </w:r>
      <w:r>
        <w:rPr>
          <w:lang w:val="fr-FR"/>
        </w:rPr>
        <w:tab/>
        <w:t>La procédure de confidentialité et d</w:t>
      </w:r>
      <w:r w:rsidR="009C7759">
        <w:rPr>
          <w:lang w:val="fr-FR"/>
        </w:rPr>
        <w:t>’</w:t>
      </w:r>
      <w:r>
        <w:rPr>
          <w:lang w:val="fr-FR"/>
        </w:rPr>
        <w:t>information pour les enfants à risque dans le domaine des soins de santé a été approuvée en 2018 et le code de déontologie des membres du corps médical en 2019.</w:t>
      </w:r>
    </w:p>
    <w:p w14:paraId="46086B96" w14:textId="59C9D8EA" w:rsidR="00560776" w:rsidRPr="00C8158A" w:rsidRDefault="00560776" w:rsidP="0040732C">
      <w:pPr>
        <w:pStyle w:val="SingleTxtG"/>
        <w:rPr>
          <w:lang w:val="fr-FR"/>
        </w:rPr>
      </w:pPr>
      <w:r>
        <w:rPr>
          <w:lang w:val="fr-FR"/>
        </w:rPr>
        <w:t>184.</w:t>
      </w:r>
      <w:r>
        <w:rPr>
          <w:lang w:val="fr-FR"/>
        </w:rPr>
        <w:tab/>
        <w:t>En 2019, 21</w:t>
      </w:r>
      <w:r w:rsidR="00505F20">
        <w:rPr>
          <w:lang w:val="fr-FR"/>
        </w:rPr>
        <w:t> </w:t>
      </w:r>
      <w:r>
        <w:rPr>
          <w:lang w:val="fr-FR"/>
        </w:rPr>
        <w:t>199</w:t>
      </w:r>
      <w:r w:rsidR="00505F20">
        <w:rPr>
          <w:lang w:val="fr-FR"/>
        </w:rPr>
        <w:t> </w:t>
      </w:r>
      <w:r>
        <w:rPr>
          <w:lang w:val="fr-FR"/>
        </w:rPr>
        <w:t>adolescents se sont rendus dans des centres médicaux pour adolescents de neuf districts d</w:t>
      </w:r>
      <w:r w:rsidR="009C7759">
        <w:rPr>
          <w:lang w:val="fr-FR"/>
        </w:rPr>
        <w:t>’</w:t>
      </w:r>
      <w:r>
        <w:rPr>
          <w:lang w:val="fr-FR"/>
        </w:rPr>
        <w:t>Oulan-Bator ainsi que dans des dispensaires pour adolescents.</w:t>
      </w:r>
    </w:p>
    <w:p w14:paraId="4C1427DE" w14:textId="480FFFD8" w:rsidR="00560776" w:rsidRPr="00C8158A" w:rsidRDefault="00560776" w:rsidP="0040732C">
      <w:pPr>
        <w:pStyle w:val="SingleTxtG"/>
        <w:rPr>
          <w:lang w:val="fr-FR"/>
        </w:rPr>
      </w:pPr>
      <w:r>
        <w:rPr>
          <w:lang w:val="fr-FR"/>
        </w:rPr>
        <w:t>185.</w:t>
      </w:r>
      <w:r>
        <w:rPr>
          <w:lang w:val="fr-FR"/>
        </w:rPr>
        <w:tab/>
        <w:t>En 2019, 159 pairs formateurs se sont préparés à assumer leurs fonctions dans le cadre de huit cycles de formation. Des formations sur divers sujets tels que la santé de la procréation, la prévention des infections sexuellement transmissibles, y compris le VIH, les méfaits de la consommation d</w:t>
      </w:r>
      <w:r w:rsidR="009C7759">
        <w:rPr>
          <w:lang w:val="fr-FR"/>
        </w:rPr>
        <w:t>’</w:t>
      </w:r>
      <w:r>
        <w:rPr>
          <w:lang w:val="fr-FR"/>
        </w:rPr>
        <w:t>alcool et de tabac et la prévention des accidents ont également été dispensées auprès de 11</w:t>
      </w:r>
      <w:r w:rsidR="00505F20">
        <w:rPr>
          <w:lang w:val="fr-FR"/>
        </w:rPr>
        <w:t> </w:t>
      </w:r>
      <w:r>
        <w:rPr>
          <w:lang w:val="fr-FR"/>
        </w:rPr>
        <w:t>515</w:t>
      </w:r>
      <w:r w:rsidR="00505F20">
        <w:rPr>
          <w:lang w:val="fr-FR"/>
        </w:rPr>
        <w:t> </w:t>
      </w:r>
      <w:r>
        <w:rPr>
          <w:lang w:val="fr-FR"/>
        </w:rPr>
        <w:t>élèves de 76</w:t>
      </w:r>
      <w:r w:rsidR="00505F20">
        <w:rPr>
          <w:lang w:val="fr-FR"/>
        </w:rPr>
        <w:t> </w:t>
      </w:r>
      <w:r>
        <w:rPr>
          <w:lang w:val="fr-FR"/>
        </w:rPr>
        <w:t>établissements d</w:t>
      </w:r>
      <w:r w:rsidR="009C7759">
        <w:rPr>
          <w:lang w:val="fr-FR"/>
        </w:rPr>
        <w:t>’</w:t>
      </w:r>
      <w:r>
        <w:rPr>
          <w:lang w:val="fr-FR"/>
        </w:rPr>
        <w:t>enseignement général. Des</w:t>
      </w:r>
      <w:r w:rsidR="00505F20">
        <w:rPr>
          <w:lang w:val="fr-FR"/>
        </w:rPr>
        <w:t> </w:t>
      </w:r>
      <w:r>
        <w:rPr>
          <w:lang w:val="fr-FR"/>
        </w:rPr>
        <w:t>formations sur la santé et l</w:t>
      </w:r>
      <w:r w:rsidR="009C7759">
        <w:rPr>
          <w:lang w:val="fr-FR"/>
        </w:rPr>
        <w:t>’</w:t>
      </w:r>
      <w:r>
        <w:rPr>
          <w:lang w:val="fr-FR"/>
        </w:rPr>
        <w:t>éducation génésique des adolescents ont été dispensées à 6</w:t>
      </w:r>
      <w:r w:rsidR="00505F20">
        <w:rPr>
          <w:lang w:val="fr-FR"/>
        </w:rPr>
        <w:t> </w:t>
      </w:r>
      <w:r>
        <w:rPr>
          <w:lang w:val="fr-FR"/>
        </w:rPr>
        <w:t>739</w:t>
      </w:r>
      <w:r w:rsidR="00505F20">
        <w:rPr>
          <w:lang w:val="fr-FR"/>
        </w:rPr>
        <w:t> </w:t>
      </w:r>
      <w:r>
        <w:rPr>
          <w:lang w:val="fr-FR"/>
        </w:rPr>
        <w:t xml:space="preserve">parents et tuteurs et à 621 médecins scolaires. </w:t>
      </w:r>
    </w:p>
    <w:p w14:paraId="3C4A4957" w14:textId="10A67D8C" w:rsidR="00560776" w:rsidRPr="00C8158A" w:rsidRDefault="00560776" w:rsidP="00891BD0">
      <w:pPr>
        <w:pStyle w:val="H1G"/>
        <w:rPr>
          <w:lang w:val="fr-FR"/>
        </w:rPr>
      </w:pPr>
      <w:r>
        <w:rPr>
          <w:lang w:val="fr-FR"/>
        </w:rPr>
        <w:tab/>
      </w:r>
      <w:r>
        <w:rPr>
          <w:lang w:val="fr-FR"/>
        </w:rPr>
        <w:tab/>
      </w:r>
      <w:r w:rsidRPr="00A7764B">
        <w:rPr>
          <w:lang w:val="fr-FR"/>
        </w:rPr>
        <w:t xml:space="preserve">Paragraphe </w:t>
      </w:r>
      <w:r w:rsidR="005456BD" w:rsidRPr="00A7764B">
        <w:rPr>
          <w:lang w:val="fr-FR"/>
        </w:rPr>
        <w:t>1</w:t>
      </w:r>
      <w:r w:rsidRPr="00A7764B">
        <w:rPr>
          <w:lang w:val="fr-FR"/>
        </w:rPr>
        <w:t xml:space="preserve">9 </w:t>
      </w:r>
      <w:r w:rsidR="005456BD" w:rsidRPr="00A7764B">
        <w:rPr>
          <w:lang w:val="fr-FR"/>
        </w:rPr>
        <w:t>a</w:t>
      </w:r>
      <w:r w:rsidRPr="00A7764B">
        <w:rPr>
          <w:lang w:val="fr-FR"/>
        </w:rPr>
        <w:t>) de</w:t>
      </w:r>
      <w:r>
        <w:rPr>
          <w:lang w:val="fr-FR"/>
        </w:rPr>
        <w:t xml:space="preserve"> la liste de points</w:t>
      </w:r>
    </w:p>
    <w:p w14:paraId="08EC5258" w14:textId="7A64ACB6" w:rsidR="00560776" w:rsidRPr="00C8158A" w:rsidRDefault="00560776" w:rsidP="0040732C">
      <w:pPr>
        <w:pStyle w:val="SingleTxtG"/>
        <w:rPr>
          <w:lang w:val="fr-FR"/>
        </w:rPr>
      </w:pPr>
      <w:r>
        <w:rPr>
          <w:lang w:val="fr-FR"/>
        </w:rPr>
        <w:t>186.</w:t>
      </w:r>
      <w:r>
        <w:rPr>
          <w:lang w:val="fr-FR"/>
        </w:rPr>
        <w:tab/>
        <w:t>La loi sur l</w:t>
      </w:r>
      <w:r w:rsidR="009C7759">
        <w:rPr>
          <w:lang w:val="fr-FR"/>
        </w:rPr>
        <w:t>’</w:t>
      </w:r>
      <w:r>
        <w:rPr>
          <w:lang w:val="fr-FR"/>
        </w:rPr>
        <w:t>air, la loi sur les taxes liées à la pollution de l</w:t>
      </w:r>
      <w:r w:rsidR="009C7759">
        <w:rPr>
          <w:lang w:val="fr-FR"/>
        </w:rPr>
        <w:t>’</w:t>
      </w:r>
      <w:r>
        <w:rPr>
          <w:lang w:val="fr-FR"/>
        </w:rPr>
        <w:t xml:space="preserve">air et les 30 règles, procédures, normes et méthodologies qui les accompagnent, ainsi que 40 autres normes, ont été approuvées ou révisées ; leur application est garantie et contrôlée. </w:t>
      </w:r>
    </w:p>
    <w:p w14:paraId="6D1FB53C" w14:textId="5CAE049B" w:rsidR="00560776" w:rsidRPr="00C8158A" w:rsidRDefault="00560776" w:rsidP="0040732C">
      <w:pPr>
        <w:pStyle w:val="SingleTxtG"/>
        <w:rPr>
          <w:lang w:val="fr-FR"/>
        </w:rPr>
      </w:pPr>
      <w:r>
        <w:rPr>
          <w:lang w:val="fr-FR"/>
        </w:rPr>
        <w:lastRenderedPageBreak/>
        <w:t>187.</w:t>
      </w:r>
      <w:r>
        <w:rPr>
          <w:lang w:val="fr-FR"/>
        </w:rPr>
        <w:tab/>
        <w:t>Le Gouvernement a approuvé le programme national de réduction de la pollution de l</w:t>
      </w:r>
      <w:r w:rsidR="009C7759">
        <w:rPr>
          <w:lang w:val="fr-FR"/>
        </w:rPr>
        <w:t>’</w:t>
      </w:r>
      <w:r>
        <w:rPr>
          <w:lang w:val="fr-FR"/>
        </w:rPr>
        <w:t>air et de la pollution du milieu naturel en 2017. Ce programme, en cours de réalisation, vise à réduire la pollution de l</w:t>
      </w:r>
      <w:r w:rsidR="009C7759">
        <w:rPr>
          <w:lang w:val="fr-FR"/>
        </w:rPr>
        <w:t>’</w:t>
      </w:r>
      <w:r>
        <w:rPr>
          <w:lang w:val="fr-FR"/>
        </w:rPr>
        <w:t>air et la pollution du milieu naturel de 80</w:t>
      </w:r>
      <w:r w:rsidR="00F677FC">
        <w:rPr>
          <w:lang w:val="fr-FR"/>
        </w:rPr>
        <w:t> </w:t>
      </w:r>
      <w:r>
        <w:rPr>
          <w:lang w:val="fr-FR"/>
        </w:rPr>
        <w:t>% d</w:t>
      </w:r>
      <w:r w:rsidR="009C7759">
        <w:rPr>
          <w:lang w:val="fr-FR"/>
        </w:rPr>
        <w:t>’</w:t>
      </w:r>
      <w:r>
        <w:rPr>
          <w:lang w:val="fr-FR"/>
        </w:rPr>
        <w:t>ici à 2025 en mettant en place un système favorisant la participation du public, le développement de la recherche scientifique, la réduction de la pollution provenant des émissions des véhicules, l</w:t>
      </w:r>
      <w:r w:rsidR="009C7759">
        <w:rPr>
          <w:lang w:val="fr-FR"/>
        </w:rPr>
        <w:t>’</w:t>
      </w:r>
      <w:r>
        <w:rPr>
          <w:lang w:val="fr-FR"/>
        </w:rPr>
        <w:t>aménagement urbain, le développement des infrastructures et l</w:t>
      </w:r>
      <w:r w:rsidR="009C7759">
        <w:rPr>
          <w:lang w:val="fr-FR"/>
        </w:rPr>
        <w:t>’</w:t>
      </w:r>
      <w:r>
        <w:rPr>
          <w:lang w:val="fr-FR"/>
        </w:rPr>
        <w:t>adoption de technologies respectueuses de l</w:t>
      </w:r>
      <w:r w:rsidR="009C7759">
        <w:rPr>
          <w:lang w:val="fr-FR"/>
        </w:rPr>
        <w:t>’</w:t>
      </w:r>
      <w:r>
        <w:rPr>
          <w:lang w:val="fr-FR"/>
        </w:rPr>
        <w:t xml:space="preserve">environnement. </w:t>
      </w:r>
    </w:p>
    <w:p w14:paraId="7478B2A2" w14:textId="6D473A86" w:rsidR="00560776" w:rsidRPr="00C8158A" w:rsidRDefault="00560776" w:rsidP="0040732C">
      <w:pPr>
        <w:pStyle w:val="SingleTxtG"/>
        <w:rPr>
          <w:lang w:val="fr-FR"/>
        </w:rPr>
      </w:pPr>
      <w:r>
        <w:rPr>
          <w:lang w:val="fr-FR"/>
        </w:rPr>
        <w:t>188.</w:t>
      </w:r>
      <w:r>
        <w:rPr>
          <w:lang w:val="fr-FR"/>
        </w:rPr>
        <w:tab/>
        <w:t>À Oulan-Bator, les principales sources de pollution de l</w:t>
      </w:r>
      <w:r w:rsidR="009C7759">
        <w:rPr>
          <w:lang w:val="fr-FR"/>
        </w:rPr>
        <w:t>’</w:t>
      </w:r>
      <w:r>
        <w:rPr>
          <w:lang w:val="fr-FR"/>
        </w:rPr>
        <w:t>air sont les suivantes</w:t>
      </w:r>
      <w:r w:rsidR="008F6EE8">
        <w:rPr>
          <w:lang w:val="fr-FR"/>
        </w:rPr>
        <w:t> </w:t>
      </w:r>
      <w:r>
        <w:rPr>
          <w:lang w:val="fr-FR"/>
        </w:rPr>
        <w:t>: la consommation de combustible de 216</w:t>
      </w:r>
      <w:r w:rsidR="00F677FC">
        <w:rPr>
          <w:lang w:val="fr-FR"/>
        </w:rPr>
        <w:t> </w:t>
      </w:r>
      <w:r>
        <w:rPr>
          <w:lang w:val="fr-FR"/>
        </w:rPr>
        <w:t>000</w:t>
      </w:r>
      <w:r w:rsidR="00F677FC">
        <w:rPr>
          <w:lang w:val="fr-FR"/>
        </w:rPr>
        <w:t> </w:t>
      </w:r>
      <w:r>
        <w:rPr>
          <w:lang w:val="fr-FR"/>
        </w:rPr>
        <w:t xml:space="preserve">ménages des quartiers à forte concentration de </w:t>
      </w:r>
      <w:proofErr w:type="spellStart"/>
      <w:r w:rsidRPr="00E23392">
        <w:rPr>
          <w:i/>
          <w:lang w:val="fr-FR"/>
        </w:rPr>
        <w:t>gers</w:t>
      </w:r>
      <w:proofErr w:type="spellEnd"/>
      <w:r>
        <w:rPr>
          <w:lang w:val="fr-FR"/>
        </w:rPr>
        <w:t xml:space="preserve"> de la ville, les émissions de plus de 400</w:t>
      </w:r>
      <w:r w:rsidR="00F677FC">
        <w:rPr>
          <w:lang w:val="fr-FR"/>
        </w:rPr>
        <w:t> </w:t>
      </w:r>
      <w:r>
        <w:rPr>
          <w:lang w:val="fr-FR"/>
        </w:rPr>
        <w:t>000</w:t>
      </w:r>
      <w:r w:rsidR="00F677FC">
        <w:rPr>
          <w:lang w:val="fr-FR"/>
        </w:rPr>
        <w:t> </w:t>
      </w:r>
      <w:r>
        <w:rPr>
          <w:lang w:val="fr-FR"/>
        </w:rPr>
        <w:t xml:space="preserve">véhicules qui circulent quotidiennement dans les rues de la ville et les émanations des quatre grandes centrales thermiques de la ville. </w:t>
      </w:r>
    </w:p>
    <w:p w14:paraId="5569EA29" w14:textId="5ADB7F2A" w:rsidR="00560776" w:rsidRPr="00C8158A" w:rsidRDefault="00560776" w:rsidP="0040732C">
      <w:pPr>
        <w:pStyle w:val="SingleTxtG"/>
        <w:rPr>
          <w:lang w:val="fr-FR"/>
        </w:rPr>
      </w:pPr>
      <w:r>
        <w:rPr>
          <w:lang w:val="fr-FR"/>
        </w:rPr>
        <w:t>189.</w:t>
      </w:r>
      <w:r>
        <w:rPr>
          <w:lang w:val="fr-FR"/>
        </w:rPr>
        <w:tab/>
        <w:t>Le Gouvernement a adopté en 2018 une résolution interdisant l</w:t>
      </w:r>
      <w:r w:rsidR="009C7759">
        <w:rPr>
          <w:lang w:val="fr-FR"/>
        </w:rPr>
        <w:t>’</w:t>
      </w:r>
      <w:r>
        <w:rPr>
          <w:lang w:val="fr-FR"/>
        </w:rPr>
        <w:t xml:space="preserve">utilisation du charbon brut, et des combustibles comprimés de qualité améliorée sont distribués aux habitants des quartiers de </w:t>
      </w:r>
      <w:proofErr w:type="spellStart"/>
      <w:r w:rsidRPr="00E23392">
        <w:rPr>
          <w:i/>
          <w:lang w:val="fr-FR"/>
        </w:rPr>
        <w:t>gers</w:t>
      </w:r>
      <w:proofErr w:type="spellEnd"/>
      <w:r>
        <w:rPr>
          <w:lang w:val="fr-FR"/>
        </w:rPr>
        <w:t xml:space="preserve"> d</w:t>
      </w:r>
      <w:r w:rsidR="009C7759">
        <w:rPr>
          <w:lang w:val="fr-FR"/>
        </w:rPr>
        <w:t>’</w:t>
      </w:r>
      <w:r>
        <w:rPr>
          <w:lang w:val="fr-FR"/>
        </w:rPr>
        <w:t>Oulan-Bator depuis le 15 mai 2019. Les règles relatives à la zone d</w:t>
      </w:r>
      <w:r w:rsidR="009C7759">
        <w:rPr>
          <w:lang w:val="fr-FR"/>
        </w:rPr>
        <w:t>’</w:t>
      </w:r>
      <w:r>
        <w:rPr>
          <w:lang w:val="fr-FR"/>
        </w:rPr>
        <w:t>amélioration de la qualité de l</w:t>
      </w:r>
      <w:r w:rsidR="009C7759">
        <w:rPr>
          <w:lang w:val="fr-FR"/>
        </w:rPr>
        <w:t>’</w:t>
      </w:r>
      <w:r>
        <w:rPr>
          <w:lang w:val="fr-FR"/>
        </w:rPr>
        <w:t>air d</w:t>
      </w:r>
      <w:r w:rsidR="009C7759">
        <w:rPr>
          <w:lang w:val="fr-FR"/>
        </w:rPr>
        <w:t>’</w:t>
      </w:r>
      <w:r>
        <w:rPr>
          <w:lang w:val="fr-FR"/>
        </w:rPr>
        <w:t xml:space="preserve">Oulan-Bator et à des thèmes connexes ont été révisées de manière à définir exactement les droits et les responsabilités des citoyens, des entreprises et des organismes publics en ce qui concerne le transport, le stockage et la vente de combustibles améliorés. </w:t>
      </w:r>
    </w:p>
    <w:p w14:paraId="5B4903BB" w14:textId="3321700D" w:rsidR="00560776" w:rsidRPr="00C8158A" w:rsidRDefault="00560776" w:rsidP="0040732C">
      <w:pPr>
        <w:pStyle w:val="SingleTxtG"/>
        <w:rPr>
          <w:lang w:val="fr-FR"/>
        </w:rPr>
      </w:pPr>
      <w:r>
        <w:rPr>
          <w:lang w:val="fr-FR"/>
        </w:rPr>
        <w:t>190.</w:t>
      </w:r>
      <w:r>
        <w:rPr>
          <w:lang w:val="fr-FR"/>
        </w:rPr>
        <w:tab/>
        <w:t>Plus de 400 distributeurs de combustibles ont été recrutés afin de créer un système de distribution de combustibles améliorés, d</w:t>
      </w:r>
      <w:r w:rsidR="009C7759">
        <w:rPr>
          <w:lang w:val="fr-FR"/>
        </w:rPr>
        <w:t>’</w:t>
      </w:r>
      <w:r>
        <w:rPr>
          <w:lang w:val="fr-FR"/>
        </w:rPr>
        <w:t>assurer une livraison rapide et accessible de combustibles et d</w:t>
      </w:r>
      <w:r w:rsidR="009C7759">
        <w:rPr>
          <w:lang w:val="fr-FR"/>
        </w:rPr>
        <w:t>’</w:t>
      </w:r>
      <w:r>
        <w:rPr>
          <w:lang w:val="fr-FR"/>
        </w:rPr>
        <w:t>empêcher les hausses de prix. Ils perçoivent 15</w:t>
      </w:r>
      <w:r w:rsidR="00F677FC">
        <w:rPr>
          <w:lang w:val="fr-FR"/>
        </w:rPr>
        <w:t> </w:t>
      </w:r>
      <w:r>
        <w:rPr>
          <w:lang w:val="fr-FR"/>
        </w:rPr>
        <w:t>000</w:t>
      </w:r>
      <w:r w:rsidR="00F677FC">
        <w:rPr>
          <w:lang w:val="fr-FR"/>
        </w:rPr>
        <w:t> </w:t>
      </w:r>
      <w:proofErr w:type="spellStart"/>
      <w:r>
        <w:rPr>
          <w:lang w:val="fr-FR"/>
        </w:rPr>
        <w:t>togrogs</w:t>
      </w:r>
      <w:proofErr w:type="spellEnd"/>
      <w:r>
        <w:rPr>
          <w:lang w:val="fr-FR"/>
        </w:rPr>
        <w:t>, au titre des frais de promotion, sur chaque tonne de combustible vendue.</w:t>
      </w:r>
    </w:p>
    <w:p w14:paraId="1B20F8CC" w14:textId="170AC05E" w:rsidR="00560776" w:rsidRPr="00C8158A" w:rsidRDefault="00560776" w:rsidP="0040732C">
      <w:pPr>
        <w:pStyle w:val="SingleTxtG"/>
        <w:rPr>
          <w:lang w:val="fr-FR"/>
        </w:rPr>
      </w:pPr>
      <w:r>
        <w:rPr>
          <w:lang w:val="fr-FR"/>
        </w:rPr>
        <w:t>191.</w:t>
      </w:r>
      <w:r>
        <w:rPr>
          <w:lang w:val="fr-FR"/>
        </w:rPr>
        <w:tab/>
        <w:t>Outre l</w:t>
      </w:r>
      <w:r w:rsidR="009C7759">
        <w:rPr>
          <w:lang w:val="fr-FR"/>
        </w:rPr>
        <w:t>’</w:t>
      </w:r>
      <w:r>
        <w:rPr>
          <w:lang w:val="fr-FR"/>
        </w:rPr>
        <w:t>interdiction d</w:t>
      </w:r>
      <w:r w:rsidR="009C7759">
        <w:rPr>
          <w:lang w:val="fr-FR"/>
        </w:rPr>
        <w:t>’</w:t>
      </w:r>
      <w:r>
        <w:rPr>
          <w:lang w:val="fr-FR"/>
        </w:rPr>
        <w:t>utiliser du charbon brut qui vise à améliorer la qualité de l</w:t>
      </w:r>
      <w:r w:rsidR="009C7759">
        <w:rPr>
          <w:lang w:val="fr-FR"/>
        </w:rPr>
        <w:t>’</w:t>
      </w:r>
      <w:r>
        <w:rPr>
          <w:lang w:val="fr-FR"/>
        </w:rPr>
        <w:t xml:space="preserve">air, les ménages des quartiers à forte concentration de </w:t>
      </w:r>
      <w:proofErr w:type="spellStart"/>
      <w:r w:rsidRPr="00E23392">
        <w:rPr>
          <w:i/>
          <w:lang w:val="fr-FR"/>
        </w:rPr>
        <w:t>gers</w:t>
      </w:r>
      <w:proofErr w:type="spellEnd"/>
      <w:r>
        <w:rPr>
          <w:lang w:val="fr-FR"/>
        </w:rPr>
        <w:t xml:space="preserve"> bénéficient désormais de tarifs d</w:t>
      </w:r>
      <w:r w:rsidR="009C7759">
        <w:rPr>
          <w:lang w:val="fr-FR"/>
        </w:rPr>
        <w:t>’</w:t>
      </w:r>
      <w:r>
        <w:rPr>
          <w:lang w:val="fr-FR"/>
        </w:rPr>
        <w:t>électricité réduits le soir et la nuit. Depuis 2017, 327</w:t>
      </w:r>
      <w:r w:rsidR="00F677FC">
        <w:rPr>
          <w:lang w:val="fr-FR"/>
        </w:rPr>
        <w:t> </w:t>
      </w:r>
      <w:r>
        <w:rPr>
          <w:lang w:val="fr-FR"/>
        </w:rPr>
        <w:t>500</w:t>
      </w:r>
      <w:r w:rsidR="00F677FC">
        <w:rPr>
          <w:lang w:val="fr-FR"/>
        </w:rPr>
        <w:t> </w:t>
      </w:r>
      <w:r>
        <w:rPr>
          <w:lang w:val="fr-FR"/>
        </w:rPr>
        <w:t>ménages (certaines données se répètent) bénéficient de ces tarifs réduits, ce qui représente une réduction d</w:t>
      </w:r>
      <w:r w:rsidR="009C7759">
        <w:rPr>
          <w:lang w:val="fr-FR"/>
        </w:rPr>
        <w:t>’</w:t>
      </w:r>
      <w:r>
        <w:rPr>
          <w:lang w:val="fr-FR"/>
        </w:rPr>
        <w:t>un montant total de 35,7</w:t>
      </w:r>
      <w:r w:rsidR="00F677FC">
        <w:rPr>
          <w:lang w:val="fr-FR"/>
        </w:rPr>
        <w:t> </w:t>
      </w:r>
      <w:r>
        <w:rPr>
          <w:lang w:val="fr-FR"/>
        </w:rPr>
        <w:t xml:space="preserve">milliards de </w:t>
      </w:r>
      <w:proofErr w:type="spellStart"/>
      <w:r>
        <w:rPr>
          <w:lang w:val="fr-FR"/>
        </w:rPr>
        <w:t>togrogs</w:t>
      </w:r>
      <w:proofErr w:type="spellEnd"/>
      <w:r>
        <w:rPr>
          <w:lang w:val="fr-FR"/>
        </w:rPr>
        <w:t>. Les mesures suivantes ont été prises en vue de mettre en place les moyens techniques permettant de doter d</w:t>
      </w:r>
      <w:r w:rsidR="009C7759">
        <w:rPr>
          <w:lang w:val="fr-FR"/>
        </w:rPr>
        <w:t>’</w:t>
      </w:r>
      <w:r>
        <w:rPr>
          <w:lang w:val="fr-FR"/>
        </w:rPr>
        <w:t>un chauffage électrique 42</w:t>
      </w:r>
      <w:r w:rsidR="00174E1C">
        <w:rPr>
          <w:lang w:val="fr-FR"/>
        </w:rPr>
        <w:t> </w:t>
      </w:r>
      <w:r>
        <w:rPr>
          <w:lang w:val="fr-FR"/>
        </w:rPr>
        <w:t>000</w:t>
      </w:r>
      <w:r w:rsidR="00174E1C">
        <w:rPr>
          <w:lang w:val="fr-FR"/>
        </w:rPr>
        <w:t> </w:t>
      </w:r>
      <w:r>
        <w:rPr>
          <w:lang w:val="fr-FR"/>
        </w:rPr>
        <w:t xml:space="preserve">ménages des quartiers à forte concentration de </w:t>
      </w:r>
      <w:proofErr w:type="spellStart"/>
      <w:r w:rsidRPr="00E23392">
        <w:rPr>
          <w:i/>
          <w:lang w:val="fr-FR"/>
        </w:rPr>
        <w:t>gers</w:t>
      </w:r>
      <w:proofErr w:type="spellEnd"/>
      <w:r w:rsidR="008F6EE8">
        <w:rPr>
          <w:lang w:val="fr-FR"/>
        </w:rPr>
        <w:t> </w:t>
      </w:r>
      <w:r>
        <w:rPr>
          <w:lang w:val="fr-FR"/>
        </w:rPr>
        <w:t>: l</w:t>
      </w:r>
      <w:r w:rsidR="009C7759">
        <w:rPr>
          <w:lang w:val="fr-FR"/>
        </w:rPr>
        <w:t>’</w:t>
      </w:r>
      <w:r>
        <w:rPr>
          <w:lang w:val="fr-FR"/>
        </w:rPr>
        <w:t>extension du réseau d</w:t>
      </w:r>
      <w:r w:rsidR="009C7759">
        <w:rPr>
          <w:lang w:val="fr-FR"/>
        </w:rPr>
        <w:t>’</w:t>
      </w:r>
      <w:r>
        <w:rPr>
          <w:lang w:val="fr-FR"/>
        </w:rPr>
        <w:t>électricité, l</w:t>
      </w:r>
      <w:r w:rsidR="009C7759">
        <w:rPr>
          <w:lang w:val="fr-FR"/>
        </w:rPr>
        <w:t>’</w:t>
      </w:r>
      <w:r>
        <w:rPr>
          <w:lang w:val="fr-FR"/>
        </w:rPr>
        <w:t>augmentation de la puissance des sous-stations et la suppression des taxes douanières et de la TVA pour quatre types de purificateur d</w:t>
      </w:r>
      <w:r w:rsidR="009C7759">
        <w:rPr>
          <w:lang w:val="fr-FR"/>
        </w:rPr>
        <w:t>’</w:t>
      </w:r>
      <w:r>
        <w:rPr>
          <w:lang w:val="fr-FR"/>
        </w:rPr>
        <w:t>air et dix types d</w:t>
      </w:r>
      <w:r w:rsidR="009C7759">
        <w:rPr>
          <w:lang w:val="fr-FR"/>
        </w:rPr>
        <w:t>’</w:t>
      </w:r>
      <w:r>
        <w:rPr>
          <w:lang w:val="fr-FR"/>
        </w:rPr>
        <w:t>appareil de chauffage électrique, l</w:t>
      </w:r>
      <w:r w:rsidR="009C7759">
        <w:rPr>
          <w:lang w:val="fr-FR"/>
        </w:rPr>
        <w:t>’</w:t>
      </w:r>
      <w:r>
        <w:rPr>
          <w:lang w:val="fr-FR"/>
        </w:rPr>
        <w:t>objectif étant de promouvoir le chauffage résidentiel par des appareils à faible consommation d</w:t>
      </w:r>
      <w:r w:rsidR="009C7759">
        <w:rPr>
          <w:lang w:val="fr-FR"/>
        </w:rPr>
        <w:t>’</w:t>
      </w:r>
      <w:r>
        <w:rPr>
          <w:lang w:val="fr-FR"/>
        </w:rPr>
        <w:t xml:space="preserve">énergie. </w:t>
      </w:r>
    </w:p>
    <w:p w14:paraId="5AF5781C" w14:textId="5876BDFC" w:rsidR="00560776" w:rsidRPr="00C8158A" w:rsidRDefault="00560776" w:rsidP="0040732C">
      <w:pPr>
        <w:pStyle w:val="SingleTxtG"/>
        <w:rPr>
          <w:lang w:val="fr-FR"/>
        </w:rPr>
      </w:pPr>
      <w:r>
        <w:rPr>
          <w:lang w:val="fr-FR"/>
        </w:rPr>
        <w:t>192.</w:t>
      </w:r>
      <w:r>
        <w:rPr>
          <w:lang w:val="fr-FR"/>
        </w:rPr>
        <w:tab/>
        <w:t>Afin de réduire la consommation de charbon brut des chaudières à vapeur et des chauffe-eau, 60</w:t>
      </w:r>
      <w:r w:rsidR="00174E1C">
        <w:rPr>
          <w:lang w:val="fr-FR"/>
        </w:rPr>
        <w:t> </w:t>
      </w:r>
      <w:r>
        <w:rPr>
          <w:lang w:val="fr-FR"/>
        </w:rPr>
        <w:t>chaudières ont été éliminées et les ménages qui les utilisaient raccordés au système central de chauffage, 400</w:t>
      </w:r>
      <w:r w:rsidR="00174E1C">
        <w:rPr>
          <w:lang w:val="fr-FR"/>
        </w:rPr>
        <w:t> </w:t>
      </w:r>
      <w:r>
        <w:rPr>
          <w:lang w:val="fr-FR"/>
        </w:rPr>
        <w:t>chaudières de domicile privé ont été converties à l</w:t>
      </w:r>
      <w:r w:rsidR="009C7759">
        <w:rPr>
          <w:lang w:val="fr-FR"/>
        </w:rPr>
        <w:t>’</w:t>
      </w:r>
      <w:r>
        <w:rPr>
          <w:lang w:val="fr-FR"/>
        </w:rPr>
        <w:t>électricité et 1</w:t>
      </w:r>
      <w:r w:rsidR="00174E1C">
        <w:rPr>
          <w:lang w:val="fr-FR"/>
        </w:rPr>
        <w:t> </w:t>
      </w:r>
      <w:r>
        <w:rPr>
          <w:lang w:val="fr-FR"/>
        </w:rPr>
        <w:t>740</w:t>
      </w:r>
      <w:r w:rsidR="00174E1C">
        <w:rPr>
          <w:lang w:val="fr-FR"/>
        </w:rPr>
        <w:t> </w:t>
      </w:r>
      <w:r>
        <w:rPr>
          <w:lang w:val="fr-FR"/>
        </w:rPr>
        <w:t>chaudières ont été alimentées en combustible amélioré, ce qui a permis de réduire la consommation de charbon brut de 78</w:t>
      </w:r>
      <w:r w:rsidR="00174E1C">
        <w:rPr>
          <w:lang w:val="fr-FR"/>
        </w:rPr>
        <w:t> </w:t>
      </w:r>
      <w:r>
        <w:rPr>
          <w:lang w:val="fr-FR"/>
        </w:rPr>
        <w:t>000</w:t>
      </w:r>
      <w:r w:rsidR="00174E1C">
        <w:rPr>
          <w:lang w:val="fr-FR"/>
        </w:rPr>
        <w:t> </w:t>
      </w:r>
      <w:r>
        <w:rPr>
          <w:lang w:val="fr-FR"/>
        </w:rPr>
        <w:t>tonnes l</w:t>
      </w:r>
      <w:r w:rsidR="009C7759">
        <w:rPr>
          <w:lang w:val="fr-FR"/>
        </w:rPr>
        <w:t>’</w:t>
      </w:r>
      <w:r>
        <w:rPr>
          <w:lang w:val="fr-FR"/>
        </w:rPr>
        <w:t xml:space="preserve">an dernier. </w:t>
      </w:r>
    </w:p>
    <w:p w14:paraId="160DA763" w14:textId="27627922" w:rsidR="00560776" w:rsidRPr="00C8158A" w:rsidRDefault="00560776" w:rsidP="0040732C">
      <w:pPr>
        <w:pStyle w:val="SingleTxtG"/>
        <w:rPr>
          <w:lang w:val="fr-FR"/>
        </w:rPr>
      </w:pPr>
      <w:r>
        <w:rPr>
          <w:lang w:val="fr-FR"/>
        </w:rPr>
        <w:t>En conséquence, en 2019, la pollution de l</w:t>
      </w:r>
      <w:r w:rsidR="009C7759">
        <w:rPr>
          <w:lang w:val="fr-FR"/>
        </w:rPr>
        <w:t>’</w:t>
      </w:r>
      <w:r>
        <w:rPr>
          <w:lang w:val="fr-FR"/>
        </w:rPr>
        <w:t>air à Oulan-Bator avait diminué de 143</w:t>
      </w:r>
      <w:r w:rsidR="00174E1C">
        <w:rPr>
          <w:lang w:val="fr-FR"/>
        </w:rPr>
        <w:t> </w:t>
      </w:r>
      <w:r>
        <w:rPr>
          <w:lang w:val="fr-FR"/>
        </w:rPr>
        <w:t>µg/m</w:t>
      </w:r>
      <w:r>
        <w:rPr>
          <w:vertAlign w:val="superscript"/>
          <w:lang w:val="fr-FR"/>
        </w:rPr>
        <w:t>3</w:t>
      </w:r>
      <w:r>
        <w:rPr>
          <w:lang w:val="fr-FR"/>
        </w:rPr>
        <w:t xml:space="preserve"> (soit 56</w:t>
      </w:r>
      <w:r w:rsidR="00174E1C">
        <w:rPr>
          <w:lang w:val="fr-FR"/>
        </w:rPr>
        <w:t> </w:t>
      </w:r>
      <w:r>
        <w:rPr>
          <w:lang w:val="fr-FR"/>
        </w:rPr>
        <w:t>%) pour les particules fines (PM</w:t>
      </w:r>
      <w:r>
        <w:rPr>
          <w:vertAlign w:val="subscript"/>
          <w:lang w:val="fr-FR"/>
        </w:rPr>
        <w:t>2,5</w:t>
      </w:r>
      <w:r>
        <w:rPr>
          <w:lang w:val="fr-FR"/>
        </w:rPr>
        <w:t>) et de 141</w:t>
      </w:r>
      <w:r w:rsidR="00174E1C">
        <w:rPr>
          <w:lang w:val="fr-FR"/>
        </w:rPr>
        <w:t> </w:t>
      </w:r>
      <w:r>
        <w:rPr>
          <w:lang w:val="fr-FR"/>
        </w:rPr>
        <w:t>µg/m</w:t>
      </w:r>
      <w:r>
        <w:rPr>
          <w:vertAlign w:val="superscript"/>
          <w:lang w:val="fr-FR"/>
        </w:rPr>
        <w:t>3</w:t>
      </w:r>
      <w:r>
        <w:rPr>
          <w:lang w:val="fr-FR"/>
        </w:rPr>
        <w:t xml:space="preserve"> (soit 50</w:t>
      </w:r>
      <w:r w:rsidR="00174E1C">
        <w:rPr>
          <w:lang w:val="fr-FR"/>
        </w:rPr>
        <w:t> </w:t>
      </w:r>
      <w:r>
        <w:rPr>
          <w:lang w:val="fr-FR"/>
        </w:rPr>
        <w:t>%) pour les particules grossières (PM</w:t>
      </w:r>
      <w:r>
        <w:rPr>
          <w:vertAlign w:val="subscript"/>
          <w:lang w:val="fr-FR"/>
        </w:rPr>
        <w:t>10</w:t>
      </w:r>
      <w:r>
        <w:rPr>
          <w:lang w:val="fr-FR"/>
        </w:rPr>
        <w:t xml:space="preserve">), par rapport au niveau de référence de 2016. </w:t>
      </w:r>
    </w:p>
    <w:p w14:paraId="5376E0C8" w14:textId="5029CA37" w:rsidR="00560776" w:rsidRDefault="00560776" w:rsidP="00891BD0">
      <w:pPr>
        <w:pStyle w:val="Titre1"/>
        <w:spacing w:after="120"/>
        <w:rPr>
          <w:b/>
          <w:bCs/>
          <w:lang w:val="fr-FR"/>
        </w:rPr>
      </w:pPr>
      <w:r>
        <w:rPr>
          <w:lang w:val="fr-FR"/>
        </w:rPr>
        <w:t>Tableau 17</w:t>
      </w:r>
      <w:r w:rsidR="00891BD0">
        <w:rPr>
          <w:lang w:val="fr-FR"/>
        </w:rPr>
        <w:t xml:space="preserve"> </w:t>
      </w:r>
      <w:r w:rsidR="00891BD0">
        <w:rPr>
          <w:lang w:val="fr-FR"/>
        </w:rPr>
        <w:br/>
      </w:r>
      <w:r>
        <w:rPr>
          <w:b/>
          <w:bCs/>
          <w:lang w:val="fr-FR"/>
        </w:rPr>
        <w:t>Principaux indicateurs de la qualité de l</w:t>
      </w:r>
      <w:r w:rsidR="009C7759">
        <w:rPr>
          <w:b/>
          <w:bCs/>
          <w:lang w:val="fr-FR"/>
        </w:rPr>
        <w:t>’</w:t>
      </w:r>
      <w:r>
        <w:rPr>
          <w:b/>
          <w:bCs/>
          <w:lang w:val="fr-FR"/>
        </w:rPr>
        <w:t>air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76"/>
        <w:gridCol w:w="2418"/>
        <w:gridCol w:w="2476"/>
      </w:tblGrid>
      <w:tr w:rsidR="00891BD0" w:rsidRPr="00DF0A94" w14:paraId="18271C25" w14:textId="77777777" w:rsidTr="004C0B14">
        <w:trPr>
          <w:tblHeader/>
        </w:trPr>
        <w:tc>
          <w:tcPr>
            <w:tcW w:w="3234" w:type="dxa"/>
            <w:tcBorders>
              <w:top w:val="single" w:sz="4" w:space="0" w:color="auto"/>
              <w:bottom w:val="single" w:sz="4" w:space="0" w:color="auto"/>
            </w:tcBorders>
            <w:shd w:val="clear" w:color="auto" w:fill="auto"/>
            <w:vAlign w:val="bottom"/>
          </w:tcPr>
          <w:p w14:paraId="03FFDE47" w14:textId="489033F8" w:rsidR="00891BD0" w:rsidRPr="00DF0A94" w:rsidRDefault="00891BD0" w:rsidP="004C0B14">
            <w:pPr>
              <w:suppressAutoHyphens w:val="0"/>
              <w:spacing w:before="80" w:after="80" w:line="200" w:lineRule="exact"/>
              <w:ind w:right="113"/>
              <w:rPr>
                <w:i/>
                <w:sz w:val="16"/>
              </w:rPr>
            </w:pPr>
            <w:r w:rsidRPr="00841A1E">
              <w:rPr>
                <w:i/>
                <w:iCs/>
                <w:sz w:val="16"/>
                <w:szCs w:val="16"/>
                <w:lang w:val="fr-FR"/>
              </w:rPr>
              <w:t>Polluant</w:t>
            </w:r>
          </w:p>
        </w:tc>
        <w:tc>
          <w:tcPr>
            <w:tcW w:w="6394" w:type="dxa"/>
            <w:gridSpan w:val="2"/>
            <w:tcBorders>
              <w:top w:val="single" w:sz="4" w:space="0" w:color="auto"/>
              <w:bottom w:val="single" w:sz="4" w:space="0" w:color="auto"/>
            </w:tcBorders>
            <w:shd w:val="clear" w:color="auto" w:fill="auto"/>
            <w:vAlign w:val="bottom"/>
          </w:tcPr>
          <w:p w14:paraId="09FF09C9" w14:textId="658FBF64" w:rsidR="00891BD0" w:rsidRPr="00DF0A94" w:rsidRDefault="00891BD0" w:rsidP="004C0B14">
            <w:pPr>
              <w:suppressAutoHyphens w:val="0"/>
              <w:spacing w:before="80" w:after="80" w:line="200" w:lineRule="exact"/>
              <w:ind w:right="113"/>
              <w:jc w:val="center"/>
              <w:rPr>
                <w:i/>
                <w:sz w:val="16"/>
              </w:rPr>
            </w:pPr>
            <w:r w:rsidRPr="00841A1E">
              <w:rPr>
                <w:i/>
                <w:iCs/>
                <w:sz w:val="16"/>
                <w:szCs w:val="16"/>
                <w:lang w:val="fr-FR"/>
              </w:rPr>
              <w:t>Concentration moyenne (en décembre) (µg/m</w:t>
            </w:r>
            <w:r w:rsidRPr="00841A1E">
              <w:rPr>
                <w:i/>
                <w:iCs/>
                <w:sz w:val="16"/>
                <w:szCs w:val="16"/>
                <w:vertAlign w:val="superscript"/>
                <w:lang w:val="fr-FR"/>
              </w:rPr>
              <w:t>3</w:t>
            </w:r>
            <w:r w:rsidRPr="00841A1E">
              <w:rPr>
                <w:i/>
                <w:iCs/>
                <w:sz w:val="16"/>
                <w:szCs w:val="16"/>
                <w:lang w:val="fr-FR"/>
              </w:rPr>
              <w:t>)</w:t>
            </w:r>
          </w:p>
        </w:tc>
      </w:tr>
      <w:tr w:rsidR="00891BD0" w:rsidRPr="00DF0A94" w14:paraId="4506BF42" w14:textId="77777777" w:rsidTr="004C0B14">
        <w:tc>
          <w:tcPr>
            <w:tcW w:w="3234" w:type="dxa"/>
            <w:vMerge w:val="restart"/>
            <w:tcBorders>
              <w:top w:val="single" w:sz="4" w:space="0" w:color="auto"/>
              <w:bottom w:val="nil"/>
            </w:tcBorders>
            <w:shd w:val="clear" w:color="auto" w:fill="auto"/>
          </w:tcPr>
          <w:p w14:paraId="2F6F6CCB" w14:textId="77777777" w:rsidR="00891BD0" w:rsidRPr="00DF0A94" w:rsidRDefault="00891BD0" w:rsidP="004C0B14">
            <w:pPr>
              <w:suppressAutoHyphens w:val="0"/>
              <w:spacing w:before="40" w:after="40" w:line="220" w:lineRule="exact"/>
              <w:ind w:right="113"/>
              <w:rPr>
                <w:sz w:val="18"/>
              </w:rPr>
            </w:pPr>
          </w:p>
        </w:tc>
        <w:tc>
          <w:tcPr>
            <w:tcW w:w="3159" w:type="dxa"/>
            <w:tcBorders>
              <w:top w:val="single" w:sz="4" w:space="0" w:color="auto"/>
              <w:bottom w:val="single" w:sz="4" w:space="0" w:color="auto"/>
            </w:tcBorders>
            <w:shd w:val="clear" w:color="auto" w:fill="auto"/>
            <w:vAlign w:val="bottom"/>
          </w:tcPr>
          <w:p w14:paraId="60AD67CF" w14:textId="1D844DF1" w:rsidR="00891BD0" w:rsidRPr="00DF0A94" w:rsidRDefault="00891BD0" w:rsidP="004C0B14">
            <w:pPr>
              <w:suppressAutoHyphens w:val="0"/>
              <w:spacing w:before="80" w:after="80" w:line="200" w:lineRule="exact"/>
              <w:ind w:right="113"/>
              <w:jc w:val="center"/>
              <w:rPr>
                <w:i/>
                <w:iCs/>
                <w:sz w:val="16"/>
                <w:szCs w:val="16"/>
              </w:rPr>
            </w:pPr>
            <w:r w:rsidRPr="00841A1E">
              <w:rPr>
                <w:i/>
                <w:iCs/>
                <w:sz w:val="16"/>
                <w:szCs w:val="16"/>
                <w:lang w:val="fr-FR"/>
              </w:rPr>
              <w:t>Niveau de référence</w:t>
            </w:r>
          </w:p>
        </w:tc>
        <w:tc>
          <w:tcPr>
            <w:tcW w:w="3235" w:type="dxa"/>
            <w:tcBorders>
              <w:top w:val="single" w:sz="4" w:space="0" w:color="auto"/>
              <w:bottom w:val="single" w:sz="4" w:space="0" w:color="auto"/>
            </w:tcBorders>
            <w:shd w:val="clear" w:color="auto" w:fill="auto"/>
            <w:vAlign w:val="bottom"/>
          </w:tcPr>
          <w:p w14:paraId="777455A6" w14:textId="19422543" w:rsidR="00891BD0" w:rsidRPr="00DF0A94" w:rsidRDefault="00891BD0" w:rsidP="004C0B14">
            <w:pPr>
              <w:suppressAutoHyphens w:val="0"/>
              <w:spacing w:before="80" w:after="80" w:line="200" w:lineRule="exact"/>
              <w:ind w:right="113"/>
              <w:jc w:val="center"/>
              <w:rPr>
                <w:i/>
                <w:iCs/>
                <w:sz w:val="16"/>
                <w:szCs w:val="16"/>
              </w:rPr>
            </w:pPr>
            <w:r w:rsidRPr="00841A1E">
              <w:rPr>
                <w:i/>
                <w:iCs/>
                <w:sz w:val="16"/>
                <w:szCs w:val="16"/>
                <w:lang w:val="fr-FR"/>
              </w:rPr>
              <w:t>Résultats obtenus</w:t>
            </w:r>
          </w:p>
        </w:tc>
      </w:tr>
      <w:tr w:rsidR="00891BD0" w:rsidRPr="00DF0A94" w14:paraId="1066AAF8" w14:textId="77777777" w:rsidTr="004C0B14">
        <w:tc>
          <w:tcPr>
            <w:tcW w:w="3234" w:type="dxa"/>
            <w:vMerge/>
            <w:tcBorders>
              <w:top w:val="nil"/>
              <w:bottom w:val="single" w:sz="12" w:space="0" w:color="auto"/>
            </w:tcBorders>
            <w:shd w:val="clear" w:color="auto" w:fill="auto"/>
          </w:tcPr>
          <w:p w14:paraId="2EE42DDB" w14:textId="77777777" w:rsidR="00891BD0" w:rsidRPr="00DF0A94" w:rsidRDefault="00891BD0" w:rsidP="004C0B14">
            <w:pPr>
              <w:suppressAutoHyphens w:val="0"/>
              <w:spacing w:before="40" w:after="40" w:line="220" w:lineRule="exact"/>
              <w:ind w:right="113"/>
              <w:rPr>
                <w:sz w:val="18"/>
              </w:rPr>
            </w:pPr>
          </w:p>
        </w:tc>
        <w:tc>
          <w:tcPr>
            <w:tcW w:w="3159" w:type="dxa"/>
            <w:tcBorders>
              <w:top w:val="single" w:sz="4" w:space="0" w:color="auto"/>
              <w:bottom w:val="single" w:sz="12" w:space="0" w:color="auto"/>
            </w:tcBorders>
            <w:shd w:val="clear" w:color="auto" w:fill="auto"/>
            <w:vAlign w:val="bottom"/>
          </w:tcPr>
          <w:p w14:paraId="02BFED19" w14:textId="77777777" w:rsidR="00891BD0" w:rsidRPr="00DF0A94" w:rsidRDefault="00891BD0" w:rsidP="004C0B14">
            <w:pPr>
              <w:suppressAutoHyphens w:val="0"/>
              <w:spacing w:before="80" w:after="80" w:line="200" w:lineRule="exact"/>
              <w:ind w:right="113"/>
              <w:jc w:val="center"/>
              <w:rPr>
                <w:i/>
                <w:iCs/>
                <w:sz w:val="16"/>
                <w:szCs w:val="16"/>
              </w:rPr>
            </w:pPr>
            <w:r w:rsidRPr="00DF0A94">
              <w:rPr>
                <w:i/>
                <w:iCs/>
                <w:sz w:val="16"/>
                <w:szCs w:val="16"/>
              </w:rPr>
              <w:t>2016</w:t>
            </w:r>
          </w:p>
        </w:tc>
        <w:tc>
          <w:tcPr>
            <w:tcW w:w="3235" w:type="dxa"/>
            <w:tcBorders>
              <w:top w:val="single" w:sz="4" w:space="0" w:color="auto"/>
              <w:bottom w:val="single" w:sz="12" w:space="0" w:color="auto"/>
            </w:tcBorders>
            <w:shd w:val="clear" w:color="auto" w:fill="auto"/>
            <w:vAlign w:val="bottom"/>
          </w:tcPr>
          <w:p w14:paraId="17F796F3" w14:textId="77777777" w:rsidR="00891BD0" w:rsidRPr="00DF0A94" w:rsidRDefault="00891BD0" w:rsidP="004C0B14">
            <w:pPr>
              <w:suppressAutoHyphens w:val="0"/>
              <w:spacing w:before="80" w:after="80" w:line="200" w:lineRule="exact"/>
              <w:ind w:right="113"/>
              <w:jc w:val="center"/>
              <w:rPr>
                <w:i/>
                <w:iCs/>
                <w:sz w:val="16"/>
                <w:szCs w:val="16"/>
              </w:rPr>
            </w:pPr>
            <w:r w:rsidRPr="00DF0A94">
              <w:rPr>
                <w:i/>
                <w:iCs/>
                <w:sz w:val="16"/>
                <w:szCs w:val="16"/>
              </w:rPr>
              <w:t>2019</w:t>
            </w:r>
          </w:p>
        </w:tc>
      </w:tr>
      <w:tr w:rsidR="00891BD0" w:rsidRPr="00DF0A94" w14:paraId="7373146B" w14:textId="77777777" w:rsidTr="004C0B14">
        <w:tc>
          <w:tcPr>
            <w:tcW w:w="3234" w:type="dxa"/>
            <w:tcBorders>
              <w:top w:val="single" w:sz="12" w:space="0" w:color="auto"/>
            </w:tcBorders>
            <w:shd w:val="clear" w:color="auto" w:fill="auto"/>
          </w:tcPr>
          <w:p w14:paraId="4DB9A989" w14:textId="6DE8E8D0" w:rsidR="00891BD0" w:rsidRPr="00DF0A94" w:rsidRDefault="00891BD0" w:rsidP="004C0B14">
            <w:pPr>
              <w:suppressAutoHyphens w:val="0"/>
              <w:spacing w:before="40" w:after="40" w:line="220" w:lineRule="exact"/>
              <w:ind w:right="113"/>
              <w:rPr>
                <w:sz w:val="18"/>
              </w:rPr>
            </w:pPr>
            <w:r w:rsidRPr="00841A1E">
              <w:rPr>
                <w:sz w:val="16"/>
                <w:szCs w:val="16"/>
                <w:lang w:val="fr-FR"/>
              </w:rPr>
              <w:t>Particules РМ</w:t>
            </w:r>
            <w:r w:rsidRPr="00841A1E">
              <w:rPr>
                <w:sz w:val="16"/>
                <w:szCs w:val="16"/>
                <w:vertAlign w:val="subscript"/>
                <w:lang w:val="fr-FR"/>
              </w:rPr>
              <w:t>2.5</w:t>
            </w:r>
          </w:p>
        </w:tc>
        <w:tc>
          <w:tcPr>
            <w:tcW w:w="3159" w:type="dxa"/>
            <w:tcBorders>
              <w:top w:val="single" w:sz="12" w:space="0" w:color="auto"/>
            </w:tcBorders>
            <w:shd w:val="clear" w:color="auto" w:fill="auto"/>
            <w:vAlign w:val="bottom"/>
          </w:tcPr>
          <w:p w14:paraId="66A9C482" w14:textId="77777777" w:rsidR="00891BD0" w:rsidRPr="00DF0A94" w:rsidRDefault="00891BD0" w:rsidP="004C0B14">
            <w:pPr>
              <w:suppressAutoHyphens w:val="0"/>
              <w:spacing w:before="40" w:after="40" w:line="220" w:lineRule="exact"/>
              <w:ind w:right="113"/>
              <w:jc w:val="right"/>
              <w:rPr>
                <w:sz w:val="18"/>
              </w:rPr>
            </w:pPr>
            <w:r w:rsidRPr="00DF0A94">
              <w:rPr>
                <w:sz w:val="18"/>
              </w:rPr>
              <w:t>256</w:t>
            </w:r>
          </w:p>
        </w:tc>
        <w:tc>
          <w:tcPr>
            <w:tcW w:w="3235" w:type="dxa"/>
            <w:tcBorders>
              <w:top w:val="single" w:sz="12" w:space="0" w:color="auto"/>
            </w:tcBorders>
            <w:shd w:val="clear" w:color="auto" w:fill="auto"/>
            <w:vAlign w:val="bottom"/>
          </w:tcPr>
          <w:p w14:paraId="19E4A3F8" w14:textId="77777777" w:rsidR="00891BD0" w:rsidRPr="00DF0A94" w:rsidRDefault="00891BD0" w:rsidP="004C0B14">
            <w:pPr>
              <w:suppressAutoHyphens w:val="0"/>
              <w:spacing w:before="40" w:after="40" w:line="220" w:lineRule="exact"/>
              <w:ind w:right="113"/>
              <w:jc w:val="right"/>
              <w:rPr>
                <w:sz w:val="18"/>
              </w:rPr>
            </w:pPr>
            <w:r w:rsidRPr="00DF0A94">
              <w:rPr>
                <w:sz w:val="18"/>
              </w:rPr>
              <w:t>113↓</w:t>
            </w:r>
          </w:p>
        </w:tc>
      </w:tr>
      <w:tr w:rsidR="00891BD0" w:rsidRPr="00DF0A94" w14:paraId="2C8D2928" w14:textId="77777777" w:rsidTr="004C0B14">
        <w:tc>
          <w:tcPr>
            <w:tcW w:w="3234" w:type="dxa"/>
            <w:shd w:val="clear" w:color="auto" w:fill="auto"/>
          </w:tcPr>
          <w:p w14:paraId="20E336F9" w14:textId="6C80B749" w:rsidR="00891BD0" w:rsidRPr="00DF0A94" w:rsidRDefault="00891BD0" w:rsidP="004C0B14">
            <w:pPr>
              <w:suppressAutoHyphens w:val="0"/>
              <w:spacing w:before="40" w:after="40" w:line="220" w:lineRule="exact"/>
              <w:ind w:right="113"/>
              <w:rPr>
                <w:sz w:val="18"/>
              </w:rPr>
            </w:pPr>
            <w:r w:rsidRPr="00841A1E">
              <w:rPr>
                <w:sz w:val="16"/>
                <w:szCs w:val="16"/>
                <w:lang w:val="fr-FR"/>
              </w:rPr>
              <w:t>Particules РМ</w:t>
            </w:r>
            <w:r w:rsidRPr="00841A1E">
              <w:rPr>
                <w:sz w:val="16"/>
                <w:szCs w:val="16"/>
                <w:vertAlign w:val="subscript"/>
                <w:lang w:val="fr-FR"/>
              </w:rPr>
              <w:t>10</w:t>
            </w:r>
          </w:p>
        </w:tc>
        <w:tc>
          <w:tcPr>
            <w:tcW w:w="3159" w:type="dxa"/>
            <w:shd w:val="clear" w:color="auto" w:fill="auto"/>
            <w:vAlign w:val="bottom"/>
          </w:tcPr>
          <w:p w14:paraId="47C0A9BA" w14:textId="77777777" w:rsidR="00891BD0" w:rsidRPr="00DF0A94" w:rsidRDefault="00891BD0" w:rsidP="004C0B14">
            <w:pPr>
              <w:suppressAutoHyphens w:val="0"/>
              <w:spacing w:before="40" w:after="40" w:line="220" w:lineRule="exact"/>
              <w:ind w:right="113"/>
              <w:jc w:val="right"/>
              <w:rPr>
                <w:sz w:val="18"/>
              </w:rPr>
            </w:pPr>
            <w:r w:rsidRPr="00DF0A94">
              <w:rPr>
                <w:sz w:val="18"/>
              </w:rPr>
              <w:t>279</w:t>
            </w:r>
          </w:p>
        </w:tc>
        <w:tc>
          <w:tcPr>
            <w:tcW w:w="3235" w:type="dxa"/>
            <w:shd w:val="clear" w:color="auto" w:fill="auto"/>
            <w:vAlign w:val="bottom"/>
          </w:tcPr>
          <w:p w14:paraId="453C120C" w14:textId="77777777" w:rsidR="00891BD0" w:rsidRPr="00DF0A94" w:rsidRDefault="00891BD0" w:rsidP="004C0B14">
            <w:pPr>
              <w:suppressAutoHyphens w:val="0"/>
              <w:spacing w:before="40" w:after="40" w:line="220" w:lineRule="exact"/>
              <w:ind w:right="113"/>
              <w:jc w:val="right"/>
              <w:rPr>
                <w:sz w:val="18"/>
              </w:rPr>
            </w:pPr>
            <w:r w:rsidRPr="00DF0A94">
              <w:rPr>
                <w:sz w:val="18"/>
              </w:rPr>
              <w:t>138↓</w:t>
            </w:r>
          </w:p>
        </w:tc>
      </w:tr>
      <w:tr w:rsidR="00891BD0" w:rsidRPr="00DF0A94" w14:paraId="46CE18A6" w14:textId="77777777" w:rsidTr="004C0B14">
        <w:tc>
          <w:tcPr>
            <w:tcW w:w="3234" w:type="dxa"/>
            <w:shd w:val="clear" w:color="auto" w:fill="auto"/>
          </w:tcPr>
          <w:p w14:paraId="3E70B25B" w14:textId="213B2B1A" w:rsidR="00891BD0" w:rsidRPr="00DF0A94" w:rsidRDefault="00891BD0" w:rsidP="004C0B14">
            <w:pPr>
              <w:suppressAutoHyphens w:val="0"/>
              <w:spacing w:before="40" w:after="40" w:line="220" w:lineRule="exact"/>
              <w:ind w:right="113"/>
              <w:rPr>
                <w:sz w:val="18"/>
              </w:rPr>
            </w:pPr>
            <w:r w:rsidRPr="00841A1E">
              <w:rPr>
                <w:sz w:val="16"/>
                <w:szCs w:val="16"/>
                <w:lang w:val="fr-FR"/>
              </w:rPr>
              <w:t>Dioxyde de soufre (SO</w:t>
            </w:r>
            <w:r w:rsidRPr="00841A1E">
              <w:rPr>
                <w:sz w:val="16"/>
                <w:szCs w:val="16"/>
                <w:vertAlign w:val="subscript"/>
                <w:lang w:val="fr-FR"/>
              </w:rPr>
              <w:t>2</w:t>
            </w:r>
            <w:r w:rsidRPr="00841A1E">
              <w:rPr>
                <w:sz w:val="16"/>
                <w:szCs w:val="16"/>
                <w:lang w:val="fr-FR"/>
              </w:rPr>
              <w:t>)</w:t>
            </w:r>
          </w:p>
        </w:tc>
        <w:tc>
          <w:tcPr>
            <w:tcW w:w="3159" w:type="dxa"/>
            <w:shd w:val="clear" w:color="auto" w:fill="auto"/>
            <w:vAlign w:val="bottom"/>
          </w:tcPr>
          <w:p w14:paraId="04772A33" w14:textId="77777777" w:rsidR="00891BD0" w:rsidRPr="00DF0A94" w:rsidRDefault="00891BD0" w:rsidP="004C0B14">
            <w:pPr>
              <w:suppressAutoHyphens w:val="0"/>
              <w:spacing w:before="40" w:after="40" w:line="220" w:lineRule="exact"/>
              <w:ind w:right="113"/>
              <w:jc w:val="right"/>
              <w:rPr>
                <w:sz w:val="18"/>
              </w:rPr>
            </w:pPr>
            <w:r w:rsidRPr="00DF0A94">
              <w:rPr>
                <w:sz w:val="18"/>
              </w:rPr>
              <w:t>89</w:t>
            </w:r>
          </w:p>
        </w:tc>
        <w:tc>
          <w:tcPr>
            <w:tcW w:w="3235" w:type="dxa"/>
            <w:shd w:val="clear" w:color="auto" w:fill="auto"/>
            <w:vAlign w:val="bottom"/>
          </w:tcPr>
          <w:p w14:paraId="6A9A9189" w14:textId="77777777" w:rsidR="00891BD0" w:rsidRPr="00DF0A94" w:rsidRDefault="00891BD0" w:rsidP="004C0B14">
            <w:pPr>
              <w:suppressAutoHyphens w:val="0"/>
              <w:spacing w:before="40" w:after="40" w:line="220" w:lineRule="exact"/>
              <w:ind w:right="113"/>
              <w:jc w:val="right"/>
              <w:rPr>
                <w:sz w:val="18"/>
              </w:rPr>
            </w:pPr>
            <w:r w:rsidRPr="00DF0A94">
              <w:rPr>
                <w:sz w:val="18"/>
              </w:rPr>
              <w:t>106↑</w:t>
            </w:r>
          </w:p>
        </w:tc>
      </w:tr>
    </w:tbl>
    <w:p w14:paraId="0844D086" w14:textId="4EE76750" w:rsidR="00560776" w:rsidRPr="00C8158A" w:rsidRDefault="00560776" w:rsidP="00891BD0">
      <w:pPr>
        <w:pStyle w:val="SingleTxtG"/>
        <w:spacing w:before="240"/>
        <w:rPr>
          <w:lang w:val="fr-FR"/>
        </w:rPr>
      </w:pPr>
      <w:r>
        <w:rPr>
          <w:lang w:val="fr-FR"/>
        </w:rPr>
        <w:t>193.</w:t>
      </w:r>
      <w:r>
        <w:rPr>
          <w:lang w:val="fr-FR"/>
        </w:rPr>
        <w:tab/>
        <w:t>Le niveau de dioxyde de soufre a augmenté de 17 µg/m</w:t>
      </w:r>
      <w:r>
        <w:rPr>
          <w:vertAlign w:val="superscript"/>
          <w:lang w:val="fr-FR"/>
        </w:rPr>
        <w:t>3</w:t>
      </w:r>
      <w:r>
        <w:rPr>
          <w:lang w:val="fr-FR"/>
        </w:rPr>
        <w:t xml:space="preserve"> (soit 19</w:t>
      </w:r>
      <w:r w:rsidR="00DD525C">
        <w:rPr>
          <w:lang w:val="fr-FR"/>
        </w:rPr>
        <w:t> </w:t>
      </w:r>
      <w:r>
        <w:rPr>
          <w:lang w:val="fr-FR"/>
        </w:rPr>
        <w:t>%) par rapport au niveau de référence. L</w:t>
      </w:r>
      <w:r w:rsidR="009C7759">
        <w:rPr>
          <w:lang w:val="fr-FR"/>
        </w:rPr>
        <w:t>’</w:t>
      </w:r>
      <w:r>
        <w:rPr>
          <w:lang w:val="fr-FR"/>
        </w:rPr>
        <w:t>essence et les autres carburants vendus en Mongolie ont une teneur très élevée en dioxyde de soufre (de l</w:t>
      </w:r>
      <w:r w:rsidR="009C7759">
        <w:rPr>
          <w:lang w:val="fr-FR"/>
        </w:rPr>
        <w:t>’</w:t>
      </w:r>
      <w:r>
        <w:rPr>
          <w:lang w:val="fr-FR"/>
        </w:rPr>
        <w:t>ordre de 2</w:t>
      </w:r>
      <w:r w:rsidR="00DD525C">
        <w:rPr>
          <w:lang w:val="fr-FR"/>
        </w:rPr>
        <w:t> </w:t>
      </w:r>
      <w:r>
        <w:rPr>
          <w:lang w:val="fr-FR"/>
        </w:rPr>
        <w:t>000</w:t>
      </w:r>
      <w:r w:rsidR="00DD525C">
        <w:rPr>
          <w:lang w:val="fr-FR"/>
        </w:rPr>
        <w:t> </w:t>
      </w:r>
      <w:r>
        <w:rPr>
          <w:lang w:val="fr-FR"/>
        </w:rPr>
        <w:t xml:space="preserve">ppm). Il ressort de la comparaison de la </w:t>
      </w:r>
      <w:r>
        <w:rPr>
          <w:lang w:val="fr-FR"/>
        </w:rPr>
        <w:lastRenderedPageBreak/>
        <w:t>qualité de l</w:t>
      </w:r>
      <w:r w:rsidR="009C7759">
        <w:rPr>
          <w:lang w:val="fr-FR"/>
        </w:rPr>
        <w:t>’</w:t>
      </w:r>
      <w:r>
        <w:rPr>
          <w:lang w:val="fr-FR"/>
        </w:rPr>
        <w:t>air le 18 mai 2019, une journée sans voiture, par rapport à une journée normale, que les niveaux de dioxyde de soufre sont de 4 à 20 fois plus élevés en temps normal, ce qui prouve que la circulation de véhicules à moteur est le principal facteur à l</w:t>
      </w:r>
      <w:r w:rsidR="009C7759">
        <w:rPr>
          <w:lang w:val="fr-FR"/>
        </w:rPr>
        <w:t>’</w:t>
      </w:r>
      <w:r>
        <w:rPr>
          <w:lang w:val="fr-FR"/>
        </w:rPr>
        <w:t>origine de l</w:t>
      </w:r>
      <w:r w:rsidR="009C7759">
        <w:rPr>
          <w:lang w:val="fr-FR"/>
        </w:rPr>
        <w:t>’</w:t>
      </w:r>
      <w:r>
        <w:rPr>
          <w:lang w:val="fr-FR"/>
        </w:rPr>
        <w:t xml:space="preserve">augmentation des niveaux de dioxyde de soufre. </w:t>
      </w:r>
    </w:p>
    <w:p w14:paraId="5300632B" w14:textId="48B97550" w:rsidR="00560776" w:rsidRPr="00C8158A" w:rsidRDefault="00560776" w:rsidP="0040732C">
      <w:pPr>
        <w:pStyle w:val="SingleTxtG"/>
        <w:rPr>
          <w:lang w:val="fr-FR"/>
        </w:rPr>
      </w:pPr>
      <w:r>
        <w:rPr>
          <w:lang w:val="fr-FR"/>
        </w:rPr>
        <w:t>194.</w:t>
      </w:r>
      <w:r>
        <w:rPr>
          <w:lang w:val="fr-FR"/>
        </w:rPr>
        <w:tab/>
        <w:t>Il est prévu de prendre les mesures suivantes pour réduire la pollution de l</w:t>
      </w:r>
      <w:r w:rsidR="009C7759">
        <w:rPr>
          <w:lang w:val="fr-FR"/>
        </w:rPr>
        <w:t>’</w:t>
      </w:r>
      <w:r>
        <w:rPr>
          <w:lang w:val="fr-FR"/>
        </w:rPr>
        <w:t>air à Oulan</w:t>
      </w:r>
      <w:r w:rsidR="00DD525C">
        <w:rPr>
          <w:lang w:val="fr-FR"/>
        </w:rPr>
        <w:noBreakHyphen/>
      </w:r>
      <w:r>
        <w:rPr>
          <w:lang w:val="fr-FR"/>
        </w:rPr>
        <w:t>Bator et dans d</w:t>
      </w:r>
      <w:r w:rsidR="009C7759">
        <w:rPr>
          <w:lang w:val="fr-FR"/>
        </w:rPr>
        <w:t>’</w:t>
      </w:r>
      <w:r>
        <w:rPr>
          <w:lang w:val="fr-FR"/>
        </w:rPr>
        <w:t xml:space="preserve">autres grandes villes : </w:t>
      </w:r>
    </w:p>
    <w:p w14:paraId="50E95531" w14:textId="6D42B3B7" w:rsidR="00560776" w:rsidRPr="00C8158A" w:rsidRDefault="00560776" w:rsidP="00E94CB1">
      <w:pPr>
        <w:pStyle w:val="Bullet1G"/>
        <w:rPr>
          <w:lang w:val="fr-FR"/>
        </w:rPr>
      </w:pPr>
      <w:r>
        <w:rPr>
          <w:lang w:val="fr-FR"/>
        </w:rPr>
        <w:t xml:space="preserve">Augmenter la production de carburants améliorés ; </w:t>
      </w:r>
    </w:p>
    <w:p w14:paraId="22761A36" w14:textId="79FC890A" w:rsidR="00560776" w:rsidRPr="00C8158A" w:rsidRDefault="00560776" w:rsidP="00E94CB1">
      <w:pPr>
        <w:pStyle w:val="Bullet1G"/>
        <w:rPr>
          <w:lang w:val="fr-FR"/>
        </w:rPr>
      </w:pPr>
      <w:r>
        <w:rPr>
          <w:lang w:val="fr-FR"/>
        </w:rPr>
        <w:t>Donner aux ménages la possibilité de se chauffer à l</w:t>
      </w:r>
      <w:r w:rsidR="009C7759">
        <w:rPr>
          <w:lang w:val="fr-FR"/>
        </w:rPr>
        <w:t>’</w:t>
      </w:r>
      <w:r>
        <w:rPr>
          <w:lang w:val="fr-FR"/>
        </w:rPr>
        <w:t>électricité en prolongeant le réseau électrique et en fixant des tarifs nocturnes réduits</w:t>
      </w:r>
      <w:r w:rsidR="00DC23BB">
        <w:rPr>
          <w:lang w:val="fr-FR"/>
        </w:rPr>
        <w:t> </w:t>
      </w:r>
      <w:r>
        <w:rPr>
          <w:lang w:val="fr-FR"/>
        </w:rPr>
        <w:t xml:space="preserve">; </w:t>
      </w:r>
    </w:p>
    <w:p w14:paraId="27D84231" w14:textId="050B1F41" w:rsidR="00560776" w:rsidRPr="00C8158A" w:rsidRDefault="00560776" w:rsidP="00E94CB1">
      <w:pPr>
        <w:pStyle w:val="Bullet1G"/>
        <w:rPr>
          <w:lang w:val="fr-FR"/>
        </w:rPr>
      </w:pPr>
      <w:r>
        <w:rPr>
          <w:lang w:val="fr-FR"/>
        </w:rPr>
        <w:t>Raccorder au système central les chaudières de petite et de moyenne puissance</w:t>
      </w:r>
      <w:r w:rsidR="00DC23BB">
        <w:rPr>
          <w:lang w:val="fr-FR"/>
        </w:rPr>
        <w:t> </w:t>
      </w:r>
      <w:r>
        <w:rPr>
          <w:lang w:val="fr-FR"/>
        </w:rPr>
        <w:t>;</w:t>
      </w:r>
    </w:p>
    <w:p w14:paraId="2E700A99" w14:textId="11656182" w:rsidR="00560776" w:rsidRPr="00C8158A" w:rsidRDefault="00560776" w:rsidP="00E94CB1">
      <w:pPr>
        <w:pStyle w:val="Bullet1G"/>
        <w:rPr>
          <w:lang w:val="fr-FR"/>
        </w:rPr>
      </w:pPr>
      <w:r>
        <w:rPr>
          <w:lang w:val="fr-FR"/>
        </w:rPr>
        <w:t>Introduire de nouvelles technologies progressives pour réduire la pollution du milieu naturel et accorder des aides sous forme de prêts « écologiques »</w:t>
      </w:r>
      <w:r w:rsidR="00DC23BB">
        <w:rPr>
          <w:lang w:val="fr-FR"/>
        </w:rPr>
        <w:t> </w:t>
      </w:r>
      <w:r>
        <w:rPr>
          <w:lang w:val="fr-FR"/>
        </w:rPr>
        <w:t>;</w:t>
      </w:r>
    </w:p>
    <w:p w14:paraId="1B535D49" w14:textId="1DC0001B" w:rsidR="00560776" w:rsidRPr="00C8158A" w:rsidRDefault="00560776" w:rsidP="00E94CB1">
      <w:pPr>
        <w:pStyle w:val="Bullet1G"/>
        <w:rPr>
          <w:lang w:val="fr-FR"/>
        </w:rPr>
      </w:pPr>
      <w:r>
        <w:rPr>
          <w:lang w:val="fr-FR"/>
        </w:rPr>
        <w:t xml:space="preserve">Fournir une solution partielle aux ménages des quartiers à forte concentration de </w:t>
      </w:r>
      <w:proofErr w:type="spellStart"/>
      <w:r w:rsidRPr="00E23392">
        <w:rPr>
          <w:i/>
          <w:lang w:val="fr-FR"/>
        </w:rPr>
        <w:t>gers</w:t>
      </w:r>
      <w:proofErr w:type="spellEnd"/>
      <w:r>
        <w:rPr>
          <w:lang w:val="fr-FR"/>
        </w:rPr>
        <w:t xml:space="preserve"> qui ne sont pas raccordés au système central de chauffage</w:t>
      </w:r>
      <w:r w:rsidR="00DC23BB">
        <w:rPr>
          <w:lang w:val="fr-FR"/>
        </w:rPr>
        <w:t> </w:t>
      </w:r>
      <w:r>
        <w:rPr>
          <w:lang w:val="fr-FR"/>
        </w:rPr>
        <w:t xml:space="preserve">; </w:t>
      </w:r>
    </w:p>
    <w:p w14:paraId="682E7ADB" w14:textId="63400EEA" w:rsidR="00560776" w:rsidRPr="00C8158A" w:rsidRDefault="00560776" w:rsidP="00E94CB1">
      <w:pPr>
        <w:pStyle w:val="Bullet1G"/>
        <w:rPr>
          <w:lang w:val="fr-FR"/>
        </w:rPr>
      </w:pPr>
      <w:r>
        <w:rPr>
          <w:lang w:val="fr-FR"/>
        </w:rPr>
        <w:t xml:space="preserve">Proposer des programmes de réinstallation dans des appartements adaptés aux niveaux de revenu des ménages vivant dans les quartiers à forte concentration de </w:t>
      </w:r>
      <w:proofErr w:type="spellStart"/>
      <w:r w:rsidRPr="00E23392">
        <w:rPr>
          <w:i/>
          <w:lang w:val="fr-FR"/>
        </w:rPr>
        <w:t>gers</w:t>
      </w:r>
      <w:proofErr w:type="spellEnd"/>
      <w:r>
        <w:rPr>
          <w:lang w:val="fr-FR"/>
        </w:rPr>
        <w:t> ;</w:t>
      </w:r>
    </w:p>
    <w:p w14:paraId="5A2C0C62" w14:textId="0C68F59A" w:rsidR="00560776" w:rsidRPr="00C8158A" w:rsidRDefault="00560776" w:rsidP="00E94CB1">
      <w:pPr>
        <w:pStyle w:val="Bullet1G"/>
        <w:rPr>
          <w:lang w:val="fr-FR"/>
        </w:rPr>
      </w:pPr>
      <w:r>
        <w:rPr>
          <w:lang w:val="fr-FR"/>
        </w:rPr>
        <w:t>Diminuer progressivement l</w:t>
      </w:r>
      <w:r w:rsidR="009C7759">
        <w:rPr>
          <w:lang w:val="fr-FR"/>
        </w:rPr>
        <w:t>’</w:t>
      </w:r>
      <w:r>
        <w:rPr>
          <w:lang w:val="fr-FR"/>
        </w:rPr>
        <w:t>importation de véhicules anciens</w:t>
      </w:r>
      <w:r w:rsidR="00DC23BB">
        <w:rPr>
          <w:lang w:val="fr-FR"/>
        </w:rPr>
        <w:t> </w:t>
      </w:r>
      <w:r>
        <w:rPr>
          <w:lang w:val="fr-FR"/>
        </w:rPr>
        <w:t>;</w:t>
      </w:r>
    </w:p>
    <w:p w14:paraId="66E3E9DC" w14:textId="2207D35A" w:rsidR="00560776" w:rsidRPr="00C8158A" w:rsidRDefault="00560776" w:rsidP="00E94CB1">
      <w:pPr>
        <w:pStyle w:val="Bullet1G"/>
        <w:rPr>
          <w:lang w:val="fr-FR"/>
        </w:rPr>
      </w:pPr>
      <w:r>
        <w:rPr>
          <w:lang w:val="fr-FR"/>
        </w:rPr>
        <w:t>Améliorer la qualité de l</w:t>
      </w:r>
      <w:r w:rsidR="009C7759">
        <w:rPr>
          <w:lang w:val="fr-FR"/>
        </w:rPr>
        <w:t>’</w:t>
      </w:r>
      <w:r>
        <w:rPr>
          <w:lang w:val="fr-FR"/>
        </w:rPr>
        <w:t>essence et des combustibles et veiller au respect des normes et des obligations. La mise en œuvre progressive de ces mesures permettra de ramener à des niveaux normaux la pollution de l</w:t>
      </w:r>
      <w:r w:rsidR="009C7759">
        <w:rPr>
          <w:lang w:val="fr-FR"/>
        </w:rPr>
        <w:t>’</w:t>
      </w:r>
      <w:r>
        <w:rPr>
          <w:lang w:val="fr-FR"/>
        </w:rPr>
        <w:t xml:space="preserve">air et du milieu naturel. </w:t>
      </w:r>
    </w:p>
    <w:p w14:paraId="508F8A17" w14:textId="42A27577" w:rsidR="00560776" w:rsidRPr="00C8158A" w:rsidRDefault="00560776" w:rsidP="00E94CB1">
      <w:pPr>
        <w:pStyle w:val="H1G"/>
        <w:rPr>
          <w:lang w:val="fr-FR"/>
        </w:rPr>
      </w:pPr>
      <w:r>
        <w:rPr>
          <w:lang w:val="fr-FR"/>
        </w:rPr>
        <w:tab/>
      </w:r>
      <w:r>
        <w:rPr>
          <w:lang w:val="fr-FR"/>
        </w:rPr>
        <w:tab/>
        <w:t>Paragraphe 19 b) de la liste de points</w:t>
      </w:r>
    </w:p>
    <w:p w14:paraId="2DB18726" w14:textId="2AD814A4" w:rsidR="00560776" w:rsidRPr="00C8158A" w:rsidRDefault="00560776" w:rsidP="0040732C">
      <w:pPr>
        <w:pStyle w:val="SingleTxtG"/>
        <w:rPr>
          <w:lang w:val="fr-FR"/>
        </w:rPr>
      </w:pPr>
      <w:r>
        <w:rPr>
          <w:lang w:val="fr-FR"/>
        </w:rPr>
        <w:t>195.</w:t>
      </w:r>
      <w:r>
        <w:rPr>
          <w:lang w:val="fr-FR"/>
        </w:rPr>
        <w:tab/>
        <w:t xml:space="preserve">En 2015, le Grand </w:t>
      </w:r>
      <w:proofErr w:type="spellStart"/>
      <w:r>
        <w:rPr>
          <w:lang w:val="fr-FR"/>
        </w:rPr>
        <w:t>Khoural</w:t>
      </w:r>
      <w:proofErr w:type="spellEnd"/>
      <w:r>
        <w:rPr>
          <w:lang w:val="fr-FR"/>
        </w:rPr>
        <w:t xml:space="preserve"> d</w:t>
      </w:r>
      <w:r w:rsidR="009C7759">
        <w:rPr>
          <w:lang w:val="fr-FR"/>
        </w:rPr>
        <w:t>’</w:t>
      </w:r>
      <w:r>
        <w:rPr>
          <w:lang w:val="fr-FR"/>
        </w:rPr>
        <w:t>État a approuvé la politique énergétique de l</w:t>
      </w:r>
      <w:r w:rsidR="009C7759">
        <w:rPr>
          <w:lang w:val="fr-FR"/>
        </w:rPr>
        <w:t>’</w:t>
      </w:r>
      <w:r>
        <w:rPr>
          <w:lang w:val="fr-FR"/>
        </w:rPr>
        <w:t>État et le Gouvernement a adopté le programme national à moyen terme de mise en œuvre de la politique énergétique de l</w:t>
      </w:r>
      <w:r w:rsidR="009C7759">
        <w:rPr>
          <w:lang w:val="fr-FR"/>
        </w:rPr>
        <w:t>’</w:t>
      </w:r>
      <w:r>
        <w:rPr>
          <w:lang w:val="fr-FR"/>
        </w:rPr>
        <w:t xml:space="preserve">État (2018-2023). </w:t>
      </w:r>
    </w:p>
    <w:p w14:paraId="0E9A7AC6" w14:textId="0C5EA719" w:rsidR="00560776" w:rsidRPr="00C8158A" w:rsidRDefault="00560776" w:rsidP="0040732C">
      <w:pPr>
        <w:pStyle w:val="SingleTxtG"/>
        <w:rPr>
          <w:lang w:val="fr-FR"/>
        </w:rPr>
      </w:pPr>
      <w:r>
        <w:rPr>
          <w:lang w:val="fr-FR"/>
        </w:rPr>
        <w:t>196.</w:t>
      </w:r>
      <w:r>
        <w:rPr>
          <w:lang w:val="fr-FR"/>
        </w:rPr>
        <w:tab/>
        <w:t>Cette politique énergétique fait du développement des énergies renouvelables le principal objectif à atteindre pour assurer le développement du secteur énergétique mongol et la réalisation du développement durable. Il est prévu, dans le cadre de cette politique, de porter à 20</w:t>
      </w:r>
      <w:r w:rsidR="00DD525C">
        <w:rPr>
          <w:lang w:val="fr-FR"/>
        </w:rPr>
        <w:t> </w:t>
      </w:r>
      <w:r>
        <w:rPr>
          <w:lang w:val="fr-FR"/>
        </w:rPr>
        <w:t>% en 2020, puis à 30</w:t>
      </w:r>
      <w:r w:rsidR="00DD525C">
        <w:rPr>
          <w:lang w:val="fr-FR"/>
        </w:rPr>
        <w:t> </w:t>
      </w:r>
      <w:r>
        <w:rPr>
          <w:lang w:val="fr-FR"/>
        </w:rPr>
        <w:t xml:space="preserve">% en 2030, la part des énergies renouvelables dans la puissance installée totale. </w:t>
      </w:r>
    </w:p>
    <w:p w14:paraId="5764B9B9" w14:textId="6D769E15" w:rsidR="00560776" w:rsidRPr="00C8158A" w:rsidRDefault="00560776" w:rsidP="0040732C">
      <w:pPr>
        <w:pStyle w:val="SingleTxtG"/>
        <w:rPr>
          <w:lang w:val="fr-FR"/>
        </w:rPr>
      </w:pPr>
      <w:r>
        <w:rPr>
          <w:lang w:val="fr-FR"/>
        </w:rPr>
        <w:t>197.</w:t>
      </w:r>
      <w:r>
        <w:rPr>
          <w:lang w:val="fr-FR"/>
        </w:rPr>
        <w:tab/>
        <w:t>Grâce aux diverses mesures prises par l</w:t>
      </w:r>
      <w:r w:rsidR="009C7759">
        <w:rPr>
          <w:lang w:val="fr-FR"/>
        </w:rPr>
        <w:t>’</w:t>
      </w:r>
      <w:r>
        <w:rPr>
          <w:lang w:val="fr-FR"/>
        </w:rPr>
        <w:t>État, les projets d</w:t>
      </w:r>
      <w:r w:rsidR="009C7759">
        <w:rPr>
          <w:lang w:val="fr-FR"/>
        </w:rPr>
        <w:t>’</w:t>
      </w:r>
      <w:r>
        <w:rPr>
          <w:lang w:val="fr-FR"/>
        </w:rPr>
        <w:t>énergie renouvelable suivants ont été mis en service</w:t>
      </w:r>
      <w:r w:rsidR="008F6EE8">
        <w:rPr>
          <w:lang w:val="fr-FR"/>
        </w:rPr>
        <w:t> </w:t>
      </w:r>
      <w:r>
        <w:rPr>
          <w:lang w:val="fr-FR"/>
        </w:rPr>
        <w:t xml:space="preserve">: le parc éolien de </w:t>
      </w:r>
      <w:proofErr w:type="spellStart"/>
      <w:r>
        <w:rPr>
          <w:lang w:val="fr-FR"/>
        </w:rPr>
        <w:t>Salkhit</w:t>
      </w:r>
      <w:proofErr w:type="spellEnd"/>
      <w:r>
        <w:rPr>
          <w:lang w:val="fr-FR"/>
        </w:rPr>
        <w:t xml:space="preserve"> d</w:t>
      </w:r>
      <w:r w:rsidR="009C7759">
        <w:rPr>
          <w:lang w:val="fr-FR"/>
        </w:rPr>
        <w:t>’</w:t>
      </w:r>
      <w:r>
        <w:rPr>
          <w:lang w:val="fr-FR"/>
        </w:rPr>
        <w:t>une puissance installée de 50 MW en 2013, la centrale solaire de Darkhan d</w:t>
      </w:r>
      <w:r w:rsidR="009C7759">
        <w:rPr>
          <w:lang w:val="fr-FR"/>
        </w:rPr>
        <w:t>’</w:t>
      </w:r>
      <w:r>
        <w:rPr>
          <w:lang w:val="fr-FR"/>
        </w:rPr>
        <w:t xml:space="preserve">une puissance installée de 10 MW, la centrale solaire de </w:t>
      </w:r>
      <w:proofErr w:type="spellStart"/>
      <w:r>
        <w:rPr>
          <w:lang w:val="fr-FR"/>
        </w:rPr>
        <w:t>Monnaran</w:t>
      </w:r>
      <w:proofErr w:type="spellEnd"/>
      <w:r>
        <w:rPr>
          <w:lang w:val="fr-FR"/>
        </w:rPr>
        <w:t xml:space="preserve"> d</w:t>
      </w:r>
      <w:r w:rsidR="009C7759">
        <w:rPr>
          <w:lang w:val="fr-FR"/>
        </w:rPr>
        <w:t>’</w:t>
      </w:r>
      <w:r>
        <w:rPr>
          <w:lang w:val="fr-FR"/>
        </w:rPr>
        <w:t xml:space="preserve">une puissance installée de 10 MW et le parc éolien de </w:t>
      </w:r>
      <w:proofErr w:type="spellStart"/>
      <w:r>
        <w:rPr>
          <w:lang w:val="fr-FR"/>
        </w:rPr>
        <w:t>Tsogttsetsii</w:t>
      </w:r>
      <w:proofErr w:type="spellEnd"/>
      <w:r>
        <w:rPr>
          <w:lang w:val="fr-FR"/>
        </w:rPr>
        <w:t xml:space="preserve"> d</w:t>
      </w:r>
      <w:r w:rsidR="009C7759">
        <w:rPr>
          <w:lang w:val="fr-FR"/>
        </w:rPr>
        <w:t>’</w:t>
      </w:r>
      <w:r>
        <w:rPr>
          <w:lang w:val="fr-FR"/>
        </w:rPr>
        <w:t xml:space="preserve">une puissance installée de 50 MW en 2017, la centrale solaire de </w:t>
      </w:r>
      <w:proofErr w:type="spellStart"/>
      <w:r>
        <w:rPr>
          <w:lang w:val="fr-FR"/>
        </w:rPr>
        <w:t>Gegeen</w:t>
      </w:r>
      <w:proofErr w:type="spellEnd"/>
      <w:r>
        <w:rPr>
          <w:lang w:val="fr-FR"/>
        </w:rPr>
        <w:t xml:space="preserve"> d</w:t>
      </w:r>
      <w:r w:rsidR="009C7759">
        <w:rPr>
          <w:lang w:val="fr-FR"/>
        </w:rPr>
        <w:t>’</w:t>
      </w:r>
      <w:r>
        <w:rPr>
          <w:lang w:val="fr-FR"/>
        </w:rPr>
        <w:t xml:space="preserve">une puissance installée de 15 MW à </w:t>
      </w:r>
      <w:proofErr w:type="spellStart"/>
      <w:r>
        <w:rPr>
          <w:lang w:val="fr-FR"/>
        </w:rPr>
        <w:t>Zamyn-Uud</w:t>
      </w:r>
      <w:proofErr w:type="spellEnd"/>
      <w:r>
        <w:rPr>
          <w:lang w:val="fr-FR"/>
        </w:rPr>
        <w:t xml:space="preserve">, la centrale solaire de </w:t>
      </w:r>
      <w:proofErr w:type="spellStart"/>
      <w:r>
        <w:rPr>
          <w:lang w:val="fr-FR"/>
        </w:rPr>
        <w:t>Buhug</w:t>
      </w:r>
      <w:proofErr w:type="spellEnd"/>
      <w:r>
        <w:rPr>
          <w:lang w:val="fr-FR"/>
        </w:rPr>
        <w:t xml:space="preserve"> d</w:t>
      </w:r>
      <w:r w:rsidR="009C7759">
        <w:rPr>
          <w:lang w:val="fr-FR"/>
        </w:rPr>
        <w:t>’</w:t>
      </w:r>
      <w:r>
        <w:rPr>
          <w:lang w:val="fr-FR"/>
        </w:rPr>
        <w:t>une puissance installée de 15</w:t>
      </w:r>
      <w:r w:rsidR="001F6365">
        <w:rPr>
          <w:lang w:val="fr-FR"/>
        </w:rPr>
        <w:t> </w:t>
      </w:r>
      <w:r>
        <w:rPr>
          <w:lang w:val="fr-FR"/>
        </w:rPr>
        <w:t xml:space="preserve">MW dans le soum de </w:t>
      </w:r>
      <w:proofErr w:type="spellStart"/>
      <w:r>
        <w:rPr>
          <w:lang w:val="fr-FR"/>
        </w:rPr>
        <w:t>Sergelen</w:t>
      </w:r>
      <w:proofErr w:type="spellEnd"/>
      <w:r>
        <w:rPr>
          <w:lang w:val="fr-FR"/>
        </w:rPr>
        <w:t xml:space="preserve"> de l</w:t>
      </w:r>
      <w:r w:rsidR="009C7759">
        <w:rPr>
          <w:lang w:val="fr-FR"/>
        </w:rPr>
        <w:t>’</w:t>
      </w:r>
      <w:r>
        <w:rPr>
          <w:lang w:val="fr-FR"/>
        </w:rPr>
        <w:t xml:space="preserve">aïmag de </w:t>
      </w:r>
      <w:proofErr w:type="spellStart"/>
      <w:r>
        <w:rPr>
          <w:lang w:val="fr-FR"/>
        </w:rPr>
        <w:t>Tuv</w:t>
      </w:r>
      <w:proofErr w:type="spellEnd"/>
      <w:r>
        <w:rPr>
          <w:lang w:val="fr-FR"/>
        </w:rPr>
        <w:t xml:space="preserve"> et la centrale solaire de </w:t>
      </w:r>
      <w:proofErr w:type="spellStart"/>
      <w:r>
        <w:rPr>
          <w:lang w:val="fr-FR"/>
        </w:rPr>
        <w:t>Sumber</w:t>
      </w:r>
      <w:proofErr w:type="spellEnd"/>
      <w:r>
        <w:rPr>
          <w:lang w:val="fr-FR"/>
        </w:rPr>
        <w:t xml:space="preserve"> d</w:t>
      </w:r>
      <w:r w:rsidR="009C7759">
        <w:rPr>
          <w:lang w:val="fr-FR"/>
        </w:rPr>
        <w:t>’</w:t>
      </w:r>
      <w:r>
        <w:rPr>
          <w:lang w:val="fr-FR"/>
        </w:rPr>
        <w:t>une puissance installée de 10 MW à Gobi-</w:t>
      </w:r>
      <w:proofErr w:type="spellStart"/>
      <w:r>
        <w:rPr>
          <w:lang w:val="fr-FR"/>
        </w:rPr>
        <w:t>Sumber</w:t>
      </w:r>
      <w:proofErr w:type="spellEnd"/>
      <w:r>
        <w:rPr>
          <w:lang w:val="fr-FR"/>
        </w:rPr>
        <w:t xml:space="preserve"> en 2018. D</w:t>
      </w:r>
      <w:r w:rsidR="009C7759">
        <w:rPr>
          <w:lang w:val="fr-FR"/>
        </w:rPr>
        <w:t>’</w:t>
      </w:r>
      <w:r>
        <w:rPr>
          <w:lang w:val="fr-FR"/>
        </w:rPr>
        <w:t>après les données de 2020, la capacité totale de production d</w:t>
      </w:r>
      <w:r w:rsidR="009C7759">
        <w:rPr>
          <w:lang w:val="fr-FR"/>
        </w:rPr>
        <w:t>’</w:t>
      </w:r>
      <w:r>
        <w:rPr>
          <w:lang w:val="fr-FR"/>
        </w:rPr>
        <w:t>énergie renouvelable de la Mongolie a atteint 230</w:t>
      </w:r>
      <w:r w:rsidR="001F6365">
        <w:rPr>
          <w:lang w:val="fr-FR"/>
        </w:rPr>
        <w:t> </w:t>
      </w:r>
      <w:r>
        <w:rPr>
          <w:lang w:val="fr-FR"/>
        </w:rPr>
        <w:t>MW et représente 19,6</w:t>
      </w:r>
      <w:r w:rsidR="001F6365">
        <w:rPr>
          <w:lang w:val="fr-FR"/>
        </w:rPr>
        <w:t> </w:t>
      </w:r>
      <w:r>
        <w:rPr>
          <w:lang w:val="fr-FR"/>
        </w:rPr>
        <w:t xml:space="preserve">% de la capacité de production totale installée. </w:t>
      </w:r>
    </w:p>
    <w:p w14:paraId="4E35C619" w14:textId="3F177F02" w:rsidR="00560776" w:rsidRPr="00C8158A" w:rsidRDefault="00560776" w:rsidP="0040732C">
      <w:pPr>
        <w:pStyle w:val="SingleTxtG"/>
        <w:rPr>
          <w:lang w:val="fr-FR"/>
        </w:rPr>
      </w:pPr>
      <w:r>
        <w:rPr>
          <w:lang w:val="fr-FR"/>
        </w:rPr>
        <w:t>198.</w:t>
      </w:r>
      <w:r>
        <w:rPr>
          <w:lang w:val="fr-FR"/>
        </w:rPr>
        <w:tab/>
        <w:t>Le Ministère de l</w:t>
      </w:r>
      <w:r w:rsidR="009C7759">
        <w:rPr>
          <w:lang w:val="fr-FR"/>
        </w:rPr>
        <w:t>’</w:t>
      </w:r>
      <w:r>
        <w:rPr>
          <w:lang w:val="fr-FR"/>
        </w:rPr>
        <w:t>énergie mène plusieurs projets et activités visant à améliorer les capacités d</w:t>
      </w:r>
      <w:r w:rsidR="009C7759">
        <w:rPr>
          <w:lang w:val="fr-FR"/>
        </w:rPr>
        <w:t>’</w:t>
      </w:r>
      <w:r>
        <w:rPr>
          <w:lang w:val="fr-FR"/>
        </w:rPr>
        <w:t>adaptation du système de production d</w:t>
      </w:r>
      <w:r w:rsidR="009C7759">
        <w:rPr>
          <w:lang w:val="fr-FR"/>
        </w:rPr>
        <w:t>’</w:t>
      </w:r>
      <w:r>
        <w:rPr>
          <w:lang w:val="fr-FR"/>
        </w:rPr>
        <w:t>énergie. Par exemple, les travaux de construction d</w:t>
      </w:r>
      <w:r w:rsidR="009C7759">
        <w:rPr>
          <w:lang w:val="fr-FR"/>
        </w:rPr>
        <w:t>’</w:t>
      </w:r>
      <w:r>
        <w:rPr>
          <w:lang w:val="fr-FR"/>
        </w:rPr>
        <w:t>un système de stockage de l</w:t>
      </w:r>
      <w:r w:rsidR="009C7759">
        <w:rPr>
          <w:lang w:val="fr-FR"/>
        </w:rPr>
        <w:t>’</w:t>
      </w:r>
      <w:r>
        <w:rPr>
          <w:lang w:val="fr-FR"/>
        </w:rPr>
        <w:t>énergie par batterie de 100</w:t>
      </w:r>
      <w:r w:rsidR="001F6365">
        <w:rPr>
          <w:lang w:val="fr-FR"/>
        </w:rPr>
        <w:t> </w:t>
      </w:r>
      <w:r>
        <w:rPr>
          <w:lang w:val="fr-FR"/>
        </w:rPr>
        <w:t>MW ont débuté, avec l</w:t>
      </w:r>
      <w:r w:rsidR="009C7759">
        <w:rPr>
          <w:lang w:val="fr-FR"/>
        </w:rPr>
        <w:t>’</w:t>
      </w:r>
      <w:r>
        <w:rPr>
          <w:lang w:val="fr-FR"/>
        </w:rPr>
        <w:t xml:space="preserve">appui de la </w:t>
      </w:r>
      <w:proofErr w:type="spellStart"/>
      <w:r>
        <w:rPr>
          <w:lang w:val="fr-FR"/>
        </w:rPr>
        <w:t>BAsD</w:t>
      </w:r>
      <w:proofErr w:type="spellEnd"/>
      <w:r>
        <w:rPr>
          <w:lang w:val="fr-FR"/>
        </w:rPr>
        <w:t>, afin d</w:t>
      </w:r>
      <w:r w:rsidR="009C7759">
        <w:rPr>
          <w:lang w:val="fr-FR"/>
        </w:rPr>
        <w:t>’</w:t>
      </w:r>
      <w:r>
        <w:rPr>
          <w:lang w:val="fr-FR"/>
        </w:rPr>
        <w:t>assurer la production durable d</w:t>
      </w:r>
      <w:r w:rsidR="009C7759">
        <w:rPr>
          <w:lang w:val="fr-FR"/>
        </w:rPr>
        <w:t>’</w:t>
      </w:r>
      <w:r>
        <w:rPr>
          <w:lang w:val="fr-FR"/>
        </w:rPr>
        <w:t>énergies re</w:t>
      </w:r>
      <w:r w:rsidR="001F6365">
        <w:rPr>
          <w:lang w:val="fr-FR"/>
        </w:rPr>
        <w:t>n</w:t>
      </w:r>
      <w:r>
        <w:rPr>
          <w:lang w:val="fr-FR"/>
        </w:rPr>
        <w:t>ouvelables, qui est en expansion, et d</w:t>
      </w:r>
      <w:r w:rsidR="009C7759">
        <w:rPr>
          <w:lang w:val="fr-FR"/>
        </w:rPr>
        <w:t>’</w:t>
      </w:r>
      <w:r>
        <w:rPr>
          <w:lang w:val="fr-FR"/>
        </w:rPr>
        <w:t>accroître la fiabilité et l</w:t>
      </w:r>
      <w:r w:rsidR="009C7759">
        <w:rPr>
          <w:lang w:val="fr-FR"/>
        </w:rPr>
        <w:t>’</w:t>
      </w:r>
      <w:r>
        <w:rPr>
          <w:lang w:val="fr-FR"/>
        </w:rPr>
        <w:t>indépendance du secteur énergétique. Un projet de construction d</w:t>
      </w:r>
      <w:r w:rsidR="009C7759">
        <w:rPr>
          <w:lang w:val="fr-FR"/>
        </w:rPr>
        <w:t>’</w:t>
      </w:r>
      <w:r>
        <w:rPr>
          <w:lang w:val="fr-FR"/>
        </w:rPr>
        <w:t>un système de stockage d</w:t>
      </w:r>
      <w:r w:rsidR="009C7759">
        <w:rPr>
          <w:lang w:val="fr-FR"/>
        </w:rPr>
        <w:t>’</w:t>
      </w:r>
      <w:r>
        <w:rPr>
          <w:lang w:val="fr-FR"/>
        </w:rPr>
        <w:t>eau de 100 à 150 MW</w:t>
      </w:r>
      <w:r w:rsidR="001F6365">
        <w:rPr>
          <w:lang w:val="fr-FR"/>
        </w:rPr>
        <w:t> </w:t>
      </w:r>
      <w:r>
        <w:rPr>
          <w:lang w:val="fr-FR"/>
        </w:rPr>
        <w:t>bénéficiant de l</w:t>
      </w:r>
      <w:r w:rsidR="009C7759">
        <w:rPr>
          <w:lang w:val="fr-FR"/>
        </w:rPr>
        <w:t>’</w:t>
      </w:r>
      <w:r>
        <w:rPr>
          <w:lang w:val="fr-FR"/>
        </w:rPr>
        <w:t>appui de la Banque mondiale fait actuellement l</w:t>
      </w:r>
      <w:r w:rsidR="009C7759">
        <w:rPr>
          <w:lang w:val="fr-FR"/>
        </w:rPr>
        <w:t>’</w:t>
      </w:r>
      <w:r>
        <w:rPr>
          <w:lang w:val="fr-FR"/>
        </w:rPr>
        <w:t>objet d</w:t>
      </w:r>
      <w:r w:rsidR="009C7759">
        <w:rPr>
          <w:lang w:val="fr-FR"/>
        </w:rPr>
        <w:t>’</w:t>
      </w:r>
      <w:r>
        <w:rPr>
          <w:lang w:val="fr-FR"/>
        </w:rPr>
        <w:t>une étude de faisabilité. Une fois ces projets mis en œuvre, il sera techniquement possible d</w:t>
      </w:r>
      <w:r w:rsidR="009C7759">
        <w:rPr>
          <w:lang w:val="fr-FR"/>
        </w:rPr>
        <w:t>’</w:t>
      </w:r>
      <w:r>
        <w:rPr>
          <w:lang w:val="fr-FR"/>
        </w:rPr>
        <w:t>accroître les sources d</w:t>
      </w:r>
      <w:r w:rsidR="009C7759">
        <w:rPr>
          <w:lang w:val="fr-FR"/>
        </w:rPr>
        <w:t>’</w:t>
      </w:r>
      <w:r>
        <w:rPr>
          <w:lang w:val="fr-FR"/>
        </w:rPr>
        <w:t xml:space="preserve">énergie renouvelable dans le centre du pays. </w:t>
      </w:r>
    </w:p>
    <w:p w14:paraId="7FFD8964" w14:textId="59E10466" w:rsidR="00560776" w:rsidRPr="00C8158A" w:rsidRDefault="00560776" w:rsidP="001F6365">
      <w:pPr>
        <w:pStyle w:val="SingleTxtG"/>
        <w:keepNext/>
        <w:keepLines/>
        <w:rPr>
          <w:lang w:val="fr-FR"/>
        </w:rPr>
      </w:pPr>
      <w:r>
        <w:rPr>
          <w:lang w:val="fr-FR"/>
        </w:rPr>
        <w:lastRenderedPageBreak/>
        <w:t>199.</w:t>
      </w:r>
      <w:r>
        <w:rPr>
          <w:lang w:val="fr-FR"/>
        </w:rPr>
        <w:tab/>
        <w:t>Des centrales solaires et éoliennes et des systèmes de stockage de l</w:t>
      </w:r>
      <w:r w:rsidR="009C7759">
        <w:rPr>
          <w:lang w:val="fr-FR"/>
        </w:rPr>
        <w:t>’</w:t>
      </w:r>
      <w:r>
        <w:rPr>
          <w:lang w:val="fr-FR"/>
        </w:rPr>
        <w:t>énergie par batterie d</w:t>
      </w:r>
      <w:r w:rsidR="009C7759">
        <w:rPr>
          <w:lang w:val="fr-FR"/>
        </w:rPr>
        <w:t>’</w:t>
      </w:r>
      <w:r>
        <w:rPr>
          <w:lang w:val="fr-FR"/>
        </w:rPr>
        <w:t>une puissance totale prévue de 41 MW seront mis en service dans cinq aïmags de l</w:t>
      </w:r>
      <w:r w:rsidR="009C7759">
        <w:rPr>
          <w:lang w:val="fr-FR"/>
        </w:rPr>
        <w:t>’</w:t>
      </w:r>
      <w:r>
        <w:rPr>
          <w:lang w:val="fr-FR"/>
        </w:rPr>
        <w:t>ouest de la Mongolie afin d</w:t>
      </w:r>
      <w:r w:rsidR="009C7759">
        <w:rPr>
          <w:lang w:val="fr-FR"/>
        </w:rPr>
        <w:t>’</w:t>
      </w:r>
      <w:r>
        <w:rPr>
          <w:lang w:val="fr-FR"/>
        </w:rPr>
        <w:t xml:space="preserve">accroître la part des énergies renouvelables. Ces projets seront financés par une subvention du Fonds mondial pour le climat et par des prêts de la Banque mondiale et de la </w:t>
      </w:r>
      <w:proofErr w:type="spellStart"/>
      <w:r>
        <w:rPr>
          <w:lang w:val="fr-FR"/>
        </w:rPr>
        <w:t>BAsD</w:t>
      </w:r>
      <w:proofErr w:type="spellEnd"/>
      <w:r>
        <w:rPr>
          <w:lang w:val="fr-FR"/>
        </w:rPr>
        <w:t xml:space="preserve"> assortis de conditions favorables. La construction de la centrale </w:t>
      </w:r>
      <w:proofErr w:type="spellStart"/>
      <w:r>
        <w:rPr>
          <w:lang w:val="fr-FR"/>
        </w:rPr>
        <w:t>hydroélectrique</w:t>
      </w:r>
      <w:proofErr w:type="spellEnd"/>
      <w:r>
        <w:rPr>
          <w:lang w:val="fr-FR"/>
        </w:rPr>
        <w:t xml:space="preserve"> d</w:t>
      </w:r>
      <w:r w:rsidR="009C7759">
        <w:rPr>
          <w:lang w:val="fr-FR"/>
        </w:rPr>
        <w:t>’</w:t>
      </w:r>
      <w:proofErr w:type="spellStart"/>
      <w:r>
        <w:rPr>
          <w:lang w:val="fr-FR"/>
        </w:rPr>
        <w:t>Erdeneburen</w:t>
      </w:r>
      <w:proofErr w:type="spellEnd"/>
      <w:r>
        <w:rPr>
          <w:lang w:val="fr-FR"/>
        </w:rPr>
        <w:t>, d</w:t>
      </w:r>
      <w:r w:rsidR="009C7759">
        <w:rPr>
          <w:lang w:val="fr-FR"/>
        </w:rPr>
        <w:t>’</w:t>
      </w:r>
      <w:r>
        <w:rPr>
          <w:lang w:val="fr-FR"/>
        </w:rPr>
        <w:t>une puissance de 90</w:t>
      </w:r>
      <w:r w:rsidR="001F6365">
        <w:rPr>
          <w:lang w:val="fr-FR"/>
        </w:rPr>
        <w:t> </w:t>
      </w:r>
      <w:r>
        <w:rPr>
          <w:lang w:val="fr-FR"/>
        </w:rPr>
        <w:t>MW, a commencé. En outre, la phase préparatoire du projet visant à faire fonctionner en mode « intelligent » le système électrique de ces aïmags et à installer un système de gestion centralisée de type SCADA a débuté. En</w:t>
      </w:r>
      <w:r w:rsidR="00D504E7">
        <w:rPr>
          <w:lang w:val="fr-FR"/>
        </w:rPr>
        <w:t> </w:t>
      </w:r>
      <w:r>
        <w:rPr>
          <w:lang w:val="fr-FR"/>
        </w:rPr>
        <w:t>mettant en œuvre ces projets, le système électrique fondé sur des énergies renouvelables des aïmags de l</w:t>
      </w:r>
      <w:r w:rsidR="009C7759">
        <w:rPr>
          <w:lang w:val="fr-FR"/>
        </w:rPr>
        <w:t>’</w:t>
      </w:r>
      <w:r>
        <w:rPr>
          <w:lang w:val="fr-FR"/>
        </w:rPr>
        <w:t xml:space="preserve">ouest du pays fera figure de modèle pour les autres régions. </w:t>
      </w:r>
    </w:p>
    <w:p w14:paraId="3C8CB924" w14:textId="503E936A" w:rsidR="00560776" w:rsidRPr="00C8158A" w:rsidRDefault="00560776" w:rsidP="0040732C">
      <w:pPr>
        <w:pStyle w:val="SingleTxtG"/>
        <w:rPr>
          <w:lang w:val="fr-FR"/>
        </w:rPr>
      </w:pPr>
      <w:r>
        <w:rPr>
          <w:lang w:val="fr-FR"/>
        </w:rPr>
        <w:t>200.</w:t>
      </w:r>
      <w:r>
        <w:rPr>
          <w:lang w:val="fr-FR"/>
        </w:rPr>
        <w:tab/>
        <w:t>La Mongolie s</w:t>
      </w:r>
      <w:r w:rsidR="009C7759">
        <w:rPr>
          <w:lang w:val="fr-FR"/>
        </w:rPr>
        <w:t>’</w:t>
      </w:r>
      <w:r>
        <w:rPr>
          <w:lang w:val="fr-FR"/>
        </w:rPr>
        <w:t>emploie à exploiter ses vastes sources d</w:t>
      </w:r>
      <w:r w:rsidR="009C7759">
        <w:rPr>
          <w:lang w:val="fr-FR"/>
        </w:rPr>
        <w:t>’</w:t>
      </w:r>
      <w:r>
        <w:rPr>
          <w:lang w:val="fr-FR"/>
        </w:rPr>
        <w:t>énergie renouvelable non seulement pour sa propre consommation, mais aussi, grâce à la coopération régionale dans le secteur de l</w:t>
      </w:r>
      <w:r w:rsidR="009C7759">
        <w:rPr>
          <w:lang w:val="fr-FR"/>
        </w:rPr>
        <w:t>’</w:t>
      </w:r>
      <w:r>
        <w:rPr>
          <w:lang w:val="fr-FR"/>
        </w:rPr>
        <w:t>électricité, pour approvisionner en énergie propre d</w:t>
      </w:r>
      <w:r w:rsidR="009C7759">
        <w:rPr>
          <w:lang w:val="fr-FR"/>
        </w:rPr>
        <w:t>’</w:t>
      </w:r>
      <w:r>
        <w:rPr>
          <w:lang w:val="fr-FR"/>
        </w:rPr>
        <w:t>autres pays d</w:t>
      </w:r>
      <w:r w:rsidR="009C7759">
        <w:rPr>
          <w:lang w:val="fr-FR"/>
        </w:rPr>
        <w:t>’</w:t>
      </w:r>
      <w:r>
        <w:rPr>
          <w:lang w:val="fr-FR"/>
        </w:rPr>
        <w:t>Asie du Nord</w:t>
      </w:r>
      <w:r w:rsidR="00D504E7">
        <w:rPr>
          <w:lang w:val="fr-FR"/>
        </w:rPr>
        <w:noBreakHyphen/>
      </w:r>
      <w:r>
        <w:rPr>
          <w:lang w:val="fr-FR"/>
        </w:rPr>
        <w:t>Est. Le projet de grand maillage de l</w:t>
      </w:r>
      <w:r w:rsidR="009C7759">
        <w:rPr>
          <w:lang w:val="fr-FR"/>
        </w:rPr>
        <w:t>’</w:t>
      </w:r>
      <w:r>
        <w:rPr>
          <w:lang w:val="fr-FR"/>
        </w:rPr>
        <w:t xml:space="preserve">Asie du Nord-Est est un exemple de cette coopération. </w:t>
      </w:r>
    </w:p>
    <w:p w14:paraId="7DA75EA2" w14:textId="166192F5" w:rsidR="00560776" w:rsidRPr="00C8158A" w:rsidRDefault="00560776" w:rsidP="0040732C">
      <w:pPr>
        <w:pStyle w:val="SingleTxtG"/>
        <w:rPr>
          <w:lang w:val="fr-FR"/>
        </w:rPr>
      </w:pPr>
      <w:r>
        <w:rPr>
          <w:lang w:val="fr-FR"/>
        </w:rPr>
        <w:t>201.</w:t>
      </w:r>
      <w:r>
        <w:rPr>
          <w:lang w:val="fr-FR"/>
        </w:rPr>
        <w:tab/>
        <w:t>Dans le cadre de cette initiative, la Mongolie effectue des recherches portant sur la région. Si le projet est mené à son terme, la Mongolie sera en mesure de partager ses vastes sources d</w:t>
      </w:r>
      <w:r w:rsidR="009C7759">
        <w:rPr>
          <w:lang w:val="fr-FR"/>
        </w:rPr>
        <w:t>’</w:t>
      </w:r>
      <w:r>
        <w:rPr>
          <w:lang w:val="fr-FR"/>
        </w:rPr>
        <w:t>énergie renouvelable en exportant de l</w:t>
      </w:r>
      <w:r w:rsidR="009C7759">
        <w:rPr>
          <w:lang w:val="fr-FR"/>
        </w:rPr>
        <w:t>’</w:t>
      </w:r>
      <w:r>
        <w:rPr>
          <w:lang w:val="fr-FR"/>
        </w:rPr>
        <w:t>énergie propre vers d</w:t>
      </w:r>
      <w:r w:rsidR="009C7759">
        <w:rPr>
          <w:lang w:val="fr-FR"/>
        </w:rPr>
        <w:t>’</w:t>
      </w:r>
      <w:r>
        <w:rPr>
          <w:lang w:val="fr-FR"/>
        </w:rPr>
        <w:t xml:space="preserve">autres pays de la région. </w:t>
      </w:r>
    </w:p>
    <w:p w14:paraId="18E674C6" w14:textId="71A010AD" w:rsidR="00560776" w:rsidRPr="00C8158A" w:rsidRDefault="00560776" w:rsidP="0040732C">
      <w:pPr>
        <w:pStyle w:val="SingleTxtG"/>
        <w:rPr>
          <w:lang w:val="fr-FR"/>
        </w:rPr>
      </w:pPr>
      <w:r>
        <w:rPr>
          <w:lang w:val="fr-FR"/>
        </w:rPr>
        <w:t>202.</w:t>
      </w:r>
      <w:r>
        <w:rPr>
          <w:lang w:val="fr-FR"/>
        </w:rPr>
        <w:tab/>
        <w:t>Conformément à l</w:t>
      </w:r>
      <w:r w:rsidR="009C7759">
        <w:rPr>
          <w:lang w:val="fr-FR"/>
        </w:rPr>
        <w:t>’</w:t>
      </w:r>
      <w:r>
        <w:rPr>
          <w:lang w:val="fr-FR"/>
        </w:rPr>
        <w:t>article 5.3.5 de la loi sur l</w:t>
      </w:r>
      <w:r w:rsidR="009C7759">
        <w:rPr>
          <w:lang w:val="fr-FR"/>
        </w:rPr>
        <w:t>’</w:t>
      </w:r>
      <w:r>
        <w:rPr>
          <w:lang w:val="fr-FR"/>
        </w:rPr>
        <w:t>énergie renouvelable, une procédure relative à l</w:t>
      </w:r>
      <w:r w:rsidR="009C7759">
        <w:rPr>
          <w:lang w:val="fr-FR"/>
        </w:rPr>
        <w:t>’</w:t>
      </w:r>
      <w:r>
        <w:rPr>
          <w:lang w:val="fr-FR"/>
        </w:rPr>
        <w:t>achat d</w:t>
      </w:r>
      <w:r w:rsidR="009C7759">
        <w:rPr>
          <w:lang w:val="fr-FR"/>
        </w:rPr>
        <w:t>’</w:t>
      </w:r>
      <w:r>
        <w:rPr>
          <w:lang w:val="fr-FR"/>
        </w:rPr>
        <w:t>énergie produite à partir de sources renouvelables appartenant à des ménages a été élaborée et approuvée. Cette procédure encadre le raccordement au réseau des systèmes de production d</w:t>
      </w:r>
      <w:r w:rsidR="009C7759">
        <w:rPr>
          <w:lang w:val="fr-FR"/>
        </w:rPr>
        <w:t>’</w:t>
      </w:r>
      <w:r>
        <w:rPr>
          <w:lang w:val="fr-FR"/>
        </w:rPr>
        <w:t>énergie renouvelable appartenant à des particuliers ou à des entités économiques et l</w:t>
      </w:r>
      <w:r w:rsidR="009C7759">
        <w:rPr>
          <w:lang w:val="fr-FR"/>
        </w:rPr>
        <w:t>’</w:t>
      </w:r>
      <w:r>
        <w:rPr>
          <w:lang w:val="fr-FR"/>
        </w:rPr>
        <w:t>achat de l</w:t>
      </w:r>
      <w:r w:rsidR="009C7759">
        <w:rPr>
          <w:lang w:val="fr-FR"/>
        </w:rPr>
        <w:t>’</w:t>
      </w:r>
      <w:r>
        <w:rPr>
          <w:lang w:val="fr-FR"/>
        </w:rPr>
        <w:t>énergie excédentaire qu</w:t>
      </w:r>
      <w:r w:rsidR="009C7759">
        <w:rPr>
          <w:lang w:val="fr-FR"/>
        </w:rPr>
        <w:t>’</w:t>
      </w:r>
      <w:r>
        <w:rPr>
          <w:lang w:val="fr-FR"/>
        </w:rPr>
        <w:t>ils produisent. La procédure est en cours d</w:t>
      </w:r>
      <w:r w:rsidR="009C7759">
        <w:rPr>
          <w:lang w:val="fr-FR"/>
        </w:rPr>
        <w:t>’</w:t>
      </w:r>
      <w:r>
        <w:rPr>
          <w:lang w:val="fr-FR"/>
        </w:rPr>
        <w:t xml:space="preserve">enregistrement au registre national des actes administratifs et son application suivra. </w:t>
      </w:r>
    </w:p>
    <w:p w14:paraId="5C1A9696" w14:textId="1F7F0F12" w:rsidR="00560776" w:rsidRPr="00C8158A" w:rsidRDefault="00560776" w:rsidP="00E94CB1">
      <w:pPr>
        <w:pStyle w:val="H1G"/>
        <w:rPr>
          <w:lang w:val="fr-FR"/>
        </w:rPr>
      </w:pPr>
      <w:r>
        <w:rPr>
          <w:lang w:val="fr-FR"/>
        </w:rPr>
        <w:tab/>
      </w:r>
      <w:r>
        <w:rPr>
          <w:lang w:val="fr-FR"/>
        </w:rPr>
        <w:tab/>
        <w:t xml:space="preserve">Paragraphe 20 de la liste de points </w:t>
      </w:r>
    </w:p>
    <w:p w14:paraId="030FDD5A" w14:textId="10E64F86" w:rsidR="00560776" w:rsidRPr="00C8158A" w:rsidRDefault="00560776" w:rsidP="00E94CB1">
      <w:pPr>
        <w:pStyle w:val="H23G"/>
        <w:rPr>
          <w:lang w:val="fr-FR"/>
        </w:rPr>
      </w:pPr>
      <w:r>
        <w:rPr>
          <w:lang w:val="fr-FR"/>
        </w:rPr>
        <w:tab/>
      </w:r>
      <w:r>
        <w:rPr>
          <w:lang w:val="fr-FR"/>
        </w:rPr>
        <w:tab/>
        <w:t>Mise en place d</w:t>
      </w:r>
      <w:r w:rsidR="009C7759">
        <w:rPr>
          <w:lang w:val="fr-FR"/>
        </w:rPr>
        <w:t>’</w:t>
      </w:r>
      <w:r>
        <w:rPr>
          <w:lang w:val="fr-FR"/>
        </w:rPr>
        <w:t>un cadre réglementaire</w:t>
      </w:r>
    </w:p>
    <w:p w14:paraId="12AB658B" w14:textId="0EE7E5C2" w:rsidR="00560776" w:rsidRPr="00C8158A" w:rsidRDefault="00560776" w:rsidP="0040732C">
      <w:pPr>
        <w:pStyle w:val="SingleTxtG"/>
        <w:rPr>
          <w:lang w:val="fr-FR"/>
        </w:rPr>
      </w:pPr>
      <w:r>
        <w:rPr>
          <w:lang w:val="fr-FR"/>
        </w:rPr>
        <w:t>203.</w:t>
      </w:r>
      <w:r>
        <w:rPr>
          <w:lang w:val="fr-FR"/>
        </w:rPr>
        <w:tab/>
        <w:t>Les dispositions relatives aux droits des personnes handicapées dans le domaine de l</w:t>
      </w:r>
      <w:r w:rsidR="009C7759">
        <w:rPr>
          <w:lang w:val="fr-FR"/>
        </w:rPr>
        <w:t>’</w:t>
      </w:r>
      <w:r>
        <w:rPr>
          <w:lang w:val="fr-FR"/>
        </w:rPr>
        <w:t>éducation sont énoncées dans la politique nationale en matière d</w:t>
      </w:r>
      <w:r w:rsidR="009C7759">
        <w:rPr>
          <w:lang w:val="fr-FR"/>
        </w:rPr>
        <w:t>’</w:t>
      </w:r>
      <w:r>
        <w:rPr>
          <w:lang w:val="fr-FR"/>
        </w:rPr>
        <w:t>éducation, la loi sur l</w:t>
      </w:r>
      <w:r w:rsidR="009C7759">
        <w:rPr>
          <w:lang w:val="fr-FR"/>
        </w:rPr>
        <w:t>’</w:t>
      </w:r>
      <w:r>
        <w:rPr>
          <w:lang w:val="fr-FR"/>
        </w:rPr>
        <w:t>éducation, la loi sur l</w:t>
      </w:r>
      <w:r w:rsidR="009C7759">
        <w:rPr>
          <w:lang w:val="fr-FR"/>
        </w:rPr>
        <w:t>’</w:t>
      </w:r>
      <w:r>
        <w:rPr>
          <w:lang w:val="fr-FR"/>
        </w:rPr>
        <w:t>éducation préscolaire, la loi sur l</w:t>
      </w:r>
      <w:r w:rsidR="009C7759">
        <w:rPr>
          <w:lang w:val="fr-FR"/>
        </w:rPr>
        <w:t>’</w:t>
      </w:r>
      <w:r>
        <w:rPr>
          <w:lang w:val="fr-FR"/>
        </w:rPr>
        <w:t>éducation primaire et secondaire et la loi sur les droits des personnes handicapées, et respectent les droits fondamentaux des personnes handicapées. Les activités suivantes sont menées conformément aux lois et documents de politique générale susmentionnés :</w:t>
      </w:r>
    </w:p>
    <w:p w14:paraId="5463408A" w14:textId="130C5A73" w:rsidR="00560776" w:rsidRPr="00C8158A" w:rsidRDefault="00560776" w:rsidP="00E94CB1">
      <w:pPr>
        <w:pStyle w:val="Bullet1G"/>
        <w:rPr>
          <w:lang w:val="fr-FR"/>
        </w:rPr>
      </w:pPr>
      <w:r>
        <w:rPr>
          <w:lang w:val="fr-FR"/>
        </w:rPr>
        <w:t>Le Gouvernement a approuvé en 2017 le programme national d</w:t>
      </w:r>
      <w:r w:rsidR="009C7759">
        <w:rPr>
          <w:lang w:val="fr-FR"/>
        </w:rPr>
        <w:t>’</w:t>
      </w:r>
      <w:r>
        <w:rPr>
          <w:lang w:val="fr-FR"/>
        </w:rPr>
        <w:t>appui aux droits humains, à la participation et au développement des personnes handicapées. Il est prévu, dans le cadre de ce programme, de mener des activités visant à assurer l</w:t>
      </w:r>
      <w:r w:rsidR="009C7759">
        <w:rPr>
          <w:lang w:val="fr-FR"/>
        </w:rPr>
        <w:t>’</w:t>
      </w:r>
      <w:r>
        <w:rPr>
          <w:lang w:val="fr-FR"/>
        </w:rPr>
        <w:t>inclusion, dans des conditions d</w:t>
      </w:r>
      <w:r w:rsidR="009C7759">
        <w:rPr>
          <w:lang w:val="fr-FR"/>
        </w:rPr>
        <w:t>’</w:t>
      </w:r>
      <w:r>
        <w:rPr>
          <w:lang w:val="fr-FR"/>
        </w:rPr>
        <w:t>égalité, des enfants handicapés dans le système éducatif et dans les services d</w:t>
      </w:r>
      <w:r w:rsidR="009C7759">
        <w:rPr>
          <w:lang w:val="fr-FR"/>
        </w:rPr>
        <w:t>’</w:t>
      </w:r>
      <w:r>
        <w:rPr>
          <w:lang w:val="fr-FR"/>
        </w:rPr>
        <w:t>éducation préscolaire. Des pratiques telles que la création de postes d</w:t>
      </w:r>
      <w:r w:rsidR="009C7759">
        <w:rPr>
          <w:lang w:val="fr-FR"/>
        </w:rPr>
        <w:t>’</w:t>
      </w:r>
      <w:r>
        <w:rPr>
          <w:lang w:val="fr-FR"/>
        </w:rPr>
        <w:t>assistant pédagogique, le financement des dépenses salariales y</w:t>
      </w:r>
      <w:r w:rsidR="000425C5">
        <w:rPr>
          <w:lang w:val="fr-FR"/>
        </w:rPr>
        <w:t> </w:t>
      </w:r>
      <w:r>
        <w:rPr>
          <w:lang w:val="fr-FR"/>
        </w:rPr>
        <w:t>afférentes, l</w:t>
      </w:r>
      <w:r w:rsidR="009C7759">
        <w:rPr>
          <w:lang w:val="fr-FR"/>
        </w:rPr>
        <w:t>’</w:t>
      </w:r>
      <w:r>
        <w:rPr>
          <w:lang w:val="fr-FR"/>
        </w:rPr>
        <w:t>adoption de modèles de plans d</w:t>
      </w:r>
      <w:r w:rsidR="009C7759">
        <w:rPr>
          <w:lang w:val="fr-FR"/>
        </w:rPr>
        <w:t>’</w:t>
      </w:r>
      <w:r>
        <w:rPr>
          <w:lang w:val="fr-FR"/>
        </w:rPr>
        <w:t>enseignement individuel, l</w:t>
      </w:r>
      <w:r w:rsidR="009C7759">
        <w:rPr>
          <w:lang w:val="fr-FR"/>
        </w:rPr>
        <w:t>’</w:t>
      </w:r>
      <w:r>
        <w:rPr>
          <w:lang w:val="fr-FR"/>
        </w:rPr>
        <w:t>élaboration de méthodes et le recours aux services d</w:t>
      </w:r>
      <w:r w:rsidR="009C7759">
        <w:rPr>
          <w:lang w:val="fr-FR"/>
        </w:rPr>
        <w:t>’</w:t>
      </w:r>
      <w:r>
        <w:rPr>
          <w:lang w:val="fr-FR"/>
        </w:rPr>
        <w:t xml:space="preserve">un enseignant extérieur pour les enfants handicapés ont été introduites et se généralisent ; </w:t>
      </w:r>
    </w:p>
    <w:p w14:paraId="7EAFE411" w14:textId="16829471" w:rsidR="00560776" w:rsidRPr="00C8158A" w:rsidRDefault="00560776" w:rsidP="00E94CB1">
      <w:pPr>
        <w:pStyle w:val="Bullet1G"/>
        <w:rPr>
          <w:lang w:val="fr-FR"/>
        </w:rPr>
      </w:pPr>
      <w:r>
        <w:rPr>
          <w:lang w:val="fr-FR"/>
        </w:rPr>
        <w:t>Les directives sur l</w:t>
      </w:r>
      <w:r w:rsidR="009C7759">
        <w:rPr>
          <w:lang w:val="fr-FR"/>
        </w:rPr>
        <w:t>’</w:t>
      </w:r>
      <w:r>
        <w:rPr>
          <w:lang w:val="fr-FR"/>
        </w:rPr>
        <w:t>accompagnement global des enfants handicapés, le modèle décisionnel de la Commission sectorielle de la santé, de l</w:t>
      </w:r>
      <w:r w:rsidR="009C7759">
        <w:rPr>
          <w:lang w:val="fr-FR"/>
        </w:rPr>
        <w:t>’</w:t>
      </w:r>
      <w:r>
        <w:rPr>
          <w:lang w:val="fr-FR"/>
        </w:rPr>
        <w:t>éducation et de la protection sociale relatif aux enfants handicapés, et le modèle d</w:t>
      </w:r>
      <w:r w:rsidR="009C7759">
        <w:rPr>
          <w:lang w:val="fr-FR"/>
        </w:rPr>
        <w:t>’</w:t>
      </w:r>
      <w:r>
        <w:rPr>
          <w:lang w:val="fr-FR"/>
        </w:rPr>
        <w:t>inscription des enfants handicapés ont été approuvées par l</w:t>
      </w:r>
      <w:r w:rsidR="009C7759">
        <w:rPr>
          <w:lang w:val="fr-FR"/>
        </w:rPr>
        <w:t>’</w:t>
      </w:r>
      <w:r>
        <w:rPr>
          <w:lang w:val="fr-FR"/>
        </w:rPr>
        <w:t>arrêté tripartite A/304/699/460 du Ministre du travail et de la protection sociale, du Ministre de l</w:t>
      </w:r>
      <w:r w:rsidR="009C7759">
        <w:rPr>
          <w:lang w:val="fr-FR"/>
        </w:rPr>
        <w:t>’</w:t>
      </w:r>
      <w:r>
        <w:rPr>
          <w:lang w:val="fr-FR"/>
        </w:rPr>
        <w:t>éducation, de la culture, des sciences et du sport et du Ministre de la santé. La mise en pratique de ces documents, qui comprennent toutes les directives relatives à l</w:t>
      </w:r>
      <w:r w:rsidR="009C7759">
        <w:rPr>
          <w:lang w:val="fr-FR"/>
        </w:rPr>
        <w:t>’</w:t>
      </w:r>
      <w:r>
        <w:rPr>
          <w:lang w:val="fr-FR"/>
        </w:rPr>
        <w:t>accompagnement global des enfants handicapés, notamment dans les domaines de la santé, de l</w:t>
      </w:r>
      <w:r w:rsidR="009C7759">
        <w:rPr>
          <w:lang w:val="fr-FR"/>
        </w:rPr>
        <w:t>’</w:t>
      </w:r>
      <w:r>
        <w:rPr>
          <w:lang w:val="fr-FR"/>
        </w:rPr>
        <w:t xml:space="preserve">éducation et de la protection sociale, se poursuit ; </w:t>
      </w:r>
    </w:p>
    <w:p w14:paraId="3CCD5CA2" w14:textId="33C800AF" w:rsidR="00560776" w:rsidRPr="00C8158A" w:rsidRDefault="00560776" w:rsidP="00E916C8">
      <w:pPr>
        <w:pStyle w:val="Bullet1G"/>
        <w:keepNext/>
        <w:keepLines/>
        <w:rPr>
          <w:lang w:val="fr-FR"/>
        </w:rPr>
      </w:pPr>
      <w:r w:rsidRPr="004B4741">
        <w:rPr>
          <w:lang w:val="fr-FR"/>
        </w:rPr>
        <w:lastRenderedPageBreak/>
        <w:t>Le programme d</w:t>
      </w:r>
      <w:r w:rsidR="009C7759" w:rsidRPr="004B4741">
        <w:rPr>
          <w:lang w:val="fr-FR"/>
        </w:rPr>
        <w:t>’</w:t>
      </w:r>
      <w:r w:rsidRPr="004B4741">
        <w:rPr>
          <w:lang w:val="fr-FR"/>
        </w:rPr>
        <w:t>enseignement général</w:t>
      </w:r>
      <w:r>
        <w:rPr>
          <w:lang w:val="fr-FR"/>
        </w:rPr>
        <w:t xml:space="preserve"> pour les enfants atteints de déficiences cognitives, le programme d</w:t>
      </w:r>
      <w:r w:rsidR="009C7759">
        <w:rPr>
          <w:lang w:val="fr-FR"/>
        </w:rPr>
        <w:t>’</w:t>
      </w:r>
      <w:r>
        <w:rPr>
          <w:lang w:val="fr-FR"/>
        </w:rPr>
        <w:t>enseignement secondaire pour les enfants atteints de déficiences cognitives, le programme d</w:t>
      </w:r>
      <w:r w:rsidR="009C7759">
        <w:rPr>
          <w:lang w:val="fr-FR"/>
        </w:rPr>
        <w:t>’</w:t>
      </w:r>
      <w:r>
        <w:rPr>
          <w:lang w:val="fr-FR"/>
        </w:rPr>
        <w:t>enseignement général pour les enfants atteints de déficiences auditives et le programme scolaire pour les enfants atteints de déficiences visuelles ont été révisés et approuvés par l</w:t>
      </w:r>
      <w:r w:rsidR="009C7759">
        <w:rPr>
          <w:lang w:val="fr-FR"/>
        </w:rPr>
        <w:t>’</w:t>
      </w:r>
      <w:r>
        <w:rPr>
          <w:lang w:val="fr-FR"/>
        </w:rPr>
        <w:t>arrêté n</w:t>
      </w:r>
      <w:r w:rsidR="004B4741" w:rsidRPr="004B4741">
        <w:rPr>
          <w:vertAlign w:val="superscript"/>
          <w:lang w:val="fr-FR"/>
        </w:rPr>
        <w:t>o</w:t>
      </w:r>
      <w:r w:rsidR="004B4741">
        <w:rPr>
          <w:lang w:val="fr-FR"/>
        </w:rPr>
        <w:t> </w:t>
      </w:r>
      <w:r>
        <w:rPr>
          <w:lang w:val="fr-FR"/>
        </w:rPr>
        <w:t>A/491 de 2018 du Ministre de l</w:t>
      </w:r>
      <w:r w:rsidR="009C7759">
        <w:rPr>
          <w:lang w:val="fr-FR"/>
        </w:rPr>
        <w:t>’</w:t>
      </w:r>
      <w:r>
        <w:rPr>
          <w:lang w:val="fr-FR"/>
        </w:rPr>
        <w:t>éducation, de la culture, des sciences et du sport. De même, les programmes d</w:t>
      </w:r>
      <w:r w:rsidR="009C7759">
        <w:rPr>
          <w:lang w:val="fr-FR"/>
        </w:rPr>
        <w:t>’</w:t>
      </w:r>
      <w:r>
        <w:rPr>
          <w:lang w:val="fr-FR"/>
        </w:rPr>
        <w:t>études pour les enfants malentendants relatifs à la préparation à l</w:t>
      </w:r>
      <w:r w:rsidR="009C7759">
        <w:rPr>
          <w:lang w:val="fr-FR"/>
        </w:rPr>
        <w:t>’</w:t>
      </w:r>
      <w:r>
        <w:rPr>
          <w:lang w:val="fr-FR"/>
        </w:rPr>
        <w:t>école primaire, à la langue mongole, aux mathématiques, à l</w:t>
      </w:r>
      <w:r w:rsidR="009C7759">
        <w:rPr>
          <w:lang w:val="fr-FR"/>
        </w:rPr>
        <w:t>’</w:t>
      </w:r>
      <w:r>
        <w:rPr>
          <w:lang w:val="fr-FR"/>
        </w:rPr>
        <w:t>expression orale et écrite, aux objets et aux exercices d</w:t>
      </w:r>
      <w:r w:rsidR="009C7759">
        <w:rPr>
          <w:lang w:val="fr-FR"/>
        </w:rPr>
        <w:t>’</w:t>
      </w:r>
      <w:r>
        <w:rPr>
          <w:lang w:val="fr-FR"/>
        </w:rPr>
        <w:t>aérobic ont été approuvés par l</w:t>
      </w:r>
      <w:r w:rsidR="009C7759">
        <w:rPr>
          <w:lang w:val="fr-FR"/>
        </w:rPr>
        <w:t>’</w:t>
      </w:r>
      <w:r>
        <w:rPr>
          <w:lang w:val="fr-FR"/>
        </w:rPr>
        <w:t>arrêté n</w:t>
      </w:r>
      <w:r w:rsidR="004B4741" w:rsidRPr="004B4741">
        <w:rPr>
          <w:vertAlign w:val="superscript"/>
          <w:lang w:val="fr-FR"/>
        </w:rPr>
        <w:t>o</w:t>
      </w:r>
      <w:r w:rsidR="004B4741">
        <w:rPr>
          <w:lang w:val="fr-FR"/>
        </w:rPr>
        <w:t> </w:t>
      </w:r>
      <w:r>
        <w:rPr>
          <w:lang w:val="fr-FR"/>
        </w:rPr>
        <w:t>A/492 de 2018 du Ministre. Ces programmes d</w:t>
      </w:r>
      <w:r w:rsidR="009C7759">
        <w:rPr>
          <w:lang w:val="fr-FR"/>
        </w:rPr>
        <w:t>’</w:t>
      </w:r>
      <w:r>
        <w:rPr>
          <w:lang w:val="fr-FR"/>
        </w:rPr>
        <w:t>études et autres programmes accordent davantage de temps aux leçons favorisant le développement des enfants handicapés ;</w:t>
      </w:r>
    </w:p>
    <w:p w14:paraId="2D678174" w14:textId="0AEE64FB" w:rsidR="00560776" w:rsidRPr="00C8158A" w:rsidRDefault="00560776" w:rsidP="00E94CB1">
      <w:pPr>
        <w:pStyle w:val="Bullet1G"/>
        <w:rPr>
          <w:lang w:val="fr-FR"/>
        </w:rPr>
      </w:pPr>
      <w:r>
        <w:rPr>
          <w:lang w:val="fr-FR"/>
        </w:rPr>
        <w:t>Afin d</w:t>
      </w:r>
      <w:r w:rsidR="009C7759">
        <w:rPr>
          <w:lang w:val="fr-FR"/>
        </w:rPr>
        <w:t>’</w:t>
      </w:r>
      <w:r>
        <w:rPr>
          <w:lang w:val="fr-FR"/>
        </w:rPr>
        <w:t>aider les enfants handicapés à suivre un enseignement adéquat selon une approche souple, qui prend en compte leurs besoins particuliers de développement, un modèle global de programme d</w:t>
      </w:r>
      <w:r w:rsidR="009C7759">
        <w:rPr>
          <w:lang w:val="fr-FR"/>
        </w:rPr>
        <w:t>’</w:t>
      </w:r>
      <w:r>
        <w:rPr>
          <w:lang w:val="fr-FR"/>
        </w:rPr>
        <w:t>enseignement individuel a été mis à l</w:t>
      </w:r>
      <w:r w:rsidR="009C7759">
        <w:rPr>
          <w:lang w:val="fr-FR"/>
        </w:rPr>
        <w:t>’</w:t>
      </w:r>
      <w:r>
        <w:rPr>
          <w:lang w:val="fr-FR"/>
        </w:rPr>
        <w:t>essai au cours de l</w:t>
      </w:r>
      <w:r w:rsidR="009C7759">
        <w:rPr>
          <w:lang w:val="fr-FR"/>
        </w:rPr>
        <w:t>’</w:t>
      </w:r>
      <w:r>
        <w:rPr>
          <w:lang w:val="fr-FR"/>
        </w:rPr>
        <w:t>année scolaire 2015</w:t>
      </w:r>
      <w:r w:rsidR="009D5F2F">
        <w:rPr>
          <w:lang w:val="fr-FR"/>
        </w:rPr>
        <w:t>/</w:t>
      </w:r>
      <w:r>
        <w:rPr>
          <w:lang w:val="fr-FR"/>
        </w:rPr>
        <w:t>2016. Le modèle a été amélioré compte tenu des résultats de cette mise à l</w:t>
      </w:r>
      <w:r w:rsidR="009C7759">
        <w:rPr>
          <w:lang w:val="fr-FR"/>
        </w:rPr>
        <w:t>’</w:t>
      </w:r>
      <w:r>
        <w:rPr>
          <w:lang w:val="fr-FR"/>
        </w:rPr>
        <w:t>essai et approuvé par l</w:t>
      </w:r>
      <w:r w:rsidR="009C7759">
        <w:rPr>
          <w:lang w:val="fr-FR"/>
        </w:rPr>
        <w:t>’</w:t>
      </w:r>
      <w:r>
        <w:rPr>
          <w:lang w:val="fr-FR"/>
        </w:rPr>
        <w:t>arrêté n</w:t>
      </w:r>
      <w:r w:rsidR="009A708A" w:rsidRPr="009A708A">
        <w:rPr>
          <w:vertAlign w:val="superscript"/>
          <w:lang w:val="fr-FR"/>
        </w:rPr>
        <w:t>o</w:t>
      </w:r>
      <w:r w:rsidR="009A708A">
        <w:rPr>
          <w:lang w:val="fr-FR"/>
        </w:rPr>
        <w:t> </w:t>
      </w:r>
      <w:r>
        <w:rPr>
          <w:lang w:val="fr-FR"/>
        </w:rPr>
        <w:t>A/155 de 2018 du Ministre de l</w:t>
      </w:r>
      <w:r w:rsidR="009C7759">
        <w:rPr>
          <w:lang w:val="fr-FR"/>
        </w:rPr>
        <w:t>’</w:t>
      </w:r>
      <w:r>
        <w:rPr>
          <w:lang w:val="fr-FR"/>
        </w:rPr>
        <w:t>éducation, de la culture, des sciences et du sport sur l</w:t>
      </w:r>
      <w:r w:rsidR="009C7759">
        <w:rPr>
          <w:lang w:val="fr-FR"/>
        </w:rPr>
        <w:t>’</w:t>
      </w:r>
      <w:r>
        <w:rPr>
          <w:lang w:val="fr-FR"/>
        </w:rPr>
        <w:t>approbation du modèle global et de la méthodologie. Ce programme comporte des objectifs à long et à court terme, du matériel d</w:t>
      </w:r>
      <w:r w:rsidR="009C7759">
        <w:rPr>
          <w:lang w:val="fr-FR"/>
        </w:rPr>
        <w:t>’</w:t>
      </w:r>
      <w:r>
        <w:rPr>
          <w:lang w:val="fr-FR"/>
        </w:rPr>
        <w:t>apprentissage, des modalités d</w:t>
      </w:r>
      <w:r w:rsidR="009C7759">
        <w:rPr>
          <w:lang w:val="fr-FR"/>
        </w:rPr>
        <w:t>’</w:t>
      </w:r>
      <w:r>
        <w:rPr>
          <w:lang w:val="fr-FR"/>
        </w:rPr>
        <w:t>appui à l</w:t>
      </w:r>
      <w:r w:rsidR="009C7759">
        <w:rPr>
          <w:lang w:val="fr-FR"/>
        </w:rPr>
        <w:t>’</w:t>
      </w:r>
      <w:r>
        <w:rPr>
          <w:lang w:val="fr-FR"/>
        </w:rPr>
        <w:t>enseignant, des phases de planification de la méthodologie, de mise en œuvre et d</w:t>
      </w:r>
      <w:r w:rsidR="009C7759">
        <w:rPr>
          <w:lang w:val="fr-FR"/>
        </w:rPr>
        <w:t>’</w:t>
      </w:r>
      <w:r>
        <w:rPr>
          <w:lang w:val="fr-FR"/>
        </w:rPr>
        <w:t>évaluation et une conclusion adaptés aux besoins spécifiques de chaque enfant handicapé ;</w:t>
      </w:r>
    </w:p>
    <w:p w14:paraId="76DE075E" w14:textId="320E0C8B" w:rsidR="00560776" w:rsidRPr="00C8158A" w:rsidRDefault="00560776" w:rsidP="00E94CB1">
      <w:pPr>
        <w:pStyle w:val="Bullet1G"/>
        <w:rPr>
          <w:lang w:val="fr-FR"/>
        </w:rPr>
      </w:pPr>
      <w:r>
        <w:rPr>
          <w:lang w:val="fr-FR"/>
        </w:rPr>
        <w:t>D</w:t>
      </w:r>
      <w:r w:rsidR="009C7759">
        <w:rPr>
          <w:lang w:val="fr-FR"/>
        </w:rPr>
        <w:t>’</w:t>
      </w:r>
      <w:r>
        <w:rPr>
          <w:lang w:val="fr-FR"/>
        </w:rPr>
        <w:t>après la disposition 3.15 de la procédure d</w:t>
      </w:r>
      <w:r w:rsidR="009C7759">
        <w:rPr>
          <w:lang w:val="fr-FR"/>
        </w:rPr>
        <w:t>’</w:t>
      </w:r>
      <w:r>
        <w:rPr>
          <w:lang w:val="fr-FR"/>
        </w:rPr>
        <w:t>évaluation des élèves des établissements d</w:t>
      </w:r>
      <w:r w:rsidR="009C7759">
        <w:rPr>
          <w:lang w:val="fr-FR"/>
        </w:rPr>
        <w:t>’</w:t>
      </w:r>
      <w:r>
        <w:rPr>
          <w:lang w:val="fr-FR"/>
        </w:rPr>
        <w:t>enseignement général et de la qualité de l</w:t>
      </w:r>
      <w:r w:rsidR="009C7759">
        <w:rPr>
          <w:lang w:val="fr-FR"/>
        </w:rPr>
        <w:t>’</w:t>
      </w:r>
      <w:r>
        <w:rPr>
          <w:lang w:val="fr-FR"/>
        </w:rPr>
        <w:t>enseignement, les élèves qui suivent le programme d</w:t>
      </w:r>
      <w:r w:rsidR="009C7759">
        <w:rPr>
          <w:lang w:val="fr-FR"/>
        </w:rPr>
        <w:t>’</w:t>
      </w:r>
      <w:r>
        <w:rPr>
          <w:lang w:val="fr-FR"/>
        </w:rPr>
        <w:t>études destiné aux enfants ayant des besoins spéciaux seront évalués selon des critères adaptés à ce programme. Les critères d</w:t>
      </w:r>
      <w:r w:rsidR="009C7759">
        <w:rPr>
          <w:lang w:val="fr-FR"/>
        </w:rPr>
        <w:t>’</w:t>
      </w:r>
      <w:r>
        <w:rPr>
          <w:lang w:val="fr-FR"/>
        </w:rPr>
        <w:t>évaluation sont définis par l</w:t>
      </w:r>
      <w:r w:rsidR="009C7759">
        <w:rPr>
          <w:lang w:val="fr-FR"/>
        </w:rPr>
        <w:t>’</w:t>
      </w:r>
      <w:r>
        <w:rPr>
          <w:lang w:val="fr-FR"/>
        </w:rPr>
        <w:t>Institut de science et de méthodologie de l</w:t>
      </w:r>
      <w:r w:rsidR="009C7759">
        <w:rPr>
          <w:lang w:val="fr-FR"/>
        </w:rPr>
        <w:t>’</w:t>
      </w:r>
      <w:r>
        <w:rPr>
          <w:lang w:val="fr-FR"/>
        </w:rPr>
        <w:t>éducation en coopération avec l</w:t>
      </w:r>
      <w:r w:rsidR="009C7759">
        <w:rPr>
          <w:lang w:val="fr-FR"/>
        </w:rPr>
        <w:t>’</w:t>
      </w:r>
      <w:r>
        <w:rPr>
          <w:lang w:val="fr-FR"/>
        </w:rPr>
        <w:t>Institut d</w:t>
      </w:r>
      <w:r w:rsidR="009C7759">
        <w:rPr>
          <w:lang w:val="fr-FR"/>
        </w:rPr>
        <w:t>’</w:t>
      </w:r>
      <w:r>
        <w:rPr>
          <w:lang w:val="fr-FR"/>
        </w:rPr>
        <w:t>évaluation de l</w:t>
      </w:r>
      <w:r w:rsidR="009C7759">
        <w:rPr>
          <w:lang w:val="fr-FR"/>
        </w:rPr>
        <w:t>’</w:t>
      </w:r>
      <w:r>
        <w:rPr>
          <w:lang w:val="fr-FR"/>
        </w:rPr>
        <w:t>éducation. D</w:t>
      </w:r>
      <w:r w:rsidR="009C7759">
        <w:rPr>
          <w:lang w:val="fr-FR"/>
        </w:rPr>
        <w:t>’</w:t>
      </w:r>
      <w:r>
        <w:rPr>
          <w:lang w:val="fr-FR"/>
        </w:rPr>
        <w:t>après la disposition 3.16, le développement et l</w:t>
      </w:r>
      <w:r w:rsidR="009C7759">
        <w:rPr>
          <w:lang w:val="fr-FR"/>
        </w:rPr>
        <w:t>’</w:t>
      </w:r>
      <w:r>
        <w:rPr>
          <w:lang w:val="fr-FR"/>
        </w:rPr>
        <w:t>évolution des élèves suivant un programme d</w:t>
      </w:r>
      <w:r w:rsidR="009C7759">
        <w:rPr>
          <w:lang w:val="fr-FR"/>
        </w:rPr>
        <w:t>’</w:t>
      </w:r>
      <w:r>
        <w:rPr>
          <w:lang w:val="fr-FR"/>
        </w:rPr>
        <w:t>études individuel doivent faire l</w:t>
      </w:r>
      <w:r w:rsidR="009C7759">
        <w:rPr>
          <w:lang w:val="fr-FR"/>
        </w:rPr>
        <w:t>’</w:t>
      </w:r>
      <w:r>
        <w:rPr>
          <w:lang w:val="fr-FR"/>
        </w:rPr>
        <w:t>objet d</w:t>
      </w:r>
      <w:r w:rsidR="009C7759">
        <w:rPr>
          <w:lang w:val="fr-FR"/>
        </w:rPr>
        <w:t>’</w:t>
      </w:r>
      <w:r>
        <w:rPr>
          <w:lang w:val="fr-FR"/>
        </w:rPr>
        <w:t>une évaluation continue, compte tenu de leurs capacités d</w:t>
      </w:r>
      <w:r w:rsidR="009C7759">
        <w:rPr>
          <w:lang w:val="fr-FR"/>
        </w:rPr>
        <w:t>’</w:t>
      </w:r>
      <w:r>
        <w:rPr>
          <w:lang w:val="fr-FR"/>
        </w:rPr>
        <w:t>apprentissage et des particularités de leur handicap. La commission d</w:t>
      </w:r>
      <w:r w:rsidR="009C7759">
        <w:rPr>
          <w:lang w:val="fr-FR"/>
        </w:rPr>
        <w:t>’</w:t>
      </w:r>
      <w:r>
        <w:rPr>
          <w:lang w:val="fr-FR"/>
        </w:rPr>
        <w:t>examen mentionnée à la disposition</w:t>
      </w:r>
      <w:r w:rsidR="009A708A">
        <w:rPr>
          <w:lang w:val="fr-FR"/>
        </w:rPr>
        <w:t> </w:t>
      </w:r>
      <w:r>
        <w:rPr>
          <w:lang w:val="fr-FR"/>
        </w:rPr>
        <w:t>4.6 de ladite procédure décide du passage dans la classe supérieure d</w:t>
      </w:r>
      <w:r w:rsidR="009C7759">
        <w:rPr>
          <w:lang w:val="fr-FR"/>
        </w:rPr>
        <w:t>’</w:t>
      </w:r>
      <w:r>
        <w:rPr>
          <w:lang w:val="fr-FR"/>
        </w:rPr>
        <w:t>un élève et de son obtention du diplôme de fin d</w:t>
      </w:r>
      <w:r w:rsidR="009C7759">
        <w:rPr>
          <w:lang w:val="fr-FR"/>
        </w:rPr>
        <w:t>’</w:t>
      </w:r>
      <w:r>
        <w:rPr>
          <w:lang w:val="fr-FR"/>
        </w:rPr>
        <w:t>études en se fondant sur ses notes. Ces</w:t>
      </w:r>
      <w:r w:rsidR="009A708A">
        <w:rPr>
          <w:lang w:val="fr-FR"/>
        </w:rPr>
        <w:t> </w:t>
      </w:r>
      <w:r>
        <w:rPr>
          <w:lang w:val="fr-FR"/>
        </w:rPr>
        <w:t>dispositions contribuent tout particulièrement à l</w:t>
      </w:r>
      <w:r w:rsidR="009C7759">
        <w:rPr>
          <w:lang w:val="fr-FR"/>
        </w:rPr>
        <w:t>’</w:t>
      </w:r>
      <w:r>
        <w:rPr>
          <w:lang w:val="fr-FR"/>
        </w:rPr>
        <w:t>instauration d</w:t>
      </w:r>
      <w:r w:rsidR="009C7759">
        <w:rPr>
          <w:lang w:val="fr-FR"/>
        </w:rPr>
        <w:t>’</w:t>
      </w:r>
      <w:r>
        <w:rPr>
          <w:lang w:val="fr-FR"/>
        </w:rPr>
        <w:t>un ensemble de politiques visant à faciliter l</w:t>
      </w:r>
      <w:r w:rsidR="009C7759">
        <w:rPr>
          <w:lang w:val="fr-FR"/>
        </w:rPr>
        <w:t>’</w:t>
      </w:r>
      <w:r>
        <w:rPr>
          <w:lang w:val="fr-FR"/>
        </w:rPr>
        <w:t>égalité d</w:t>
      </w:r>
      <w:r w:rsidR="009C7759">
        <w:rPr>
          <w:lang w:val="fr-FR"/>
        </w:rPr>
        <w:t>’</w:t>
      </w:r>
      <w:r>
        <w:rPr>
          <w:lang w:val="fr-FR"/>
        </w:rPr>
        <w:t>accès des enfants handicapés</w:t>
      </w:r>
      <w:r w:rsidR="009A708A">
        <w:rPr>
          <w:lang w:val="fr-FR"/>
        </w:rPr>
        <w:t xml:space="preserve"> </w:t>
      </w:r>
      <w:r>
        <w:rPr>
          <w:lang w:val="fr-FR"/>
        </w:rPr>
        <w:t>à l</w:t>
      </w:r>
      <w:r w:rsidR="009C7759">
        <w:rPr>
          <w:lang w:val="fr-FR"/>
        </w:rPr>
        <w:t>’</w:t>
      </w:r>
      <w:r>
        <w:rPr>
          <w:lang w:val="fr-FR"/>
        </w:rPr>
        <w:t>éducation</w:t>
      </w:r>
      <w:r w:rsidR="00DC23BB">
        <w:rPr>
          <w:lang w:val="fr-FR"/>
        </w:rPr>
        <w:t> </w:t>
      </w:r>
      <w:r>
        <w:rPr>
          <w:lang w:val="fr-FR"/>
        </w:rPr>
        <w:t xml:space="preserve">; </w:t>
      </w:r>
    </w:p>
    <w:p w14:paraId="3ECDA53F" w14:textId="6FDFE3CE" w:rsidR="00560776" w:rsidRPr="00C8158A" w:rsidRDefault="00560776" w:rsidP="00E94CB1">
      <w:pPr>
        <w:pStyle w:val="Bullet1G"/>
        <w:rPr>
          <w:lang w:val="fr-FR"/>
        </w:rPr>
      </w:pPr>
      <w:r>
        <w:rPr>
          <w:lang w:val="fr-FR"/>
        </w:rPr>
        <w:t>Conformément aux procédures visant à assurer l</w:t>
      </w:r>
      <w:r w:rsidR="009C7759">
        <w:rPr>
          <w:lang w:val="fr-FR"/>
        </w:rPr>
        <w:t>’</w:t>
      </w:r>
      <w:r>
        <w:rPr>
          <w:lang w:val="fr-FR"/>
        </w:rPr>
        <w:t>inclusion, dans des conditions d</w:t>
      </w:r>
      <w:r w:rsidR="009C7759">
        <w:rPr>
          <w:lang w:val="fr-FR"/>
        </w:rPr>
        <w:t>’</w:t>
      </w:r>
      <w:r>
        <w:rPr>
          <w:lang w:val="fr-FR"/>
        </w:rPr>
        <w:t>égalité, des enfants handicapés dans les établissements d</w:t>
      </w:r>
      <w:r w:rsidR="009C7759">
        <w:rPr>
          <w:lang w:val="fr-FR"/>
        </w:rPr>
        <w:t>’</w:t>
      </w:r>
      <w:r>
        <w:rPr>
          <w:lang w:val="fr-FR"/>
        </w:rPr>
        <w:t>enseignement général, des équipes de soutien dans les écoles et des conseils d</w:t>
      </w:r>
      <w:r w:rsidR="009C7759">
        <w:rPr>
          <w:lang w:val="fr-FR"/>
        </w:rPr>
        <w:t>’</w:t>
      </w:r>
      <w:r>
        <w:rPr>
          <w:lang w:val="fr-FR"/>
        </w:rPr>
        <w:t>aïmag/de district chargés de favoriser l</w:t>
      </w:r>
      <w:r w:rsidR="009C7759">
        <w:rPr>
          <w:lang w:val="fr-FR"/>
        </w:rPr>
        <w:t>’</w:t>
      </w:r>
      <w:r>
        <w:rPr>
          <w:lang w:val="fr-FR"/>
        </w:rPr>
        <w:t>éducation inclusive ont été formés dans 21 aïmags et neuf districts de la ville d</w:t>
      </w:r>
      <w:r w:rsidR="009C7759">
        <w:rPr>
          <w:lang w:val="fr-FR"/>
        </w:rPr>
        <w:t>’</w:t>
      </w:r>
      <w:r>
        <w:rPr>
          <w:lang w:val="fr-FR"/>
        </w:rPr>
        <w:t>Oulan-Bator. Conformément à la méthodologie et aux conseils de 2018 sur l</w:t>
      </w:r>
      <w:r w:rsidR="009C7759">
        <w:rPr>
          <w:lang w:val="fr-FR"/>
        </w:rPr>
        <w:t>’</w:t>
      </w:r>
      <w:r>
        <w:rPr>
          <w:lang w:val="fr-FR"/>
        </w:rPr>
        <w:t>élaboration de programmes d</w:t>
      </w:r>
      <w:r w:rsidR="009C7759">
        <w:rPr>
          <w:lang w:val="fr-FR"/>
        </w:rPr>
        <w:t>’</w:t>
      </w:r>
      <w:r>
        <w:rPr>
          <w:lang w:val="fr-FR"/>
        </w:rPr>
        <w:t>enseignement individuels, les travaux se poursuivent en vue d</w:t>
      </w:r>
      <w:r w:rsidR="009C7759">
        <w:rPr>
          <w:lang w:val="fr-FR"/>
        </w:rPr>
        <w:t>’</w:t>
      </w:r>
      <w:r>
        <w:rPr>
          <w:lang w:val="fr-FR"/>
        </w:rPr>
        <w:t>élaborer de tels programmes, d</w:t>
      </w:r>
      <w:r w:rsidR="009C7759">
        <w:rPr>
          <w:lang w:val="fr-FR"/>
        </w:rPr>
        <w:t>’</w:t>
      </w:r>
      <w:r>
        <w:rPr>
          <w:lang w:val="fr-FR"/>
        </w:rPr>
        <w:t>en suivre et analyser l</w:t>
      </w:r>
      <w:r w:rsidR="009C7759">
        <w:rPr>
          <w:lang w:val="fr-FR"/>
        </w:rPr>
        <w:t>’</w:t>
      </w:r>
      <w:r>
        <w:rPr>
          <w:lang w:val="fr-FR"/>
        </w:rPr>
        <w:t>application, de coopérer avec les organisations professionnelles et de fournir le cadre d</w:t>
      </w:r>
      <w:r w:rsidR="009C7759">
        <w:rPr>
          <w:lang w:val="fr-FR"/>
        </w:rPr>
        <w:t>’</w:t>
      </w:r>
      <w:r>
        <w:rPr>
          <w:lang w:val="fr-FR"/>
        </w:rPr>
        <w:t xml:space="preserve">apprentissage </w:t>
      </w:r>
      <w:r w:rsidRPr="00A7764B">
        <w:rPr>
          <w:lang w:val="fr-FR"/>
        </w:rPr>
        <w:t>et le</w:t>
      </w:r>
      <w:r w:rsidR="00A7764B">
        <w:rPr>
          <w:lang w:val="fr-FR"/>
        </w:rPr>
        <w:t>s</w:t>
      </w:r>
      <w:r w:rsidRPr="00A7764B">
        <w:rPr>
          <w:lang w:val="fr-FR"/>
        </w:rPr>
        <w:t xml:space="preserve"> </w:t>
      </w:r>
      <w:r w:rsidR="00A7764B">
        <w:rPr>
          <w:lang w:val="fr-FR"/>
        </w:rPr>
        <w:t>outils</w:t>
      </w:r>
      <w:r w:rsidRPr="00A7764B">
        <w:rPr>
          <w:lang w:val="fr-FR"/>
        </w:rPr>
        <w:t xml:space="preserve"> nécessaires. Au</w:t>
      </w:r>
      <w:r>
        <w:rPr>
          <w:lang w:val="fr-FR"/>
        </w:rPr>
        <w:t xml:space="preserve"> cours de l</w:t>
      </w:r>
      <w:r w:rsidR="009C7759">
        <w:rPr>
          <w:lang w:val="fr-FR"/>
        </w:rPr>
        <w:t>’</w:t>
      </w:r>
      <w:r>
        <w:rPr>
          <w:lang w:val="fr-FR"/>
        </w:rPr>
        <w:t>année scolaire 2018</w:t>
      </w:r>
      <w:r w:rsidR="00BF5C4E">
        <w:rPr>
          <w:lang w:val="fr-FR"/>
        </w:rPr>
        <w:t>/</w:t>
      </w:r>
      <w:r>
        <w:rPr>
          <w:lang w:val="fr-FR"/>
        </w:rPr>
        <w:t>2019, 398</w:t>
      </w:r>
      <w:r w:rsidR="00BF5C4E">
        <w:rPr>
          <w:lang w:val="fr-FR"/>
        </w:rPr>
        <w:t> </w:t>
      </w:r>
      <w:r>
        <w:rPr>
          <w:lang w:val="fr-FR"/>
        </w:rPr>
        <w:t>enfants ont suivi ces programmes. L</w:t>
      </w:r>
      <w:r w:rsidR="009C7759">
        <w:rPr>
          <w:lang w:val="fr-FR"/>
        </w:rPr>
        <w:t>’</w:t>
      </w:r>
      <w:r>
        <w:rPr>
          <w:lang w:val="fr-FR"/>
        </w:rPr>
        <w:t>arrêté n</w:t>
      </w:r>
      <w:r w:rsidR="00BF5C4E" w:rsidRPr="00BF5C4E">
        <w:rPr>
          <w:vertAlign w:val="superscript"/>
          <w:lang w:val="fr-FR"/>
        </w:rPr>
        <w:t>o</w:t>
      </w:r>
      <w:r w:rsidR="00BF5C4E">
        <w:rPr>
          <w:lang w:val="fr-FR"/>
        </w:rPr>
        <w:t> </w:t>
      </w:r>
      <w:r>
        <w:rPr>
          <w:lang w:val="fr-FR"/>
        </w:rPr>
        <w:t>A/261 de 2018 du Ministre de l</w:t>
      </w:r>
      <w:r w:rsidR="009C7759">
        <w:rPr>
          <w:lang w:val="fr-FR"/>
        </w:rPr>
        <w:t>’</w:t>
      </w:r>
      <w:r>
        <w:rPr>
          <w:lang w:val="fr-FR"/>
        </w:rPr>
        <w:t>éducation, de la culture, des sciences et du sport sur l</w:t>
      </w:r>
      <w:r w:rsidR="009C7759">
        <w:rPr>
          <w:lang w:val="fr-FR"/>
        </w:rPr>
        <w:t>’</w:t>
      </w:r>
      <w:r>
        <w:rPr>
          <w:lang w:val="fr-FR"/>
        </w:rPr>
        <w:t>établissement de conditions d</w:t>
      </w:r>
      <w:r w:rsidR="009C7759">
        <w:rPr>
          <w:lang w:val="fr-FR"/>
        </w:rPr>
        <w:t>’</w:t>
      </w:r>
      <w:r>
        <w:rPr>
          <w:lang w:val="fr-FR"/>
        </w:rPr>
        <w:t>apprentissage adaptées aux personnes handicapées dans l</w:t>
      </w:r>
      <w:r w:rsidR="009C7759">
        <w:rPr>
          <w:lang w:val="fr-FR"/>
        </w:rPr>
        <w:t>’</w:t>
      </w:r>
      <w:r>
        <w:rPr>
          <w:lang w:val="fr-FR"/>
        </w:rPr>
        <w:t>enseignement supérieur impose aux établissements d</w:t>
      </w:r>
      <w:r w:rsidR="009C7759">
        <w:rPr>
          <w:lang w:val="fr-FR"/>
        </w:rPr>
        <w:t>’</w:t>
      </w:r>
      <w:r>
        <w:rPr>
          <w:lang w:val="fr-FR"/>
        </w:rPr>
        <w:t>enseignement de plus de 300 étudiants de disposer d</w:t>
      </w:r>
      <w:r w:rsidR="009C7759">
        <w:rPr>
          <w:lang w:val="fr-FR"/>
        </w:rPr>
        <w:t>’</w:t>
      </w:r>
      <w:r>
        <w:rPr>
          <w:lang w:val="fr-FR"/>
        </w:rPr>
        <w:t>un agent chargé d</w:t>
      </w:r>
      <w:r w:rsidR="009C7759">
        <w:rPr>
          <w:lang w:val="fr-FR"/>
        </w:rPr>
        <w:t>’</w:t>
      </w:r>
      <w:r>
        <w:rPr>
          <w:lang w:val="fr-FR"/>
        </w:rPr>
        <w:t>apporter un soutien aux étudiants handicapés ;</w:t>
      </w:r>
    </w:p>
    <w:p w14:paraId="724944B7" w14:textId="03AD8A65" w:rsidR="00560776" w:rsidRPr="00C8158A" w:rsidRDefault="00560776" w:rsidP="00E94CB1">
      <w:pPr>
        <w:pStyle w:val="Bullet1G"/>
        <w:rPr>
          <w:lang w:val="fr-FR"/>
        </w:rPr>
      </w:pPr>
      <w:r>
        <w:rPr>
          <w:lang w:val="fr-FR"/>
        </w:rPr>
        <w:t>En février 2020, 612 étudiants handicapés faisaient leurs études dans 103 établissements d</w:t>
      </w:r>
      <w:r w:rsidR="009C7759">
        <w:rPr>
          <w:lang w:val="fr-FR"/>
        </w:rPr>
        <w:t>’</w:t>
      </w:r>
      <w:r>
        <w:rPr>
          <w:lang w:val="fr-FR"/>
        </w:rPr>
        <w:t xml:space="preserve">enseignement supérieur de la Mongolie, grâce à la subvention de la Fondation des prêts éducatifs ; </w:t>
      </w:r>
    </w:p>
    <w:p w14:paraId="7FDE10B8" w14:textId="251D4851" w:rsidR="00560776" w:rsidRPr="00C8158A" w:rsidRDefault="00560776" w:rsidP="00E94CB1">
      <w:pPr>
        <w:pStyle w:val="Bullet1G"/>
        <w:rPr>
          <w:lang w:val="fr-FR"/>
        </w:rPr>
      </w:pPr>
      <w:r>
        <w:rPr>
          <w:lang w:val="fr-FR"/>
        </w:rPr>
        <w:t>La résolution gouvernementale n</w:t>
      </w:r>
      <w:r w:rsidR="00BF5C4E" w:rsidRPr="00BF5C4E">
        <w:rPr>
          <w:vertAlign w:val="superscript"/>
          <w:lang w:val="fr-FR"/>
        </w:rPr>
        <w:t>o</w:t>
      </w:r>
      <w:r w:rsidR="00BF5C4E">
        <w:rPr>
          <w:lang w:val="fr-FR"/>
        </w:rPr>
        <w:t> </w:t>
      </w:r>
      <w:r>
        <w:rPr>
          <w:lang w:val="fr-FR"/>
        </w:rPr>
        <w:t>208 du 10</w:t>
      </w:r>
      <w:r w:rsidR="00BF5C4E">
        <w:rPr>
          <w:lang w:val="fr-FR"/>
        </w:rPr>
        <w:t> </w:t>
      </w:r>
      <w:r>
        <w:rPr>
          <w:lang w:val="fr-FR"/>
        </w:rPr>
        <w:t>juin 2020 accorde une rémunération supplémentaire de 10</w:t>
      </w:r>
      <w:r w:rsidR="00BF5C4E">
        <w:rPr>
          <w:lang w:val="fr-FR"/>
        </w:rPr>
        <w:t> </w:t>
      </w:r>
      <w:r>
        <w:rPr>
          <w:lang w:val="fr-FR"/>
        </w:rPr>
        <w:t>% aux enseignants des écoles maternelles et des établissements ordinaires qui s</w:t>
      </w:r>
      <w:r w:rsidR="009C7759">
        <w:rPr>
          <w:lang w:val="fr-FR"/>
        </w:rPr>
        <w:t>’</w:t>
      </w:r>
      <w:r>
        <w:rPr>
          <w:lang w:val="fr-FR"/>
        </w:rPr>
        <w:t>occupent d</w:t>
      </w:r>
      <w:r w:rsidR="009C7759">
        <w:rPr>
          <w:lang w:val="fr-FR"/>
        </w:rPr>
        <w:t>’</w:t>
      </w:r>
      <w:r>
        <w:rPr>
          <w:lang w:val="fr-FR"/>
        </w:rPr>
        <w:t>enfants handicapés et les instructions sur l</w:t>
      </w:r>
      <w:r w:rsidR="009C7759">
        <w:rPr>
          <w:lang w:val="fr-FR"/>
        </w:rPr>
        <w:t>’</w:t>
      </w:r>
      <w:r>
        <w:rPr>
          <w:lang w:val="fr-FR"/>
        </w:rPr>
        <w:t>octroi d</w:t>
      </w:r>
      <w:r w:rsidR="009C7759">
        <w:rPr>
          <w:lang w:val="fr-FR"/>
        </w:rPr>
        <w:t>’</w:t>
      </w:r>
      <w:r>
        <w:rPr>
          <w:lang w:val="fr-FR"/>
        </w:rPr>
        <w:t>une rémunération supplémentaire aux enseignants et aux assistants pédagogiques s</w:t>
      </w:r>
      <w:r w:rsidR="009C7759">
        <w:rPr>
          <w:lang w:val="fr-FR"/>
        </w:rPr>
        <w:t>’</w:t>
      </w:r>
      <w:r>
        <w:rPr>
          <w:lang w:val="fr-FR"/>
        </w:rPr>
        <w:t>occupant d</w:t>
      </w:r>
      <w:r w:rsidR="009C7759">
        <w:rPr>
          <w:lang w:val="fr-FR"/>
        </w:rPr>
        <w:t>’</w:t>
      </w:r>
      <w:r>
        <w:rPr>
          <w:lang w:val="fr-FR"/>
        </w:rPr>
        <w:t>enfants handicapés ont été approuvées par l</w:t>
      </w:r>
      <w:r w:rsidR="009C7759">
        <w:rPr>
          <w:lang w:val="fr-FR"/>
        </w:rPr>
        <w:t>’</w:t>
      </w:r>
      <w:r>
        <w:rPr>
          <w:lang w:val="fr-FR"/>
        </w:rPr>
        <w:t>arrêté n</w:t>
      </w:r>
      <w:r w:rsidR="00BF5C4E" w:rsidRPr="00BF5C4E">
        <w:rPr>
          <w:vertAlign w:val="superscript"/>
          <w:lang w:val="fr-FR"/>
        </w:rPr>
        <w:t>o</w:t>
      </w:r>
      <w:r w:rsidR="00BF5C4E">
        <w:rPr>
          <w:lang w:val="fr-FR"/>
        </w:rPr>
        <w:t> </w:t>
      </w:r>
      <w:r>
        <w:rPr>
          <w:lang w:val="fr-FR"/>
        </w:rPr>
        <w:t>A/296 de 2020 du Ministre de l</w:t>
      </w:r>
      <w:r w:rsidR="009C7759">
        <w:rPr>
          <w:lang w:val="fr-FR"/>
        </w:rPr>
        <w:t>’</w:t>
      </w:r>
      <w:r>
        <w:rPr>
          <w:lang w:val="fr-FR"/>
        </w:rPr>
        <w:t xml:space="preserve">éducation, de la culture, des sciences et du sport. </w:t>
      </w:r>
    </w:p>
    <w:p w14:paraId="053466F2" w14:textId="13A00D2D" w:rsidR="00560776" w:rsidRPr="00C8158A" w:rsidRDefault="00560776" w:rsidP="0040732C">
      <w:pPr>
        <w:pStyle w:val="SingleTxtG"/>
        <w:rPr>
          <w:lang w:val="fr-FR"/>
        </w:rPr>
      </w:pPr>
      <w:r>
        <w:rPr>
          <w:lang w:val="fr-FR"/>
        </w:rPr>
        <w:lastRenderedPageBreak/>
        <w:t>204.</w:t>
      </w:r>
      <w:r>
        <w:rPr>
          <w:lang w:val="fr-FR"/>
        </w:rPr>
        <w:tab/>
        <w:t>Ces dispositions réglementaires auront des effets positifs sur l</w:t>
      </w:r>
      <w:r w:rsidR="009C7759">
        <w:rPr>
          <w:lang w:val="fr-FR"/>
        </w:rPr>
        <w:t>’</w:t>
      </w:r>
      <w:r>
        <w:rPr>
          <w:lang w:val="fr-FR"/>
        </w:rPr>
        <w:t>inscription dans les établissements d</w:t>
      </w:r>
      <w:r w:rsidR="009C7759">
        <w:rPr>
          <w:lang w:val="fr-FR"/>
        </w:rPr>
        <w:t>’</w:t>
      </w:r>
      <w:r>
        <w:rPr>
          <w:lang w:val="fr-FR"/>
        </w:rPr>
        <w:t>enseignement des enfants handicapés actuellement non scolarisés dans les écoles maternelles et autres établissements scolaires de leur quartier, ainsi que sur la qualité du travail et les résultats des enseignants concernés.</w:t>
      </w:r>
    </w:p>
    <w:p w14:paraId="465E0E62" w14:textId="77777777" w:rsidR="00560776" w:rsidRPr="00C8158A" w:rsidRDefault="00560776" w:rsidP="00E94CB1">
      <w:pPr>
        <w:pStyle w:val="H23G"/>
        <w:rPr>
          <w:lang w:val="fr-FR"/>
        </w:rPr>
      </w:pPr>
      <w:r>
        <w:rPr>
          <w:lang w:val="fr-FR"/>
        </w:rPr>
        <w:tab/>
      </w:r>
      <w:r>
        <w:rPr>
          <w:lang w:val="fr-FR"/>
        </w:rPr>
        <w:tab/>
        <w:t>Éducation inclusive pour les enfants handicapés</w:t>
      </w:r>
    </w:p>
    <w:p w14:paraId="215A8F7C" w14:textId="7B33513D" w:rsidR="00560776" w:rsidRPr="00C8158A" w:rsidRDefault="00560776" w:rsidP="0040732C">
      <w:pPr>
        <w:pStyle w:val="SingleTxtG"/>
        <w:rPr>
          <w:lang w:val="fr-FR"/>
        </w:rPr>
      </w:pPr>
      <w:r>
        <w:rPr>
          <w:lang w:val="fr-FR"/>
        </w:rPr>
        <w:t>205.</w:t>
      </w:r>
      <w:r>
        <w:rPr>
          <w:lang w:val="fr-FR"/>
        </w:rPr>
        <w:tab/>
        <w:t>Pendant l</w:t>
      </w:r>
      <w:r w:rsidR="009C7759">
        <w:rPr>
          <w:lang w:val="fr-FR"/>
        </w:rPr>
        <w:t>’</w:t>
      </w:r>
      <w:r>
        <w:rPr>
          <w:lang w:val="fr-FR"/>
        </w:rPr>
        <w:t>année scolaire 2018</w:t>
      </w:r>
      <w:r w:rsidR="00BF5C4E">
        <w:rPr>
          <w:lang w:val="fr-FR"/>
        </w:rPr>
        <w:t>/</w:t>
      </w:r>
      <w:r>
        <w:rPr>
          <w:lang w:val="fr-FR"/>
        </w:rPr>
        <w:t>2019, 1</w:t>
      </w:r>
      <w:r w:rsidR="00BF5C4E">
        <w:rPr>
          <w:lang w:val="fr-FR"/>
        </w:rPr>
        <w:t> </w:t>
      </w:r>
      <w:r>
        <w:rPr>
          <w:lang w:val="fr-FR"/>
        </w:rPr>
        <w:t>087</w:t>
      </w:r>
      <w:r w:rsidR="00BF5C4E">
        <w:rPr>
          <w:lang w:val="fr-FR"/>
        </w:rPr>
        <w:t> </w:t>
      </w:r>
      <w:r>
        <w:rPr>
          <w:lang w:val="fr-FR"/>
        </w:rPr>
        <w:t xml:space="preserve">enfants handicapés ont fréquenté des écoles </w:t>
      </w:r>
      <w:r w:rsidRPr="00A7764B">
        <w:rPr>
          <w:lang w:val="fr-FR"/>
        </w:rPr>
        <w:t>maternelles et 6</w:t>
      </w:r>
      <w:r w:rsidR="00BF5C4E" w:rsidRPr="00A7764B">
        <w:rPr>
          <w:lang w:val="fr-FR"/>
        </w:rPr>
        <w:t> </w:t>
      </w:r>
      <w:r w:rsidRPr="00A7764B">
        <w:rPr>
          <w:lang w:val="fr-FR"/>
        </w:rPr>
        <w:t>518</w:t>
      </w:r>
      <w:r w:rsidR="00BF5C4E" w:rsidRPr="00A7764B">
        <w:rPr>
          <w:lang w:val="fr-FR"/>
        </w:rPr>
        <w:t> </w:t>
      </w:r>
      <w:r w:rsidRPr="00A7764B">
        <w:rPr>
          <w:lang w:val="fr-FR"/>
        </w:rPr>
        <w:t>des établissements</w:t>
      </w:r>
      <w:r>
        <w:rPr>
          <w:lang w:val="fr-FR"/>
        </w:rPr>
        <w:t xml:space="preserve"> d</w:t>
      </w:r>
      <w:r w:rsidR="009C7759">
        <w:rPr>
          <w:lang w:val="fr-FR"/>
        </w:rPr>
        <w:t>’</w:t>
      </w:r>
      <w:r>
        <w:rPr>
          <w:lang w:val="fr-FR"/>
        </w:rPr>
        <w:t>enseignement général, le taux d</w:t>
      </w:r>
      <w:r w:rsidR="009C7759">
        <w:rPr>
          <w:lang w:val="fr-FR"/>
        </w:rPr>
        <w:t>’</w:t>
      </w:r>
      <w:r>
        <w:rPr>
          <w:lang w:val="fr-FR"/>
        </w:rPr>
        <w:t>inclusion étant de 74,1</w:t>
      </w:r>
      <w:r w:rsidR="00BF5C4E">
        <w:rPr>
          <w:lang w:val="fr-FR"/>
        </w:rPr>
        <w:t> </w:t>
      </w:r>
      <w:r>
        <w:rPr>
          <w:lang w:val="fr-FR"/>
        </w:rPr>
        <w:t>%. Pendant l</w:t>
      </w:r>
      <w:r w:rsidR="009C7759">
        <w:rPr>
          <w:lang w:val="fr-FR"/>
        </w:rPr>
        <w:t>’</w:t>
      </w:r>
      <w:r>
        <w:rPr>
          <w:lang w:val="fr-FR"/>
        </w:rPr>
        <w:t>année scolaire 2019</w:t>
      </w:r>
      <w:r w:rsidR="00BF5C4E">
        <w:rPr>
          <w:lang w:val="fr-FR"/>
        </w:rPr>
        <w:t>/</w:t>
      </w:r>
      <w:r>
        <w:rPr>
          <w:lang w:val="fr-FR"/>
        </w:rPr>
        <w:t>2020, ces chiffres ont été respectivement de 1</w:t>
      </w:r>
      <w:r w:rsidR="00BF5C4E">
        <w:rPr>
          <w:lang w:val="fr-FR"/>
        </w:rPr>
        <w:t> </w:t>
      </w:r>
      <w:r>
        <w:rPr>
          <w:lang w:val="fr-FR"/>
        </w:rPr>
        <w:t>067 et 6</w:t>
      </w:r>
      <w:r w:rsidR="00BF5C4E">
        <w:rPr>
          <w:lang w:val="fr-FR"/>
        </w:rPr>
        <w:t> </w:t>
      </w:r>
      <w:r>
        <w:rPr>
          <w:lang w:val="fr-FR"/>
        </w:rPr>
        <w:t>301 et de 75,3</w:t>
      </w:r>
      <w:r w:rsidR="00BF5C4E">
        <w:rPr>
          <w:lang w:val="fr-FR"/>
        </w:rPr>
        <w:t> </w:t>
      </w:r>
      <w:r>
        <w:rPr>
          <w:lang w:val="fr-FR"/>
        </w:rPr>
        <w:t>%. Parmi ces enfants, 1</w:t>
      </w:r>
      <w:r w:rsidR="00BF5C4E">
        <w:rPr>
          <w:lang w:val="fr-FR"/>
        </w:rPr>
        <w:t> </w:t>
      </w:r>
      <w:r>
        <w:rPr>
          <w:lang w:val="fr-FR"/>
        </w:rPr>
        <w:t>751 ont suivi un enseignement dans des établissements spécialisés.</w:t>
      </w:r>
    </w:p>
    <w:p w14:paraId="2A3F3F45" w14:textId="0BD76E17" w:rsidR="00560776" w:rsidRPr="00C8158A" w:rsidRDefault="00560776" w:rsidP="0040732C">
      <w:pPr>
        <w:pStyle w:val="SingleTxtG"/>
        <w:rPr>
          <w:lang w:val="fr-FR"/>
        </w:rPr>
      </w:pPr>
      <w:r>
        <w:rPr>
          <w:lang w:val="fr-FR"/>
        </w:rPr>
        <w:t>206.</w:t>
      </w:r>
      <w:r>
        <w:rPr>
          <w:lang w:val="fr-FR"/>
        </w:rPr>
        <w:tab/>
        <w:t>Pendant l</w:t>
      </w:r>
      <w:r w:rsidR="009C7759">
        <w:rPr>
          <w:lang w:val="fr-FR"/>
        </w:rPr>
        <w:t>’</w:t>
      </w:r>
      <w:r>
        <w:rPr>
          <w:lang w:val="fr-FR"/>
        </w:rPr>
        <w:t>année scolaire 2018</w:t>
      </w:r>
      <w:r w:rsidR="0049444D">
        <w:rPr>
          <w:lang w:val="fr-FR"/>
        </w:rPr>
        <w:t>/</w:t>
      </w:r>
      <w:r>
        <w:rPr>
          <w:lang w:val="fr-FR"/>
        </w:rPr>
        <w:t>2019, sur 7</w:t>
      </w:r>
      <w:r w:rsidR="0049444D">
        <w:rPr>
          <w:lang w:val="fr-FR"/>
        </w:rPr>
        <w:t> </w:t>
      </w:r>
      <w:r>
        <w:rPr>
          <w:lang w:val="fr-FR"/>
        </w:rPr>
        <w:t>296</w:t>
      </w:r>
      <w:r w:rsidR="0049444D">
        <w:rPr>
          <w:lang w:val="fr-FR"/>
        </w:rPr>
        <w:t> </w:t>
      </w:r>
      <w:r>
        <w:rPr>
          <w:lang w:val="fr-FR"/>
        </w:rPr>
        <w:t>élèves de 355</w:t>
      </w:r>
      <w:r w:rsidR="0049444D">
        <w:rPr>
          <w:lang w:val="fr-FR"/>
        </w:rPr>
        <w:t> </w:t>
      </w:r>
      <w:r>
        <w:rPr>
          <w:lang w:val="fr-FR"/>
        </w:rPr>
        <w:t>centres d</w:t>
      </w:r>
      <w:r w:rsidR="009C7759">
        <w:rPr>
          <w:lang w:val="fr-FR"/>
        </w:rPr>
        <w:t>’</w:t>
      </w:r>
      <w:r>
        <w:rPr>
          <w:lang w:val="fr-FR"/>
        </w:rPr>
        <w:t>éducation permanente, 12,8</w:t>
      </w:r>
      <w:r w:rsidR="0049444D">
        <w:rPr>
          <w:lang w:val="fr-FR"/>
        </w:rPr>
        <w:t> </w:t>
      </w:r>
      <w:r>
        <w:rPr>
          <w:lang w:val="fr-FR"/>
        </w:rPr>
        <w:t>%, soit 933, étaient porteurs de handicap. Parmi tous les étudiants handicapés, 42,1</w:t>
      </w:r>
      <w:r w:rsidR="0049444D">
        <w:rPr>
          <w:lang w:val="fr-FR"/>
        </w:rPr>
        <w:t> </w:t>
      </w:r>
      <w:r>
        <w:rPr>
          <w:lang w:val="fr-FR"/>
        </w:rPr>
        <w:t>% ont suivi un enseignement primaire, 47,2</w:t>
      </w:r>
      <w:r w:rsidR="0049444D">
        <w:rPr>
          <w:lang w:val="fr-FR"/>
        </w:rPr>
        <w:t> </w:t>
      </w:r>
      <w:r>
        <w:rPr>
          <w:lang w:val="fr-FR"/>
        </w:rPr>
        <w:t>% un enseignement de base et 10,7</w:t>
      </w:r>
      <w:r w:rsidR="0049444D">
        <w:rPr>
          <w:lang w:val="fr-FR"/>
        </w:rPr>
        <w:t> </w:t>
      </w:r>
      <w:r>
        <w:rPr>
          <w:lang w:val="fr-FR"/>
        </w:rPr>
        <w:t>% ont achevé le cycle d</w:t>
      </w:r>
      <w:r w:rsidR="009C7759">
        <w:rPr>
          <w:lang w:val="fr-FR"/>
        </w:rPr>
        <w:t>’</w:t>
      </w:r>
      <w:r>
        <w:rPr>
          <w:lang w:val="fr-FR"/>
        </w:rPr>
        <w:t xml:space="preserve">enseignement secondaire. </w:t>
      </w:r>
    </w:p>
    <w:p w14:paraId="576B0EE2" w14:textId="3D5D81D0" w:rsidR="00560776" w:rsidRPr="00C8158A" w:rsidRDefault="00560776" w:rsidP="0040732C">
      <w:pPr>
        <w:pStyle w:val="SingleTxtG"/>
        <w:rPr>
          <w:lang w:val="fr-FR"/>
        </w:rPr>
      </w:pPr>
      <w:r>
        <w:rPr>
          <w:lang w:val="fr-FR"/>
        </w:rPr>
        <w:t>207.</w:t>
      </w:r>
      <w:r>
        <w:rPr>
          <w:lang w:val="fr-FR"/>
        </w:rPr>
        <w:tab/>
        <w:t>L</w:t>
      </w:r>
      <w:r w:rsidR="009C7759">
        <w:rPr>
          <w:lang w:val="fr-FR"/>
        </w:rPr>
        <w:t>’</w:t>
      </w:r>
      <w:r>
        <w:rPr>
          <w:lang w:val="fr-FR"/>
        </w:rPr>
        <w:t>enseignement à domicile des enfants alités et des enfants gravement handicapés est organisé par les centres d</w:t>
      </w:r>
      <w:r w:rsidR="009C7759">
        <w:rPr>
          <w:lang w:val="fr-FR"/>
        </w:rPr>
        <w:t>’</w:t>
      </w:r>
      <w:r>
        <w:rPr>
          <w:lang w:val="fr-FR"/>
        </w:rPr>
        <w:t>éducation permanente dans huit aïmags et deux districts. Sur les 131</w:t>
      </w:r>
      <w:r w:rsidR="0049444D">
        <w:rPr>
          <w:lang w:val="fr-FR"/>
        </w:rPr>
        <w:t> </w:t>
      </w:r>
      <w:r>
        <w:rPr>
          <w:lang w:val="fr-FR"/>
        </w:rPr>
        <w:t>enfants suivant ce type d</w:t>
      </w:r>
      <w:r w:rsidR="009C7759">
        <w:rPr>
          <w:lang w:val="fr-FR"/>
        </w:rPr>
        <w:t>’</w:t>
      </w:r>
      <w:r>
        <w:rPr>
          <w:lang w:val="fr-FR"/>
        </w:rPr>
        <w:t>enseignement, 55</w:t>
      </w:r>
      <w:r w:rsidR="0049444D">
        <w:rPr>
          <w:lang w:val="fr-FR"/>
        </w:rPr>
        <w:t> </w:t>
      </w:r>
      <w:r>
        <w:rPr>
          <w:lang w:val="fr-FR"/>
        </w:rPr>
        <w:t>% sont des garçons et 45</w:t>
      </w:r>
      <w:r w:rsidR="0049444D">
        <w:rPr>
          <w:lang w:val="fr-FR"/>
        </w:rPr>
        <w:t> </w:t>
      </w:r>
      <w:r>
        <w:rPr>
          <w:lang w:val="fr-FR"/>
        </w:rPr>
        <w:t xml:space="preserve">% des filles. </w:t>
      </w:r>
    </w:p>
    <w:p w14:paraId="4126E59E" w14:textId="06A02B57" w:rsidR="00560776" w:rsidRPr="00C8158A" w:rsidRDefault="00560776" w:rsidP="00E94CB1">
      <w:pPr>
        <w:pStyle w:val="H23G"/>
        <w:rPr>
          <w:lang w:val="fr-FR"/>
        </w:rPr>
      </w:pPr>
      <w:r>
        <w:rPr>
          <w:lang w:val="fr-FR"/>
        </w:rPr>
        <w:tab/>
      </w:r>
      <w:r>
        <w:rPr>
          <w:lang w:val="fr-FR"/>
        </w:rPr>
        <w:tab/>
        <w:t>Mesures d</w:t>
      </w:r>
      <w:r w:rsidR="009C7759">
        <w:rPr>
          <w:lang w:val="fr-FR"/>
        </w:rPr>
        <w:t>’</w:t>
      </w:r>
      <w:r>
        <w:rPr>
          <w:lang w:val="fr-FR"/>
        </w:rPr>
        <w:t>appui aux activités éducatives des élèves handicapés</w:t>
      </w:r>
    </w:p>
    <w:p w14:paraId="0C43BF5C" w14:textId="5E2A2A48" w:rsidR="00560776" w:rsidRPr="00C8158A" w:rsidRDefault="00560776" w:rsidP="0040732C">
      <w:pPr>
        <w:pStyle w:val="SingleTxtG"/>
        <w:rPr>
          <w:lang w:val="fr-FR"/>
        </w:rPr>
      </w:pPr>
      <w:r>
        <w:rPr>
          <w:lang w:val="fr-FR"/>
        </w:rPr>
        <w:t>208.</w:t>
      </w:r>
      <w:r>
        <w:rPr>
          <w:lang w:val="fr-FR"/>
        </w:rPr>
        <w:tab/>
        <w:t>La division de méthodologie pour le développement et l</w:t>
      </w:r>
      <w:r w:rsidR="009C7759">
        <w:rPr>
          <w:lang w:val="fr-FR"/>
        </w:rPr>
        <w:t>’</w:t>
      </w:r>
      <w:r>
        <w:rPr>
          <w:lang w:val="fr-FR"/>
        </w:rPr>
        <w:t>éducation des enfants handicapés a été établie au sein de l</w:t>
      </w:r>
      <w:r w:rsidR="009C7759">
        <w:rPr>
          <w:lang w:val="fr-FR"/>
        </w:rPr>
        <w:t>’</w:t>
      </w:r>
      <w:r>
        <w:rPr>
          <w:lang w:val="fr-FR"/>
        </w:rPr>
        <w:t>Institut pédagogique par l</w:t>
      </w:r>
      <w:r w:rsidR="009C7759">
        <w:rPr>
          <w:lang w:val="fr-FR"/>
        </w:rPr>
        <w:t>’</w:t>
      </w:r>
      <w:r>
        <w:rPr>
          <w:lang w:val="fr-FR"/>
        </w:rPr>
        <w:t>arrêté A/625 de 2019 du Ministre de l</w:t>
      </w:r>
      <w:r w:rsidR="009C7759">
        <w:rPr>
          <w:lang w:val="fr-FR"/>
        </w:rPr>
        <w:t>’</w:t>
      </w:r>
      <w:r>
        <w:rPr>
          <w:lang w:val="fr-FR"/>
        </w:rPr>
        <w:t>éducation, de la culture, des sciences et du sport. L</w:t>
      </w:r>
      <w:r w:rsidR="009C7759">
        <w:rPr>
          <w:lang w:val="fr-FR"/>
        </w:rPr>
        <w:t>’</w:t>
      </w:r>
      <w:r>
        <w:rPr>
          <w:lang w:val="fr-FR"/>
        </w:rPr>
        <w:t>objectif est de mener des recherches scientifiques, d</w:t>
      </w:r>
      <w:r w:rsidR="009C7759">
        <w:rPr>
          <w:lang w:val="fr-FR"/>
        </w:rPr>
        <w:t>’</w:t>
      </w:r>
      <w:r>
        <w:rPr>
          <w:lang w:val="fr-FR"/>
        </w:rPr>
        <w:t>élaborer une méthodologie portant sur le développement des enfants handicapés et d</w:t>
      </w:r>
      <w:r w:rsidR="009C7759">
        <w:rPr>
          <w:lang w:val="fr-FR"/>
        </w:rPr>
        <w:t>’</w:t>
      </w:r>
      <w:r>
        <w:rPr>
          <w:lang w:val="fr-FR"/>
        </w:rPr>
        <w:t>administrer le Centre de développement des enfants handicapés. Ce</w:t>
      </w:r>
      <w:r w:rsidR="00723A5A">
        <w:rPr>
          <w:lang w:val="fr-FR"/>
        </w:rPr>
        <w:t> </w:t>
      </w:r>
      <w:r>
        <w:rPr>
          <w:lang w:val="fr-FR"/>
        </w:rPr>
        <w:t>centre mène ses activités à Oulan-Bator et apporte un appui aux enfants handicapés ainsi qu</w:t>
      </w:r>
      <w:r w:rsidR="009C7759">
        <w:rPr>
          <w:lang w:val="fr-FR"/>
        </w:rPr>
        <w:t>’</w:t>
      </w:r>
      <w:r>
        <w:rPr>
          <w:lang w:val="fr-FR"/>
        </w:rPr>
        <w:t xml:space="preserve">à leurs parents et enseignants. </w:t>
      </w:r>
    </w:p>
    <w:p w14:paraId="1E10E18C" w14:textId="1729903B" w:rsidR="00560776" w:rsidRPr="00C8158A" w:rsidRDefault="00560776" w:rsidP="0040732C">
      <w:pPr>
        <w:pStyle w:val="SingleTxtG"/>
        <w:rPr>
          <w:lang w:val="fr-FR"/>
        </w:rPr>
      </w:pPr>
      <w:r>
        <w:rPr>
          <w:lang w:val="fr-FR"/>
        </w:rPr>
        <w:t>209.</w:t>
      </w:r>
      <w:r>
        <w:rPr>
          <w:lang w:val="fr-FR"/>
        </w:rPr>
        <w:tab/>
        <w:t>L</w:t>
      </w:r>
      <w:r w:rsidR="009C7759">
        <w:rPr>
          <w:lang w:val="fr-FR"/>
        </w:rPr>
        <w:t>’</w:t>
      </w:r>
      <w:r>
        <w:rPr>
          <w:lang w:val="fr-FR"/>
        </w:rPr>
        <w:t>alphabet braille mongol standard a été approuvé en 2019. L</w:t>
      </w:r>
      <w:r w:rsidR="009C7759">
        <w:rPr>
          <w:lang w:val="fr-FR"/>
        </w:rPr>
        <w:t>’</w:t>
      </w:r>
      <w:r>
        <w:rPr>
          <w:lang w:val="fr-FR"/>
        </w:rPr>
        <w:t>approbation de cet alphabet donne aux personnes déficientes visuelles la possibilité de participer aux relations sociales au même titre que les autres. Cet alphabet servira également à initier les enseignants au braille et à enseigner les différentes lettres aux personnes malvoyantes qui n</w:t>
      </w:r>
      <w:r w:rsidR="009C7759">
        <w:rPr>
          <w:lang w:val="fr-FR"/>
        </w:rPr>
        <w:t>’</w:t>
      </w:r>
      <w:r>
        <w:rPr>
          <w:lang w:val="fr-FR"/>
        </w:rPr>
        <w:t>ont pas eu la possibilité d</w:t>
      </w:r>
      <w:r w:rsidR="009C7759">
        <w:rPr>
          <w:lang w:val="fr-FR"/>
        </w:rPr>
        <w:t>’</w:t>
      </w:r>
      <w:r>
        <w:rPr>
          <w:lang w:val="fr-FR"/>
        </w:rPr>
        <w:t>être alphabétisées dans le cadre des centres d</w:t>
      </w:r>
      <w:r w:rsidR="009C7759">
        <w:rPr>
          <w:lang w:val="fr-FR"/>
        </w:rPr>
        <w:t>’</w:t>
      </w:r>
      <w:r>
        <w:rPr>
          <w:lang w:val="fr-FR"/>
        </w:rPr>
        <w:t xml:space="preserve">éducation permanente. </w:t>
      </w:r>
    </w:p>
    <w:p w14:paraId="08A98963" w14:textId="787022BB" w:rsidR="00560776" w:rsidRPr="00C8158A" w:rsidRDefault="00560776" w:rsidP="0040732C">
      <w:pPr>
        <w:pStyle w:val="SingleTxtG"/>
        <w:rPr>
          <w:lang w:val="fr-FR"/>
        </w:rPr>
      </w:pPr>
      <w:r>
        <w:rPr>
          <w:lang w:val="fr-FR"/>
        </w:rPr>
        <w:t>210.</w:t>
      </w:r>
      <w:r>
        <w:rPr>
          <w:lang w:val="fr-FR"/>
        </w:rPr>
        <w:tab/>
        <w:t>En 2020, le Ministère de l</w:t>
      </w:r>
      <w:r w:rsidR="009C7759">
        <w:rPr>
          <w:lang w:val="fr-FR"/>
        </w:rPr>
        <w:t>’</w:t>
      </w:r>
      <w:r>
        <w:rPr>
          <w:lang w:val="fr-FR"/>
        </w:rPr>
        <w:t>éducation et des sciences a créé une division de l</w:t>
      </w:r>
      <w:r w:rsidR="009C7759">
        <w:rPr>
          <w:lang w:val="fr-FR"/>
        </w:rPr>
        <w:t>’</w:t>
      </w:r>
      <w:r>
        <w:rPr>
          <w:lang w:val="fr-FR"/>
        </w:rPr>
        <w:t>éducation des élèves ayant des besoins particuliers, chargée de toutes les questions relatives aux politiques et méthodologies visant à garantir le droit à l</w:t>
      </w:r>
      <w:r w:rsidR="009C7759">
        <w:rPr>
          <w:lang w:val="fr-FR"/>
        </w:rPr>
        <w:t>’</w:t>
      </w:r>
      <w:r>
        <w:rPr>
          <w:lang w:val="fr-FR"/>
        </w:rPr>
        <w:t>éducation des personnes handicapées dans les établissements d</w:t>
      </w:r>
      <w:r w:rsidR="009C7759">
        <w:rPr>
          <w:lang w:val="fr-FR"/>
        </w:rPr>
        <w:t>’</w:t>
      </w:r>
      <w:r>
        <w:rPr>
          <w:lang w:val="fr-FR"/>
        </w:rPr>
        <w:t>enseignement de tout niveau. En outre, le règlement sur les coûts des repas dans les établissements spécialisés a été approuvé par la résolution gouvernementale n</w:t>
      </w:r>
      <w:r w:rsidR="00723A5A" w:rsidRPr="00723A5A">
        <w:rPr>
          <w:vertAlign w:val="superscript"/>
          <w:lang w:val="fr-FR"/>
        </w:rPr>
        <w:t>o</w:t>
      </w:r>
      <w:r w:rsidR="00723A5A">
        <w:rPr>
          <w:lang w:val="fr-FR"/>
        </w:rPr>
        <w:t> </w:t>
      </w:r>
      <w:r>
        <w:rPr>
          <w:lang w:val="fr-FR"/>
        </w:rPr>
        <w:t>162 de 2020.</w:t>
      </w:r>
    </w:p>
    <w:p w14:paraId="6B08400D" w14:textId="44008140" w:rsidR="00560776" w:rsidRPr="00C8158A" w:rsidRDefault="00560776" w:rsidP="0040732C">
      <w:pPr>
        <w:pStyle w:val="SingleTxtG"/>
        <w:rPr>
          <w:lang w:val="fr-FR"/>
        </w:rPr>
      </w:pPr>
      <w:r>
        <w:rPr>
          <w:lang w:val="fr-FR"/>
        </w:rPr>
        <w:t>211.</w:t>
      </w:r>
      <w:r>
        <w:rPr>
          <w:lang w:val="fr-FR"/>
        </w:rPr>
        <w:tab/>
        <w:t>Deux formations de formateurs ont été organisées dans le cadre d</w:t>
      </w:r>
      <w:r w:rsidR="009C7759">
        <w:rPr>
          <w:lang w:val="fr-FR"/>
        </w:rPr>
        <w:t>’</w:t>
      </w:r>
      <w:r>
        <w:rPr>
          <w:lang w:val="fr-FR"/>
        </w:rPr>
        <w:t>un programme bénéficiant du soutien de l</w:t>
      </w:r>
      <w:r w:rsidR="009C7759">
        <w:rPr>
          <w:lang w:val="fr-FR"/>
        </w:rPr>
        <w:t>’</w:t>
      </w:r>
      <w:r>
        <w:rPr>
          <w:lang w:val="fr-FR"/>
        </w:rPr>
        <w:t>Agence japonaise de coopération internationale (JICA) qui vise à détecter le plus tôt possible les besoins particuliers et les handicaps chez les enfants d</w:t>
      </w:r>
      <w:r w:rsidR="009C7759">
        <w:rPr>
          <w:lang w:val="fr-FR"/>
        </w:rPr>
        <w:t>’</w:t>
      </w:r>
      <w:r>
        <w:rPr>
          <w:lang w:val="fr-FR"/>
        </w:rPr>
        <w:t>âge préscolaire, à intervenir rapidement et à assurer l</w:t>
      </w:r>
      <w:r w:rsidR="009C7759">
        <w:rPr>
          <w:lang w:val="fr-FR"/>
        </w:rPr>
        <w:t>’</w:t>
      </w:r>
      <w:r>
        <w:rPr>
          <w:lang w:val="fr-FR"/>
        </w:rPr>
        <w:t>égalité d</w:t>
      </w:r>
      <w:r w:rsidR="009C7759">
        <w:rPr>
          <w:lang w:val="fr-FR"/>
        </w:rPr>
        <w:t>’</w:t>
      </w:r>
      <w:r>
        <w:rPr>
          <w:lang w:val="fr-FR"/>
        </w:rPr>
        <w:t>accès à l</w:t>
      </w:r>
      <w:r w:rsidR="009C7759">
        <w:rPr>
          <w:lang w:val="fr-FR"/>
        </w:rPr>
        <w:t>’</w:t>
      </w:r>
      <w:r>
        <w:rPr>
          <w:lang w:val="fr-FR"/>
        </w:rPr>
        <w:t>éducation, en garantissant l</w:t>
      </w:r>
      <w:r w:rsidR="009C7759">
        <w:rPr>
          <w:lang w:val="fr-FR"/>
        </w:rPr>
        <w:t>’</w:t>
      </w:r>
      <w:r>
        <w:rPr>
          <w:lang w:val="fr-FR"/>
        </w:rPr>
        <w:t>inclusion de tous les enfants dans l</w:t>
      </w:r>
      <w:r w:rsidR="009C7759">
        <w:rPr>
          <w:lang w:val="fr-FR"/>
        </w:rPr>
        <w:t>’</w:t>
      </w:r>
      <w:r>
        <w:rPr>
          <w:lang w:val="fr-FR"/>
        </w:rPr>
        <w:t>enseignement préscolaire, quel que soit leur handicap.</w:t>
      </w:r>
    </w:p>
    <w:p w14:paraId="368E2F8E" w14:textId="6E715DB5" w:rsidR="00560776" w:rsidRPr="00C8158A" w:rsidRDefault="00560776" w:rsidP="0040732C">
      <w:pPr>
        <w:pStyle w:val="SingleTxtG"/>
        <w:rPr>
          <w:lang w:val="fr-FR"/>
        </w:rPr>
      </w:pPr>
      <w:r>
        <w:rPr>
          <w:lang w:val="fr-FR"/>
        </w:rPr>
        <w:t>212.</w:t>
      </w:r>
      <w:r>
        <w:rPr>
          <w:lang w:val="fr-FR"/>
        </w:rPr>
        <w:tab/>
        <w:t>En coopération avec le jardin d</w:t>
      </w:r>
      <w:r w:rsidR="009C7759">
        <w:rPr>
          <w:lang w:val="fr-FR"/>
        </w:rPr>
        <w:t>’</w:t>
      </w:r>
      <w:r>
        <w:rPr>
          <w:lang w:val="fr-FR"/>
        </w:rPr>
        <w:t>enfants n</w:t>
      </w:r>
      <w:r w:rsidR="00723A5A" w:rsidRPr="00723A5A">
        <w:rPr>
          <w:vertAlign w:val="superscript"/>
          <w:lang w:val="fr-FR"/>
        </w:rPr>
        <w:t>o</w:t>
      </w:r>
      <w:r w:rsidR="00723A5A">
        <w:rPr>
          <w:lang w:val="fr-FR"/>
        </w:rPr>
        <w:t> </w:t>
      </w:r>
      <w:r>
        <w:rPr>
          <w:lang w:val="fr-FR"/>
        </w:rPr>
        <w:t>186, l</w:t>
      </w:r>
      <w:r w:rsidR="009C7759">
        <w:rPr>
          <w:lang w:val="fr-FR"/>
        </w:rPr>
        <w:t>’</w:t>
      </w:r>
      <w:r>
        <w:rPr>
          <w:lang w:val="fr-FR"/>
        </w:rPr>
        <w:t>école spécialisée n</w:t>
      </w:r>
      <w:r w:rsidR="00723A5A" w:rsidRPr="00723A5A">
        <w:rPr>
          <w:vertAlign w:val="superscript"/>
          <w:lang w:val="fr-FR"/>
        </w:rPr>
        <w:t>o</w:t>
      </w:r>
      <w:r w:rsidR="00723A5A">
        <w:rPr>
          <w:lang w:val="fr-FR"/>
        </w:rPr>
        <w:t> </w:t>
      </w:r>
      <w:r>
        <w:rPr>
          <w:lang w:val="fr-FR"/>
        </w:rPr>
        <w:t>29, une ONG œuvrant pour l</w:t>
      </w:r>
      <w:r w:rsidR="009C7759">
        <w:rPr>
          <w:lang w:val="fr-FR"/>
        </w:rPr>
        <w:t>’</w:t>
      </w:r>
      <w:r>
        <w:rPr>
          <w:lang w:val="fr-FR"/>
        </w:rPr>
        <w:t>éducation des personnes atteintes de déficience auditive et l</w:t>
      </w:r>
      <w:r w:rsidR="009C7759">
        <w:rPr>
          <w:lang w:val="fr-FR"/>
        </w:rPr>
        <w:t>’</w:t>
      </w:r>
      <w:r>
        <w:rPr>
          <w:lang w:val="fr-FR"/>
        </w:rPr>
        <w:t>Association des traducteurs et interprètes en langue des signes, le Ministre de l</w:t>
      </w:r>
      <w:r w:rsidR="009C7759">
        <w:rPr>
          <w:lang w:val="fr-FR"/>
        </w:rPr>
        <w:t>’</w:t>
      </w:r>
      <w:r>
        <w:rPr>
          <w:lang w:val="fr-FR"/>
        </w:rPr>
        <w:t>éducation, de la culture, des sciences et du sport met à l</w:t>
      </w:r>
      <w:r w:rsidR="009C7759">
        <w:rPr>
          <w:lang w:val="fr-FR"/>
        </w:rPr>
        <w:t>’</w:t>
      </w:r>
      <w:r>
        <w:rPr>
          <w:lang w:val="fr-FR"/>
        </w:rPr>
        <w:t>essai aux niveaux préscolaire et primaire un programme visant à inclure dès leur plus jeune âge les enfants atteints de déficience auditive et de troubles de l</w:t>
      </w:r>
      <w:r w:rsidR="009C7759">
        <w:rPr>
          <w:lang w:val="fr-FR"/>
        </w:rPr>
        <w:t>’</w:t>
      </w:r>
      <w:r>
        <w:rPr>
          <w:lang w:val="fr-FR"/>
        </w:rPr>
        <w:t>expression orale. Le projet de la JICA visant à renforcer les capacités des enseignants s</w:t>
      </w:r>
      <w:r w:rsidR="009C7759">
        <w:rPr>
          <w:lang w:val="fr-FR"/>
        </w:rPr>
        <w:t>’</w:t>
      </w:r>
      <w:r>
        <w:rPr>
          <w:lang w:val="fr-FR"/>
        </w:rPr>
        <w:t>occupant d</w:t>
      </w:r>
      <w:r w:rsidR="009C7759">
        <w:rPr>
          <w:lang w:val="fr-FR"/>
        </w:rPr>
        <w:t>’</w:t>
      </w:r>
      <w:r>
        <w:rPr>
          <w:lang w:val="fr-FR"/>
        </w:rPr>
        <w:t>enfants handicapés et la prise en charge adéquate de ces enfants (projet START) a été mené entre 2015 et 2020 dans l</w:t>
      </w:r>
      <w:r w:rsidR="009C7759">
        <w:rPr>
          <w:lang w:val="fr-FR"/>
        </w:rPr>
        <w:t>’</w:t>
      </w:r>
      <w:r>
        <w:rPr>
          <w:lang w:val="fr-FR"/>
        </w:rPr>
        <w:t xml:space="preserve">aïmag de </w:t>
      </w:r>
      <w:proofErr w:type="spellStart"/>
      <w:r>
        <w:rPr>
          <w:lang w:val="fr-FR"/>
        </w:rPr>
        <w:t>Khuvsgul</w:t>
      </w:r>
      <w:proofErr w:type="spellEnd"/>
      <w:r>
        <w:rPr>
          <w:lang w:val="fr-FR"/>
        </w:rPr>
        <w:t xml:space="preserve">, le district de </w:t>
      </w:r>
      <w:proofErr w:type="spellStart"/>
      <w:r>
        <w:rPr>
          <w:lang w:val="fr-FR"/>
        </w:rPr>
        <w:t>Bayangol</w:t>
      </w:r>
      <w:proofErr w:type="spellEnd"/>
      <w:r>
        <w:rPr>
          <w:lang w:val="fr-FR"/>
        </w:rPr>
        <w:t xml:space="preserve"> et dans quatre écoles spécialisées et huit écoles ordinaires d</w:t>
      </w:r>
      <w:r w:rsidR="009C7759">
        <w:rPr>
          <w:lang w:val="fr-FR"/>
        </w:rPr>
        <w:t>’</w:t>
      </w:r>
      <w:r>
        <w:rPr>
          <w:lang w:val="fr-FR"/>
        </w:rPr>
        <w:t xml:space="preserve">Oulan-Bator. </w:t>
      </w:r>
    </w:p>
    <w:p w14:paraId="07C325BE" w14:textId="2D9E93E7" w:rsidR="00560776" w:rsidRPr="00C8158A" w:rsidRDefault="00560776" w:rsidP="00723A5A">
      <w:pPr>
        <w:pStyle w:val="SingleTxtG"/>
        <w:keepNext/>
        <w:keepLines/>
        <w:rPr>
          <w:lang w:val="fr-FR"/>
        </w:rPr>
      </w:pPr>
      <w:r>
        <w:rPr>
          <w:lang w:val="fr-FR"/>
        </w:rPr>
        <w:lastRenderedPageBreak/>
        <w:t>213.</w:t>
      </w:r>
      <w:r>
        <w:rPr>
          <w:lang w:val="fr-FR"/>
        </w:rPr>
        <w:tab/>
        <w:t>Dans le cadre du programme de l</w:t>
      </w:r>
      <w:r w:rsidR="009C7759">
        <w:rPr>
          <w:lang w:val="fr-FR"/>
        </w:rPr>
        <w:t>’</w:t>
      </w:r>
      <w:r>
        <w:rPr>
          <w:lang w:val="fr-FR"/>
        </w:rPr>
        <w:t>UNICEF visant à mettre en place des environnements d</w:t>
      </w:r>
      <w:r w:rsidR="009C7759">
        <w:rPr>
          <w:lang w:val="fr-FR"/>
        </w:rPr>
        <w:t>’</w:t>
      </w:r>
      <w:r>
        <w:rPr>
          <w:lang w:val="fr-FR"/>
        </w:rPr>
        <w:t>apprentissage inclusifs, sains et de qualité et du programme de promotion de l</w:t>
      </w:r>
      <w:r w:rsidR="009C7759">
        <w:rPr>
          <w:lang w:val="fr-FR"/>
        </w:rPr>
        <w:t>’</w:t>
      </w:r>
      <w:r>
        <w:rPr>
          <w:lang w:val="fr-FR"/>
        </w:rPr>
        <w:t xml:space="preserve">éducation inclusive pour chaque enfant en Mongolie de Save the </w:t>
      </w:r>
      <w:proofErr w:type="spellStart"/>
      <w:r>
        <w:rPr>
          <w:lang w:val="fr-FR"/>
        </w:rPr>
        <w:t>Children</w:t>
      </w:r>
      <w:proofErr w:type="spellEnd"/>
      <w:r>
        <w:rPr>
          <w:lang w:val="fr-FR"/>
        </w:rPr>
        <w:t xml:space="preserve"> (Japon), des parents et des enseignants ont reçu un appui méthodologique et les outils nécessaires pour dispenser une éducation accessible aux enfants handicapés inscrits dans des établissements d</w:t>
      </w:r>
      <w:r w:rsidR="009C7759">
        <w:rPr>
          <w:lang w:val="fr-FR"/>
        </w:rPr>
        <w:t>’</w:t>
      </w:r>
      <w:r>
        <w:rPr>
          <w:lang w:val="fr-FR"/>
        </w:rPr>
        <w:t>enseignement général et des centres d</w:t>
      </w:r>
      <w:r w:rsidR="009C7759">
        <w:rPr>
          <w:lang w:val="fr-FR"/>
        </w:rPr>
        <w:t>’</w:t>
      </w:r>
      <w:r>
        <w:rPr>
          <w:lang w:val="fr-FR"/>
        </w:rPr>
        <w:t xml:space="preserve">éducation permanente du district de </w:t>
      </w:r>
      <w:proofErr w:type="spellStart"/>
      <w:r>
        <w:rPr>
          <w:lang w:val="fr-FR"/>
        </w:rPr>
        <w:t>Bayanzurkh</w:t>
      </w:r>
      <w:proofErr w:type="spellEnd"/>
      <w:r>
        <w:rPr>
          <w:lang w:val="fr-FR"/>
        </w:rPr>
        <w:t xml:space="preserve"> à Oulan-Bator, ainsi que dans les aïmags de </w:t>
      </w:r>
      <w:proofErr w:type="spellStart"/>
      <w:r>
        <w:rPr>
          <w:lang w:val="fr-FR"/>
        </w:rPr>
        <w:t>Khovd</w:t>
      </w:r>
      <w:proofErr w:type="spellEnd"/>
      <w:r>
        <w:rPr>
          <w:lang w:val="fr-FR"/>
        </w:rPr>
        <w:t xml:space="preserve">, </w:t>
      </w:r>
      <w:proofErr w:type="spellStart"/>
      <w:r>
        <w:rPr>
          <w:lang w:val="fr-FR"/>
        </w:rPr>
        <w:t>Bayankhongor</w:t>
      </w:r>
      <w:proofErr w:type="spellEnd"/>
      <w:r>
        <w:rPr>
          <w:lang w:val="fr-FR"/>
        </w:rPr>
        <w:t xml:space="preserve">, </w:t>
      </w:r>
      <w:proofErr w:type="spellStart"/>
      <w:r>
        <w:rPr>
          <w:lang w:val="fr-FR"/>
        </w:rPr>
        <w:t>Zavkhan</w:t>
      </w:r>
      <w:proofErr w:type="spellEnd"/>
      <w:r>
        <w:rPr>
          <w:lang w:val="fr-FR"/>
        </w:rPr>
        <w:t>, Gobi-</w:t>
      </w:r>
      <w:proofErr w:type="spellStart"/>
      <w:r>
        <w:rPr>
          <w:lang w:val="fr-FR"/>
        </w:rPr>
        <w:t>Altai</w:t>
      </w:r>
      <w:proofErr w:type="spellEnd"/>
      <w:r>
        <w:rPr>
          <w:lang w:val="fr-FR"/>
        </w:rPr>
        <w:t xml:space="preserve"> et </w:t>
      </w:r>
      <w:proofErr w:type="spellStart"/>
      <w:r>
        <w:rPr>
          <w:lang w:val="fr-FR"/>
        </w:rPr>
        <w:t>Uvurkhangai</w:t>
      </w:r>
      <w:proofErr w:type="spellEnd"/>
      <w:r>
        <w:rPr>
          <w:lang w:val="fr-FR"/>
        </w:rPr>
        <w:t xml:space="preserve">. </w:t>
      </w:r>
    </w:p>
    <w:p w14:paraId="648BA49E" w14:textId="77777777" w:rsidR="00560776" w:rsidRPr="00C8158A" w:rsidRDefault="00560776" w:rsidP="00E94CB1">
      <w:pPr>
        <w:pStyle w:val="H23G"/>
        <w:rPr>
          <w:lang w:val="fr-FR"/>
        </w:rPr>
      </w:pPr>
      <w:r>
        <w:rPr>
          <w:lang w:val="fr-FR"/>
        </w:rPr>
        <w:tab/>
      </w:r>
      <w:r>
        <w:rPr>
          <w:lang w:val="fr-FR"/>
        </w:rPr>
        <w:tab/>
        <w:t>Élaboration et distribution de manuels scolaires destinés aux enfants handicapés</w:t>
      </w:r>
    </w:p>
    <w:p w14:paraId="5C371CE2" w14:textId="35E4036B" w:rsidR="00560776" w:rsidRPr="00C8158A" w:rsidRDefault="00560776" w:rsidP="0040732C">
      <w:pPr>
        <w:pStyle w:val="SingleTxtG"/>
        <w:rPr>
          <w:lang w:val="fr-FR"/>
        </w:rPr>
      </w:pPr>
      <w:r>
        <w:rPr>
          <w:lang w:val="fr-FR"/>
        </w:rPr>
        <w:t>214.</w:t>
      </w:r>
      <w:r>
        <w:rPr>
          <w:lang w:val="fr-FR"/>
        </w:rPr>
        <w:tab/>
        <w:t>Afin de fournir aux enfants handicapés des possibilités d</w:t>
      </w:r>
      <w:r w:rsidR="009C7759">
        <w:rPr>
          <w:lang w:val="fr-FR"/>
        </w:rPr>
        <w:t>’</w:t>
      </w:r>
      <w:r>
        <w:rPr>
          <w:lang w:val="fr-FR"/>
        </w:rPr>
        <w:t>apprentissage et des supports d</w:t>
      </w:r>
      <w:r w:rsidR="009C7759">
        <w:rPr>
          <w:lang w:val="fr-FR"/>
        </w:rPr>
        <w:t>’</w:t>
      </w:r>
      <w:r>
        <w:rPr>
          <w:lang w:val="fr-FR"/>
        </w:rPr>
        <w:t>instruction, des manuels de langue mongole et de mathématiques destinés aux enfants d</w:t>
      </w:r>
      <w:r w:rsidR="009C7759">
        <w:rPr>
          <w:lang w:val="fr-FR"/>
        </w:rPr>
        <w:t>’</w:t>
      </w:r>
      <w:r>
        <w:rPr>
          <w:lang w:val="fr-FR"/>
        </w:rPr>
        <w:t>un à cinq ans atteints de troubles cognitifs et auditifs ont été mis au point, imprimés et livrés entre 2017 et 2019.</w:t>
      </w:r>
    </w:p>
    <w:p w14:paraId="495C01FD" w14:textId="529499B8" w:rsidR="00560776" w:rsidRPr="00C8158A" w:rsidRDefault="00560776" w:rsidP="0040732C">
      <w:pPr>
        <w:pStyle w:val="SingleTxtG"/>
        <w:rPr>
          <w:lang w:val="fr-FR"/>
        </w:rPr>
      </w:pPr>
      <w:r>
        <w:rPr>
          <w:lang w:val="fr-FR"/>
        </w:rPr>
        <w:t>215.</w:t>
      </w:r>
      <w:r>
        <w:rPr>
          <w:lang w:val="fr-FR"/>
        </w:rPr>
        <w:tab/>
        <w:t>Le projet de l</w:t>
      </w:r>
      <w:r w:rsidR="009C7759">
        <w:rPr>
          <w:lang w:val="fr-FR"/>
        </w:rPr>
        <w:t>’</w:t>
      </w:r>
      <w:r>
        <w:rPr>
          <w:lang w:val="fr-FR"/>
        </w:rPr>
        <w:t>UNICEF visant à mettre en place des environnements d</w:t>
      </w:r>
      <w:r w:rsidR="009C7759">
        <w:rPr>
          <w:lang w:val="fr-FR"/>
        </w:rPr>
        <w:t>’</w:t>
      </w:r>
      <w:r>
        <w:rPr>
          <w:lang w:val="fr-FR"/>
        </w:rPr>
        <w:t>apprentissage inclusifs, sains et de qualité a bénéficié à plus de 90 élèves et 550 personnes dans six établissements. Ce projet a en outre permis de créer l</w:t>
      </w:r>
      <w:r w:rsidR="009C7759">
        <w:rPr>
          <w:lang w:val="fr-FR"/>
        </w:rPr>
        <w:t>’</w:t>
      </w:r>
      <w:r>
        <w:rPr>
          <w:lang w:val="fr-FR"/>
        </w:rPr>
        <w:t>application « Amis », un outil de communication facile à utiliser qui aide les enfants handicapés à surmonter d</w:t>
      </w:r>
      <w:r w:rsidR="009C7759">
        <w:rPr>
          <w:lang w:val="fr-FR"/>
        </w:rPr>
        <w:t>’</w:t>
      </w:r>
      <w:r>
        <w:rPr>
          <w:lang w:val="fr-FR"/>
        </w:rPr>
        <w:t>éventuelles difficultés lorsqu</w:t>
      </w:r>
      <w:r w:rsidR="009C7759">
        <w:rPr>
          <w:lang w:val="fr-FR"/>
        </w:rPr>
        <w:t>’</w:t>
      </w:r>
      <w:r>
        <w:rPr>
          <w:lang w:val="fr-FR"/>
        </w:rPr>
        <w:t>ils fréquentent un établissement d</w:t>
      </w:r>
      <w:r w:rsidR="009C7759">
        <w:rPr>
          <w:lang w:val="fr-FR"/>
        </w:rPr>
        <w:t>’</w:t>
      </w:r>
      <w:r>
        <w:rPr>
          <w:lang w:val="fr-FR"/>
        </w:rPr>
        <w:t>enseignement général. Cette application facilite la communication directe des enfants handicapés avec les autres élèves et comprend 85</w:t>
      </w:r>
      <w:r w:rsidR="00D03961">
        <w:rPr>
          <w:lang w:val="fr-FR"/>
        </w:rPr>
        <w:t> </w:t>
      </w:r>
      <w:r>
        <w:rPr>
          <w:lang w:val="fr-FR"/>
        </w:rPr>
        <w:t>mots et expressions de base qui sont nécessaires pour demander de l</w:t>
      </w:r>
      <w:r w:rsidR="009C7759">
        <w:rPr>
          <w:lang w:val="fr-FR"/>
        </w:rPr>
        <w:t>’</w:t>
      </w:r>
      <w:r>
        <w:rPr>
          <w:lang w:val="fr-FR"/>
        </w:rPr>
        <w:t>aide ou qui peuvent être utilisés en cas d</w:t>
      </w:r>
      <w:r w:rsidR="009C7759">
        <w:rPr>
          <w:lang w:val="fr-FR"/>
        </w:rPr>
        <w:t>’</w:t>
      </w:r>
      <w:r>
        <w:rPr>
          <w:lang w:val="fr-FR"/>
        </w:rPr>
        <w:t>urgence. Les enfants peuvent également ajouter leurs propres mots, images et voix à l</w:t>
      </w:r>
      <w:r w:rsidR="009C7759">
        <w:rPr>
          <w:lang w:val="fr-FR"/>
        </w:rPr>
        <w:t>’</w:t>
      </w:r>
      <w:r>
        <w:rPr>
          <w:lang w:val="fr-FR"/>
        </w:rPr>
        <w:t xml:space="preserve">application. </w:t>
      </w:r>
    </w:p>
    <w:p w14:paraId="69C5125C" w14:textId="6B1551E1" w:rsidR="00560776" w:rsidRPr="00C8158A" w:rsidRDefault="00560776" w:rsidP="0040732C">
      <w:pPr>
        <w:pStyle w:val="SingleTxtG"/>
        <w:rPr>
          <w:lang w:val="fr-FR"/>
        </w:rPr>
      </w:pPr>
      <w:r>
        <w:rPr>
          <w:lang w:val="fr-FR"/>
        </w:rPr>
        <w:t>216.</w:t>
      </w:r>
      <w:r>
        <w:rPr>
          <w:lang w:val="fr-FR"/>
        </w:rPr>
        <w:tab/>
        <w:t>En 2019, 29</w:t>
      </w:r>
      <w:r w:rsidR="00D03961">
        <w:rPr>
          <w:lang w:val="fr-FR"/>
        </w:rPr>
        <w:t> </w:t>
      </w:r>
      <w:r>
        <w:rPr>
          <w:lang w:val="fr-FR"/>
        </w:rPr>
        <w:t>700</w:t>
      </w:r>
      <w:r w:rsidR="00D03961">
        <w:rPr>
          <w:lang w:val="fr-FR"/>
        </w:rPr>
        <w:t> </w:t>
      </w:r>
      <w:r>
        <w:rPr>
          <w:lang w:val="fr-FR"/>
        </w:rPr>
        <w:t>exemplaires des publications suivantes ont été imprimés et distribués à tous les établissements d</w:t>
      </w:r>
      <w:r w:rsidR="009C7759">
        <w:rPr>
          <w:lang w:val="fr-FR"/>
        </w:rPr>
        <w:t>’</w:t>
      </w:r>
      <w:r>
        <w:rPr>
          <w:lang w:val="fr-FR"/>
        </w:rPr>
        <w:t>enseignement publics et aux centres d</w:t>
      </w:r>
      <w:r w:rsidR="009C7759">
        <w:rPr>
          <w:lang w:val="fr-FR"/>
        </w:rPr>
        <w:t>’</w:t>
      </w:r>
      <w:r>
        <w:rPr>
          <w:lang w:val="fr-FR"/>
        </w:rPr>
        <w:t>éducation permanente</w:t>
      </w:r>
      <w:r w:rsidR="00255530">
        <w:rPr>
          <w:lang w:val="fr-FR"/>
        </w:rPr>
        <w:t> </w:t>
      </w:r>
      <w:r>
        <w:rPr>
          <w:lang w:val="fr-FR"/>
        </w:rPr>
        <w:t>: document sur la détermination du degré de développement des enfants atteints de handicaps sévères et méthodes d</w:t>
      </w:r>
      <w:r w:rsidR="009C7759">
        <w:rPr>
          <w:lang w:val="fr-FR"/>
        </w:rPr>
        <w:t>’</w:t>
      </w:r>
      <w:r>
        <w:rPr>
          <w:lang w:val="fr-FR"/>
        </w:rPr>
        <w:t>enseignement applicables, méthodologie et matériel d</w:t>
      </w:r>
      <w:r w:rsidR="009C7759">
        <w:rPr>
          <w:lang w:val="fr-FR"/>
        </w:rPr>
        <w:t>’</w:t>
      </w:r>
      <w:r>
        <w:rPr>
          <w:lang w:val="fr-FR"/>
        </w:rPr>
        <w:t>appui pour les enfants présentant des retards cognitifs et des troubles du comportement, cartes d</w:t>
      </w:r>
      <w:r w:rsidR="009C7759">
        <w:rPr>
          <w:lang w:val="fr-FR"/>
        </w:rPr>
        <w:t>’</w:t>
      </w:r>
      <w:r>
        <w:rPr>
          <w:lang w:val="fr-FR"/>
        </w:rPr>
        <w:t xml:space="preserve">apprentissage de la langue des signes destinées aux enfants atteints de déficiences auditives et livret-résumé de six images visant à améliorer le vocabulaire des enfants atteints de troubles de la parole. </w:t>
      </w:r>
    </w:p>
    <w:p w14:paraId="485E5041" w14:textId="7640C673" w:rsidR="00560776" w:rsidRPr="00C8158A" w:rsidRDefault="00560776" w:rsidP="00E94CB1">
      <w:pPr>
        <w:pStyle w:val="H23G"/>
        <w:rPr>
          <w:lang w:val="fr-FR"/>
        </w:rPr>
      </w:pPr>
      <w:r>
        <w:rPr>
          <w:lang w:val="fr-FR"/>
        </w:rPr>
        <w:tab/>
      </w:r>
      <w:r>
        <w:rPr>
          <w:lang w:val="fr-FR"/>
        </w:rPr>
        <w:tab/>
        <w:t>Formation et reconversion du personnel enseignant à l</w:t>
      </w:r>
      <w:r w:rsidR="009C7759">
        <w:rPr>
          <w:lang w:val="fr-FR"/>
        </w:rPr>
        <w:t>’</w:t>
      </w:r>
      <w:r>
        <w:rPr>
          <w:lang w:val="fr-FR"/>
        </w:rPr>
        <w:t xml:space="preserve">éducation </w:t>
      </w:r>
      <w:r w:rsidR="00E94CB1">
        <w:rPr>
          <w:lang w:val="fr-FR"/>
        </w:rPr>
        <w:br/>
      </w:r>
      <w:r>
        <w:rPr>
          <w:lang w:val="fr-FR"/>
        </w:rPr>
        <w:t>des élèves ayant des besoins particuliers</w:t>
      </w:r>
    </w:p>
    <w:p w14:paraId="6539989D" w14:textId="330DF57F" w:rsidR="00560776" w:rsidRPr="00C8158A" w:rsidRDefault="00560776" w:rsidP="0040732C">
      <w:pPr>
        <w:pStyle w:val="SingleTxtG"/>
        <w:rPr>
          <w:lang w:val="fr-FR"/>
        </w:rPr>
      </w:pPr>
      <w:r>
        <w:rPr>
          <w:lang w:val="fr-FR"/>
        </w:rPr>
        <w:t>217.</w:t>
      </w:r>
      <w:r>
        <w:rPr>
          <w:lang w:val="fr-FR"/>
        </w:rPr>
        <w:tab/>
        <w:t>En 2018, l</w:t>
      </w:r>
      <w:r w:rsidR="009C7759">
        <w:rPr>
          <w:lang w:val="fr-FR"/>
        </w:rPr>
        <w:t>’</w:t>
      </w:r>
      <w:r>
        <w:rPr>
          <w:lang w:val="fr-FR"/>
        </w:rPr>
        <w:t>Université nationale mongole de pédagogie a établi la faculté d</w:t>
      </w:r>
      <w:r w:rsidR="009C7759">
        <w:rPr>
          <w:lang w:val="fr-FR"/>
        </w:rPr>
        <w:t>’</w:t>
      </w:r>
      <w:r>
        <w:rPr>
          <w:lang w:val="fr-FR"/>
        </w:rPr>
        <w:t>éducation des élèves ayant des besoins particuliers, dont les cours ont été suivis par 96</w:t>
      </w:r>
      <w:r w:rsidR="00D03961">
        <w:rPr>
          <w:lang w:val="fr-FR"/>
        </w:rPr>
        <w:t> </w:t>
      </w:r>
      <w:r>
        <w:rPr>
          <w:lang w:val="fr-FR"/>
        </w:rPr>
        <w:t>étudiants pendant l</w:t>
      </w:r>
      <w:r w:rsidR="009C7759">
        <w:rPr>
          <w:lang w:val="fr-FR"/>
        </w:rPr>
        <w:t>’</w:t>
      </w:r>
      <w:r>
        <w:rPr>
          <w:lang w:val="fr-FR"/>
        </w:rPr>
        <w:t>année scolaire 2019</w:t>
      </w:r>
      <w:r w:rsidR="00D03961">
        <w:rPr>
          <w:lang w:val="fr-FR"/>
        </w:rPr>
        <w:t>/</w:t>
      </w:r>
      <w:r>
        <w:rPr>
          <w:lang w:val="fr-FR"/>
        </w:rPr>
        <w:t xml:space="preserve">2020. </w:t>
      </w:r>
    </w:p>
    <w:p w14:paraId="6DA0B86B" w14:textId="6108F6B9" w:rsidR="00560776" w:rsidRPr="00C8158A" w:rsidRDefault="00560776" w:rsidP="0040732C">
      <w:pPr>
        <w:pStyle w:val="SingleTxtG"/>
        <w:rPr>
          <w:lang w:val="fr-FR"/>
        </w:rPr>
      </w:pPr>
      <w:r>
        <w:rPr>
          <w:lang w:val="fr-FR"/>
        </w:rPr>
        <w:t>218.</w:t>
      </w:r>
      <w:r>
        <w:rPr>
          <w:lang w:val="fr-FR"/>
        </w:rPr>
        <w:tab/>
        <w:t>En 2018, des stages de spécialisation de trois jours ont été dispensés auprès de cinq groupes de membres du personnel d</w:t>
      </w:r>
      <w:r w:rsidR="009C7759">
        <w:rPr>
          <w:lang w:val="fr-FR"/>
        </w:rPr>
        <w:t>’</w:t>
      </w:r>
      <w:r>
        <w:rPr>
          <w:lang w:val="fr-FR"/>
        </w:rPr>
        <w:t>écoles spécialisées et d</w:t>
      </w:r>
      <w:r w:rsidR="009C7759">
        <w:rPr>
          <w:lang w:val="fr-FR"/>
        </w:rPr>
        <w:t>’</w:t>
      </w:r>
      <w:r>
        <w:rPr>
          <w:lang w:val="fr-FR"/>
        </w:rPr>
        <w:t>écoles maternelles s</w:t>
      </w:r>
      <w:r w:rsidR="009C7759">
        <w:rPr>
          <w:lang w:val="fr-FR"/>
        </w:rPr>
        <w:t>’</w:t>
      </w:r>
      <w:r>
        <w:rPr>
          <w:lang w:val="fr-FR"/>
        </w:rPr>
        <w:t>occupant d</w:t>
      </w:r>
      <w:r w:rsidR="009C7759">
        <w:rPr>
          <w:lang w:val="fr-FR"/>
        </w:rPr>
        <w:t>’</w:t>
      </w:r>
      <w:r>
        <w:rPr>
          <w:lang w:val="fr-FR"/>
        </w:rPr>
        <w:t>enfants présentant des déficiences visuelles, auditives et cognitives. Ces stages, organisés en neuf cycles, ont été suivis par 392</w:t>
      </w:r>
      <w:r w:rsidR="00D03961">
        <w:rPr>
          <w:lang w:val="fr-FR"/>
        </w:rPr>
        <w:t> </w:t>
      </w:r>
      <w:r>
        <w:rPr>
          <w:lang w:val="fr-FR"/>
        </w:rPr>
        <w:t>participants.</w:t>
      </w:r>
    </w:p>
    <w:p w14:paraId="49CFC49A" w14:textId="4E8676EF" w:rsidR="00560776" w:rsidRPr="00C8158A" w:rsidRDefault="00560776" w:rsidP="0040732C">
      <w:pPr>
        <w:pStyle w:val="SingleTxtG"/>
        <w:rPr>
          <w:lang w:val="fr-FR"/>
        </w:rPr>
      </w:pPr>
      <w:r>
        <w:rPr>
          <w:lang w:val="fr-FR"/>
        </w:rPr>
        <w:t>219.</w:t>
      </w:r>
      <w:r>
        <w:rPr>
          <w:lang w:val="fr-FR"/>
        </w:rPr>
        <w:tab/>
        <w:t>Des formations, auxquelles ont participé 1</w:t>
      </w:r>
      <w:r w:rsidR="00D03961">
        <w:rPr>
          <w:lang w:val="fr-FR"/>
        </w:rPr>
        <w:t> </w:t>
      </w:r>
      <w:r>
        <w:rPr>
          <w:lang w:val="fr-FR"/>
        </w:rPr>
        <w:t>584</w:t>
      </w:r>
      <w:r w:rsidR="00D03961">
        <w:rPr>
          <w:lang w:val="fr-FR"/>
        </w:rPr>
        <w:t> </w:t>
      </w:r>
      <w:r>
        <w:rPr>
          <w:lang w:val="fr-FR"/>
        </w:rPr>
        <w:t>enseignants, assistants pédagogiques et parents, ont été organisées en 2019 en coopération avec huit organisations sur les thèmes suivants</w:t>
      </w:r>
      <w:r w:rsidR="008F6EE8">
        <w:rPr>
          <w:lang w:val="fr-FR"/>
        </w:rPr>
        <w:t> </w:t>
      </w:r>
      <w:r>
        <w:rPr>
          <w:lang w:val="fr-FR"/>
        </w:rPr>
        <w:t>: compréhension du handicap (modèle social), méthodes de travail avec les enfants handicapés, et fonction et méthode de travail du programme d</w:t>
      </w:r>
      <w:r w:rsidR="009C7759">
        <w:rPr>
          <w:lang w:val="fr-FR"/>
        </w:rPr>
        <w:t>’</w:t>
      </w:r>
      <w:r>
        <w:rPr>
          <w:lang w:val="fr-FR"/>
        </w:rPr>
        <w:t xml:space="preserve">appui au développement intrafamilial des enfants handicapés ou présumés handicapés. </w:t>
      </w:r>
    </w:p>
    <w:p w14:paraId="42B618CB" w14:textId="2DA14473" w:rsidR="00560776" w:rsidRPr="00C8158A" w:rsidRDefault="00560776" w:rsidP="0040732C">
      <w:pPr>
        <w:pStyle w:val="SingleTxtG"/>
        <w:rPr>
          <w:lang w:val="fr-FR"/>
        </w:rPr>
      </w:pPr>
      <w:r>
        <w:rPr>
          <w:lang w:val="fr-FR"/>
        </w:rPr>
        <w:t>220.</w:t>
      </w:r>
      <w:r>
        <w:rPr>
          <w:lang w:val="fr-FR"/>
        </w:rPr>
        <w:tab/>
        <w:t>Au cours de l</w:t>
      </w:r>
      <w:r w:rsidR="009C7759">
        <w:rPr>
          <w:lang w:val="fr-FR"/>
        </w:rPr>
        <w:t>’</w:t>
      </w:r>
      <w:r>
        <w:rPr>
          <w:lang w:val="fr-FR"/>
        </w:rPr>
        <w:t>année scolaire 2019</w:t>
      </w:r>
      <w:r w:rsidR="009D5F2F">
        <w:rPr>
          <w:lang w:val="fr-FR"/>
        </w:rPr>
        <w:t>/</w:t>
      </w:r>
      <w:r>
        <w:rPr>
          <w:lang w:val="fr-FR"/>
        </w:rPr>
        <w:t>2020, 2</w:t>
      </w:r>
      <w:r w:rsidR="00D03961">
        <w:rPr>
          <w:lang w:val="fr-FR"/>
        </w:rPr>
        <w:t> </w:t>
      </w:r>
      <w:r>
        <w:rPr>
          <w:lang w:val="fr-FR"/>
        </w:rPr>
        <w:t>137</w:t>
      </w:r>
      <w:r w:rsidR="00D03961">
        <w:rPr>
          <w:lang w:val="fr-FR"/>
        </w:rPr>
        <w:t> </w:t>
      </w:r>
      <w:r>
        <w:rPr>
          <w:lang w:val="fr-FR"/>
        </w:rPr>
        <w:t>enseignants et responsables d</w:t>
      </w:r>
      <w:r w:rsidR="009C7759">
        <w:rPr>
          <w:lang w:val="fr-FR"/>
        </w:rPr>
        <w:t>’</w:t>
      </w:r>
      <w:r>
        <w:rPr>
          <w:lang w:val="fr-FR"/>
        </w:rPr>
        <w:t>établissement scolaire ont bénéficié d</w:t>
      </w:r>
      <w:r w:rsidR="009C7759">
        <w:rPr>
          <w:lang w:val="fr-FR"/>
        </w:rPr>
        <w:t>’</w:t>
      </w:r>
      <w:r>
        <w:rPr>
          <w:lang w:val="fr-FR"/>
        </w:rPr>
        <w:t>une assistance professionnelle et méthodologique en suivant un cours en ligne sur l</w:t>
      </w:r>
      <w:r w:rsidR="009C7759">
        <w:rPr>
          <w:lang w:val="fr-FR"/>
        </w:rPr>
        <w:t>’</w:t>
      </w:r>
      <w:r>
        <w:rPr>
          <w:lang w:val="fr-FR"/>
        </w:rPr>
        <w:t>éducation inclusive. La division de perfectionnement professionnel a dispensé un cours de 112</w:t>
      </w:r>
      <w:r w:rsidR="00D03961">
        <w:rPr>
          <w:lang w:val="fr-FR"/>
        </w:rPr>
        <w:t> </w:t>
      </w:r>
      <w:r>
        <w:rPr>
          <w:lang w:val="fr-FR"/>
        </w:rPr>
        <w:t>heures sur l</w:t>
      </w:r>
      <w:r w:rsidR="009C7759">
        <w:rPr>
          <w:lang w:val="fr-FR"/>
        </w:rPr>
        <w:t>’</w:t>
      </w:r>
      <w:r>
        <w:rPr>
          <w:lang w:val="fr-FR"/>
        </w:rPr>
        <w:t>éducation inclusive à 3</w:t>
      </w:r>
      <w:r w:rsidR="00D03961">
        <w:rPr>
          <w:lang w:val="fr-FR"/>
        </w:rPr>
        <w:t> </w:t>
      </w:r>
      <w:r>
        <w:rPr>
          <w:lang w:val="fr-FR"/>
        </w:rPr>
        <w:t>291</w:t>
      </w:r>
      <w:r w:rsidR="00D03961">
        <w:rPr>
          <w:lang w:val="fr-FR"/>
        </w:rPr>
        <w:t> </w:t>
      </w:r>
      <w:r>
        <w:rPr>
          <w:lang w:val="fr-FR"/>
        </w:rPr>
        <w:t>enseignants, dont 1</w:t>
      </w:r>
      <w:r w:rsidR="00B90661">
        <w:rPr>
          <w:lang w:val="fr-FR"/>
        </w:rPr>
        <w:t> </w:t>
      </w:r>
      <w:r>
        <w:rPr>
          <w:lang w:val="fr-FR"/>
        </w:rPr>
        <w:t xml:space="preserve">200 (représentant 14 disciplines) avaient </w:t>
      </w:r>
      <w:r w:rsidR="00D03961">
        <w:rPr>
          <w:lang w:val="fr-FR"/>
        </w:rPr>
        <w:t>dix</w:t>
      </w:r>
      <w:r>
        <w:rPr>
          <w:lang w:val="fr-FR"/>
        </w:rPr>
        <w:t xml:space="preserve"> ans d</w:t>
      </w:r>
      <w:r w:rsidR="009C7759">
        <w:rPr>
          <w:lang w:val="fr-FR"/>
        </w:rPr>
        <w:t>’</w:t>
      </w:r>
      <w:r>
        <w:rPr>
          <w:lang w:val="fr-FR"/>
        </w:rPr>
        <w:t xml:space="preserve">ancienneté et 722 (représentant 13 disciplines) </w:t>
      </w:r>
      <w:r w:rsidR="00B90661">
        <w:rPr>
          <w:lang w:val="fr-FR"/>
        </w:rPr>
        <w:t>cinq</w:t>
      </w:r>
      <w:r>
        <w:rPr>
          <w:lang w:val="fr-FR"/>
        </w:rPr>
        <w:t xml:space="preserve"> ans et 1</w:t>
      </w:r>
      <w:r w:rsidR="00B90661">
        <w:rPr>
          <w:lang w:val="fr-FR"/>
        </w:rPr>
        <w:t> </w:t>
      </w:r>
      <w:r>
        <w:rPr>
          <w:lang w:val="fr-FR"/>
        </w:rPr>
        <w:t>360 (représentant 13 disciplines) étaient dans leur première année d</w:t>
      </w:r>
      <w:r w:rsidR="009C7759">
        <w:rPr>
          <w:lang w:val="fr-FR"/>
        </w:rPr>
        <w:t>’</w:t>
      </w:r>
      <w:r>
        <w:rPr>
          <w:lang w:val="fr-FR"/>
        </w:rPr>
        <w:t xml:space="preserve">enseignement. </w:t>
      </w:r>
    </w:p>
    <w:p w14:paraId="5EE1FD35" w14:textId="6AA981DE" w:rsidR="00560776" w:rsidRPr="00C8158A" w:rsidRDefault="00560776" w:rsidP="0040732C">
      <w:pPr>
        <w:pStyle w:val="SingleTxtG"/>
        <w:rPr>
          <w:lang w:val="fr-FR"/>
        </w:rPr>
      </w:pPr>
      <w:r>
        <w:rPr>
          <w:lang w:val="fr-FR"/>
        </w:rPr>
        <w:t>221.</w:t>
      </w:r>
      <w:r>
        <w:rPr>
          <w:lang w:val="fr-FR"/>
        </w:rPr>
        <w:tab/>
        <w:t>En 2018, huit étudiants sont allés suivre des cours sur l</w:t>
      </w:r>
      <w:r w:rsidR="009C7759">
        <w:rPr>
          <w:lang w:val="fr-FR"/>
        </w:rPr>
        <w:t>’</w:t>
      </w:r>
      <w:r>
        <w:rPr>
          <w:lang w:val="fr-FR"/>
        </w:rPr>
        <w:t>éducation des élèves ayant des besoins particuliers dans des établissements pédagogiques de Moscou et de Tomsk.</w:t>
      </w:r>
    </w:p>
    <w:p w14:paraId="1EBBD5D0" w14:textId="409AA317" w:rsidR="00560776" w:rsidRPr="00C8158A" w:rsidRDefault="00560776" w:rsidP="00E94CB1">
      <w:pPr>
        <w:pStyle w:val="H23G"/>
        <w:rPr>
          <w:lang w:val="fr-FR"/>
        </w:rPr>
      </w:pPr>
      <w:r>
        <w:rPr>
          <w:lang w:val="fr-FR"/>
        </w:rPr>
        <w:lastRenderedPageBreak/>
        <w:tab/>
      </w:r>
      <w:r>
        <w:rPr>
          <w:lang w:val="fr-FR"/>
        </w:rPr>
        <w:tab/>
        <w:t>Mesures d</w:t>
      </w:r>
      <w:r w:rsidR="009C7759">
        <w:rPr>
          <w:lang w:val="fr-FR"/>
        </w:rPr>
        <w:t>’</w:t>
      </w:r>
      <w:r>
        <w:rPr>
          <w:lang w:val="fr-FR"/>
        </w:rPr>
        <w:t>amélioration du cadre d</w:t>
      </w:r>
      <w:r w:rsidR="009C7759">
        <w:rPr>
          <w:lang w:val="fr-FR"/>
        </w:rPr>
        <w:t>’</w:t>
      </w:r>
      <w:r>
        <w:rPr>
          <w:lang w:val="fr-FR"/>
        </w:rPr>
        <w:t>apprentissage</w:t>
      </w:r>
    </w:p>
    <w:p w14:paraId="27065432" w14:textId="5C7C8589" w:rsidR="00560776" w:rsidRPr="00C8158A" w:rsidRDefault="00560776" w:rsidP="0040732C">
      <w:pPr>
        <w:pStyle w:val="SingleTxtG"/>
        <w:rPr>
          <w:lang w:val="fr-FR"/>
        </w:rPr>
      </w:pPr>
      <w:r>
        <w:rPr>
          <w:lang w:val="fr-FR"/>
        </w:rPr>
        <w:t>222.</w:t>
      </w:r>
      <w:r>
        <w:rPr>
          <w:lang w:val="fr-FR"/>
        </w:rPr>
        <w:tab/>
        <w:t>En 2018, grâce à des investissements financés par le budget de l</w:t>
      </w:r>
      <w:r w:rsidR="009C7759">
        <w:rPr>
          <w:lang w:val="fr-FR"/>
        </w:rPr>
        <w:t>’</w:t>
      </w:r>
      <w:r>
        <w:rPr>
          <w:lang w:val="fr-FR"/>
        </w:rPr>
        <w:t>État, les établissements d</w:t>
      </w:r>
      <w:r w:rsidR="009C7759">
        <w:rPr>
          <w:lang w:val="fr-FR"/>
        </w:rPr>
        <w:t>’</w:t>
      </w:r>
      <w:r>
        <w:rPr>
          <w:lang w:val="fr-FR"/>
        </w:rPr>
        <w:t>enseignement général n</w:t>
      </w:r>
      <w:r w:rsidR="00B90661" w:rsidRPr="00B90661">
        <w:rPr>
          <w:vertAlign w:val="superscript"/>
          <w:lang w:val="fr-FR"/>
        </w:rPr>
        <w:t>os</w:t>
      </w:r>
      <w:r w:rsidR="00B90661">
        <w:rPr>
          <w:lang w:val="fr-FR"/>
        </w:rPr>
        <w:t> </w:t>
      </w:r>
      <w:r>
        <w:rPr>
          <w:lang w:val="fr-FR"/>
        </w:rPr>
        <w:t>25, 55, 63, 70 et 117 et les écoles maternelles n</w:t>
      </w:r>
      <w:r w:rsidR="00B90661" w:rsidRPr="00B90661">
        <w:rPr>
          <w:vertAlign w:val="superscript"/>
          <w:lang w:val="fr-FR"/>
        </w:rPr>
        <w:t>os</w:t>
      </w:r>
      <w:r w:rsidR="00B90661">
        <w:rPr>
          <w:lang w:val="fr-FR"/>
        </w:rPr>
        <w:t> </w:t>
      </w:r>
      <w:r>
        <w:rPr>
          <w:lang w:val="fr-FR"/>
        </w:rPr>
        <w:t>10 et 186 ont pu bénéficier de réparations majeures d</w:t>
      </w:r>
      <w:r w:rsidR="009C7759">
        <w:rPr>
          <w:lang w:val="fr-FR"/>
        </w:rPr>
        <w:t>’</w:t>
      </w:r>
      <w:r>
        <w:rPr>
          <w:lang w:val="fr-FR"/>
        </w:rPr>
        <w:t>un coût total de 500</w:t>
      </w:r>
      <w:r w:rsidR="00B90661">
        <w:rPr>
          <w:lang w:val="fr-FR"/>
        </w:rPr>
        <w:t> </w:t>
      </w:r>
      <w:r>
        <w:rPr>
          <w:lang w:val="fr-FR"/>
        </w:rPr>
        <w:t xml:space="preserve">millions de </w:t>
      </w:r>
      <w:proofErr w:type="spellStart"/>
      <w:r>
        <w:rPr>
          <w:lang w:val="fr-FR"/>
        </w:rPr>
        <w:t>togrogs</w:t>
      </w:r>
      <w:proofErr w:type="spellEnd"/>
      <w:r>
        <w:rPr>
          <w:lang w:val="fr-FR"/>
        </w:rPr>
        <w:t>, de bus scolaires d</w:t>
      </w:r>
      <w:r w:rsidR="009C7759">
        <w:rPr>
          <w:lang w:val="fr-FR"/>
        </w:rPr>
        <w:t>’</w:t>
      </w:r>
      <w:r>
        <w:rPr>
          <w:lang w:val="fr-FR"/>
        </w:rPr>
        <w:t>une valeur d</w:t>
      </w:r>
      <w:r w:rsidR="009C7759">
        <w:rPr>
          <w:lang w:val="fr-FR"/>
        </w:rPr>
        <w:t>’</w:t>
      </w:r>
      <w:r>
        <w:rPr>
          <w:lang w:val="fr-FR"/>
        </w:rPr>
        <w:t xml:space="preserve">un milliard de </w:t>
      </w:r>
      <w:proofErr w:type="spellStart"/>
      <w:r>
        <w:rPr>
          <w:lang w:val="fr-FR"/>
        </w:rPr>
        <w:t>togrogs</w:t>
      </w:r>
      <w:proofErr w:type="spellEnd"/>
      <w:r>
        <w:rPr>
          <w:lang w:val="fr-FR"/>
        </w:rPr>
        <w:t xml:space="preserve"> et de mobilier et d</w:t>
      </w:r>
      <w:r w:rsidR="009C7759">
        <w:rPr>
          <w:lang w:val="fr-FR"/>
        </w:rPr>
        <w:t>’</w:t>
      </w:r>
      <w:r>
        <w:rPr>
          <w:lang w:val="fr-FR"/>
        </w:rPr>
        <w:t>outils d</w:t>
      </w:r>
      <w:r w:rsidR="009C7759">
        <w:rPr>
          <w:lang w:val="fr-FR"/>
        </w:rPr>
        <w:t>’</w:t>
      </w:r>
      <w:r>
        <w:rPr>
          <w:lang w:val="fr-FR"/>
        </w:rPr>
        <w:t>apprentissage spéciaux d</w:t>
      </w:r>
      <w:r w:rsidR="009C7759">
        <w:rPr>
          <w:lang w:val="fr-FR"/>
        </w:rPr>
        <w:t>’</w:t>
      </w:r>
      <w:r>
        <w:rPr>
          <w:lang w:val="fr-FR"/>
        </w:rPr>
        <w:t xml:space="preserve">une valeur de 500 millions de </w:t>
      </w:r>
      <w:proofErr w:type="spellStart"/>
      <w:r>
        <w:rPr>
          <w:lang w:val="fr-FR"/>
        </w:rPr>
        <w:t>togrogs</w:t>
      </w:r>
      <w:proofErr w:type="spellEnd"/>
      <w:r>
        <w:rPr>
          <w:lang w:val="fr-FR"/>
        </w:rPr>
        <w:t>. En outre, un budget de 4,9</w:t>
      </w:r>
      <w:r w:rsidR="00B90661">
        <w:rPr>
          <w:lang w:val="fr-FR"/>
        </w:rPr>
        <w:t> </w:t>
      </w:r>
      <w:r>
        <w:rPr>
          <w:lang w:val="fr-FR"/>
        </w:rPr>
        <w:t xml:space="preserve">milliards de </w:t>
      </w:r>
      <w:proofErr w:type="spellStart"/>
      <w:r>
        <w:rPr>
          <w:lang w:val="fr-FR"/>
        </w:rPr>
        <w:t>togrogs</w:t>
      </w:r>
      <w:proofErr w:type="spellEnd"/>
      <w:r>
        <w:rPr>
          <w:lang w:val="fr-FR"/>
        </w:rPr>
        <w:t xml:space="preserve"> a été affecté à la construction d</w:t>
      </w:r>
      <w:r w:rsidR="009C7759">
        <w:rPr>
          <w:lang w:val="fr-FR"/>
        </w:rPr>
        <w:t>’</w:t>
      </w:r>
      <w:r>
        <w:rPr>
          <w:lang w:val="fr-FR"/>
        </w:rPr>
        <w:t xml:space="preserve">une école maternelle pouvant accueillir 120 enfants handicapés, qui a débuté. </w:t>
      </w:r>
    </w:p>
    <w:p w14:paraId="38D8CE84" w14:textId="2AF2CC7C" w:rsidR="00560776" w:rsidRPr="00C8158A" w:rsidRDefault="00560776" w:rsidP="0040732C">
      <w:pPr>
        <w:pStyle w:val="SingleTxtG"/>
        <w:rPr>
          <w:lang w:val="fr-FR"/>
        </w:rPr>
      </w:pPr>
      <w:r>
        <w:rPr>
          <w:lang w:val="fr-FR"/>
        </w:rPr>
        <w:t>223.</w:t>
      </w:r>
      <w:r>
        <w:rPr>
          <w:lang w:val="fr-FR"/>
        </w:rPr>
        <w:tab/>
        <w:t>Le complexe scolaire </w:t>
      </w:r>
      <w:proofErr w:type="spellStart"/>
      <w:r>
        <w:rPr>
          <w:lang w:val="fr-FR"/>
        </w:rPr>
        <w:t>Ireedui</w:t>
      </w:r>
      <w:proofErr w:type="spellEnd"/>
      <w:r>
        <w:rPr>
          <w:lang w:val="fr-FR"/>
        </w:rPr>
        <w:t xml:space="preserve"> de l</w:t>
      </w:r>
      <w:r w:rsidR="009C7759">
        <w:rPr>
          <w:lang w:val="fr-FR"/>
        </w:rPr>
        <w:t>’</w:t>
      </w:r>
      <w:r>
        <w:rPr>
          <w:lang w:val="fr-FR"/>
        </w:rPr>
        <w:t xml:space="preserve">aïmag de </w:t>
      </w:r>
      <w:proofErr w:type="spellStart"/>
      <w:r>
        <w:rPr>
          <w:lang w:val="fr-FR"/>
        </w:rPr>
        <w:t>Khuvsgul</w:t>
      </w:r>
      <w:proofErr w:type="spellEnd"/>
      <w:r>
        <w:rPr>
          <w:lang w:val="fr-FR"/>
        </w:rPr>
        <w:t xml:space="preserve"> s</w:t>
      </w:r>
      <w:r w:rsidR="009C7759">
        <w:rPr>
          <w:lang w:val="fr-FR"/>
        </w:rPr>
        <w:t>’</w:t>
      </w:r>
      <w:r>
        <w:rPr>
          <w:lang w:val="fr-FR"/>
        </w:rPr>
        <w:t>est vu décerner le prix de la meilleure organisation de l</w:t>
      </w:r>
      <w:r w:rsidR="009C7759">
        <w:rPr>
          <w:lang w:val="fr-FR"/>
        </w:rPr>
        <w:t>’</w:t>
      </w:r>
      <w:r>
        <w:rPr>
          <w:lang w:val="fr-FR"/>
        </w:rPr>
        <w:t>année en matière d</w:t>
      </w:r>
      <w:r w:rsidR="009C7759">
        <w:rPr>
          <w:lang w:val="fr-FR"/>
        </w:rPr>
        <w:t>’</w:t>
      </w:r>
      <w:r>
        <w:rPr>
          <w:lang w:val="fr-FR"/>
        </w:rPr>
        <w:t>accessibilité aux enfants et jeunes handicapés pour ses efforts visant à dispenser une éducation de qualité aux enfants handicapés, qui ont permis à 38 d</w:t>
      </w:r>
      <w:r w:rsidR="009C7759">
        <w:rPr>
          <w:lang w:val="fr-FR"/>
        </w:rPr>
        <w:t>’</w:t>
      </w:r>
      <w:r>
        <w:rPr>
          <w:lang w:val="fr-FR"/>
        </w:rPr>
        <w:t>entre eux de suivre un enseignement aux côtés de leurs camarades. Cet</w:t>
      </w:r>
      <w:r w:rsidR="00B90661">
        <w:rPr>
          <w:lang w:val="fr-FR"/>
        </w:rPr>
        <w:t> </w:t>
      </w:r>
      <w:r>
        <w:rPr>
          <w:lang w:val="fr-FR"/>
        </w:rPr>
        <w:t>établissement a également fourni des conseils et une assistance à d</w:t>
      </w:r>
      <w:r w:rsidR="009C7759">
        <w:rPr>
          <w:lang w:val="fr-FR"/>
        </w:rPr>
        <w:t>’</w:t>
      </w:r>
      <w:r>
        <w:rPr>
          <w:lang w:val="fr-FR"/>
        </w:rPr>
        <w:t xml:space="preserve">autres écoles. </w:t>
      </w:r>
    </w:p>
    <w:p w14:paraId="70777B50" w14:textId="73CBC03D" w:rsidR="00560776" w:rsidRPr="00C8158A" w:rsidRDefault="00560776" w:rsidP="0040732C">
      <w:pPr>
        <w:pStyle w:val="SingleTxtG"/>
        <w:rPr>
          <w:lang w:val="fr-FR"/>
        </w:rPr>
      </w:pPr>
      <w:r>
        <w:rPr>
          <w:lang w:val="fr-FR"/>
        </w:rPr>
        <w:t>224.</w:t>
      </w:r>
      <w:r>
        <w:rPr>
          <w:lang w:val="fr-FR"/>
        </w:rPr>
        <w:tab/>
        <w:t>Le complexe de crèche et d</w:t>
      </w:r>
      <w:r w:rsidR="009C7759">
        <w:rPr>
          <w:lang w:val="fr-FR"/>
        </w:rPr>
        <w:t>’</w:t>
      </w:r>
      <w:r>
        <w:rPr>
          <w:lang w:val="fr-FR"/>
        </w:rPr>
        <w:t>école maternelle n</w:t>
      </w:r>
      <w:r w:rsidR="00B90661" w:rsidRPr="00B90661">
        <w:rPr>
          <w:vertAlign w:val="superscript"/>
          <w:lang w:val="fr-FR"/>
        </w:rPr>
        <w:t>o</w:t>
      </w:r>
      <w:r w:rsidR="00B90661">
        <w:rPr>
          <w:lang w:val="fr-FR"/>
        </w:rPr>
        <w:t> </w:t>
      </w:r>
      <w:r>
        <w:rPr>
          <w:lang w:val="fr-FR"/>
        </w:rPr>
        <w:t xml:space="preserve">10, un centre de réadaptation pour enfants, a été construit selon les normes internationales et a ouvert ses portes en juin 2020. Ce projet a coûté 5,3 milliards de </w:t>
      </w:r>
      <w:proofErr w:type="spellStart"/>
      <w:r>
        <w:rPr>
          <w:lang w:val="fr-FR"/>
        </w:rPr>
        <w:t>togrogs</w:t>
      </w:r>
      <w:proofErr w:type="spellEnd"/>
      <w:r>
        <w:rPr>
          <w:lang w:val="fr-FR"/>
        </w:rPr>
        <w:t>. La mise en service de ce nouveau bâtiment permettra de fournir davantage de services d</w:t>
      </w:r>
      <w:r w:rsidR="009C7759">
        <w:rPr>
          <w:lang w:val="fr-FR"/>
        </w:rPr>
        <w:t>’</w:t>
      </w:r>
      <w:r>
        <w:rPr>
          <w:lang w:val="fr-FR"/>
        </w:rPr>
        <w:t xml:space="preserve">éducation, de réadaptation, de développement social et de protection aux enfants atteints de paralysie cérébrale et de handicaps </w:t>
      </w:r>
      <w:proofErr w:type="spellStart"/>
      <w:r>
        <w:rPr>
          <w:lang w:val="fr-FR"/>
        </w:rPr>
        <w:t>musculo</w:t>
      </w:r>
      <w:r w:rsidR="001C124C">
        <w:rPr>
          <w:lang w:val="fr-FR"/>
        </w:rPr>
        <w:noBreakHyphen/>
      </w:r>
      <w:r>
        <w:rPr>
          <w:lang w:val="fr-FR"/>
        </w:rPr>
        <w:t>squelettiques</w:t>
      </w:r>
      <w:proofErr w:type="spellEnd"/>
      <w:r>
        <w:rPr>
          <w:lang w:val="fr-FR"/>
        </w:rPr>
        <w:t xml:space="preserve">. </w:t>
      </w:r>
    </w:p>
    <w:p w14:paraId="32C29257" w14:textId="0673348A" w:rsidR="00560776" w:rsidRPr="00C8158A" w:rsidRDefault="00560776" w:rsidP="0040732C">
      <w:pPr>
        <w:pStyle w:val="SingleTxtG"/>
        <w:rPr>
          <w:lang w:val="fr-FR"/>
        </w:rPr>
      </w:pPr>
      <w:r>
        <w:rPr>
          <w:lang w:val="fr-FR"/>
        </w:rPr>
        <w:t>225.</w:t>
      </w:r>
      <w:r>
        <w:rPr>
          <w:lang w:val="fr-FR"/>
        </w:rPr>
        <w:tab/>
        <w:t>Afin d</w:t>
      </w:r>
      <w:r w:rsidR="009C7759">
        <w:rPr>
          <w:lang w:val="fr-FR"/>
        </w:rPr>
        <w:t>’</w:t>
      </w:r>
      <w:r>
        <w:rPr>
          <w:lang w:val="fr-FR"/>
        </w:rPr>
        <w:t>améliorer le cadre d</w:t>
      </w:r>
      <w:r w:rsidR="009C7759">
        <w:rPr>
          <w:lang w:val="fr-FR"/>
        </w:rPr>
        <w:t>’</w:t>
      </w:r>
      <w:r>
        <w:rPr>
          <w:lang w:val="fr-FR"/>
        </w:rPr>
        <w:t>apprentissage des enfants malvoyants et de leur permettre de s</w:t>
      </w:r>
      <w:r w:rsidR="009C7759">
        <w:rPr>
          <w:lang w:val="fr-FR"/>
        </w:rPr>
        <w:t>’</w:t>
      </w:r>
      <w:r>
        <w:rPr>
          <w:lang w:val="fr-FR"/>
        </w:rPr>
        <w:t>instruire au même titre que leurs camarades non handicapés, tous les élèves de l</w:t>
      </w:r>
      <w:r w:rsidR="009C7759">
        <w:rPr>
          <w:lang w:val="fr-FR"/>
        </w:rPr>
        <w:t>’</w:t>
      </w:r>
      <w:r>
        <w:rPr>
          <w:lang w:val="fr-FR"/>
        </w:rPr>
        <w:t>établissement d</w:t>
      </w:r>
      <w:r w:rsidR="009C7759">
        <w:rPr>
          <w:lang w:val="fr-FR"/>
        </w:rPr>
        <w:t>’</w:t>
      </w:r>
      <w:r>
        <w:rPr>
          <w:lang w:val="fr-FR"/>
        </w:rPr>
        <w:t>enseignement général n</w:t>
      </w:r>
      <w:r w:rsidR="001C124C" w:rsidRPr="001C124C">
        <w:rPr>
          <w:vertAlign w:val="superscript"/>
          <w:lang w:val="fr-FR"/>
        </w:rPr>
        <w:t>o</w:t>
      </w:r>
      <w:r w:rsidR="001C124C">
        <w:rPr>
          <w:lang w:val="fr-FR"/>
        </w:rPr>
        <w:t> </w:t>
      </w:r>
      <w:r>
        <w:rPr>
          <w:lang w:val="fr-FR"/>
        </w:rPr>
        <w:t>116 ont reçu des dispositifs de lecture numérique (DAISY-E-PUB) en septembre 2020. Auparavant, les enseignants devaient fabriquer eux</w:t>
      </w:r>
      <w:r w:rsidR="001C124C">
        <w:rPr>
          <w:lang w:val="fr-FR"/>
        </w:rPr>
        <w:noBreakHyphen/>
      </w:r>
      <w:r>
        <w:rPr>
          <w:lang w:val="fr-FR"/>
        </w:rPr>
        <w:t>mêmes des manuels en braille et des supports d</w:t>
      </w:r>
      <w:r w:rsidR="009C7759">
        <w:rPr>
          <w:lang w:val="fr-FR"/>
        </w:rPr>
        <w:t>’</w:t>
      </w:r>
      <w:r>
        <w:rPr>
          <w:lang w:val="fr-FR"/>
        </w:rPr>
        <w:t>apprentissage complémentaires pour faciliter l</w:t>
      </w:r>
      <w:r w:rsidR="009C7759">
        <w:rPr>
          <w:lang w:val="fr-FR"/>
        </w:rPr>
        <w:t>’</w:t>
      </w:r>
      <w:r>
        <w:rPr>
          <w:lang w:val="fr-FR"/>
        </w:rPr>
        <w:t xml:space="preserve">apprentissage des élèves malvoyants. Les enseignants et les élèves peuvent désormais accéder rapidement aux informations voulues et les enseignants peuvent donner des devoirs aux enfants plus aisément. </w:t>
      </w:r>
    </w:p>
    <w:p w14:paraId="6D74EB32" w14:textId="49F6AADB" w:rsidR="00560776" w:rsidRPr="00C8158A" w:rsidRDefault="00560776" w:rsidP="0040732C">
      <w:pPr>
        <w:pStyle w:val="SingleTxtG"/>
        <w:rPr>
          <w:lang w:val="fr-FR"/>
        </w:rPr>
      </w:pPr>
      <w:r>
        <w:rPr>
          <w:lang w:val="fr-FR"/>
        </w:rPr>
        <w:t>226.</w:t>
      </w:r>
      <w:r>
        <w:rPr>
          <w:lang w:val="fr-FR"/>
        </w:rPr>
        <w:tab/>
        <w:t>Des travaux de rénovation du système de ventilation de l</w:t>
      </w:r>
      <w:r w:rsidR="009C7759">
        <w:rPr>
          <w:lang w:val="fr-FR"/>
        </w:rPr>
        <w:t>’</w:t>
      </w:r>
      <w:r>
        <w:rPr>
          <w:lang w:val="fr-FR"/>
        </w:rPr>
        <w:t>école maternelle spéciale n</w:t>
      </w:r>
      <w:r w:rsidR="001C124C" w:rsidRPr="001C124C">
        <w:rPr>
          <w:vertAlign w:val="superscript"/>
          <w:lang w:val="fr-FR"/>
        </w:rPr>
        <w:t>o</w:t>
      </w:r>
      <w:r w:rsidR="001C124C">
        <w:rPr>
          <w:lang w:val="fr-FR"/>
        </w:rPr>
        <w:t> </w:t>
      </w:r>
      <w:r>
        <w:rPr>
          <w:lang w:val="fr-FR"/>
        </w:rPr>
        <w:t xml:space="preserve">186 du district de </w:t>
      </w:r>
      <w:proofErr w:type="spellStart"/>
      <w:r>
        <w:rPr>
          <w:lang w:val="fr-FR"/>
        </w:rPr>
        <w:t>Sukhbaatar</w:t>
      </w:r>
      <w:proofErr w:type="spellEnd"/>
      <w:r>
        <w:rPr>
          <w:lang w:val="fr-FR"/>
        </w:rPr>
        <w:t xml:space="preserve"> d</w:t>
      </w:r>
      <w:r w:rsidR="009C7759">
        <w:rPr>
          <w:lang w:val="fr-FR"/>
        </w:rPr>
        <w:t>’</w:t>
      </w:r>
      <w:r>
        <w:rPr>
          <w:lang w:val="fr-FR"/>
        </w:rPr>
        <w:t xml:space="preserve">un coût total de 238 millions de </w:t>
      </w:r>
      <w:proofErr w:type="spellStart"/>
      <w:r>
        <w:rPr>
          <w:lang w:val="fr-FR"/>
        </w:rPr>
        <w:t>togrogs</w:t>
      </w:r>
      <w:proofErr w:type="spellEnd"/>
      <w:r>
        <w:rPr>
          <w:lang w:val="fr-FR"/>
        </w:rPr>
        <w:t xml:space="preserve"> sont actuellement effectués avec l</w:t>
      </w:r>
      <w:r w:rsidR="009C7759">
        <w:rPr>
          <w:lang w:val="fr-FR"/>
        </w:rPr>
        <w:t>’</w:t>
      </w:r>
      <w:r>
        <w:rPr>
          <w:lang w:val="fr-FR"/>
        </w:rPr>
        <w:t>appui du projet d</w:t>
      </w:r>
      <w:r w:rsidR="009C7759">
        <w:rPr>
          <w:lang w:val="fr-FR"/>
        </w:rPr>
        <w:t>’</w:t>
      </w:r>
      <w:r>
        <w:rPr>
          <w:lang w:val="fr-FR"/>
        </w:rPr>
        <w:t>amélioration de la qualité de l</w:t>
      </w:r>
      <w:r w:rsidR="009C7759">
        <w:rPr>
          <w:lang w:val="fr-FR"/>
        </w:rPr>
        <w:t>’</w:t>
      </w:r>
      <w:r>
        <w:rPr>
          <w:lang w:val="fr-FR"/>
        </w:rPr>
        <w:t>air intérieur de l</w:t>
      </w:r>
      <w:r w:rsidR="009C7759">
        <w:rPr>
          <w:lang w:val="fr-FR"/>
        </w:rPr>
        <w:t>’</w:t>
      </w:r>
      <w:r>
        <w:rPr>
          <w:lang w:val="fr-FR"/>
        </w:rPr>
        <w:t xml:space="preserve">UNICEF. </w:t>
      </w:r>
    </w:p>
    <w:p w14:paraId="396FC3F7" w14:textId="716717DB" w:rsidR="00560776" w:rsidRPr="00C8158A" w:rsidRDefault="00560776" w:rsidP="0040732C">
      <w:pPr>
        <w:pStyle w:val="SingleTxtG"/>
        <w:rPr>
          <w:lang w:val="fr-FR"/>
        </w:rPr>
      </w:pPr>
      <w:r>
        <w:rPr>
          <w:lang w:val="fr-FR"/>
        </w:rPr>
        <w:t>227.</w:t>
      </w:r>
      <w:r>
        <w:rPr>
          <w:lang w:val="fr-FR"/>
        </w:rPr>
        <w:tab/>
        <w:t>Dans le cadre du projet de réforme de la qualité de l</w:t>
      </w:r>
      <w:r w:rsidR="009C7759">
        <w:rPr>
          <w:lang w:val="fr-FR"/>
        </w:rPr>
        <w:t>’</w:t>
      </w:r>
      <w:r>
        <w:rPr>
          <w:lang w:val="fr-FR"/>
        </w:rPr>
        <w:t>éducation financé par la Banque mondiale, des supports d</w:t>
      </w:r>
      <w:r w:rsidR="009C7759">
        <w:rPr>
          <w:lang w:val="fr-FR"/>
        </w:rPr>
        <w:t>’</w:t>
      </w:r>
      <w:r>
        <w:rPr>
          <w:lang w:val="fr-FR"/>
        </w:rPr>
        <w:t>apprentissage adaptés (d</w:t>
      </w:r>
      <w:r w:rsidR="009C7759">
        <w:rPr>
          <w:lang w:val="fr-FR"/>
        </w:rPr>
        <w:t>’</w:t>
      </w:r>
      <w:r>
        <w:rPr>
          <w:lang w:val="fr-FR"/>
        </w:rPr>
        <w:t>une valeur totale de 120</w:t>
      </w:r>
      <w:r w:rsidR="001C124C">
        <w:rPr>
          <w:lang w:val="fr-FR"/>
        </w:rPr>
        <w:t> </w:t>
      </w:r>
      <w:r>
        <w:rPr>
          <w:lang w:val="fr-FR"/>
        </w:rPr>
        <w:t>000</w:t>
      </w:r>
      <w:r w:rsidR="001C124C">
        <w:rPr>
          <w:lang w:val="fr-FR"/>
        </w:rPr>
        <w:t> </w:t>
      </w:r>
      <w:r>
        <w:rPr>
          <w:lang w:val="fr-FR"/>
        </w:rPr>
        <w:t>dollars des États-Unis) ont été fournis aux élèves atteints de handicaps visuels et auditifs des écoles n</w:t>
      </w:r>
      <w:r w:rsidR="001C124C" w:rsidRPr="001C124C">
        <w:rPr>
          <w:vertAlign w:val="superscript"/>
          <w:lang w:val="fr-FR"/>
        </w:rPr>
        <w:t>os</w:t>
      </w:r>
      <w:r w:rsidR="001C124C">
        <w:rPr>
          <w:lang w:val="fr-FR"/>
        </w:rPr>
        <w:t> </w:t>
      </w:r>
      <w:r>
        <w:rPr>
          <w:lang w:val="fr-FR"/>
        </w:rPr>
        <w:t>29 et 116. Grâce à ce projet, un montant de 30</w:t>
      </w:r>
      <w:r w:rsidR="001C124C">
        <w:rPr>
          <w:lang w:val="fr-FR"/>
        </w:rPr>
        <w:t> </w:t>
      </w:r>
      <w:r>
        <w:rPr>
          <w:lang w:val="fr-FR"/>
        </w:rPr>
        <w:t>000</w:t>
      </w:r>
      <w:r w:rsidR="001C124C">
        <w:rPr>
          <w:lang w:val="fr-FR"/>
        </w:rPr>
        <w:t> </w:t>
      </w:r>
      <w:r>
        <w:rPr>
          <w:lang w:val="fr-FR"/>
        </w:rPr>
        <w:t>dollars a été affecté à l</w:t>
      </w:r>
      <w:r w:rsidR="009C7759">
        <w:rPr>
          <w:lang w:val="fr-FR"/>
        </w:rPr>
        <w:t>’</w:t>
      </w:r>
      <w:r>
        <w:rPr>
          <w:lang w:val="fr-FR"/>
        </w:rPr>
        <w:t>établissement de salles de relaxation, de classes de crèche et d</w:t>
      </w:r>
      <w:r w:rsidR="009C7759">
        <w:rPr>
          <w:lang w:val="fr-FR"/>
        </w:rPr>
        <w:t>’</w:t>
      </w:r>
      <w:r>
        <w:rPr>
          <w:lang w:val="fr-FR"/>
        </w:rPr>
        <w:t>ateliers d</w:t>
      </w:r>
      <w:r w:rsidR="009C7759">
        <w:rPr>
          <w:lang w:val="fr-FR"/>
        </w:rPr>
        <w:t>’</w:t>
      </w:r>
      <w:r>
        <w:rPr>
          <w:lang w:val="fr-FR"/>
        </w:rPr>
        <w:t>artisanat dans les écoles n</w:t>
      </w:r>
      <w:r w:rsidR="001C124C" w:rsidRPr="001C124C">
        <w:rPr>
          <w:vertAlign w:val="superscript"/>
          <w:lang w:val="fr-FR"/>
        </w:rPr>
        <w:t>os</w:t>
      </w:r>
      <w:r w:rsidR="001C124C">
        <w:rPr>
          <w:lang w:val="fr-FR"/>
        </w:rPr>
        <w:t> </w:t>
      </w:r>
      <w:r>
        <w:rPr>
          <w:lang w:val="fr-FR"/>
        </w:rPr>
        <w:t>25, 29, 55, 63 et 70 d</w:t>
      </w:r>
      <w:r w:rsidR="009C7759">
        <w:rPr>
          <w:lang w:val="fr-FR"/>
        </w:rPr>
        <w:t>’</w:t>
      </w:r>
      <w:r>
        <w:rPr>
          <w:lang w:val="fr-FR"/>
        </w:rPr>
        <w:t>Oulan-Bator.</w:t>
      </w:r>
    </w:p>
    <w:p w14:paraId="0FBDBCAA" w14:textId="256D1BEE" w:rsidR="00560776" w:rsidRPr="00C8158A" w:rsidRDefault="00560776" w:rsidP="0040732C">
      <w:pPr>
        <w:pStyle w:val="SingleTxtG"/>
        <w:rPr>
          <w:lang w:val="fr-FR"/>
        </w:rPr>
      </w:pPr>
      <w:r>
        <w:rPr>
          <w:lang w:val="fr-FR"/>
        </w:rPr>
        <w:t>228.</w:t>
      </w:r>
      <w:r>
        <w:rPr>
          <w:lang w:val="fr-FR"/>
        </w:rPr>
        <w:tab/>
        <w:t>Le projet d</w:t>
      </w:r>
      <w:r w:rsidR="009C7759">
        <w:rPr>
          <w:lang w:val="fr-FR"/>
        </w:rPr>
        <w:t>’</w:t>
      </w:r>
      <w:r>
        <w:rPr>
          <w:lang w:val="fr-FR"/>
        </w:rPr>
        <w:t>établissement d</w:t>
      </w:r>
      <w:r w:rsidR="009C7759">
        <w:rPr>
          <w:lang w:val="fr-FR"/>
        </w:rPr>
        <w:t>’</w:t>
      </w:r>
      <w:r>
        <w:rPr>
          <w:lang w:val="fr-FR"/>
        </w:rPr>
        <w:t>une école maternelle modèle assurant l</w:t>
      </w:r>
      <w:r w:rsidR="009C7759">
        <w:rPr>
          <w:lang w:val="fr-FR"/>
        </w:rPr>
        <w:t>’</w:t>
      </w:r>
      <w:r>
        <w:rPr>
          <w:lang w:val="fr-FR"/>
        </w:rPr>
        <w:t>éducation inclusive des enfants handicapés est mené depuis mai 2019. Les écoles maternelles n</w:t>
      </w:r>
      <w:r w:rsidR="00F2418C" w:rsidRPr="00F2418C">
        <w:rPr>
          <w:vertAlign w:val="superscript"/>
          <w:lang w:val="fr-FR"/>
        </w:rPr>
        <w:t>os</w:t>
      </w:r>
      <w:r w:rsidR="00F2418C">
        <w:rPr>
          <w:lang w:val="fr-FR"/>
        </w:rPr>
        <w:t> </w:t>
      </w:r>
      <w:r>
        <w:rPr>
          <w:lang w:val="fr-FR"/>
        </w:rPr>
        <w:t xml:space="preserve">17 et 51 du district de </w:t>
      </w:r>
      <w:proofErr w:type="spellStart"/>
      <w:r>
        <w:rPr>
          <w:lang w:val="fr-FR"/>
        </w:rPr>
        <w:t>Sukhbaatar</w:t>
      </w:r>
      <w:proofErr w:type="spellEnd"/>
      <w:r>
        <w:rPr>
          <w:lang w:val="fr-FR"/>
        </w:rPr>
        <w:t xml:space="preserve"> ont été choisies comme modèles. Leurs enseignants et leur personnel ont suivi une formation sur le handicap et l</w:t>
      </w:r>
      <w:r w:rsidR="009C7759">
        <w:rPr>
          <w:lang w:val="fr-FR"/>
        </w:rPr>
        <w:t>’</w:t>
      </w:r>
      <w:r>
        <w:rPr>
          <w:lang w:val="fr-FR"/>
        </w:rPr>
        <w:t>égalité afin de mieux comprendre le handicap et d</w:t>
      </w:r>
      <w:r w:rsidR="009C7759">
        <w:rPr>
          <w:lang w:val="fr-FR"/>
        </w:rPr>
        <w:t>’</w:t>
      </w:r>
      <w:r>
        <w:rPr>
          <w:lang w:val="fr-FR"/>
        </w:rPr>
        <w:t xml:space="preserve">améliorer leur attitude à cet égard. </w:t>
      </w:r>
    </w:p>
    <w:p w14:paraId="7CFB88BE" w14:textId="6871E467" w:rsidR="00560776" w:rsidRPr="00C8158A" w:rsidRDefault="00560776" w:rsidP="00E94CB1">
      <w:pPr>
        <w:pStyle w:val="H1G"/>
        <w:rPr>
          <w:lang w:val="fr-FR"/>
        </w:rPr>
      </w:pPr>
      <w:r>
        <w:rPr>
          <w:lang w:val="fr-FR"/>
        </w:rPr>
        <w:tab/>
      </w:r>
      <w:r>
        <w:rPr>
          <w:lang w:val="fr-FR"/>
        </w:rPr>
        <w:tab/>
        <w:t xml:space="preserve">Paragraphe 21 de la liste de points </w:t>
      </w:r>
    </w:p>
    <w:p w14:paraId="58B9C9B2" w14:textId="77777777" w:rsidR="00560776" w:rsidRPr="00C8158A" w:rsidRDefault="00560776" w:rsidP="00E94CB1">
      <w:pPr>
        <w:pStyle w:val="H23G"/>
        <w:rPr>
          <w:lang w:val="fr-FR"/>
        </w:rPr>
      </w:pPr>
      <w:r>
        <w:rPr>
          <w:lang w:val="fr-FR"/>
        </w:rPr>
        <w:tab/>
      </w:r>
      <w:r>
        <w:rPr>
          <w:lang w:val="fr-FR"/>
        </w:rPr>
        <w:tab/>
        <w:t>Application des lois et politiques visant à préserver le patrimoine culturel</w:t>
      </w:r>
    </w:p>
    <w:p w14:paraId="6A7BA86C" w14:textId="64284958" w:rsidR="00560776" w:rsidRPr="00C8158A" w:rsidRDefault="00560776" w:rsidP="0040732C">
      <w:pPr>
        <w:pStyle w:val="SingleTxtG"/>
        <w:rPr>
          <w:lang w:val="fr-FR"/>
        </w:rPr>
      </w:pPr>
      <w:r>
        <w:rPr>
          <w:lang w:val="fr-FR"/>
        </w:rPr>
        <w:t>229.</w:t>
      </w:r>
      <w:r>
        <w:rPr>
          <w:lang w:val="fr-FR"/>
        </w:rPr>
        <w:tab/>
        <w:t>La Mongolie réalise depuis 2014 des réformes juridiques visant à améliorer la loi relative à la protection du patrimoine culturel, à adhérer aux conventions internationales pertinentes, à intégrer systématiquement les bonnes pratiques d</w:t>
      </w:r>
      <w:r w:rsidR="009C7759">
        <w:rPr>
          <w:lang w:val="fr-FR"/>
        </w:rPr>
        <w:t>’</w:t>
      </w:r>
      <w:r>
        <w:rPr>
          <w:lang w:val="fr-FR"/>
        </w:rPr>
        <w:t>autres pays en la matière et à établir un cadre juridique complet qui tient compte du contexte national. Elle s</w:t>
      </w:r>
      <w:r w:rsidR="009C7759">
        <w:rPr>
          <w:lang w:val="fr-FR"/>
        </w:rPr>
        <w:t>’</w:t>
      </w:r>
      <w:r>
        <w:rPr>
          <w:lang w:val="fr-FR"/>
        </w:rPr>
        <w:t>est tout particulièrement efforcée d</w:t>
      </w:r>
      <w:r w:rsidR="009C7759">
        <w:rPr>
          <w:lang w:val="fr-FR"/>
        </w:rPr>
        <w:t>’</w:t>
      </w:r>
      <w:r>
        <w:rPr>
          <w:lang w:val="fr-FR"/>
        </w:rPr>
        <w:t>ajouter les dispositions nécessaires aux lois et règles régissant d</w:t>
      </w:r>
      <w:r w:rsidR="009C7759">
        <w:rPr>
          <w:lang w:val="fr-FR"/>
        </w:rPr>
        <w:t>’</w:t>
      </w:r>
      <w:r>
        <w:rPr>
          <w:lang w:val="fr-FR"/>
        </w:rPr>
        <w:t>autres secteurs, en vue de protéger et de prévenir les atteintes à l</w:t>
      </w:r>
      <w:r w:rsidR="009C7759">
        <w:rPr>
          <w:lang w:val="fr-FR"/>
        </w:rPr>
        <w:t>’</w:t>
      </w:r>
      <w:r>
        <w:rPr>
          <w:lang w:val="fr-FR"/>
        </w:rPr>
        <w:t>authenticité et à l</w:t>
      </w:r>
      <w:r w:rsidR="009C7759">
        <w:rPr>
          <w:lang w:val="fr-FR"/>
        </w:rPr>
        <w:t>’</w:t>
      </w:r>
      <w:r>
        <w:rPr>
          <w:lang w:val="fr-FR"/>
        </w:rPr>
        <w:t xml:space="preserve">intégrité du patrimoine culturel. </w:t>
      </w:r>
    </w:p>
    <w:p w14:paraId="24F9339E" w14:textId="74950849" w:rsidR="00560776" w:rsidRPr="00C8158A" w:rsidRDefault="00560776" w:rsidP="00F2418C">
      <w:pPr>
        <w:pStyle w:val="SingleTxtG"/>
        <w:keepNext/>
        <w:keepLines/>
        <w:rPr>
          <w:lang w:val="fr-FR"/>
        </w:rPr>
      </w:pPr>
      <w:r>
        <w:rPr>
          <w:lang w:val="fr-FR"/>
        </w:rPr>
        <w:lastRenderedPageBreak/>
        <w:t>230.</w:t>
      </w:r>
      <w:r>
        <w:rPr>
          <w:lang w:val="fr-FR"/>
        </w:rPr>
        <w:tab/>
        <w:t>En conséquence, 56</w:t>
      </w:r>
      <w:r w:rsidR="00F2418C">
        <w:rPr>
          <w:lang w:val="fr-FR"/>
        </w:rPr>
        <w:t> </w:t>
      </w:r>
      <w:r>
        <w:rPr>
          <w:lang w:val="fr-FR"/>
        </w:rPr>
        <w:t>lois comportent aujourd</w:t>
      </w:r>
      <w:r w:rsidR="009C7759">
        <w:rPr>
          <w:lang w:val="fr-FR"/>
        </w:rPr>
        <w:t>’</w:t>
      </w:r>
      <w:r>
        <w:rPr>
          <w:lang w:val="fr-FR"/>
        </w:rPr>
        <w:t>hui des dispositions visant à protéger le patrimoine culturel, contre 10 en 2013. Ces lois permettent d</w:t>
      </w:r>
      <w:r w:rsidR="009C7759">
        <w:rPr>
          <w:lang w:val="fr-FR"/>
        </w:rPr>
        <w:t>’</w:t>
      </w:r>
      <w:r>
        <w:rPr>
          <w:lang w:val="fr-FR"/>
        </w:rPr>
        <w:t>encadrer de façon exhaustive les activités liées au patrimoine culturel national, y compris le recensement, la recherche, l</w:t>
      </w:r>
      <w:r w:rsidR="009C7759">
        <w:rPr>
          <w:lang w:val="fr-FR"/>
        </w:rPr>
        <w:t>’</w:t>
      </w:r>
      <w:r>
        <w:rPr>
          <w:lang w:val="fr-FR"/>
        </w:rPr>
        <w:t>entreposage, la remise en état, l</w:t>
      </w:r>
      <w:r w:rsidR="009C7759">
        <w:rPr>
          <w:lang w:val="fr-FR"/>
        </w:rPr>
        <w:t>’</w:t>
      </w:r>
      <w:r>
        <w:rPr>
          <w:lang w:val="fr-FR"/>
        </w:rPr>
        <w:t xml:space="preserve">utilisation adéquate et la promotion de ce patrimoine. </w:t>
      </w:r>
    </w:p>
    <w:p w14:paraId="073DFBF5" w14:textId="239A5399" w:rsidR="00560776" w:rsidRPr="00C8158A" w:rsidRDefault="00560776" w:rsidP="0040732C">
      <w:pPr>
        <w:pStyle w:val="SingleTxtG"/>
        <w:rPr>
          <w:lang w:val="fr-FR"/>
        </w:rPr>
      </w:pPr>
      <w:r w:rsidRPr="00603F48">
        <w:rPr>
          <w:lang w:val="fr-FR"/>
        </w:rPr>
        <w:t>231.</w:t>
      </w:r>
      <w:r w:rsidRPr="00603F48">
        <w:rPr>
          <w:lang w:val="fr-FR"/>
        </w:rPr>
        <w:tab/>
        <w:t>Le Code pénal</w:t>
      </w:r>
      <w:r>
        <w:rPr>
          <w:lang w:val="fr-FR"/>
        </w:rPr>
        <w:t xml:space="preserve"> comprend par exemple de nouvelles dispositions qui érigent en infraction pénale le fait de nuire intentionnellement ou accidentellement à l</w:t>
      </w:r>
      <w:r w:rsidR="009C7759">
        <w:rPr>
          <w:lang w:val="fr-FR"/>
        </w:rPr>
        <w:t>’</w:t>
      </w:r>
      <w:r>
        <w:rPr>
          <w:lang w:val="fr-FR"/>
        </w:rPr>
        <w:t>authenticité et à l</w:t>
      </w:r>
      <w:r w:rsidR="009C7759">
        <w:rPr>
          <w:lang w:val="fr-FR"/>
        </w:rPr>
        <w:t>’</w:t>
      </w:r>
      <w:r>
        <w:rPr>
          <w:lang w:val="fr-FR"/>
        </w:rPr>
        <w:t>intégrité du patrimoine culturel, ainsi que des dispositions relatives aux peines encourues par les auteurs de tels actes. En outre, la loi sur les infractions administratives comprend des dispositions portant sur les sanctions à imposer en cas de violation des lois visant à préserver le patrimoine culturel. Ces mesures ont contribué à réduire le nombre de cas de dégradation du patrimoine culturel ainsi qu</w:t>
      </w:r>
      <w:r w:rsidR="009C7759">
        <w:rPr>
          <w:lang w:val="fr-FR"/>
        </w:rPr>
        <w:t>’</w:t>
      </w:r>
      <w:r>
        <w:rPr>
          <w:lang w:val="fr-FR"/>
        </w:rPr>
        <w:t xml:space="preserve">à mettre en évidence les infractions et violations commises et à poursuivre leurs auteurs. </w:t>
      </w:r>
    </w:p>
    <w:p w14:paraId="6FF7AB63" w14:textId="51BDE7E7" w:rsidR="00560776" w:rsidRPr="00C8158A" w:rsidRDefault="00560776" w:rsidP="0040732C">
      <w:pPr>
        <w:pStyle w:val="SingleTxtG"/>
        <w:rPr>
          <w:lang w:val="fr-FR"/>
        </w:rPr>
      </w:pPr>
      <w:r>
        <w:rPr>
          <w:lang w:val="fr-FR"/>
        </w:rPr>
        <w:t>232.</w:t>
      </w:r>
      <w:r>
        <w:rPr>
          <w:lang w:val="fr-FR"/>
        </w:rPr>
        <w:tab/>
        <w:t>Des modifications ont été apportées entre 2016 et 2019 aux lois qui régissent les activités de secteurs, tels que l</w:t>
      </w:r>
      <w:r w:rsidR="009C7759">
        <w:rPr>
          <w:lang w:val="fr-FR"/>
        </w:rPr>
        <w:t>’</w:t>
      </w:r>
      <w:r>
        <w:rPr>
          <w:lang w:val="fr-FR"/>
        </w:rPr>
        <w:t>administration des terres, le bâtiment, l</w:t>
      </w:r>
      <w:r w:rsidR="009C7759">
        <w:rPr>
          <w:lang w:val="fr-FR"/>
        </w:rPr>
        <w:t>’</w:t>
      </w:r>
      <w:r>
        <w:rPr>
          <w:lang w:val="fr-FR"/>
        </w:rPr>
        <w:t>urbanisme et la prospection et l</w:t>
      </w:r>
      <w:r w:rsidR="009C7759">
        <w:rPr>
          <w:lang w:val="fr-FR"/>
        </w:rPr>
        <w:t>’</w:t>
      </w:r>
      <w:r>
        <w:rPr>
          <w:lang w:val="fr-FR"/>
        </w:rPr>
        <w:t>exploitation minières, qui sont susceptibles d</w:t>
      </w:r>
      <w:r w:rsidR="009C7759">
        <w:rPr>
          <w:lang w:val="fr-FR"/>
        </w:rPr>
        <w:t>’</w:t>
      </w:r>
      <w:r>
        <w:rPr>
          <w:lang w:val="fr-FR"/>
        </w:rPr>
        <w:t>endommager directement les sites historiques et culturels. Il est ainsi obligatoire, lors de la planification de telles activités, de se fonder sur les conclusions d</w:t>
      </w:r>
      <w:r w:rsidR="009C7759">
        <w:rPr>
          <w:lang w:val="fr-FR"/>
        </w:rPr>
        <w:t>’</w:t>
      </w:r>
      <w:r>
        <w:rPr>
          <w:lang w:val="fr-FR"/>
        </w:rPr>
        <w:t>une étude indépendante réalisée par des organisations professionnelles, qui évalue l</w:t>
      </w:r>
      <w:r w:rsidR="009C7759">
        <w:rPr>
          <w:lang w:val="fr-FR"/>
        </w:rPr>
        <w:t>’</w:t>
      </w:r>
      <w:r>
        <w:rPr>
          <w:lang w:val="fr-FR"/>
        </w:rPr>
        <w:t xml:space="preserve">impact des activités prévues sur le patrimoine culturel. </w:t>
      </w:r>
    </w:p>
    <w:p w14:paraId="0B76D673" w14:textId="77777777" w:rsidR="00560776" w:rsidRPr="00C8158A" w:rsidRDefault="00560776" w:rsidP="0040732C">
      <w:pPr>
        <w:pStyle w:val="SingleTxtG"/>
        <w:rPr>
          <w:lang w:val="fr-FR"/>
        </w:rPr>
      </w:pPr>
      <w:r>
        <w:rPr>
          <w:lang w:val="fr-FR"/>
        </w:rPr>
        <w:t>233.</w:t>
      </w:r>
      <w:r>
        <w:rPr>
          <w:lang w:val="fr-FR"/>
        </w:rPr>
        <w:tab/>
        <w:t>Le Gouvernement a adopté une réglementation visant à encourager les entreprises du secteur privé et les organismes publics à prendre des initiatives en matière de préservation du patrimoine culturel en leur accordant des primes monétaires. De même, des récompenses sont accordées tous les ans aux membres du public qui participent à la préservation du patrimoine culturel.</w:t>
      </w:r>
    </w:p>
    <w:p w14:paraId="690DB964" w14:textId="029A3514" w:rsidR="00560776" w:rsidRPr="00C8158A" w:rsidRDefault="00560776" w:rsidP="0040732C">
      <w:pPr>
        <w:pStyle w:val="SingleTxtG"/>
        <w:rPr>
          <w:lang w:val="fr-FR"/>
        </w:rPr>
      </w:pPr>
      <w:r>
        <w:rPr>
          <w:lang w:val="fr-FR"/>
        </w:rPr>
        <w:t>234.</w:t>
      </w:r>
      <w:r>
        <w:rPr>
          <w:lang w:val="fr-FR"/>
        </w:rPr>
        <w:tab/>
        <w:t>Des dispositions sont prises pour réviser les lois et règlements obsolètes visant à préserver le patrimoine culturel, afin de les mettre en conformité avec les conventions internationales et la législation nationale pertinentes. Sur les 22 dispositions qu</w:t>
      </w:r>
      <w:r w:rsidR="009C7759">
        <w:rPr>
          <w:lang w:val="fr-FR"/>
        </w:rPr>
        <w:t>’</w:t>
      </w:r>
      <w:r>
        <w:rPr>
          <w:lang w:val="fr-FR"/>
        </w:rPr>
        <w:t>il était prévu de réviser, 16 l</w:t>
      </w:r>
      <w:r w:rsidR="009C7759">
        <w:rPr>
          <w:lang w:val="fr-FR"/>
        </w:rPr>
        <w:t>’</w:t>
      </w:r>
      <w:r>
        <w:rPr>
          <w:lang w:val="fr-FR"/>
        </w:rPr>
        <w:t xml:space="preserve">ont déjà été. </w:t>
      </w:r>
    </w:p>
    <w:p w14:paraId="4E8E1355" w14:textId="08F7531F" w:rsidR="00560776" w:rsidRPr="00C8158A" w:rsidRDefault="00560776" w:rsidP="00E94CB1">
      <w:pPr>
        <w:pStyle w:val="H23G"/>
        <w:rPr>
          <w:lang w:val="fr-FR"/>
        </w:rPr>
      </w:pPr>
      <w:r>
        <w:rPr>
          <w:lang w:val="fr-FR"/>
        </w:rPr>
        <w:tab/>
      </w:r>
      <w:r>
        <w:rPr>
          <w:lang w:val="fr-FR"/>
        </w:rPr>
        <w:tab/>
        <w:t>Les effets de la politique culturelle mongole</w:t>
      </w:r>
    </w:p>
    <w:p w14:paraId="3B889432" w14:textId="23ACBDA9" w:rsidR="00560776" w:rsidRPr="00C8158A" w:rsidRDefault="00560776" w:rsidP="0040732C">
      <w:pPr>
        <w:pStyle w:val="SingleTxtG"/>
        <w:rPr>
          <w:lang w:val="fr-FR"/>
        </w:rPr>
      </w:pPr>
      <w:r>
        <w:rPr>
          <w:lang w:val="fr-FR"/>
        </w:rPr>
        <w:t>235.</w:t>
      </w:r>
      <w:r>
        <w:rPr>
          <w:lang w:val="fr-FR"/>
        </w:rPr>
        <w:tab/>
        <w:t>La politique culturelle mongole se fonde sur le principe selon lequel la nation mongole continuera d</w:t>
      </w:r>
      <w:r w:rsidR="009C7759">
        <w:rPr>
          <w:lang w:val="fr-FR"/>
        </w:rPr>
        <w:t>’</w:t>
      </w:r>
      <w:r>
        <w:rPr>
          <w:lang w:val="fr-FR"/>
        </w:rPr>
        <w:t>exister et la société mongole parviendra à un développement durable en protégeant le patrimoine culturel qui reflète l</w:t>
      </w:r>
      <w:r w:rsidR="009C7759">
        <w:rPr>
          <w:lang w:val="fr-FR"/>
        </w:rPr>
        <w:t>’</w:t>
      </w:r>
      <w:r>
        <w:rPr>
          <w:lang w:val="fr-FR"/>
        </w:rPr>
        <w:t>identité nomade du pays, en le diffusant et en le transmettant aux générations futures, ainsi qu</w:t>
      </w:r>
      <w:r w:rsidR="009C7759">
        <w:rPr>
          <w:lang w:val="fr-FR"/>
        </w:rPr>
        <w:t>’</w:t>
      </w:r>
      <w:r>
        <w:rPr>
          <w:lang w:val="fr-FR"/>
        </w:rPr>
        <w:t>en tirant des enseignements du patrimoine culturel de l</w:t>
      </w:r>
      <w:r w:rsidR="009C7759">
        <w:rPr>
          <w:lang w:val="fr-FR"/>
        </w:rPr>
        <w:t>’</w:t>
      </w:r>
      <w:r>
        <w:rPr>
          <w:lang w:val="fr-FR"/>
        </w:rPr>
        <w:t xml:space="preserve">humanité. </w:t>
      </w:r>
    </w:p>
    <w:p w14:paraId="01AA26B9" w14:textId="469196E7" w:rsidR="00560776" w:rsidRPr="00C8158A" w:rsidRDefault="00560776" w:rsidP="0040732C">
      <w:pPr>
        <w:pStyle w:val="SingleTxtG"/>
        <w:rPr>
          <w:lang w:val="fr-FR"/>
        </w:rPr>
      </w:pPr>
      <w:r>
        <w:rPr>
          <w:lang w:val="fr-FR"/>
        </w:rPr>
        <w:t>236.</w:t>
      </w:r>
      <w:r>
        <w:rPr>
          <w:lang w:val="fr-FR"/>
        </w:rPr>
        <w:tab/>
        <w:t>La culture nomade est un système qui associe un état d</w:t>
      </w:r>
      <w:r w:rsidR="009C7759">
        <w:rPr>
          <w:lang w:val="fr-FR"/>
        </w:rPr>
        <w:t>’</w:t>
      </w:r>
      <w:r>
        <w:rPr>
          <w:lang w:val="fr-FR"/>
        </w:rPr>
        <w:t>esprit et une vision de la vie sans équivalent, fondés sur le principe d</w:t>
      </w:r>
      <w:r w:rsidR="009C7759">
        <w:rPr>
          <w:lang w:val="fr-FR"/>
        </w:rPr>
        <w:t>’</w:t>
      </w:r>
      <w:r>
        <w:rPr>
          <w:lang w:val="fr-FR"/>
        </w:rPr>
        <w:t>une vie en harmonie avec la nature, une connaissance profonde et avérée des liens étroits entre les êtres humains, la nature et le bétail, ainsi que des coutumes folkloriques, un culte, de riches traditions étatiques, une culture artistique unique et un symbolisme. La politique culturelle, adoptée pour la première fois en 1996, a été révisée en 2012 :</w:t>
      </w:r>
    </w:p>
    <w:p w14:paraId="779C318A" w14:textId="225E220F" w:rsidR="00560776" w:rsidRPr="00C8158A" w:rsidRDefault="00560776" w:rsidP="00E94CB1">
      <w:pPr>
        <w:pStyle w:val="Bullet1G"/>
        <w:rPr>
          <w:lang w:val="fr-FR"/>
        </w:rPr>
      </w:pPr>
      <w:r>
        <w:rPr>
          <w:lang w:val="fr-FR"/>
        </w:rPr>
        <w:t>L</w:t>
      </w:r>
      <w:r w:rsidR="009C7759">
        <w:rPr>
          <w:lang w:val="fr-FR"/>
        </w:rPr>
        <w:t>’</w:t>
      </w:r>
      <w:r>
        <w:rPr>
          <w:lang w:val="fr-FR"/>
        </w:rPr>
        <w:t>adoption et l</w:t>
      </w:r>
      <w:r w:rsidR="009C7759">
        <w:rPr>
          <w:lang w:val="fr-FR"/>
        </w:rPr>
        <w:t>’</w:t>
      </w:r>
      <w:r>
        <w:rPr>
          <w:lang w:val="fr-FR"/>
        </w:rPr>
        <w:t>application de cette politique ont eu pour effet d</w:t>
      </w:r>
      <w:r w:rsidR="009C7759">
        <w:rPr>
          <w:lang w:val="fr-FR"/>
        </w:rPr>
        <w:t>’</w:t>
      </w:r>
      <w:r>
        <w:rPr>
          <w:lang w:val="fr-FR"/>
        </w:rPr>
        <w:t>instaurer des conditions permettant aux citoyens mongols de profiter des trésors culturels, de les posséder, de les choisir, de les créer, de les transmettre et d</w:t>
      </w:r>
      <w:r w:rsidR="009C7759">
        <w:rPr>
          <w:lang w:val="fr-FR"/>
        </w:rPr>
        <w:t>’</w:t>
      </w:r>
      <w:r>
        <w:rPr>
          <w:lang w:val="fr-FR"/>
        </w:rPr>
        <w:t>en assurer la diffusion</w:t>
      </w:r>
      <w:r w:rsidR="00DC23BB">
        <w:rPr>
          <w:lang w:val="fr-FR"/>
        </w:rPr>
        <w:t> </w:t>
      </w:r>
      <w:r>
        <w:rPr>
          <w:lang w:val="fr-FR"/>
        </w:rPr>
        <w:t xml:space="preserve">; </w:t>
      </w:r>
    </w:p>
    <w:p w14:paraId="3E256D07" w14:textId="454FBC94" w:rsidR="00560776" w:rsidRPr="00C8158A" w:rsidRDefault="00560776" w:rsidP="00E94CB1">
      <w:pPr>
        <w:pStyle w:val="Bullet1G"/>
        <w:rPr>
          <w:lang w:val="fr-FR"/>
        </w:rPr>
      </w:pPr>
      <w:r>
        <w:rPr>
          <w:lang w:val="fr-FR"/>
        </w:rPr>
        <w:t xml:space="preserve">Les artistes ont la possibilité de choisir librement leurs points de vue, leurs méthodes, leurs mouvements et leurs écoles artistiques ; </w:t>
      </w:r>
    </w:p>
    <w:p w14:paraId="3CD46828" w14:textId="1831C4EB" w:rsidR="00560776" w:rsidRPr="00C8158A" w:rsidRDefault="00560776" w:rsidP="00E94CB1">
      <w:pPr>
        <w:pStyle w:val="Bullet1G"/>
        <w:rPr>
          <w:lang w:val="fr-FR"/>
        </w:rPr>
      </w:pPr>
      <w:r>
        <w:rPr>
          <w:lang w:val="fr-FR"/>
        </w:rPr>
        <w:t>Les artistes et le personnel du secteur culturel peuvent mener des activités fructueuses grâce à la création d</w:t>
      </w:r>
      <w:r w:rsidR="009C7759">
        <w:rPr>
          <w:lang w:val="fr-FR"/>
        </w:rPr>
        <w:t>’</w:t>
      </w:r>
      <w:r>
        <w:rPr>
          <w:lang w:val="fr-FR"/>
        </w:rPr>
        <w:t xml:space="preserve">associations et de syndicats professionnels ; </w:t>
      </w:r>
    </w:p>
    <w:p w14:paraId="3BAC8C5D" w14:textId="2054C5FE" w:rsidR="00560776" w:rsidRPr="00C8158A" w:rsidRDefault="00560776" w:rsidP="00E94CB1">
      <w:pPr>
        <w:pStyle w:val="Bullet1G"/>
        <w:rPr>
          <w:lang w:val="fr-FR"/>
        </w:rPr>
      </w:pPr>
      <w:r>
        <w:rPr>
          <w:lang w:val="fr-FR"/>
        </w:rPr>
        <w:t>Des conditions favorables à l</w:t>
      </w:r>
      <w:r w:rsidR="009C7759">
        <w:rPr>
          <w:lang w:val="fr-FR"/>
        </w:rPr>
        <w:t>’</w:t>
      </w:r>
      <w:r>
        <w:rPr>
          <w:lang w:val="fr-FR"/>
        </w:rPr>
        <w:t>émergence de nombreuses formes de propriété dans le secteur culturel et à la libre concurrence fondée sur les principes du marché</w:t>
      </w:r>
      <w:r w:rsidR="00C95D95">
        <w:rPr>
          <w:lang w:val="fr-FR"/>
        </w:rPr>
        <w:t xml:space="preserve"> </w:t>
      </w:r>
      <w:r>
        <w:rPr>
          <w:lang w:val="fr-FR"/>
        </w:rPr>
        <w:t>ont été instaurées</w:t>
      </w:r>
      <w:r w:rsidR="00DC23BB">
        <w:rPr>
          <w:lang w:val="fr-FR"/>
        </w:rPr>
        <w:t> </w:t>
      </w:r>
      <w:r>
        <w:rPr>
          <w:lang w:val="fr-FR"/>
        </w:rPr>
        <w:t xml:space="preserve">; </w:t>
      </w:r>
    </w:p>
    <w:p w14:paraId="6591B0B6" w14:textId="07A94AEB" w:rsidR="00560776" w:rsidRPr="00C8158A" w:rsidRDefault="00560776" w:rsidP="00E94CB1">
      <w:pPr>
        <w:pStyle w:val="Bullet1G"/>
        <w:rPr>
          <w:lang w:val="fr-FR"/>
        </w:rPr>
      </w:pPr>
      <w:r>
        <w:rPr>
          <w:lang w:val="fr-FR"/>
        </w:rPr>
        <w:t>Des relations et une coopération multidimensionnelles et fondées sur l</w:t>
      </w:r>
      <w:r w:rsidR="009C7759">
        <w:rPr>
          <w:lang w:val="fr-FR"/>
        </w:rPr>
        <w:t>’</w:t>
      </w:r>
      <w:r>
        <w:rPr>
          <w:lang w:val="fr-FR"/>
        </w:rPr>
        <w:t>ouverture ont été établies avec d</w:t>
      </w:r>
      <w:r w:rsidR="009C7759">
        <w:rPr>
          <w:lang w:val="fr-FR"/>
        </w:rPr>
        <w:t>’</w:t>
      </w:r>
      <w:r>
        <w:rPr>
          <w:lang w:val="fr-FR"/>
        </w:rPr>
        <w:t xml:space="preserve">autres pays. </w:t>
      </w:r>
    </w:p>
    <w:p w14:paraId="213529A9" w14:textId="5C529593" w:rsidR="00560776" w:rsidRPr="00C8158A" w:rsidRDefault="00560776" w:rsidP="0040732C">
      <w:pPr>
        <w:pStyle w:val="SingleTxtG"/>
        <w:rPr>
          <w:lang w:val="fr-FR"/>
        </w:rPr>
      </w:pPr>
      <w:r>
        <w:rPr>
          <w:lang w:val="fr-FR"/>
        </w:rPr>
        <w:lastRenderedPageBreak/>
        <w:t>237.</w:t>
      </w:r>
      <w:r>
        <w:rPr>
          <w:lang w:val="fr-FR"/>
        </w:rPr>
        <w:tab/>
        <w:t>Sur les 1</w:t>
      </w:r>
      <w:r w:rsidR="00C95D95">
        <w:rPr>
          <w:lang w:val="fr-FR"/>
        </w:rPr>
        <w:t> </w:t>
      </w:r>
      <w:r>
        <w:rPr>
          <w:lang w:val="fr-FR"/>
        </w:rPr>
        <w:t>624</w:t>
      </w:r>
      <w:r w:rsidR="00C95D95">
        <w:rPr>
          <w:lang w:val="fr-FR"/>
        </w:rPr>
        <w:t> </w:t>
      </w:r>
      <w:r>
        <w:rPr>
          <w:lang w:val="fr-FR"/>
        </w:rPr>
        <w:t>organisations qui menaient des activités culturelles et artistiques en 2020, 450 étaient des organisations financées par l</w:t>
      </w:r>
      <w:r w:rsidR="009C7759">
        <w:rPr>
          <w:lang w:val="fr-FR"/>
        </w:rPr>
        <w:t>’</w:t>
      </w:r>
      <w:r>
        <w:rPr>
          <w:lang w:val="fr-FR"/>
        </w:rPr>
        <w:t>État ou des collectivités locales, 3</w:t>
      </w:r>
      <w:r w:rsidR="00C95D95">
        <w:rPr>
          <w:lang w:val="fr-FR"/>
        </w:rPr>
        <w:t> </w:t>
      </w:r>
      <w:r>
        <w:rPr>
          <w:lang w:val="fr-FR"/>
        </w:rPr>
        <w:t>appartenaient à l</w:t>
      </w:r>
      <w:r w:rsidR="009C7759">
        <w:rPr>
          <w:lang w:val="fr-FR"/>
        </w:rPr>
        <w:t>’</w:t>
      </w:r>
      <w:r>
        <w:rPr>
          <w:lang w:val="fr-FR"/>
        </w:rPr>
        <w:t>État ou aux municipalités, 1</w:t>
      </w:r>
      <w:r w:rsidR="00C95D95">
        <w:rPr>
          <w:lang w:val="fr-FR"/>
        </w:rPr>
        <w:t> </w:t>
      </w:r>
      <w:r>
        <w:rPr>
          <w:lang w:val="fr-FR"/>
        </w:rPr>
        <w:t>100</w:t>
      </w:r>
      <w:r w:rsidR="00C95D95">
        <w:rPr>
          <w:lang w:val="fr-FR"/>
        </w:rPr>
        <w:t> </w:t>
      </w:r>
      <w:r>
        <w:rPr>
          <w:lang w:val="fr-FR"/>
        </w:rPr>
        <w:t>étaient des SARL du secteur privé, 34</w:t>
      </w:r>
      <w:r w:rsidR="00C95D95">
        <w:rPr>
          <w:lang w:val="fr-FR"/>
        </w:rPr>
        <w:t> </w:t>
      </w:r>
      <w:r>
        <w:rPr>
          <w:lang w:val="fr-FR"/>
        </w:rPr>
        <w:t>des sociétés bénéficiant d</w:t>
      </w:r>
      <w:r w:rsidR="009C7759">
        <w:rPr>
          <w:lang w:val="fr-FR"/>
        </w:rPr>
        <w:t>’</w:t>
      </w:r>
      <w:r>
        <w:rPr>
          <w:lang w:val="fr-FR"/>
        </w:rPr>
        <w:t>investissements étrangers, 25 des ONG et 12 d</w:t>
      </w:r>
      <w:r w:rsidR="009C7759">
        <w:rPr>
          <w:lang w:val="fr-FR"/>
        </w:rPr>
        <w:t>’</w:t>
      </w:r>
      <w:r>
        <w:rPr>
          <w:lang w:val="fr-FR"/>
        </w:rPr>
        <w:t xml:space="preserve">autres organisations. </w:t>
      </w:r>
    </w:p>
    <w:p w14:paraId="0F8BEF52" w14:textId="3BDEDEE1" w:rsidR="00560776" w:rsidRPr="00C8158A" w:rsidRDefault="00560776" w:rsidP="0040732C">
      <w:pPr>
        <w:pStyle w:val="SingleTxtG"/>
        <w:rPr>
          <w:lang w:val="fr-FR"/>
        </w:rPr>
      </w:pPr>
      <w:r w:rsidRPr="00914C4A">
        <w:rPr>
          <w:lang w:val="fr-FR"/>
        </w:rPr>
        <w:t>238.</w:t>
      </w:r>
      <w:r w:rsidRPr="00914C4A">
        <w:rPr>
          <w:lang w:val="fr-FR"/>
        </w:rPr>
        <w:tab/>
        <w:t>Conformément à la</w:t>
      </w:r>
      <w:r>
        <w:rPr>
          <w:lang w:val="fr-FR"/>
        </w:rPr>
        <w:t xml:space="preserve"> politique culturelle, les lois suivantes ont été adoptées</w:t>
      </w:r>
      <w:r w:rsidR="00255530">
        <w:rPr>
          <w:lang w:val="fr-FR"/>
        </w:rPr>
        <w:t> </w:t>
      </w:r>
      <w:r>
        <w:rPr>
          <w:lang w:val="fr-FR"/>
        </w:rPr>
        <w:t xml:space="preserve">: la loi relative à la culture (1996), la loi relative à la protection du patrimoine culturel (2001, 2014), la loi relative à la langue mongole (2015) et la loi relative aux bibliothèques (2014). </w:t>
      </w:r>
    </w:p>
    <w:p w14:paraId="0668D5BD" w14:textId="1347D100" w:rsidR="00560776" w:rsidRPr="00C8158A" w:rsidRDefault="00560776" w:rsidP="0040732C">
      <w:pPr>
        <w:pStyle w:val="SingleTxtG"/>
        <w:rPr>
          <w:lang w:val="fr-FR"/>
        </w:rPr>
      </w:pPr>
      <w:r>
        <w:rPr>
          <w:lang w:val="fr-FR"/>
        </w:rPr>
        <w:t>239.</w:t>
      </w:r>
      <w:r>
        <w:rPr>
          <w:lang w:val="fr-FR"/>
        </w:rPr>
        <w:tab/>
        <w:t>Conformément à la politique culturelle qui vise principalement à préserver les caractéristiques originelles de la culture nomade, à protéger le patrimoine culturel national et à développer les arts classiques, des activités ont été menées dans les domaines suivants</w:t>
      </w:r>
      <w:r w:rsidR="00255530">
        <w:rPr>
          <w:lang w:val="fr-FR"/>
        </w:rPr>
        <w:t> </w:t>
      </w:r>
      <w:r>
        <w:rPr>
          <w:lang w:val="fr-FR"/>
        </w:rPr>
        <w:t>: conservation, protection et restauration des monuments historiques et culturels, soutien à l</w:t>
      </w:r>
      <w:r w:rsidR="009C7759">
        <w:rPr>
          <w:lang w:val="fr-FR"/>
        </w:rPr>
        <w:t>’</w:t>
      </w:r>
      <w:r>
        <w:rPr>
          <w:lang w:val="fr-FR"/>
        </w:rPr>
        <w:t xml:space="preserve">art populaire traditionnel, arts classiques, vièle à tête de cheval et chant long, numérisation et préservation du patrimoine culturel national, chant guttural mongol et danse traditionnelle mongole </w:t>
      </w:r>
      <w:proofErr w:type="spellStart"/>
      <w:r>
        <w:rPr>
          <w:lang w:val="fr-FR"/>
        </w:rPr>
        <w:t>biyelgee</w:t>
      </w:r>
      <w:proofErr w:type="spellEnd"/>
      <w:r>
        <w:rPr>
          <w:lang w:val="fr-FR"/>
        </w:rPr>
        <w:t>. Des projets ayant pour thème la protection du patrimoine culturel documentaire, les créations mongoles, la production culturelle créative et les arts classiques (III) sont actuellement menés.</w:t>
      </w:r>
    </w:p>
    <w:p w14:paraId="7EDC68EE" w14:textId="1CBB7BC0" w:rsidR="00560776" w:rsidRPr="00C8158A" w:rsidRDefault="00560776" w:rsidP="0040732C">
      <w:pPr>
        <w:pStyle w:val="SingleTxtG"/>
        <w:rPr>
          <w:lang w:val="fr-FR"/>
        </w:rPr>
      </w:pPr>
      <w:r>
        <w:rPr>
          <w:lang w:val="fr-FR"/>
        </w:rPr>
        <w:t>240.</w:t>
      </w:r>
      <w:r>
        <w:rPr>
          <w:lang w:val="fr-FR"/>
        </w:rPr>
        <w:tab/>
        <w:t>En 2020, il existe 35 organisations artistiques professionnelles publiques, 46 musées, 345</w:t>
      </w:r>
      <w:r w:rsidR="00914C4A">
        <w:rPr>
          <w:lang w:val="fr-FR"/>
        </w:rPr>
        <w:t> </w:t>
      </w:r>
      <w:r>
        <w:rPr>
          <w:lang w:val="fr-FR"/>
        </w:rPr>
        <w:t>centres culturels et maisons de la culture, 364</w:t>
      </w:r>
      <w:r w:rsidR="00914C4A">
        <w:rPr>
          <w:lang w:val="fr-FR"/>
        </w:rPr>
        <w:t> </w:t>
      </w:r>
      <w:r>
        <w:rPr>
          <w:lang w:val="fr-FR"/>
        </w:rPr>
        <w:t>bibliothèques, 113</w:t>
      </w:r>
      <w:r w:rsidR="00914C4A">
        <w:rPr>
          <w:lang w:val="fr-FR"/>
        </w:rPr>
        <w:t> </w:t>
      </w:r>
      <w:r>
        <w:rPr>
          <w:lang w:val="fr-FR"/>
        </w:rPr>
        <w:t>salles de cinéma, plus de 30 studios de cirque privés, qui emploient au total plus de 7</w:t>
      </w:r>
      <w:r w:rsidR="00914C4A">
        <w:rPr>
          <w:lang w:val="fr-FR"/>
        </w:rPr>
        <w:t> </w:t>
      </w:r>
      <w:r>
        <w:rPr>
          <w:lang w:val="fr-FR"/>
        </w:rPr>
        <w:t>000</w:t>
      </w:r>
      <w:r w:rsidR="00914C4A">
        <w:rPr>
          <w:lang w:val="fr-FR"/>
        </w:rPr>
        <w:t> </w:t>
      </w:r>
      <w:r>
        <w:rPr>
          <w:lang w:val="fr-FR"/>
        </w:rPr>
        <w:t>personnes, dont 5</w:t>
      </w:r>
      <w:r w:rsidR="00914C4A">
        <w:rPr>
          <w:lang w:val="fr-FR"/>
        </w:rPr>
        <w:t> </w:t>
      </w:r>
      <w:r>
        <w:rPr>
          <w:lang w:val="fr-FR"/>
        </w:rPr>
        <w:t>500</w:t>
      </w:r>
      <w:r w:rsidR="00914C4A">
        <w:rPr>
          <w:lang w:val="fr-FR"/>
        </w:rPr>
        <w:t> </w:t>
      </w:r>
      <w:r>
        <w:rPr>
          <w:lang w:val="fr-FR"/>
        </w:rPr>
        <w:t>dans des organisations publiques.</w:t>
      </w:r>
    </w:p>
    <w:p w14:paraId="68B27848" w14:textId="05827BD7" w:rsidR="00560776" w:rsidRPr="00C8158A" w:rsidRDefault="00560776" w:rsidP="0040732C">
      <w:pPr>
        <w:pStyle w:val="SingleTxtG"/>
        <w:rPr>
          <w:lang w:val="fr-FR"/>
        </w:rPr>
      </w:pPr>
      <w:r>
        <w:rPr>
          <w:lang w:val="fr-FR"/>
        </w:rPr>
        <w:t>241.</w:t>
      </w:r>
      <w:r>
        <w:rPr>
          <w:lang w:val="fr-FR"/>
        </w:rPr>
        <w:tab/>
        <w:t>Le Gouvernement exécute au niveau local des programmes et des projets visant à préserver et à transmettre à la prochaine génération des formes de patrimoine figurant sur la liste représentative du patrimoine culturel immatériel de l</w:t>
      </w:r>
      <w:r w:rsidR="009C7759">
        <w:rPr>
          <w:lang w:val="fr-FR"/>
        </w:rPr>
        <w:t>’</w:t>
      </w:r>
      <w:r>
        <w:rPr>
          <w:lang w:val="fr-FR"/>
        </w:rPr>
        <w:t>humanité et sur la liste du patrimoine culturel immatériel nécessitant une sauvegarde urgente établies par l</w:t>
      </w:r>
      <w:r w:rsidR="009C7759">
        <w:rPr>
          <w:lang w:val="fr-FR"/>
        </w:rPr>
        <w:t>’</w:t>
      </w:r>
      <w:r>
        <w:rPr>
          <w:lang w:val="fr-FR"/>
        </w:rPr>
        <w:t>UNESCO.</w:t>
      </w:r>
    </w:p>
    <w:p w14:paraId="21BD4BE2" w14:textId="677A79BA" w:rsidR="00560776" w:rsidRPr="00C8158A" w:rsidRDefault="00560776" w:rsidP="0040732C">
      <w:pPr>
        <w:pStyle w:val="SingleTxtG"/>
        <w:rPr>
          <w:lang w:val="fr-FR"/>
        </w:rPr>
      </w:pPr>
      <w:r>
        <w:rPr>
          <w:lang w:val="fr-FR"/>
        </w:rPr>
        <w:t>242.</w:t>
      </w:r>
      <w:r>
        <w:rPr>
          <w:lang w:val="fr-FR"/>
        </w:rPr>
        <w:tab/>
        <w:t>Les traditions mongoles suivantes ont été inscrites sur la liste représentative du patrimoine culturel immatériel de l</w:t>
      </w:r>
      <w:r w:rsidR="009C7759">
        <w:rPr>
          <w:lang w:val="fr-FR"/>
        </w:rPr>
        <w:t>’</w:t>
      </w:r>
      <w:r>
        <w:rPr>
          <w:lang w:val="fr-FR"/>
        </w:rPr>
        <w:t>humanité de l</w:t>
      </w:r>
      <w:r w:rsidR="009C7759">
        <w:rPr>
          <w:lang w:val="fr-FR"/>
        </w:rPr>
        <w:t>’</w:t>
      </w:r>
      <w:r>
        <w:rPr>
          <w:lang w:val="fr-FR"/>
        </w:rPr>
        <w:t>UNESCO</w:t>
      </w:r>
      <w:r w:rsidR="00255530">
        <w:rPr>
          <w:lang w:val="fr-FR"/>
        </w:rPr>
        <w:t> </w:t>
      </w:r>
      <w:r>
        <w:rPr>
          <w:lang w:val="fr-FR"/>
        </w:rPr>
        <w:t xml:space="preserve">: la musique traditionnelle du Morin </w:t>
      </w:r>
      <w:proofErr w:type="spellStart"/>
      <w:r>
        <w:rPr>
          <w:lang w:val="fr-FR"/>
        </w:rPr>
        <w:t>Khuur</w:t>
      </w:r>
      <w:proofErr w:type="spellEnd"/>
      <w:r>
        <w:rPr>
          <w:lang w:val="fr-FR"/>
        </w:rPr>
        <w:t>, l</w:t>
      </w:r>
      <w:r w:rsidR="009C7759">
        <w:rPr>
          <w:lang w:val="fr-FR"/>
        </w:rPr>
        <w:t>’</w:t>
      </w:r>
      <w:proofErr w:type="spellStart"/>
      <w:r>
        <w:rPr>
          <w:lang w:val="fr-FR"/>
        </w:rPr>
        <w:t>Urtiin</w:t>
      </w:r>
      <w:proofErr w:type="spellEnd"/>
      <w:r>
        <w:rPr>
          <w:lang w:val="fr-FR"/>
        </w:rPr>
        <w:t xml:space="preserve"> </w:t>
      </w:r>
      <w:proofErr w:type="spellStart"/>
      <w:r>
        <w:rPr>
          <w:lang w:val="fr-FR"/>
        </w:rPr>
        <w:t>Duu</w:t>
      </w:r>
      <w:proofErr w:type="spellEnd"/>
      <w:r>
        <w:rPr>
          <w:lang w:val="fr-FR"/>
        </w:rPr>
        <w:t>, chants longs traditionnels populaires, l</w:t>
      </w:r>
      <w:r w:rsidR="009C7759">
        <w:rPr>
          <w:lang w:val="fr-FR"/>
        </w:rPr>
        <w:t>’</w:t>
      </w:r>
      <w:r>
        <w:rPr>
          <w:lang w:val="fr-FR"/>
        </w:rPr>
        <w:t xml:space="preserve">art traditionnel du </w:t>
      </w:r>
      <w:proofErr w:type="spellStart"/>
      <w:r>
        <w:rPr>
          <w:lang w:val="fr-FR"/>
        </w:rPr>
        <w:t>Khöömei</w:t>
      </w:r>
      <w:proofErr w:type="spellEnd"/>
      <w:r>
        <w:rPr>
          <w:lang w:val="fr-FR"/>
        </w:rPr>
        <w:t xml:space="preserve"> mongol, le </w:t>
      </w:r>
      <w:proofErr w:type="spellStart"/>
      <w:r>
        <w:rPr>
          <w:lang w:val="fr-FR"/>
        </w:rPr>
        <w:t>Naadam</w:t>
      </w:r>
      <w:proofErr w:type="spellEnd"/>
      <w:r>
        <w:rPr>
          <w:lang w:val="fr-FR"/>
        </w:rPr>
        <w:t>, festival traditionnel mongol, la fauconnerie, un patrimoine humain vivant, l</w:t>
      </w:r>
      <w:r w:rsidR="009C7759">
        <w:rPr>
          <w:lang w:val="fr-FR"/>
        </w:rPr>
        <w:t>’</w:t>
      </w:r>
      <w:r>
        <w:rPr>
          <w:lang w:val="fr-FR"/>
        </w:rPr>
        <w:t xml:space="preserve">artisanat traditionnel du </w:t>
      </w:r>
      <w:proofErr w:type="spellStart"/>
      <w:r w:rsidRPr="00E23392">
        <w:rPr>
          <w:i/>
          <w:iCs/>
          <w:lang w:val="fr-FR"/>
        </w:rPr>
        <w:t>ger</w:t>
      </w:r>
      <w:proofErr w:type="spellEnd"/>
      <w:r>
        <w:rPr>
          <w:lang w:val="fr-FR"/>
        </w:rPr>
        <w:t xml:space="preserve"> mongol et les coutumes associées, le tir aux osselets mongol, le procédé traditionnel de préparation de l</w:t>
      </w:r>
      <w:r w:rsidR="009C7759">
        <w:rPr>
          <w:lang w:val="fr-FR"/>
        </w:rPr>
        <w:t>’</w:t>
      </w:r>
      <w:proofErr w:type="spellStart"/>
      <w:r>
        <w:rPr>
          <w:lang w:val="fr-FR"/>
        </w:rPr>
        <w:t>aïrag</w:t>
      </w:r>
      <w:proofErr w:type="spellEnd"/>
      <w:r>
        <w:rPr>
          <w:lang w:val="fr-FR"/>
        </w:rPr>
        <w:t xml:space="preserve"> dans un </w:t>
      </w:r>
      <w:proofErr w:type="spellStart"/>
      <w:r>
        <w:rPr>
          <w:lang w:val="fr-FR"/>
        </w:rPr>
        <w:t>khokhuur</w:t>
      </w:r>
      <w:proofErr w:type="spellEnd"/>
      <w:r>
        <w:rPr>
          <w:lang w:val="fr-FR"/>
        </w:rPr>
        <w:t xml:space="preserve"> et les coutumes associées. Celles qui suivent ont été inscrites sur la liste du patrimoine culturel immatériel nécessitant une sauvegarde urgente</w:t>
      </w:r>
      <w:r w:rsidR="00255530">
        <w:rPr>
          <w:lang w:val="fr-FR"/>
        </w:rPr>
        <w:t> </w:t>
      </w:r>
      <w:r>
        <w:rPr>
          <w:lang w:val="fr-FR"/>
        </w:rPr>
        <w:t xml:space="preserve">: le </w:t>
      </w:r>
      <w:proofErr w:type="spellStart"/>
      <w:r>
        <w:rPr>
          <w:lang w:val="fr-FR"/>
        </w:rPr>
        <w:t>Tuuli</w:t>
      </w:r>
      <w:proofErr w:type="spellEnd"/>
      <w:r>
        <w:rPr>
          <w:lang w:val="fr-FR"/>
        </w:rPr>
        <w:t xml:space="preserve"> mongol, épopée mongole, le </w:t>
      </w:r>
      <w:proofErr w:type="spellStart"/>
      <w:r>
        <w:rPr>
          <w:lang w:val="fr-FR"/>
        </w:rPr>
        <w:t>Biyelgee</w:t>
      </w:r>
      <w:proofErr w:type="spellEnd"/>
      <w:r>
        <w:rPr>
          <w:lang w:val="fr-FR"/>
        </w:rPr>
        <w:t xml:space="preserve"> mongol, danse populaire traditionnelle mongole, la musique traditionnelle pour flûte </w:t>
      </w:r>
      <w:proofErr w:type="spellStart"/>
      <w:r>
        <w:rPr>
          <w:lang w:val="fr-FR"/>
        </w:rPr>
        <w:t>tsuur</w:t>
      </w:r>
      <w:proofErr w:type="spellEnd"/>
      <w:r>
        <w:rPr>
          <w:lang w:val="fr-FR"/>
        </w:rPr>
        <w:t>, la technique d</w:t>
      </w:r>
      <w:r w:rsidR="009C7759">
        <w:rPr>
          <w:lang w:val="fr-FR"/>
        </w:rPr>
        <w:t>’</w:t>
      </w:r>
      <w:r>
        <w:rPr>
          <w:lang w:val="fr-FR"/>
        </w:rPr>
        <w:t xml:space="preserve">interprétation du chant long des joueurs de flûte limbe </w:t>
      </w:r>
      <w:r w:rsidR="00EE5D87">
        <w:rPr>
          <w:lang w:val="fr-FR"/>
        </w:rPr>
        <w:t>–</w:t>
      </w:r>
      <w:r>
        <w:rPr>
          <w:lang w:val="fr-FR"/>
        </w:rPr>
        <w:t xml:space="preserve"> la</w:t>
      </w:r>
      <w:r w:rsidR="00EE5D87">
        <w:rPr>
          <w:lang w:val="fr-FR"/>
        </w:rPr>
        <w:t xml:space="preserve"> </w:t>
      </w:r>
      <w:r>
        <w:rPr>
          <w:lang w:val="fr-FR"/>
        </w:rPr>
        <w:t>respiration circulaire, la calligraphie mongole, le rituel pour amadouer les chamelles et les pratiques traditionnelles mongoles de vénération de sites sacrés.</w:t>
      </w:r>
    </w:p>
    <w:p w14:paraId="7614DBE3" w14:textId="68A95A65" w:rsidR="00560776" w:rsidRPr="00C8158A" w:rsidRDefault="00560776" w:rsidP="0040732C">
      <w:pPr>
        <w:pStyle w:val="SingleTxtG"/>
        <w:rPr>
          <w:lang w:val="fr-FR"/>
        </w:rPr>
      </w:pPr>
      <w:r>
        <w:rPr>
          <w:lang w:val="fr-FR"/>
        </w:rPr>
        <w:t>243.</w:t>
      </w:r>
      <w:r>
        <w:rPr>
          <w:lang w:val="fr-FR"/>
        </w:rPr>
        <w:tab/>
        <w:t>La bibliothèque nationale regroupe plus de 20</w:t>
      </w:r>
      <w:r w:rsidR="00EE5D87">
        <w:rPr>
          <w:lang w:val="fr-FR"/>
        </w:rPr>
        <w:t> </w:t>
      </w:r>
      <w:r>
        <w:rPr>
          <w:lang w:val="fr-FR"/>
        </w:rPr>
        <w:t>000</w:t>
      </w:r>
      <w:r w:rsidR="00EE5D87">
        <w:rPr>
          <w:lang w:val="fr-FR"/>
        </w:rPr>
        <w:t> </w:t>
      </w:r>
      <w:r>
        <w:rPr>
          <w:lang w:val="fr-FR"/>
        </w:rPr>
        <w:t>textes manuscrits et lithographies et 1,5 million de livres et d</w:t>
      </w:r>
      <w:r w:rsidR="009C7759">
        <w:rPr>
          <w:lang w:val="fr-FR"/>
        </w:rPr>
        <w:t>’</w:t>
      </w:r>
      <w:r>
        <w:rPr>
          <w:lang w:val="fr-FR"/>
        </w:rPr>
        <w:t>écrits de savants mongols et tibétains. Sa collection de livres et de publications orientales contient plus de 100</w:t>
      </w:r>
      <w:r w:rsidR="00EE5D87">
        <w:rPr>
          <w:lang w:val="fr-FR"/>
        </w:rPr>
        <w:t> </w:t>
      </w:r>
      <w:r>
        <w:rPr>
          <w:lang w:val="fr-FR"/>
        </w:rPr>
        <w:t>000</w:t>
      </w:r>
      <w:r w:rsidR="00EE5D87">
        <w:rPr>
          <w:lang w:val="fr-FR"/>
        </w:rPr>
        <w:t> </w:t>
      </w:r>
      <w:r>
        <w:rPr>
          <w:lang w:val="fr-FR"/>
        </w:rPr>
        <w:t>documents de langues mandchoue, chinoise, japonaise et coréenne. La Mongolie a proposé que ses créations culturelles uniques suivantes soient inscrites au Registre Mémoire du monde de l</w:t>
      </w:r>
      <w:r w:rsidR="009C7759">
        <w:rPr>
          <w:lang w:val="fr-FR"/>
        </w:rPr>
        <w:t>’</w:t>
      </w:r>
      <w:r>
        <w:rPr>
          <w:lang w:val="fr-FR"/>
        </w:rPr>
        <w:t>UNESCO</w:t>
      </w:r>
      <w:r w:rsidR="00255530">
        <w:rPr>
          <w:lang w:val="fr-FR"/>
        </w:rPr>
        <w:t> </w:t>
      </w:r>
      <w:r>
        <w:rPr>
          <w:lang w:val="fr-FR"/>
        </w:rPr>
        <w:t>: Lu. « </w:t>
      </w:r>
      <w:proofErr w:type="spellStart"/>
      <w:r>
        <w:rPr>
          <w:lang w:val="fr-FR"/>
        </w:rPr>
        <w:t>Altan</w:t>
      </w:r>
      <w:proofErr w:type="spellEnd"/>
      <w:r>
        <w:rPr>
          <w:lang w:val="fr-FR"/>
        </w:rPr>
        <w:t xml:space="preserve"> </w:t>
      </w:r>
      <w:proofErr w:type="spellStart"/>
      <w:r>
        <w:rPr>
          <w:lang w:val="fr-FR"/>
        </w:rPr>
        <w:t>Tobchi</w:t>
      </w:r>
      <w:proofErr w:type="spellEnd"/>
      <w:r>
        <w:rPr>
          <w:lang w:val="fr-FR"/>
        </w:rPr>
        <w:t> »</w:t>
      </w:r>
      <w:r w:rsidR="00255530">
        <w:rPr>
          <w:lang w:val="fr-FR"/>
        </w:rPr>
        <w:t> </w:t>
      </w:r>
      <w:r>
        <w:rPr>
          <w:lang w:val="fr-FR"/>
        </w:rPr>
        <w:t>: Histoire d</w:t>
      </w:r>
      <w:r w:rsidR="009C7759">
        <w:rPr>
          <w:lang w:val="fr-FR"/>
        </w:rPr>
        <w:t>’</w:t>
      </w:r>
      <w:r>
        <w:rPr>
          <w:lang w:val="fr-FR"/>
        </w:rPr>
        <w:t xml:space="preserve">or écrite en 1651, </w:t>
      </w:r>
      <w:proofErr w:type="spellStart"/>
      <w:r>
        <w:rPr>
          <w:lang w:val="fr-FR"/>
        </w:rPr>
        <w:t>Tanjur</w:t>
      </w:r>
      <w:proofErr w:type="spellEnd"/>
      <w:r>
        <w:rPr>
          <w:lang w:val="fr-FR"/>
        </w:rPr>
        <w:t xml:space="preserve"> mongol, </w:t>
      </w:r>
      <w:proofErr w:type="spellStart"/>
      <w:r>
        <w:rPr>
          <w:lang w:val="fr-FR"/>
        </w:rPr>
        <w:t>Kanjour</w:t>
      </w:r>
      <w:proofErr w:type="spellEnd"/>
      <w:r>
        <w:rPr>
          <w:lang w:val="fr-FR"/>
        </w:rPr>
        <w:t xml:space="preserve"> écrit aux 9 pierres précieuses et </w:t>
      </w:r>
      <w:proofErr w:type="spellStart"/>
      <w:r>
        <w:rPr>
          <w:lang w:val="fr-FR"/>
        </w:rPr>
        <w:t>Soutra</w:t>
      </w:r>
      <w:proofErr w:type="spellEnd"/>
      <w:r>
        <w:rPr>
          <w:lang w:val="fr-FR"/>
        </w:rPr>
        <w:t xml:space="preserve"> de la grande déesse Tara.</w:t>
      </w:r>
    </w:p>
    <w:p w14:paraId="19449BE9" w14:textId="1ED6672D" w:rsidR="00560776" w:rsidRPr="00C8158A" w:rsidRDefault="00560776" w:rsidP="00C7181E">
      <w:pPr>
        <w:pStyle w:val="H23G"/>
        <w:rPr>
          <w:lang w:val="fr-FR"/>
        </w:rPr>
      </w:pPr>
      <w:r>
        <w:rPr>
          <w:lang w:val="fr-FR"/>
        </w:rPr>
        <w:tab/>
      </w:r>
      <w:r>
        <w:rPr>
          <w:lang w:val="fr-FR"/>
        </w:rPr>
        <w:tab/>
        <w:t>Financement du secteur de la culture et de l</w:t>
      </w:r>
      <w:r w:rsidR="009C7759">
        <w:rPr>
          <w:lang w:val="fr-FR"/>
        </w:rPr>
        <w:t>’</w:t>
      </w:r>
      <w:r>
        <w:rPr>
          <w:lang w:val="fr-FR"/>
        </w:rPr>
        <w:t>art et rayonnement des services proposés</w:t>
      </w:r>
    </w:p>
    <w:p w14:paraId="781E0AA4" w14:textId="72C1BEE4" w:rsidR="00560776" w:rsidRPr="00C8158A" w:rsidRDefault="00560776" w:rsidP="0040732C">
      <w:pPr>
        <w:pStyle w:val="SingleTxtG"/>
        <w:rPr>
          <w:lang w:val="fr-FR"/>
        </w:rPr>
      </w:pPr>
      <w:r>
        <w:rPr>
          <w:lang w:val="fr-FR"/>
        </w:rPr>
        <w:t>244.</w:t>
      </w:r>
      <w:r>
        <w:rPr>
          <w:lang w:val="fr-FR"/>
        </w:rPr>
        <w:tab/>
        <w:t>En 2020, un budget de 230,8</w:t>
      </w:r>
      <w:r w:rsidR="00EE5D87">
        <w:rPr>
          <w:lang w:val="fr-FR"/>
        </w:rPr>
        <w:t> </w:t>
      </w:r>
      <w:r>
        <w:rPr>
          <w:lang w:val="fr-FR"/>
        </w:rPr>
        <w:t xml:space="preserve">milliards de </w:t>
      </w:r>
      <w:proofErr w:type="spellStart"/>
      <w:r>
        <w:rPr>
          <w:lang w:val="fr-FR"/>
        </w:rPr>
        <w:t>togrogs</w:t>
      </w:r>
      <w:proofErr w:type="spellEnd"/>
      <w:r>
        <w:rPr>
          <w:lang w:val="fr-FR"/>
        </w:rPr>
        <w:t xml:space="preserve"> a été alloué au secteur de la culture et de l</w:t>
      </w:r>
      <w:r w:rsidR="009C7759">
        <w:rPr>
          <w:lang w:val="fr-FR"/>
        </w:rPr>
        <w:t>’</w:t>
      </w:r>
      <w:r>
        <w:rPr>
          <w:lang w:val="fr-FR"/>
        </w:rPr>
        <w:t>art, 35,9</w:t>
      </w:r>
      <w:r w:rsidR="00EE5D87">
        <w:rPr>
          <w:lang w:val="fr-FR"/>
        </w:rPr>
        <w:t> </w:t>
      </w:r>
      <w:r>
        <w:rPr>
          <w:lang w:val="fr-FR"/>
        </w:rPr>
        <w:t>milliards étant destinés aux dépenses de fonctionnement et 195,4</w:t>
      </w:r>
      <w:r w:rsidR="00EE5D87">
        <w:rPr>
          <w:lang w:val="fr-FR"/>
        </w:rPr>
        <w:t> </w:t>
      </w:r>
      <w:r>
        <w:rPr>
          <w:lang w:val="fr-FR"/>
        </w:rPr>
        <w:t>milliards aux investissements. Le budget de ce secteur a augmenté de 127,7</w:t>
      </w:r>
      <w:r w:rsidR="00EE5D87">
        <w:rPr>
          <w:lang w:val="fr-FR"/>
        </w:rPr>
        <w:t> </w:t>
      </w:r>
      <w:r>
        <w:rPr>
          <w:lang w:val="fr-FR"/>
        </w:rPr>
        <w:t>milliards par rapport à l</w:t>
      </w:r>
      <w:r w:rsidR="009C7759">
        <w:rPr>
          <w:lang w:val="fr-FR"/>
        </w:rPr>
        <w:t>’</w:t>
      </w:r>
      <w:r>
        <w:rPr>
          <w:lang w:val="fr-FR"/>
        </w:rPr>
        <w:t>année précédente (14,5</w:t>
      </w:r>
      <w:r w:rsidR="00EE5D87">
        <w:rPr>
          <w:lang w:val="fr-FR"/>
        </w:rPr>
        <w:t> </w:t>
      </w:r>
      <w:r>
        <w:rPr>
          <w:lang w:val="fr-FR"/>
        </w:rPr>
        <w:t>milliards pour les dépenses de fonctionnement et 113,2</w:t>
      </w:r>
      <w:r w:rsidR="00EE5D87">
        <w:rPr>
          <w:lang w:val="fr-FR"/>
        </w:rPr>
        <w:t> </w:t>
      </w:r>
      <w:r>
        <w:rPr>
          <w:lang w:val="fr-FR"/>
        </w:rPr>
        <w:t>milliards pour les dépenses d</w:t>
      </w:r>
      <w:r w:rsidR="009C7759">
        <w:rPr>
          <w:lang w:val="fr-FR"/>
        </w:rPr>
        <w:t>’</w:t>
      </w:r>
      <w:r>
        <w:rPr>
          <w:lang w:val="fr-FR"/>
        </w:rPr>
        <w:t xml:space="preserve">investissement). </w:t>
      </w:r>
    </w:p>
    <w:p w14:paraId="7AE39622" w14:textId="16644FCE" w:rsidR="00560776" w:rsidRPr="00C8158A" w:rsidRDefault="00560776" w:rsidP="00474765">
      <w:pPr>
        <w:pStyle w:val="Titre1"/>
        <w:spacing w:after="120"/>
        <w:rPr>
          <w:b/>
          <w:bCs/>
          <w:lang w:val="fr-FR"/>
        </w:rPr>
      </w:pPr>
      <w:r>
        <w:rPr>
          <w:lang w:val="fr-FR"/>
        </w:rPr>
        <w:lastRenderedPageBreak/>
        <w:t>Tableau 18</w:t>
      </w:r>
      <w:r w:rsidR="00474765">
        <w:rPr>
          <w:lang w:val="fr-FR"/>
        </w:rPr>
        <w:t xml:space="preserve"> </w:t>
      </w:r>
      <w:r w:rsidR="00474765">
        <w:rPr>
          <w:lang w:val="fr-FR"/>
        </w:rPr>
        <w:br/>
      </w:r>
      <w:r>
        <w:rPr>
          <w:b/>
          <w:bCs/>
          <w:lang w:val="fr-FR"/>
        </w:rPr>
        <w:t xml:space="preserve">Dépenses opérationnelles du secteur de la culture et des arts (en milliards de </w:t>
      </w:r>
      <w:proofErr w:type="spellStart"/>
      <w:r>
        <w:rPr>
          <w:b/>
          <w:bCs/>
          <w:lang w:val="fr-FR"/>
        </w:rPr>
        <w:t>togrogs</w:t>
      </w:r>
      <w:proofErr w:type="spellEnd"/>
      <w:r>
        <w:rPr>
          <w:b/>
          <w:bCs/>
          <w:lang w:val="fr-FR"/>
        </w:rPr>
        <w:t>)</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830"/>
        <w:gridCol w:w="593"/>
        <w:gridCol w:w="593"/>
        <w:gridCol w:w="594"/>
        <w:gridCol w:w="595"/>
        <w:gridCol w:w="595"/>
        <w:gridCol w:w="595"/>
        <w:gridCol w:w="595"/>
        <w:gridCol w:w="595"/>
        <w:gridCol w:w="595"/>
        <w:gridCol w:w="595"/>
        <w:gridCol w:w="595"/>
      </w:tblGrid>
      <w:tr w:rsidR="00474765" w:rsidRPr="00474765" w14:paraId="0543A277" w14:textId="77777777" w:rsidTr="00474765">
        <w:trPr>
          <w:tblHeader/>
        </w:trPr>
        <w:tc>
          <w:tcPr>
            <w:tcW w:w="851" w:type="dxa"/>
            <w:shd w:val="clear" w:color="auto" w:fill="auto"/>
            <w:vAlign w:val="bottom"/>
          </w:tcPr>
          <w:p w14:paraId="08038519" w14:textId="77777777" w:rsidR="00560776" w:rsidRPr="00474765" w:rsidRDefault="00560776" w:rsidP="00474765">
            <w:pPr>
              <w:suppressAutoHyphens w:val="0"/>
              <w:spacing w:before="80" w:after="80" w:line="200" w:lineRule="exact"/>
              <w:rPr>
                <w:i/>
                <w:sz w:val="16"/>
                <w:lang w:val="fr-FR"/>
              </w:rPr>
            </w:pPr>
          </w:p>
        </w:tc>
        <w:tc>
          <w:tcPr>
            <w:tcW w:w="608" w:type="dxa"/>
            <w:shd w:val="clear" w:color="auto" w:fill="auto"/>
            <w:vAlign w:val="bottom"/>
          </w:tcPr>
          <w:p w14:paraId="0A15D58B" w14:textId="77777777" w:rsidR="00560776" w:rsidRPr="00474765" w:rsidRDefault="00560776" w:rsidP="00474765">
            <w:pPr>
              <w:suppressAutoHyphens w:val="0"/>
              <w:spacing w:before="80" w:after="80" w:line="200" w:lineRule="exact"/>
              <w:jc w:val="right"/>
              <w:rPr>
                <w:i/>
                <w:sz w:val="16"/>
              </w:rPr>
            </w:pPr>
            <w:r w:rsidRPr="00474765">
              <w:rPr>
                <w:i/>
                <w:iCs/>
                <w:sz w:val="16"/>
                <w:lang w:val="fr-FR"/>
              </w:rPr>
              <w:t>2009</w:t>
            </w:r>
          </w:p>
        </w:tc>
        <w:tc>
          <w:tcPr>
            <w:tcW w:w="608" w:type="dxa"/>
            <w:shd w:val="clear" w:color="auto" w:fill="auto"/>
            <w:vAlign w:val="bottom"/>
          </w:tcPr>
          <w:p w14:paraId="02ADF796" w14:textId="77777777" w:rsidR="00560776" w:rsidRPr="00474765" w:rsidRDefault="00560776" w:rsidP="00474765">
            <w:pPr>
              <w:suppressAutoHyphens w:val="0"/>
              <w:spacing w:before="80" w:after="80" w:line="200" w:lineRule="exact"/>
              <w:jc w:val="right"/>
              <w:rPr>
                <w:i/>
                <w:sz w:val="16"/>
              </w:rPr>
            </w:pPr>
            <w:r w:rsidRPr="00474765">
              <w:rPr>
                <w:i/>
                <w:iCs/>
                <w:sz w:val="16"/>
                <w:lang w:val="fr-FR"/>
              </w:rPr>
              <w:t>2010</w:t>
            </w:r>
          </w:p>
        </w:tc>
        <w:tc>
          <w:tcPr>
            <w:tcW w:w="609" w:type="dxa"/>
            <w:shd w:val="clear" w:color="auto" w:fill="auto"/>
            <w:vAlign w:val="bottom"/>
          </w:tcPr>
          <w:p w14:paraId="66FFF0E9" w14:textId="77777777" w:rsidR="00560776" w:rsidRPr="00474765" w:rsidRDefault="00560776" w:rsidP="00474765">
            <w:pPr>
              <w:suppressAutoHyphens w:val="0"/>
              <w:spacing w:before="80" w:after="80" w:line="200" w:lineRule="exact"/>
              <w:jc w:val="right"/>
              <w:rPr>
                <w:i/>
                <w:sz w:val="16"/>
              </w:rPr>
            </w:pPr>
            <w:r w:rsidRPr="00474765">
              <w:rPr>
                <w:i/>
                <w:iCs/>
                <w:sz w:val="16"/>
                <w:lang w:val="fr-FR"/>
              </w:rPr>
              <w:t>2011</w:t>
            </w:r>
          </w:p>
        </w:tc>
        <w:tc>
          <w:tcPr>
            <w:tcW w:w="609" w:type="dxa"/>
            <w:shd w:val="clear" w:color="auto" w:fill="auto"/>
            <w:vAlign w:val="bottom"/>
          </w:tcPr>
          <w:p w14:paraId="03C9F610" w14:textId="77777777" w:rsidR="00560776" w:rsidRPr="00474765" w:rsidRDefault="00560776" w:rsidP="00474765">
            <w:pPr>
              <w:suppressAutoHyphens w:val="0"/>
              <w:spacing w:before="80" w:after="80" w:line="200" w:lineRule="exact"/>
              <w:jc w:val="right"/>
              <w:rPr>
                <w:i/>
                <w:sz w:val="16"/>
              </w:rPr>
            </w:pPr>
            <w:r w:rsidRPr="00474765">
              <w:rPr>
                <w:i/>
                <w:iCs/>
                <w:sz w:val="16"/>
                <w:lang w:val="fr-FR"/>
              </w:rPr>
              <w:t>2012</w:t>
            </w:r>
          </w:p>
        </w:tc>
        <w:tc>
          <w:tcPr>
            <w:tcW w:w="609" w:type="dxa"/>
            <w:shd w:val="clear" w:color="auto" w:fill="auto"/>
            <w:vAlign w:val="bottom"/>
          </w:tcPr>
          <w:p w14:paraId="75F17F01" w14:textId="77777777" w:rsidR="00560776" w:rsidRPr="00474765" w:rsidRDefault="00560776" w:rsidP="00474765">
            <w:pPr>
              <w:suppressAutoHyphens w:val="0"/>
              <w:spacing w:before="80" w:after="80" w:line="200" w:lineRule="exact"/>
              <w:jc w:val="right"/>
              <w:rPr>
                <w:i/>
                <w:sz w:val="16"/>
              </w:rPr>
            </w:pPr>
            <w:r w:rsidRPr="00474765">
              <w:rPr>
                <w:i/>
                <w:iCs/>
                <w:sz w:val="16"/>
                <w:lang w:val="fr-FR"/>
              </w:rPr>
              <w:t>2013</w:t>
            </w:r>
          </w:p>
        </w:tc>
        <w:tc>
          <w:tcPr>
            <w:tcW w:w="609" w:type="dxa"/>
            <w:shd w:val="clear" w:color="auto" w:fill="auto"/>
            <w:vAlign w:val="bottom"/>
          </w:tcPr>
          <w:p w14:paraId="4CA2363C" w14:textId="77777777" w:rsidR="00560776" w:rsidRPr="00474765" w:rsidRDefault="00560776" w:rsidP="00474765">
            <w:pPr>
              <w:suppressAutoHyphens w:val="0"/>
              <w:spacing w:before="80" w:after="80" w:line="200" w:lineRule="exact"/>
              <w:jc w:val="right"/>
              <w:rPr>
                <w:i/>
                <w:sz w:val="16"/>
              </w:rPr>
            </w:pPr>
            <w:r w:rsidRPr="00474765">
              <w:rPr>
                <w:i/>
                <w:iCs/>
                <w:sz w:val="16"/>
                <w:lang w:val="fr-FR"/>
              </w:rPr>
              <w:t>2014</w:t>
            </w:r>
          </w:p>
        </w:tc>
        <w:tc>
          <w:tcPr>
            <w:tcW w:w="609" w:type="dxa"/>
            <w:shd w:val="clear" w:color="auto" w:fill="auto"/>
            <w:vAlign w:val="bottom"/>
          </w:tcPr>
          <w:p w14:paraId="060772CB" w14:textId="77777777" w:rsidR="00560776" w:rsidRPr="00474765" w:rsidRDefault="00560776" w:rsidP="00474765">
            <w:pPr>
              <w:suppressAutoHyphens w:val="0"/>
              <w:spacing w:before="80" w:after="80" w:line="200" w:lineRule="exact"/>
              <w:jc w:val="right"/>
              <w:rPr>
                <w:i/>
                <w:sz w:val="16"/>
              </w:rPr>
            </w:pPr>
            <w:r w:rsidRPr="00474765">
              <w:rPr>
                <w:i/>
                <w:iCs/>
                <w:sz w:val="16"/>
                <w:lang w:val="fr-FR"/>
              </w:rPr>
              <w:t>2015</w:t>
            </w:r>
          </w:p>
        </w:tc>
        <w:tc>
          <w:tcPr>
            <w:tcW w:w="609" w:type="dxa"/>
            <w:shd w:val="clear" w:color="auto" w:fill="auto"/>
            <w:vAlign w:val="bottom"/>
          </w:tcPr>
          <w:p w14:paraId="66CB84CD" w14:textId="77777777" w:rsidR="00560776" w:rsidRPr="00474765" w:rsidRDefault="00560776" w:rsidP="00474765">
            <w:pPr>
              <w:suppressAutoHyphens w:val="0"/>
              <w:spacing w:before="80" w:after="80" w:line="200" w:lineRule="exact"/>
              <w:jc w:val="right"/>
              <w:rPr>
                <w:i/>
                <w:sz w:val="16"/>
              </w:rPr>
            </w:pPr>
            <w:r w:rsidRPr="00474765">
              <w:rPr>
                <w:i/>
                <w:iCs/>
                <w:sz w:val="16"/>
                <w:lang w:val="fr-FR"/>
              </w:rPr>
              <w:t>2016</w:t>
            </w:r>
          </w:p>
        </w:tc>
        <w:tc>
          <w:tcPr>
            <w:tcW w:w="609" w:type="dxa"/>
            <w:shd w:val="clear" w:color="auto" w:fill="auto"/>
            <w:vAlign w:val="bottom"/>
          </w:tcPr>
          <w:p w14:paraId="28B28903" w14:textId="77777777" w:rsidR="00560776" w:rsidRPr="00474765" w:rsidRDefault="00560776" w:rsidP="00474765">
            <w:pPr>
              <w:suppressAutoHyphens w:val="0"/>
              <w:spacing w:before="80" w:after="80" w:line="200" w:lineRule="exact"/>
              <w:jc w:val="right"/>
              <w:rPr>
                <w:i/>
                <w:sz w:val="16"/>
              </w:rPr>
            </w:pPr>
            <w:r w:rsidRPr="00474765">
              <w:rPr>
                <w:i/>
                <w:iCs/>
                <w:sz w:val="16"/>
                <w:lang w:val="fr-FR"/>
              </w:rPr>
              <w:t>2017</w:t>
            </w:r>
          </w:p>
        </w:tc>
        <w:tc>
          <w:tcPr>
            <w:tcW w:w="609" w:type="dxa"/>
            <w:shd w:val="clear" w:color="auto" w:fill="auto"/>
            <w:vAlign w:val="bottom"/>
          </w:tcPr>
          <w:p w14:paraId="643EF814" w14:textId="77777777" w:rsidR="00560776" w:rsidRPr="00474765" w:rsidRDefault="00560776" w:rsidP="00474765">
            <w:pPr>
              <w:suppressAutoHyphens w:val="0"/>
              <w:spacing w:before="80" w:after="80" w:line="200" w:lineRule="exact"/>
              <w:jc w:val="right"/>
              <w:rPr>
                <w:i/>
                <w:sz w:val="16"/>
              </w:rPr>
            </w:pPr>
            <w:r w:rsidRPr="00474765">
              <w:rPr>
                <w:i/>
                <w:iCs/>
                <w:sz w:val="16"/>
                <w:lang w:val="fr-FR"/>
              </w:rPr>
              <w:t>2018</w:t>
            </w:r>
          </w:p>
        </w:tc>
        <w:tc>
          <w:tcPr>
            <w:tcW w:w="609" w:type="dxa"/>
            <w:shd w:val="clear" w:color="auto" w:fill="auto"/>
            <w:vAlign w:val="bottom"/>
          </w:tcPr>
          <w:p w14:paraId="5EBFF5C0" w14:textId="77777777" w:rsidR="00560776" w:rsidRPr="00474765" w:rsidRDefault="00560776" w:rsidP="00474765">
            <w:pPr>
              <w:suppressAutoHyphens w:val="0"/>
              <w:spacing w:before="80" w:after="80" w:line="200" w:lineRule="exact"/>
              <w:jc w:val="right"/>
              <w:rPr>
                <w:i/>
                <w:sz w:val="16"/>
              </w:rPr>
            </w:pPr>
            <w:r w:rsidRPr="00474765">
              <w:rPr>
                <w:i/>
                <w:iCs/>
                <w:sz w:val="16"/>
                <w:lang w:val="fr-FR"/>
              </w:rPr>
              <w:t>2019</w:t>
            </w:r>
          </w:p>
        </w:tc>
      </w:tr>
      <w:tr w:rsidR="00474765" w:rsidRPr="00474765" w14:paraId="674BA213" w14:textId="77777777" w:rsidTr="00474765">
        <w:tc>
          <w:tcPr>
            <w:tcW w:w="851" w:type="dxa"/>
            <w:shd w:val="clear" w:color="auto" w:fill="auto"/>
          </w:tcPr>
          <w:p w14:paraId="0EBC6F4C" w14:textId="77777777" w:rsidR="00560776" w:rsidRPr="00474765" w:rsidRDefault="00560776" w:rsidP="00474765">
            <w:pPr>
              <w:suppressAutoHyphens w:val="0"/>
              <w:spacing w:before="40" w:after="40" w:line="220" w:lineRule="exact"/>
              <w:rPr>
                <w:sz w:val="18"/>
              </w:rPr>
            </w:pPr>
            <w:r w:rsidRPr="00474765">
              <w:rPr>
                <w:sz w:val="18"/>
                <w:lang w:val="fr-FR"/>
              </w:rPr>
              <w:t xml:space="preserve">Allocation budgétaire </w:t>
            </w:r>
          </w:p>
        </w:tc>
        <w:tc>
          <w:tcPr>
            <w:tcW w:w="608" w:type="dxa"/>
            <w:shd w:val="clear" w:color="auto" w:fill="auto"/>
            <w:vAlign w:val="bottom"/>
          </w:tcPr>
          <w:p w14:paraId="6E0675B2" w14:textId="77777777" w:rsidR="00560776" w:rsidRPr="00474765" w:rsidRDefault="00560776" w:rsidP="00474765">
            <w:pPr>
              <w:suppressAutoHyphens w:val="0"/>
              <w:spacing w:before="40" w:after="40" w:line="220" w:lineRule="exact"/>
              <w:jc w:val="right"/>
              <w:rPr>
                <w:sz w:val="18"/>
              </w:rPr>
            </w:pPr>
            <w:r w:rsidRPr="00474765">
              <w:rPr>
                <w:sz w:val="18"/>
                <w:lang w:val="fr-FR"/>
              </w:rPr>
              <w:t>28,7</w:t>
            </w:r>
          </w:p>
        </w:tc>
        <w:tc>
          <w:tcPr>
            <w:tcW w:w="608" w:type="dxa"/>
            <w:shd w:val="clear" w:color="auto" w:fill="auto"/>
            <w:vAlign w:val="bottom"/>
          </w:tcPr>
          <w:p w14:paraId="08DE2B9F" w14:textId="77777777" w:rsidR="00560776" w:rsidRPr="00474765" w:rsidRDefault="00560776" w:rsidP="00474765">
            <w:pPr>
              <w:suppressAutoHyphens w:val="0"/>
              <w:spacing w:before="40" w:after="40" w:line="220" w:lineRule="exact"/>
              <w:jc w:val="right"/>
              <w:rPr>
                <w:sz w:val="18"/>
              </w:rPr>
            </w:pPr>
            <w:r w:rsidRPr="00474765">
              <w:rPr>
                <w:sz w:val="18"/>
                <w:lang w:val="fr-FR"/>
              </w:rPr>
              <w:t>39,0</w:t>
            </w:r>
          </w:p>
        </w:tc>
        <w:tc>
          <w:tcPr>
            <w:tcW w:w="609" w:type="dxa"/>
            <w:shd w:val="clear" w:color="auto" w:fill="auto"/>
            <w:vAlign w:val="bottom"/>
          </w:tcPr>
          <w:p w14:paraId="4E3C3346" w14:textId="77777777" w:rsidR="00560776" w:rsidRPr="00474765" w:rsidRDefault="00560776" w:rsidP="00474765">
            <w:pPr>
              <w:suppressAutoHyphens w:val="0"/>
              <w:spacing w:before="40" w:after="40" w:line="220" w:lineRule="exact"/>
              <w:jc w:val="right"/>
              <w:rPr>
                <w:sz w:val="18"/>
              </w:rPr>
            </w:pPr>
            <w:r w:rsidRPr="00474765">
              <w:rPr>
                <w:sz w:val="18"/>
                <w:lang w:val="fr-FR"/>
              </w:rPr>
              <w:t>49,4</w:t>
            </w:r>
          </w:p>
        </w:tc>
        <w:tc>
          <w:tcPr>
            <w:tcW w:w="609" w:type="dxa"/>
            <w:shd w:val="clear" w:color="auto" w:fill="auto"/>
            <w:vAlign w:val="bottom"/>
          </w:tcPr>
          <w:p w14:paraId="7687ED54" w14:textId="77777777" w:rsidR="00560776" w:rsidRPr="00474765" w:rsidRDefault="00560776" w:rsidP="00474765">
            <w:pPr>
              <w:suppressAutoHyphens w:val="0"/>
              <w:spacing w:before="40" w:after="40" w:line="220" w:lineRule="exact"/>
              <w:jc w:val="right"/>
              <w:rPr>
                <w:sz w:val="18"/>
              </w:rPr>
            </w:pPr>
            <w:r w:rsidRPr="00474765">
              <w:rPr>
                <w:sz w:val="18"/>
                <w:lang w:val="fr-FR"/>
              </w:rPr>
              <w:t>54,7</w:t>
            </w:r>
          </w:p>
        </w:tc>
        <w:tc>
          <w:tcPr>
            <w:tcW w:w="609" w:type="dxa"/>
            <w:shd w:val="clear" w:color="auto" w:fill="auto"/>
            <w:vAlign w:val="bottom"/>
          </w:tcPr>
          <w:p w14:paraId="57A894BE" w14:textId="77777777" w:rsidR="00560776" w:rsidRPr="00474765" w:rsidRDefault="00560776" w:rsidP="00474765">
            <w:pPr>
              <w:suppressAutoHyphens w:val="0"/>
              <w:spacing w:before="40" w:after="40" w:line="220" w:lineRule="exact"/>
              <w:jc w:val="right"/>
              <w:rPr>
                <w:sz w:val="18"/>
              </w:rPr>
            </w:pPr>
            <w:r w:rsidRPr="00474765">
              <w:rPr>
                <w:sz w:val="18"/>
                <w:lang w:val="fr-FR"/>
              </w:rPr>
              <w:t>61,8</w:t>
            </w:r>
          </w:p>
        </w:tc>
        <w:tc>
          <w:tcPr>
            <w:tcW w:w="609" w:type="dxa"/>
            <w:shd w:val="clear" w:color="auto" w:fill="auto"/>
            <w:vAlign w:val="bottom"/>
          </w:tcPr>
          <w:p w14:paraId="795F2625" w14:textId="77777777" w:rsidR="00560776" w:rsidRPr="00474765" w:rsidRDefault="00560776" w:rsidP="00474765">
            <w:pPr>
              <w:suppressAutoHyphens w:val="0"/>
              <w:spacing w:before="40" w:after="40" w:line="220" w:lineRule="exact"/>
              <w:jc w:val="right"/>
              <w:rPr>
                <w:sz w:val="18"/>
              </w:rPr>
            </w:pPr>
            <w:r w:rsidRPr="00474765">
              <w:rPr>
                <w:sz w:val="18"/>
                <w:lang w:val="fr-FR"/>
              </w:rPr>
              <w:t>58,9</w:t>
            </w:r>
          </w:p>
        </w:tc>
        <w:tc>
          <w:tcPr>
            <w:tcW w:w="609" w:type="dxa"/>
            <w:shd w:val="clear" w:color="auto" w:fill="auto"/>
            <w:vAlign w:val="bottom"/>
          </w:tcPr>
          <w:p w14:paraId="52475393" w14:textId="77777777" w:rsidR="00560776" w:rsidRPr="00474765" w:rsidRDefault="00560776" w:rsidP="00474765">
            <w:pPr>
              <w:suppressAutoHyphens w:val="0"/>
              <w:spacing w:before="40" w:after="40" w:line="220" w:lineRule="exact"/>
              <w:jc w:val="right"/>
              <w:rPr>
                <w:sz w:val="18"/>
              </w:rPr>
            </w:pPr>
            <w:r w:rsidRPr="00474765">
              <w:rPr>
                <w:sz w:val="18"/>
                <w:lang w:val="fr-FR"/>
              </w:rPr>
              <w:t>57,4</w:t>
            </w:r>
          </w:p>
        </w:tc>
        <w:tc>
          <w:tcPr>
            <w:tcW w:w="609" w:type="dxa"/>
            <w:shd w:val="clear" w:color="auto" w:fill="auto"/>
            <w:vAlign w:val="bottom"/>
          </w:tcPr>
          <w:p w14:paraId="155E0B3E" w14:textId="77777777" w:rsidR="00560776" w:rsidRPr="00474765" w:rsidRDefault="00560776" w:rsidP="00474765">
            <w:pPr>
              <w:suppressAutoHyphens w:val="0"/>
              <w:spacing w:before="40" w:after="40" w:line="220" w:lineRule="exact"/>
              <w:jc w:val="right"/>
              <w:rPr>
                <w:sz w:val="18"/>
              </w:rPr>
            </w:pPr>
            <w:r w:rsidRPr="00474765">
              <w:rPr>
                <w:sz w:val="18"/>
                <w:lang w:val="fr-FR"/>
              </w:rPr>
              <w:t>59,0</w:t>
            </w:r>
          </w:p>
        </w:tc>
        <w:tc>
          <w:tcPr>
            <w:tcW w:w="609" w:type="dxa"/>
            <w:shd w:val="clear" w:color="auto" w:fill="auto"/>
            <w:vAlign w:val="bottom"/>
          </w:tcPr>
          <w:p w14:paraId="53E1FF05" w14:textId="77777777" w:rsidR="00560776" w:rsidRPr="00474765" w:rsidRDefault="00560776" w:rsidP="00474765">
            <w:pPr>
              <w:suppressAutoHyphens w:val="0"/>
              <w:spacing w:before="40" w:after="40" w:line="220" w:lineRule="exact"/>
              <w:jc w:val="right"/>
              <w:rPr>
                <w:sz w:val="18"/>
              </w:rPr>
            </w:pPr>
            <w:r w:rsidRPr="00474765">
              <w:rPr>
                <w:sz w:val="18"/>
                <w:lang w:val="fr-FR"/>
              </w:rPr>
              <w:t>60,1</w:t>
            </w:r>
          </w:p>
        </w:tc>
        <w:tc>
          <w:tcPr>
            <w:tcW w:w="609" w:type="dxa"/>
            <w:shd w:val="clear" w:color="auto" w:fill="auto"/>
            <w:vAlign w:val="bottom"/>
          </w:tcPr>
          <w:p w14:paraId="2001572F" w14:textId="77777777" w:rsidR="00560776" w:rsidRPr="00474765" w:rsidRDefault="00560776" w:rsidP="00474765">
            <w:pPr>
              <w:suppressAutoHyphens w:val="0"/>
              <w:spacing w:before="40" w:after="40" w:line="220" w:lineRule="exact"/>
              <w:jc w:val="right"/>
              <w:rPr>
                <w:sz w:val="18"/>
              </w:rPr>
            </w:pPr>
            <w:r w:rsidRPr="00474765">
              <w:rPr>
                <w:sz w:val="18"/>
                <w:lang w:val="fr-FR"/>
              </w:rPr>
              <w:t>62,5</w:t>
            </w:r>
          </w:p>
        </w:tc>
        <w:tc>
          <w:tcPr>
            <w:tcW w:w="609" w:type="dxa"/>
            <w:shd w:val="clear" w:color="auto" w:fill="auto"/>
            <w:vAlign w:val="bottom"/>
          </w:tcPr>
          <w:p w14:paraId="6E7A5CEB" w14:textId="77777777" w:rsidR="00560776" w:rsidRPr="00474765" w:rsidRDefault="00560776" w:rsidP="00474765">
            <w:pPr>
              <w:suppressAutoHyphens w:val="0"/>
              <w:spacing w:before="40" w:after="40" w:line="220" w:lineRule="exact"/>
              <w:jc w:val="right"/>
              <w:rPr>
                <w:sz w:val="18"/>
              </w:rPr>
            </w:pPr>
            <w:r w:rsidRPr="00474765">
              <w:rPr>
                <w:sz w:val="18"/>
                <w:lang w:val="fr-FR"/>
              </w:rPr>
              <w:t>21,5</w:t>
            </w:r>
          </w:p>
        </w:tc>
      </w:tr>
    </w:tbl>
    <w:p w14:paraId="5B9592BC" w14:textId="3E2B4CD3" w:rsidR="00560776" w:rsidRPr="00474765" w:rsidRDefault="00560776" w:rsidP="00474765">
      <w:pPr>
        <w:pStyle w:val="SingleTxtG"/>
        <w:spacing w:before="120"/>
        <w:ind w:firstLine="170"/>
        <w:rPr>
          <w:sz w:val="18"/>
          <w:szCs w:val="18"/>
        </w:rPr>
      </w:pPr>
      <w:r w:rsidRPr="00EE5D87">
        <w:rPr>
          <w:i/>
          <w:iCs/>
          <w:sz w:val="18"/>
          <w:szCs w:val="18"/>
        </w:rPr>
        <w:t>Source</w:t>
      </w:r>
      <w:r w:rsidR="00255530">
        <w:rPr>
          <w:sz w:val="18"/>
          <w:szCs w:val="18"/>
        </w:rPr>
        <w:t> </w:t>
      </w:r>
      <w:r w:rsidRPr="00474765">
        <w:rPr>
          <w:sz w:val="18"/>
          <w:szCs w:val="18"/>
        </w:rPr>
        <w:t>: Ministère de la culture.</w:t>
      </w:r>
    </w:p>
    <w:p w14:paraId="142B1C5A" w14:textId="45AEAFE9" w:rsidR="00560776" w:rsidRPr="00C8158A" w:rsidRDefault="00560776" w:rsidP="0040732C">
      <w:pPr>
        <w:pStyle w:val="SingleTxtG"/>
        <w:rPr>
          <w:lang w:val="fr-FR"/>
        </w:rPr>
      </w:pPr>
      <w:r>
        <w:rPr>
          <w:lang w:val="fr-FR"/>
        </w:rPr>
        <w:t>245.</w:t>
      </w:r>
      <w:r>
        <w:rPr>
          <w:lang w:val="fr-FR"/>
        </w:rPr>
        <w:tab/>
        <w:t>Précision</w:t>
      </w:r>
      <w:r w:rsidR="00255530">
        <w:rPr>
          <w:lang w:val="fr-FR"/>
        </w:rPr>
        <w:t> </w:t>
      </w:r>
      <w:r>
        <w:rPr>
          <w:lang w:val="fr-FR"/>
        </w:rPr>
        <w:t>: en application de la loi budgétaire de 2019, une allocation à usage spécifique de 46,8</w:t>
      </w:r>
      <w:r w:rsidR="00EE5D87">
        <w:rPr>
          <w:lang w:val="fr-FR"/>
        </w:rPr>
        <w:t> </w:t>
      </w:r>
      <w:r>
        <w:rPr>
          <w:lang w:val="fr-FR"/>
        </w:rPr>
        <w:t xml:space="preserve">milliards de </w:t>
      </w:r>
      <w:proofErr w:type="spellStart"/>
      <w:r>
        <w:rPr>
          <w:lang w:val="fr-FR"/>
        </w:rPr>
        <w:t>togrogs</w:t>
      </w:r>
      <w:proofErr w:type="spellEnd"/>
      <w:r>
        <w:rPr>
          <w:lang w:val="fr-FR"/>
        </w:rPr>
        <w:t xml:space="preserve"> a été réaffectée du budget du directeur </w:t>
      </w:r>
      <w:r w:rsidRPr="00802213">
        <w:rPr>
          <w:lang w:val="fr-FR"/>
        </w:rPr>
        <w:t>général du bu</w:t>
      </w:r>
      <w:r w:rsidR="00802213" w:rsidRPr="00802213">
        <w:rPr>
          <w:lang w:val="fr-FR"/>
        </w:rPr>
        <w:t>reau</w:t>
      </w:r>
      <w:r w:rsidRPr="00802213">
        <w:rPr>
          <w:lang w:val="fr-FR"/>
        </w:rPr>
        <w:t xml:space="preserve"> de la culture</w:t>
      </w:r>
      <w:r>
        <w:rPr>
          <w:lang w:val="fr-FR"/>
        </w:rPr>
        <w:t xml:space="preserve"> et des arts aux budgets des gouverneurs locaux. Cette réaffectation se traduit par une baisse du budget du secteur de la culture pour 2019 dans le tableau ci-dessus. </w:t>
      </w:r>
    </w:p>
    <w:p w14:paraId="66807B88" w14:textId="7A3F06E6" w:rsidR="00560776" w:rsidRPr="00C8158A" w:rsidRDefault="00560776" w:rsidP="00474765">
      <w:pPr>
        <w:pStyle w:val="Titre1"/>
        <w:spacing w:after="120"/>
        <w:rPr>
          <w:b/>
          <w:bCs/>
          <w:lang w:val="fr-FR"/>
        </w:rPr>
      </w:pPr>
      <w:r>
        <w:rPr>
          <w:lang w:val="fr-FR"/>
        </w:rPr>
        <w:t>Tableau 19</w:t>
      </w:r>
      <w:r w:rsidR="00474765">
        <w:rPr>
          <w:lang w:val="fr-FR"/>
        </w:rPr>
        <w:t xml:space="preserve"> </w:t>
      </w:r>
      <w:r w:rsidR="00474765">
        <w:rPr>
          <w:lang w:val="fr-FR"/>
        </w:rPr>
        <w:br/>
      </w:r>
      <w:r>
        <w:rPr>
          <w:b/>
          <w:bCs/>
          <w:lang w:val="fr-FR"/>
        </w:rPr>
        <w:t xml:space="preserve">Investissements en faveur du secteur de la culture et des arts (en milliards de </w:t>
      </w:r>
      <w:proofErr w:type="spellStart"/>
      <w:r>
        <w:rPr>
          <w:b/>
          <w:bCs/>
          <w:lang w:val="fr-FR"/>
        </w:rPr>
        <w:t>togrogs</w:t>
      </w:r>
      <w:proofErr w:type="spellEnd"/>
      <w:r>
        <w:rPr>
          <w:b/>
          <w:bCs/>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1734"/>
        <w:gridCol w:w="1409"/>
        <w:gridCol w:w="1409"/>
        <w:gridCol w:w="1409"/>
        <w:gridCol w:w="1409"/>
      </w:tblGrid>
      <w:tr w:rsidR="00474765" w:rsidRPr="00474765" w14:paraId="50C7FFAB" w14:textId="77777777" w:rsidTr="00474765">
        <w:trPr>
          <w:tblHeader/>
        </w:trPr>
        <w:tc>
          <w:tcPr>
            <w:tcW w:w="2268" w:type="dxa"/>
            <w:tcBorders>
              <w:top w:val="single" w:sz="4" w:space="0" w:color="auto"/>
              <w:bottom w:val="single" w:sz="12" w:space="0" w:color="auto"/>
            </w:tcBorders>
            <w:shd w:val="clear" w:color="auto" w:fill="auto"/>
            <w:vAlign w:val="bottom"/>
          </w:tcPr>
          <w:p w14:paraId="6A0FF555" w14:textId="77777777" w:rsidR="00560776" w:rsidRPr="00474765" w:rsidRDefault="00560776" w:rsidP="00474765">
            <w:pPr>
              <w:keepNext/>
              <w:suppressAutoHyphens w:val="0"/>
              <w:spacing w:before="80" w:after="80" w:line="200" w:lineRule="exact"/>
              <w:rPr>
                <w:i/>
                <w:sz w:val="16"/>
              </w:rPr>
            </w:pPr>
            <w:r w:rsidRPr="00474765">
              <w:rPr>
                <w:i/>
                <w:sz w:val="16"/>
                <w:lang w:val="fr-FR"/>
              </w:rPr>
              <w:t>Catégorie</w:t>
            </w:r>
          </w:p>
        </w:tc>
        <w:tc>
          <w:tcPr>
            <w:tcW w:w="1840" w:type="dxa"/>
            <w:tcBorders>
              <w:top w:val="single" w:sz="4" w:space="0" w:color="auto"/>
              <w:bottom w:val="single" w:sz="12" w:space="0" w:color="auto"/>
            </w:tcBorders>
            <w:shd w:val="clear" w:color="auto" w:fill="auto"/>
            <w:vAlign w:val="bottom"/>
          </w:tcPr>
          <w:p w14:paraId="0143B16C" w14:textId="77777777" w:rsidR="00560776" w:rsidRPr="00474765" w:rsidRDefault="00560776" w:rsidP="00474765">
            <w:pPr>
              <w:keepNext/>
              <w:suppressAutoHyphens w:val="0"/>
              <w:spacing w:before="80" w:after="80" w:line="200" w:lineRule="exact"/>
              <w:jc w:val="right"/>
              <w:rPr>
                <w:i/>
                <w:sz w:val="16"/>
              </w:rPr>
            </w:pPr>
            <w:r w:rsidRPr="00474765">
              <w:rPr>
                <w:i/>
                <w:sz w:val="16"/>
                <w:lang w:val="fr-FR"/>
              </w:rPr>
              <w:t>2016</w:t>
            </w:r>
          </w:p>
        </w:tc>
        <w:tc>
          <w:tcPr>
            <w:tcW w:w="1840" w:type="dxa"/>
            <w:tcBorders>
              <w:top w:val="single" w:sz="4" w:space="0" w:color="auto"/>
              <w:bottom w:val="single" w:sz="12" w:space="0" w:color="auto"/>
            </w:tcBorders>
            <w:shd w:val="clear" w:color="auto" w:fill="auto"/>
            <w:vAlign w:val="bottom"/>
          </w:tcPr>
          <w:p w14:paraId="1CFA3329" w14:textId="77777777" w:rsidR="00560776" w:rsidRPr="00474765" w:rsidRDefault="00560776" w:rsidP="00474765">
            <w:pPr>
              <w:keepNext/>
              <w:suppressAutoHyphens w:val="0"/>
              <w:spacing w:before="80" w:after="80" w:line="200" w:lineRule="exact"/>
              <w:jc w:val="right"/>
              <w:rPr>
                <w:i/>
                <w:sz w:val="16"/>
              </w:rPr>
            </w:pPr>
            <w:r w:rsidRPr="00474765">
              <w:rPr>
                <w:i/>
                <w:sz w:val="16"/>
                <w:lang w:val="fr-FR"/>
              </w:rPr>
              <w:t>2017</w:t>
            </w:r>
          </w:p>
        </w:tc>
        <w:tc>
          <w:tcPr>
            <w:tcW w:w="1840" w:type="dxa"/>
            <w:tcBorders>
              <w:top w:val="single" w:sz="4" w:space="0" w:color="auto"/>
              <w:bottom w:val="single" w:sz="12" w:space="0" w:color="auto"/>
            </w:tcBorders>
            <w:shd w:val="clear" w:color="auto" w:fill="auto"/>
            <w:vAlign w:val="bottom"/>
          </w:tcPr>
          <w:p w14:paraId="458964D7" w14:textId="77777777" w:rsidR="00560776" w:rsidRPr="00474765" w:rsidRDefault="00560776" w:rsidP="00474765">
            <w:pPr>
              <w:keepNext/>
              <w:suppressAutoHyphens w:val="0"/>
              <w:spacing w:before="80" w:after="80" w:line="200" w:lineRule="exact"/>
              <w:jc w:val="right"/>
              <w:rPr>
                <w:i/>
                <w:sz w:val="16"/>
              </w:rPr>
            </w:pPr>
            <w:r w:rsidRPr="00474765">
              <w:rPr>
                <w:i/>
                <w:sz w:val="16"/>
                <w:lang w:val="fr-FR"/>
              </w:rPr>
              <w:t>2018</w:t>
            </w:r>
          </w:p>
        </w:tc>
        <w:tc>
          <w:tcPr>
            <w:tcW w:w="1840" w:type="dxa"/>
            <w:tcBorders>
              <w:top w:val="single" w:sz="4" w:space="0" w:color="auto"/>
              <w:bottom w:val="single" w:sz="12" w:space="0" w:color="auto"/>
            </w:tcBorders>
            <w:shd w:val="clear" w:color="auto" w:fill="auto"/>
            <w:vAlign w:val="bottom"/>
          </w:tcPr>
          <w:p w14:paraId="42EE733F" w14:textId="77777777" w:rsidR="00560776" w:rsidRPr="00474765" w:rsidRDefault="00560776" w:rsidP="00474765">
            <w:pPr>
              <w:keepNext/>
              <w:suppressAutoHyphens w:val="0"/>
              <w:spacing w:before="80" w:after="80" w:line="200" w:lineRule="exact"/>
              <w:jc w:val="right"/>
              <w:rPr>
                <w:i/>
                <w:sz w:val="16"/>
              </w:rPr>
            </w:pPr>
            <w:r w:rsidRPr="00474765">
              <w:rPr>
                <w:i/>
                <w:sz w:val="16"/>
                <w:lang w:val="fr-FR"/>
              </w:rPr>
              <w:t>2019</w:t>
            </w:r>
          </w:p>
        </w:tc>
      </w:tr>
      <w:tr w:rsidR="00474765" w:rsidRPr="00474765" w14:paraId="2CE2BDEE" w14:textId="77777777" w:rsidTr="00474765">
        <w:tc>
          <w:tcPr>
            <w:tcW w:w="2268" w:type="dxa"/>
            <w:tcBorders>
              <w:top w:val="single" w:sz="12" w:space="0" w:color="auto"/>
            </w:tcBorders>
            <w:shd w:val="clear" w:color="auto" w:fill="auto"/>
          </w:tcPr>
          <w:p w14:paraId="23A81D69" w14:textId="77777777" w:rsidR="00560776" w:rsidRPr="00474765" w:rsidRDefault="00560776" w:rsidP="00474765">
            <w:pPr>
              <w:keepNext/>
              <w:suppressAutoHyphens w:val="0"/>
              <w:spacing w:before="40" w:after="40" w:line="220" w:lineRule="exact"/>
              <w:rPr>
                <w:sz w:val="18"/>
              </w:rPr>
            </w:pPr>
            <w:r w:rsidRPr="00474765">
              <w:rPr>
                <w:sz w:val="18"/>
                <w:lang w:val="fr-FR"/>
              </w:rPr>
              <w:t>Investissements</w:t>
            </w:r>
          </w:p>
        </w:tc>
        <w:tc>
          <w:tcPr>
            <w:tcW w:w="1840" w:type="dxa"/>
            <w:tcBorders>
              <w:top w:val="single" w:sz="12" w:space="0" w:color="auto"/>
            </w:tcBorders>
            <w:shd w:val="clear" w:color="auto" w:fill="auto"/>
            <w:vAlign w:val="bottom"/>
          </w:tcPr>
          <w:p w14:paraId="037D1A44" w14:textId="77777777" w:rsidR="00560776" w:rsidRPr="00474765" w:rsidRDefault="00560776" w:rsidP="00474765">
            <w:pPr>
              <w:keepNext/>
              <w:suppressAutoHyphens w:val="0"/>
              <w:spacing w:before="40" w:after="40" w:line="220" w:lineRule="exact"/>
              <w:jc w:val="right"/>
              <w:rPr>
                <w:sz w:val="18"/>
              </w:rPr>
            </w:pPr>
            <w:r w:rsidRPr="00474765">
              <w:rPr>
                <w:sz w:val="18"/>
                <w:lang w:val="fr-FR"/>
              </w:rPr>
              <w:t>13,5</w:t>
            </w:r>
          </w:p>
        </w:tc>
        <w:tc>
          <w:tcPr>
            <w:tcW w:w="1840" w:type="dxa"/>
            <w:tcBorders>
              <w:top w:val="single" w:sz="12" w:space="0" w:color="auto"/>
            </w:tcBorders>
            <w:shd w:val="clear" w:color="auto" w:fill="auto"/>
            <w:vAlign w:val="bottom"/>
          </w:tcPr>
          <w:p w14:paraId="7165635D" w14:textId="77777777" w:rsidR="00560776" w:rsidRPr="00474765" w:rsidRDefault="00560776" w:rsidP="00474765">
            <w:pPr>
              <w:keepNext/>
              <w:suppressAutoHyphens w:val="0"/>
              <w:spacing w:before="40" w:after="40" w:line="220" w:lineRule="exact"/>
              <w:jc w:val="right"/>
              <w:rPr>
                <w:sz w:val="18"/>
              </w:rPr>
            </w:pPr>
            <w:r w:rsidRPr="00474765">
              <w:rPr>
                <w:sz w:val="18"/>
                <w:lang w:val="fr-FR"/>
              </w:rPr>
              <w:t>15,1</w:t>
            </w:r>
          </w:p>
        </w:tc>
        <w:tc>
          <w:tcPr>
            <w:tcW w:w="1840" w:type="dxa"/>
            <w:tcBorders>
              <w:top w:val="single" w:sz="12" w:space="0" w:color="auto"/>
            </w:tcBorders>
            <w:shd w:val="clear" w:color="auto" w:fill="auto"/>
            <w:vAlign w:val="bottom"/>
          </w:tcPr>
          <w:p w14:paraId="59A1DD9F" w14:textId="77777777" w:rsidR="00560776" w:rsidRPr="00474765" w:rsidRDefault="00560776" w:rsidP="00474765">
            <w:pPr>
              <w:keepNext/>
              <w:suppressAutoHyphens w:val="0"/>
              <w:spacing w:before="40" w:after="40" w:line="220" w:lineRule="exact"/>
              <w:jc w:val="right"/>
              <w:rPr>
                <w:sz w:val="18"/>
              </w:rPr>
            </w:pPr>
            <w:r w:rsidRPr="00474765">
              <w:rPr>
                <w:sz w:val="18"/>
                <w:lang w:val="fr-FR"/>
              </w:rPr>
              <w:t>35,0</w:t>
            </w:r>
          </w:p>
        </w:tc>
        <w:tc>
          <w:tcPr>
            <w:tcW w:w="1840" w:type="dxa"/>
            <w:tcBorders>
              <w:top w:val="single" w:sz="12" w:space="0" w:color="auto"/>
            </w:tcBorders>
            <w:shd w:val="clear" w:color="auto" w:fill="auto"/>
            <w:vAlign w:val="bottom"/>
          </w:tcPr>
          <w:p w14:paraId="31BFF9E6" w14:textId="77777777" w:rsidR="00560776" w:rsidRPr="00474765" w:rsidRDefault="00560776" w:rsidP="00474765">
            <w:pPr>
              <w:keepNext/>
              <w:suppressAutoHyphens w:val="0"/>
              <w:spacing w:before="40" w:after="40" w:line="220" w:lineRule="exact"/>
              <w:jc w:val="right"/>
              <w:rPr>
                <w:sz w:val="18"/>
              </w:rPr>
            </w:pPr>
            <w:r w:rsidRPr="00474765">
              <w:rPr>
                <w:sz w:val="18"/>
                <w:lang w:val="fr-FR"/>
              </w:rPr>
              <w:t>82,2</w:t>
            </w:r>
          </w:p>
        </w:tc>
      </w:tr>
      <w:tr w:rsidR="00474765" w:rsidRPr="00474765" w14:paraId="097AA6A9" w14:textId="77777777" w:rsidTr="00474765">
        <w:tc>
          <w:tcPr>
            <w:tcW w:w="2268" w:type="dxa"/>
            <w:shd w:val="clear" w:color="auto" w:fill="auto"/>
          </w:tcPr>
          <w:p w14:paraId="119D10FB" w14:textId="77777777" w:rsidR="00560776" w:rsidRPr="00474765" w:rsidRDefault="00560776" w:rsidP="00474765">
            <w:pPr>
              <w:keepNext/>
              <w:suppressAutoHyphens w:val="0"/>
              <w:spacing w:before="40" w:after="40" w:line="220" w:lineRule="exact"/>
              <w:rPr>
                <w:sz w:val="18"/>
              </w:rPr>
            </w:pPr>
            <w:r w:rsidRPr="00474765">
              <w:rPr>
                <w:sz w:val="18"/>
                <w:lang w:val="fr-FR"/>
              </w:rPr>
              <w:t>Réparations importantes</w:t>
            </w:r>
          </w:p>
        </w:tc>
        <w:tc>
          <w:tcPr>
            <w:tcW w:w="1840" w:type="dxa"/>
            <w:shd w:val="clear" w:color="auto" w:fill="auto"/>
            <w:vAlign w:val="bottom"/>
          </w:tcPr>
          <w:p w14:paraId="51A12587" w14:textId="77777777" w:rsidR="00560776" w:rsidRPr="00474765" w:rsidRDefault="00560776" w:rsidP="00474765">
            <w:pPr>
              <w:keepNext/>
              <w:suppressAutoHyphens w:val="0"/>
              <w:spacing w:before="40" w:after="40" w:line="220" w:lineRule="exact"/>
              <w:jc w:val="right"/>
              <w:rPr>
                <w:sz w:val="18"/>
              </w:rPr>
            </w:pPr>
            <w:r w:rsidRPr="00474765">
              <w:rPr>
                <w:sz w:val="18"/>
                <w:lang w:val="fr-FR"/>
              </w:rPr>
              <w:t>0,5</w:t>
            </w:r>
          </w:p>
        </w:tc>
        <w:tc>
          <w:tcPr>
            <w:tcW w:w="1840" w:type="dxa"/>
            <w:shd w:val="clear" w:color="auto" w:fill="auto"/>
            <w:vAlign w:val="bottom"/>
          </w:tcPr>
          <w:p w14:paraId="2E299CA9" w14:textId="77777777" w:rsidR="00560776" w:rsidRPr="00474765" w:rsidRDefault="00560776" w:rsidP="00474765">
            <w:pPr>
              <w:keepNext/>
              <w:suppressAutoHyphens w:val="0"/>
              <w:spacing w:before="40" w:after="40" w:line="220" w:lineRule="exact"/>
              <w:jc w:val="right"/>
              <w:rPr>
                <w:sz w:val="18"/>
              </w:rPr>
            </w:pPr>
            <w:r w:rsidRPr="00474765">
              <w:rPr>
                <w:sz w:val="18"/>
                <w:lang w:val="fr-FR"/>
              </w:rPr>
              <w:t>4,2</w:t>
            </w:r>
          </w:p>
        </w:tc>
        <w:tc>
          <w:tcPr>
            <w:tcW w:w="1840" w:type="dxa"/>
            <w:shd w:val="clear" w:color="auto" w:fill="auto"/>
            <w:vAlign w:val="bottom"/>
          </w:tcPr>
          <w:p w14:paraId="0D6BD976" w14:textId="77777777" w:rsidR="00560776" w:rsidRPr="00474765" w:rsidRDefault="00560776" w:rsidP="00474765">
            <w:pPr>
              <w:keepNext/>
              <w:suppressAutoHyphens w:val="0"/>
              <w:spacing w:before="40" w:after="40" w:line="220" w:lineRule="exact"/>
              <w:jc w:val="right"/>
              <w:rPr>
                <w:sz w:val="18"/>
              </w:rPr>
            </w:pPr>
            <w:r w:rsidRPr="00474765">
              <w:rPr>
                <w:sz w:val="18"/>
              </w:rPr>
              <w:t>-</w:t>
            </w:r>
          </w:p>
        </w:tc>
        <w:tc>
          <w:tcPr>
            <w:tcW w:w="1840" w:type="dxa"/>
            <w:shd w:val="clear" w:color="auto" w:fill="auto"/>
            <w:vAlign w:val="bottom"/>
          </w:tcPr>
          <w:p w14:paraId="7D824414" w14:textId="77777777" w:rsidR="00560776" w:rsidRPr="00474765" w:rsidRDefault="00560776" w:rsidP="00474765">
            <w:pPr>
              <w:keepNext/>
              <w:suppressAutoHyphens w:val="0"/>
              <w:spacing w:before="40" w:after="40" w:line="220" w:lineRule="exact"/>
              <w:jc w:val="right"/>
              <w:rPr>
                <w:sz w:val="18"/>
              </w:rPr>
            </w:pPr>
            <w:r w:rsidRPr="00474765">
              <w:rPr>
                <w:sz w:val="18"/>
              </w:rPr>
              <w:t>-</w:t>
            </w:r>
          </w:p>
        </w:tc>
      </w:tr>
      <w:tr w:rsidR="00474765" w:rsidRPr="00474765" w14:paraId="5F621E71" w14:textId="77777777" w:rsidTr="00474765">
        <w:tc>
          <w:tcPr>
            <w:tcW w:w="2268" w:type="dxa"/>
            <w:tcBorders>
              <w:bottom w:val="single" w:sz="12" w:space="0" w:color="auto"/>
            </w:tcBorders>
            <w:shd w:val="clear" w:color="auto" w:fill="auto"/>
          </w:tcPr>
          <w:p w14:paraId="41584A61" w14:textId="77777777" w:rsidR="00560776" w:rsidRPr="00474765" w:rsidRDefault="00560776" w:rsidP="00474765">
            <w:pPr>
              <w:keepNext/>
              <w:suppressAutoHyphens w:val="0"/>
              <w:spacing w:before="40" w:after="40" w:line="220" w:lineRule="exact"/>
              <w:rPr>
                <w:sz w:val="18"/>
              </w:rPr>
            </w:pPr>
            <w:r w:rsidRPr="00474765">
              <w:rPr>
                <w:sz w:val="18"/>
                <w:lang w:val="fr-FR"/>
              </w:rPr>
              <w:t>Matériel</w:t>
            </w:r>
          </w:p>
        </w:tc>
        <w:tc>
          <w:tcPr>
            <w:tcW w:w="1840" w:type="dxa"/>
            <w:tcBorders>
              <w:bottom w:val="single" w:sz="12" w:space="0" w:color="auto"/>
            </w:tcBorders>
            <w:shd w:val="clear" w:color="auto" w:fill="auto"/>
            <w:vAlign w:val="bottom"/>
          </w:tcPr>
          <w:p w14:paraId="732A52C9" w14:textId="77777777" w:rsidR="00560776" w:rsidRPr="00474765" w:rsidRDefault="00560776" w:rsidP="00474765">
            <w:pPr>
              <w:keepNext/>
              <w:suppressAutoHyphens w:val="0"/>
              <w:spacing w:before="40" w:after="40" w:line="220" w:lineRule="exact"/>
              <w:jc w:val="right"/>
              <w:rPr>
                <w:sz w:val="18"/>
              </w:rPr>
            </w:pPr>
            <w:r w:rsidRPr="00474765">
              <w:rPr>
                <w:sz w:val="18"/>
                <w:lang w:val="fr-FR"/>
              </w:rPr>
              <w:t>0</w:t>
            </w:r>
          </w:p>
        </w:tc>
        <w:tc>
          <w:tcPr>
            <w:tcW w:w="1840" w:type="dxa"/>
            <w:tcBorders>
              <w:bottom w:val="single" w:sz="12" w:space="0" w:color="auto"/>
            </w:tcBorders>
            <w:shd w:val="clear" w:color="auto" w:fill="auto"/>
            <w:vAlign w:val="bottom"/>
          </w:tcPr>
          <w:p w14:paraId="39B6EA46" w14:textId="77777777" w:rsidR="00560776" w:rsidRPr="00474765" w:rsidRDefault="00560776" w:rsidP="00474765">
            <w:pPr>
              <w:keepNext/>
              <w:suppressAutoHyphens w:val="0"/>
              <w:spacing w:before="40" w:after="40" w:line="220" w:lineRule="exact"/>
              <w:jc w:val="right"/>
              <w:rPr>
                <w:sz w:val="18"/>
              </w:rPr>
            </w:pPr>
            <w:r w:rsidRPr="00474765">
              <w:rPr>
                <w:sz w:val="18"/>
                <w:lang w:val="fr-FR"/>
              </w:rPr>
              <w:t>1,0</w:t>
            </w:r>
          </w:p>
        </w:tc>
        <w:tc>
          <w:tcPr>
            <w:tcW w:w="1840" w:type="dxa"/>
            <w:tcBorders>
              <w:bottom w:val="single" w:sz="12" w:space="0" w:color="auto"/>
            </w:tcBorders>
            <w:shd w:val="clear" w:color="auto" w:fill="auto"/>
            <w:vAlign w:val="bottom"/>
          </w:tcPr>
          <w:p w14:paraId="39463FA5" w14:textId="77777777" w:rsidR="00560776" w:rsidRPr="00474765" w:rsidRDefault="00560776" w:rsidP="00474765">
            <w:pPr>
              <w:keepNext/>
              <w:suppressAutoHyphens w:val="0"/>
              <w:spacing w:before="40" w:after="40" w:line="220" w:lineRule="exact"/>
              <w:jc w:val="right"/>
              <w:rPr>
                <w:sz w:val="18"/>
              </w:rPr>
            </w:pPr>
            <w:r w:rsidRPr="00474765">
              <w:rPr>
                <w:sz w:val="18"/>
                <w:lang w:val="fr-FR"/>
              </w:rPr>
              <w:t>1,0</w:t>
            </w:r>
          </w:p>
        </w:tc>
        <w:tc>
          <w:tcPr>
            <w:tcW w:w="1840" w:type="dxa"/>
            <w:tcBorders>
              <w:bottom w:val="single" w:sz="12" w:space="0" w:color="auto"/>
            </w:tcBorders>
            <w:shd w:val="clear" w:color="auto" w:fill="auto"/>
            <w:vAlign w:val="bottom"/>
          </w:tcPr>
          <w:p w14:paraId="570469F7" w14:textId="77777777" w:rsidR="00560776" w:rsidRPr="00474765" w:rsidRDefault="00560776" w:rsidP="00474765">
            <w:pPr>
              <w:keepNext/>
              <w:suppressAutoHyphens w:val="0"/>
              <w:spacing w:before="40" w:after="40" w:line="220" w:lineRule="exact"/>
              <w:jc w:val="right"/>
              <w:rPr>
                <w:sz w:val="18"/>
              </w:rPr>
            </w:pPr>
            <w:r w:rsidRPr="00474765">
              <w:rPr>
                <w:sz w:val="18"/>
                <w:lang w:val="fr-FR"/>
              </w:rPr>
              <w:t>1,0</w:t>
            </w:r>
          </w:p>
        </w:tc>
      </w:tr>
    </w:tbl>
    <w:p w14:paraId="5236BC9A" w14:textId="5614FF6D" w:rsidR="00560776" w:rsidRPr="00474765" w:rsidRDefault="00560776" w:rsidP="00474765">
      <w:pPr>
        <w:pStyle w:val="SingleTxtG"/>
        <w:keepNext/>
        <w:spacing w:before="120"/>
        <w:ind w:firstLine="170"/>
        <w:rPr>
          <w:sz w:val="18"/>
          <w:szCs w:val="18"/>
        </w:rPr>
      </w:pPr>
      <w:r w:rsidRPr="00474765">
        <w:rPr>
          <w:i/>
          <w:iCs/>
          <w:sz w:val="18"/>
          <w:szCs w:val="18"/>
        </w:rPr>
        <w:t>Source</w:t>
      </w:r>
      <w:r w:rsidR="00255530">
        <w:rPr>
          <w:sz w:val="18"/>
          <w:szCs w:val="18"/>
        </w:rPr>
        <w:t> </w:t>
      </w:r>
      <w:r w:rsidRPr="00474765">
        <w:rPr>
          <w:sz w:val="18"/>
          <w:szCs w:val="18"/>
        </w:rPr>
        <w:t>: Ministère de la culture.</w:t>
      </w:r>
    </w:p>
    <w:p w14:paraId="18EE3AD6" w14:textId="77777777" w:rsidR="00560776" w:rsidRPr="00C8158A" w:rsidRDefault="00560776" w:rsidP="0040732C">
      <w:pPr>
        <w:pStyle w:val="SingleTxtG"/>
        <w:rPr>
          <w:lang w:val="fr-FR"/>
        </w:rPr>
      </w:pPr>
      <w:r>
        <w:rPr>
          <w:lang w:val="fr-FR"/>
        </w:rPr>
        <w:t>246.</w:t>
      </w:r>
      <w:r>
        <w:rPr>
          <w:lang w:val="fr-FR"/>
        </w:rPr>
        <w:tab/>
        <w:t xml:space="preserve">En 2019, 11,3 millions de personnes au total ont bénéficié des services des organisations culturelles et artistiques. </w:t>
      </w:r>
    </w:p>
    <w:p w14:paraId="5B5A1B28" w14:textId="58F57B33" w:rsidR="00560776" w:rsidRPr="00C8158A" w:rsidRDefault="00560776" w:rsidP="00474765">
      <w:pPr>
        <w:pStyle w:val="Titre1"/>
        <w:spacing w:after="120"/>
        <w:rPr>
          <w:b/>
          <w:bCs/>
          <w:lang w:val="fr-FR"/>
        </w:rPr>
      </w:pPr>
      <w:r>
        <w:rPr>
          <w:lang w:val="fr-FR"/>
        </w:rPr>
        <w:t>Tableau 20</w:t>
      </w:r>
      <w:r w:rsidR="00474765">
        <w:rPr>
          <w:lang w:val="fr-FR"/>
        </w:rPr>
        <w:t xml:space="preserve"> </w:t>
      </w:r>
      <w:r w:rsidR="00474765">
        <w:rPr>
          <w:lang w:val="fr-FR"/>
        </w:rPr>
        <w:br/>
      </w:r>
      <w:r>
        <w:rPr>
          <w:b/>
          <w:bCs/>
          <w:lang w:val="fr-FR"/>
        </w:rPr>
        <w:t>Clients du secteur de la culture et des arts par type de service</w:t>
      </w:r>
    </w:p>
    <w:tbl>
      <w:tblPr>
        <w:tblW w:w="7370" w:type="dxa"/>
        <w:tblInd w:w="1134" w:type="dxa"/>
        <w:tblLayout w:type="fixed"/>
        <w:tblCellMar>
          <w:left w:w="0" w:type="dxa"/>
          <w:right w:w="0" w:type="dxa"/>
        </w:tblCellMar>
        <w:tblLook w:val="04A0" w:firstRow="1" w:lastRow="0" w:firstColumn="1" w:lastColumn="0" w:noHBand="0" w:noVBand="1"/>
      </w:tblPr>
      <w:tblGrid>
        <w:gridCol w:w="1418"/>
        <w:gridCol w:w="1076"/>
        <w:gridCol w:w="1219"/>
        <w:gridCol w:w="1219"/>
        <w:gridCol w:w="1219"/>
        <w:gridCol w:w="1219"/>
      </w:tblGrid>
      <w:tr w:rsidR="00474765" w:rsidRPr="00474765" w14:paraId="5628127A" w14:textId="77777777" w:rsidTr="00566E05">
        <w:trPr>
          <w:tblHeader/>
        </w:trPr>
        <w:tc>
          <w:tcPr>
            <w:tcW w:w="1418" w:type="dxa"/>
            <w:tcBorders>
              <w:top w:val="single" w:sz="4" w:space="0" w:color="auto"/>
              <w:bottom w:val="single" w:sz="12" w:space="0" w:color="auto"/>
            </w:tcBorders>
            <w:shd w:val="clear" w:color="auto" w:fill="auto"/>
            <w:vAlign w:val="bottom"/>
          </w:tcPr>
          <w:p w14:paraId="2AD0C75E" w14:textId="77777777" w:rsidR="00560776" w:rsidRPr="00474765" w:rsidRDefault="00560776" w:rsidP="00474765">
            <w:pPr>
              <w:suppressAutoHyphens w:val="0"/>
              <w:spacing w:before="80" w:after="80" w:line="200" w:lineRule="exact"/>
              <w:rPr>
                <w:i/>
                <w:sz w:val="16"/>
              </w:rPr>
            </w:pPr>
            <w:r w:rsidRPr="00474765">
              <w:rPr>
                <w:i/>
                <w:sz w:val="16"/>
                <w:lang w:val="fr-FR"/>
              </w:rPr>
              <w:t>Catégories</w:t>
            </w:r>
          </w:p>
        </w:tc>
        <w:tc>
          <w:tcPr>
            <w:tcW w:w="1076" w:type="dxa"/>
            <w:tcBorders>
              <w:top w:val="single" w:sz="4" w:space="0" w:color="auto"/>
              <w:bottom w:val="single" w:sz="12" w:space="0" w:color="auto"/>
            </w:tcBorders>
            <w:shd w:val="clear" w:color="auto" w:fill="auto"/>
            <w:vAlign w:val="bottom"/>
          </w:tcPr>
          <w:p w14:paraId="267D21F7" w14:textId="77777777" w:rsidR="00560776" w:rsidRPr="00474765" w:rsidRDefault="00560776" w:rsidP="00474765">
            <w:pPr>
              <w:suppressAutoHyphens w:val="0"/>
              <w:spacing w:before="80" w:after="80" w:line="200" w:lineRule="exact"/>
              <w:jc w:val="right"/>
              <w:rPr>
                <w:i/>
                <w:sz w:val="16"/>
              </w:rPr>
            </w:pPr>
            <w:r w:rsidRPr="00474765">
              <w:rPr>
                <w:i/>
                <w:sz w:val="16"/>
                <w:lang w:val="fr-FR"/>
              </w:rPr>
              <w:t>2015</w:t>
            </w:r>
          </w:p>
        </w:tc>
        <w:tc>
          <w:tcPr>
            <w:tcW w:w="1219" w:type="dxa"/>
            <w:tcBorders>
              <w:top w:val="single" w:sz="4" w:space="0" w:color="auto"/>
              <w:bottom w:val="single" w:sz="12" w:space="0" w:color="auto"/>
            </w:tcBorders>
            <w:shd w:val="clear" w:color="auto" w:fill="auto"/>
            <w:vAlign w:val="bottom"/>
          </w:tcPr>
          <w:p w14:paraId="298CB8C7" w14:textId="77777777" w:rsidR="00560776" w:rsidRPr="00474765" w:rsidRDefault="00560776" w:rsidP="00474765">
            <w:pPr>
              <w:suppressAutoHyphens w:val="0"/>
              <w:spacing w:before="80" w:after="80" w:line="200" w:lineRule="exact"/>
              <w:jc w:val="right"/>
              <w:rPr>
                <w:i/>
                <w:sz w:val="16"/>
              </w:rPr>
            </w:pPr>
            <w:r w:rsidRPr="00474765">
              <w:rPr>
                <w:i/>
                <w:sz w:val="16"/>
                <w:lang w:val="fr-FR"/>
              </w:rPr>
              <w:t>2016</w:t>
            </w:r>
          </w:p>
        </w:tc>
        <w:tc>
          <w:tcPr>
            <w:tcW w:w="1219" w:type="dxa"/>
            <w:tcBorders>
              <w:top w:val="single" w:sz="4" w:space="0" w:color="auto"/>
              <w:bottom w:val="single" w:sz="12" w:space="0" w:color="auto"/>
            </w:tcBorders>
            <w:shd w:val="clear" w:color="auto" w:fill="auto"/>
            <w:vAlign w:val="bottom"/>
          </w:tcPr>
          <w:p w14:paraId="16997F0A" w14:textId="77777777" w:rsidR="00560776" w:rsidRPr="00474765" w:rsidRDefault="00560776" w:rsidP="00474765">
            <w:pPr>
              <w:suppressAutoHyphens w:val="0"/>
              <w:spacing w:before="80" w:after="80" w:line="200" w:lineRule="exact"/>
              <w:jc w:val="right"/>
              <w:rPr>
                <w:i/>
                <w:sz w:val="16"/>
              </w:rPr>
            </w:pPr>
            <w:r w:rsidRPr="00474765">
              <w:rPr>
                <w:i/>
                <w:sz w:val="16"/>
                <w:lang w:val="fr-FR"/>
              </w:rPr>
              <w:t>2017</w:t>
            </w:r>
          </w:p>
        </w:tc>
        <w:tc>
          <w:tcPr>
            <w:tcW w:w="1219" w:type="dxa"/>
            <w:tcBorders>
              <w:top w:val="single" w:sz="4" w:space="0" w:color="auto"/>
              <w:bottom w:val="single" w:sz="12" w:space="0" w:color="auto"/>
            </w:tcBorders>
            <w:shd w:val="clear" w:color="auto" w:fill="auto"/>
            <w:vAlign w:val="bottom"/>
          </w:tcPr>
          <w:p w14:paraId="19AB66D2" w14:textId="77777777" w:rsidR="00560776" w:rsidRPr="00474765" w:rsidRDefault="00560776" w:rsidP="00474765">
            <w:pPr>
              <w:suppressAutoHyphens w:val="0"/>
              <w:spacing w:before="80" w:after="80" w:line="200" w:lineRule="exact"/>
              <w:jc w:val="right"/>
              <w:rPr>
                <w:i/>
                <w:sz w:val="16"/>
              </w:rPr>
            </w:pPr>
            <w:r w:rsidRPr="00474765">
              <w:rPr>
                <w:i/>
                <w:sz w:val="16"/>
                <w:lang w:val="fr-FR"/>
              </w:rPr>
              <w:t>2018</w:t>
            </w:r>
          </w:p>
        </w:tc>
        <w:tc>
          <w:tcPr>
            <w:tcW w:w="1219" w:type="dxa"/>
            <w:tcBorders>
              <w:top w:val="single" w:sz="4" w:space="0" w:color="auto"/>
              <w:bottom w:val="single" w:sz="12" w:space="0" w:color="auto"/>
            </w:tcBorders>
            <w:shd w:val="clear" w:color="auto" w:fill="auto"/>
            <w:vAlign w:val="bottom"/>
          </w:tcPr>
          <w:p w14:paraId="5F944501" w14:textId="77777777" w:rsidR="00560776" w:rsidRPr="00474765" w:rsidRDefault="00560776" w:rsidP="00474765">
            <w:pPr>
              <w:suppressAutoHyphens w:val="0"/>
              <w:spacing w:before="80" w:after="80" w:line="200" w:lineRule="exact"/>
              <w:jc w:val="right"/>
              <w:rPr>
                <w:i/>
                <w:sz w:val="16"/>
              </w:rPr>
            </w:pPr>
            <w:r w:rsidRPr="00474765">
              <w:rPr>
                <w:i/>
                <w:sz w:val="16"/>
                <w:lang w:val="fr-FR"/>
              </w:rPr>
              <w:t>2019</w:t>
            </w:r>
          </w:p>
        </w:tc>
      </w:tr>
      <w:tr w:rsidR="00474765" w:rsidRPr="00474765" w14:paraId="32931E5E" w14:textId="77777777" w:rsidTr="00566E05">
        <w:tc>
          <w:tcPr>
            <w:tcW w:w="1418" w:type="dxa"/>
            <w:tcBorders>
              <w:top w:val="single" w:sz="12" w:space="0" w:color="auto"/>
            </w:tcBorders>
            <w:shd w:val="clear" w:color="auto" w:fill="auto"/>
            <w:hideMark/>
          </w:tcPr>
          <w:p w14:paraId="5A59A75D" w14:textId="77777777" w:rsidR="00560776" w:rsidRPr="00474765" w:rsidRDefault="00560776" w:rsidP="00474765">
            <w:pPr>
              <w:suppressAutoHyphens w:val="0"/>
              <w:spacing w:before="40" w:after="40" w:line="220" w:lineRule="exact"/>
              <w:rPr>
                <w:sz w:val="18"/>
              </w:rPr>
            </w:pPr>
            <w:r w:rsidRPr="00474765">
              <w:rPr>
                <w:sz w:val="18"/>
                <w:lang w:val="fr-FR"/>
              </w:rPr>
              <w:t>Organisations artistiques</w:t>
            </w:r>
          </w:p>
        </w:tc>
        <w:tc>
          <w:tcPr>
            <w:tcW w:w="1076" w:type="dxa"/>
            <w:tcBorders>
              <w:top w:val="single" w:sz="12" w:space="0" w:color="auto"/>
            </w:tcBorders>
            <w:shd w:val="clear" w:color="auto" w:fill="auto"/>
            <w:vAlign w:val="bottom"/>
            <w:hideMark/>
          </w:tcPr>
          <w:p w14:paraId="3C767AD8" w14:textId="77777777" w:rsidR="00560776" w:rsidRPr="00474765" w:rsidRDefault="00560776" w:rsidP="00474765">
            <w:pPr>
              <w:suppressAutoHyphens w:val="0"/>
              <w:spacing w:before="40" w:after="40" w:line="220" w:lineRule="exact"/>
              <w:jc w:val="right"/>
              <w:rPr>
                <w:sz w:val="18"/>
              </w:rPr>
            </w:pPr>
            <w:r w:rsidRPr="00474765">
              <w:rPr>
                <w:sz w:val="18"/>
                <w:lang w:val="fr-FR"/>
              </w:rPr>
              <w:t xml:space="preserve">1 603 300 </w:t>
            </w:r>
          </w:p>
        </w:tc>
        <w:tc>
          <w:tcPr>
            <w:tcW w:w="1219" w:type="dxa"/>
            <w:tcBorders>
              <w:top w:val="single" w:sz="12" w:space="0" w:color="auto"/>
            </w:tcBorders>
            <w:shd w:val="clear" w:color="auto" w:fill="auto"/>
            <w:vAlign w:val="bottom"/>
            <w:hideMark/>
          </w:tcPr>
          <w:p w14:paraId="28538511" w14:textId="77777777" w:rsidR="00560776" w:rsidRPr="00474765" w:rsidRDefault="00560776" w:rsidP="00474765">
            <w:pPr>
              <w:suppressAutoHyphens w:val="0"/>
              <w:spacing w:before="40" w:after="40" w:line="220" w:lineRule="exact"/>
              <w:jc w:val="right"/>
              <w:rPr>
                <w:sz w:val="18"/>
              </w:rPr>
            </w:pPr>
            <w:r w:rsidRPr="00474765">
              <w:rPr>
                <w:sz w:val="18"/>
                <w:lang w:val="fr-FR"/>
              </w:rPr>
              <w:t xml:space="preserve">1 669 340 </w:t>
            </w:r>
          </w:p>
        </w:tc>
        <w:tc>
          <w:tcPr>
            <w:tcW w:w="1219" w:type="dxa"/>
            <w:tcBorders>
              <w:top w:val="single" w:sz="12" w:space="0" w:color="auto"/>
            </w:tcBorders>
            <w:shd w:val="clear" w:color="auto" w:fill="auto"/>
            <w:vAlign w:val="bottom"/>
            <w:hideMark/>
          </w:tcPr>
          <w:p w14:paraId="2724936D" w14:textId="77777777" w:rsidR="00560776" w:rsidRPr="00474765" w:rsidRDefault="00560776" w:rsidP="00474765">
            <w:pPr>
              <w:suppressAutoHyphens w:val="0"/>
              <w:spacing w:before="40" w:after="40" w:line="220" w:lineRule="exact"/>
              <w:jc w:val="right"/>
              <w:rPr>
                <w:sz w:val="18"/>
              </w:rPr>
            </w:pPr>
            <w:r w:rsidRPr="00474765">
              <w:rPr>
                <w:sz w:val="18"/>
                <w:lang w:val="fr-FR"/>
              </w:rPr>
              <w:t xml:space="preserve">2 345 410 </w:t>
            </w:r>
          </w:p>
        </w:tc>
        <w:tc>
          <w:tcPr>
            <w:tcW w:w="1219" w:type="dxa"/>
            <w:tcBorders>
              <w:top w:val="single" w:sz="12" w:space="0" w:color="auto"/>
            </w:tcBorders>
            <w:shd w:val="clear" w:color="auto" w:fill="auto"/>
            <w:vAlign w:val="bottom"/>
            <w:hideMark/>
          </w:tcPr>
          <w:p w14:paraId="4138838E" w14:textId="77777777" w:rsidR="00560776" w:rsidRPr="00474765" w:rsidRDefault="00560776" w:rsidP="00474765">
            <w:pPr>
              <w:suppressAutoHyphens w:val="0"/>
              <w:spacing w:before="40" w:after="40" w:line="220" w:lineRule="exact"/>
              <w:jc w:val="right"/>
              <w:rPr>
                <w:sz w:val="18"/>
              </w:rPr>
            </w:pPr>
            <w:r w:rsidRPr="00474765">
              <w:rPr>
                <w:sz w:val="18"/>
                <w:lang w:val="fr-FR"/>
              </w:rPr>
              <w:t xml:space="preserve">1 929 320 </w:t>
            </w:r>
          </w:p>
        </w:tc>
        <w:tc>
          <w:tcPr>
            <w:tcW w:w="1219" w:type="dxa"/>
            <w:tcBorders>
              <w:top w:val="single" w:sz="12" w:space="0" w:color="auto"/>
            </w:tcBorders>
            <w:shd w:val="clear" w:color="auto" w:fill="auto"/>
            <w:vAlign w:val="bottom"/>
            <w:hideMark/>
          </w:tcPr>
          <w:p w14:paraId="301BB8F3" w14:textId="77777777" w:rsidR="00560776" w:rsidRPr="00474765" w:rsidRDefault="00560776" w:rsidP="00474765">
            <w:pPr>
              <w:suppressAutoHyphens w:val="0"/>
              <w:spacing w:before="40" w:after="40" w:line="220" w:lineRule="exact"/>
              <w:jc w:val="right"/>
              <w:rPr>
                <w:sz w:val="18"/>
              </w:rPr>
            </w:pPr>
            <w:r w:rsidRPr="00474765">
              <w:rPr>
                <w:sz w:val="18"/>
                <w:lang w:val="fr-FR"/>
              </w:rPr>
              <w:t xml:space="preserve">3 680 500 </w:t>
            </w:r>
          </w:p>
        </w:tc>
      </w:tr>
      <w:tr w:rsidR="00474765" w:rsidRPr="00474765" w14:paraId="0E8501A3" w14:textId="77777777" w:rsidTr="00566E05">
        <w:tc>
          <w:tcPr>
            <w:tcW w:w="1418" w:type="dxa"/>
            <w:shd w:val="clear" w:color="auto" w:fill="auto"/>
            <w:hideMark/>
          </w:tcPr>
          <w:p w14:paraId="5100B8B1" w14:textId="77777777" w:rsidR="00560776" w:rsidRPr="00474765" w:rsidRDefault="00560776" w:rsidP="00474765">
            <w:pPr>
              <w:suppressAutoHyphens w:val="0"/>
              <w:spacing w:before="40" w:after="40" w:line="220" w:lineRule="exact"/>
              <w:rPr>
                <w:sz w:val="18"/>
              </w:rPr>
            </w:pPr>
            <w:r w:rsidRPr="00474765">
              <w:rPr>
                <w:sz w:val="18"/>
                <w:lang w:val="fr-FR"/>
              </w:rPr>
              <w:t>Musées</w:t>
            </w:r>
          </w:p>
        </w:tc>
        <w:tc>
          <w:tcPr>
            <w:tcW w:w="1076" w:type="dxa"/>
            <w:shd w:val="clear" w:color="auto" w:fill="auto"/>
            <w:vAlign w:val="bottom"/>
            <w:hideMark/>
          </w:tcPr>
          <w:p w14:paraId="23BA2F27" w14:textId="77777777" w:rsidR="00560776" w:rsidRPr="00474765" w:rsidRDefault="00560776" w:rsidP="00474765">
            <w:pPr>
              <w:suppressAutoHyphens w:val="0"/>
              <w:spacing w:before="40" w:after="40" w:line="220" w:lineRule="exact"/>
              <w:jc w:val="right"/>
              <w:rPr>
                <w:sz w:val="18"/>
              </w:rPr>
            </w:pPr>
            <w:r w:rsidRPr="00474765">
              <w:rPr>
                <w:sz w:val="18"/>
                <w:lang w:val="fr-FR"/>
              </w:rPr>
              <w:t xml:space="preserve">608 400 </w:t>
            </w:r>
          </w:p>
        </w:tc>
        <w:tc>
          <w:tcPr>
            <w:tcW w:w="1219" w:type="dxa"/>
            <w:shd w:val="clear" w:color="auto" w:fill="auto"/>
            <w:vAlign w:val="bottom"/>
            <w:hideMark/>
          </w:tcPr>
          <w:p w14:paraId="38AF9E45" w14:textId="77777777" w:rsidR="00560776" w:rsidRPr="00474765" w:rsidRDefault="00560776" w:rsidP="00474765">
            <w:pPr>
              <w:suppressAutoHyphens w:val="0"/>
              <w:spacing w:before="40" w:after="40" w:line="220" w:lineRule="exact"/>
              <w:jc w:val="right"/>
              <w:rPr>
                <w:sz w:val="18"/>
              </w:rPr>
            </w:pPr>
            <w:r w:rsidRPr="00474765">
              <w:rPr>
                <w:sz w:val="18"/>
                <w:lang w:val="fr-FR"/>
              </w:rPr>
              <w:t xml:space="preserve">534 630 </w:t>
            </w:r>
          </w:p>
        </w:tc>
        <w:tc>
          <w:tcPr>
            <w:tcW w:w="1219" w:type="dxa"/>
            <w:shd w:val="clear" w:color="auto" w:fill="auto"/>
            <w:vAlign w:val="bottom"/>
            <w:hideMark/>
          </w:tcPr>
          <w:p w14:paraId="44579243" w14:textId="77777777" w:rsidR="00560776" w:rsidRPr="00474765" w:rsidRDefault="00560776" w:rsidP="00474765">
            <w:pPr>
              <w:suppressAutoHyphens w:val="0"/>
              <w:spacing w:before="40" w:after="40" w:line="220" w:lineRule="exact"/>
              <w:jc w:val="right"/>
              <w:rPr>
                <w:sz w:val="18"/>
              </w:rPr>
            </w:pPr>
            <w:r w:rsidRPr="00474765">
              <w:rPr>
                <w:sz w:val="18"/>
                <w:lang w:val="fr-FR"/>
              </w:rPr>
              <w:t xml:space="preserve">577 445 </w:t>
            </w:r>
          </w:p>
        </w:tc>
        <w:tc>
          <w:tcPr>
            <w:tcW w:w="1219" w:type="dxa"/>
            <w:shd w:val="clear" w:color="auto" w:fill="auto"/>
            <w:vAlign w:val="bottom"/>
            <w:hideMark/>
          </w:tcPr>
          <w:p w14:paraId="6E92DBF8" w14:textId="77777777" w:rsidR="00560776" w:rsidRPr="00474765" w:rsidRDefault="00560776" w:rsidP="00474765">
            <w:pPr>
              <w:suppressAutoHyphens w:val="0"/>
              <w:spacing w:before="40" w:after="40" w:line="220" w:lineRule="exact"/>
              <w:jc w:val="right"/>
              <w:rPr>
                <w:sz w:val="18"/>
              </w:rPr>
            </w:pPr>
            <w:r w:rsidRPr="00474765">
              <w:rPr>
                <w:sz w:val="18"/>
                <w:lang w:val="fr-FR"/>
              </w:rPr>
              <w:t xml:space="preserve">781 409 </w:t>
            </w:r>
          </w:p>
        </w:tc>
        <w:tc>
          <w:tcPr>
            <w:tcW w:w="1219" w:type="dxa"/>
            <w:shd w:val="clear" w:color="auto" w:fill="auto"/>
            <w:vAlign w:val="bottom"/>
            <w:hideMark/>
          </w:tcPr>
          <w:p w14:paraId="130DABD0" w14:textId="77777777" w:rsidR="00560776" w:rsidRPr="00474765" w:rsidRDefault="00560776" w:rsidP="00474765">
            <w:pPr>
              <w:suppressAutoHyphens w:val="0"/>
              <w:spacing w:before="40" w:after="40" w:line="220" w:lineRule="exact"/>
              <w:jc w:val="right"/>
              <w:rPr>
                <w:sz w:val="18"/>
              </w:rPr>
            </w:pPr>
            <w:r w:rsidRPr="00474765">
              <w:rPr>
                <w:sz w:val="18"/>
                <w:lang w:val="fr-FR"/>
              </w:rPr>
              <w:t xml:space="preserve">689 600 </w:t>
            </w:r>
          </w:p>
        </w:tc>
      </w:tr>
      <w:tr w:rsidR="00474765" w:rsidRPr="00474765" w14:paraId="3577D04C" w14:textId="77777777" w:rsidTr="00566E05">
        <w:tc>
          <w:tcPr>
            <w:tcW w:w="1418" w:type="dxa"/>
            <w:shd w:val="clear" w:color="auto" w:fill="auto"/>
            <w:hideMark/>
          </w:tcPr>
          <w:p w14:paraId="1F9C9119" w14:textId="77777777" w:rsidR="00560776" w:rsidRPr="00474765" w:rsidRDefault="00560776" w:rsidP="00474765">
            <w:pPr>
              <w:suppressAutoHyphens w:val="0"/>
              <w:spacing w:before="40" w:after="40" w:line="220" w:lineRule="exact"/>
              <w:rPr>
                <w:sz w:val="18"/>
              </w:rPr>
            </w:pPr>
            <w:r w:rsidRPr="00474765">
              <w:rPr>
                <w:sz w:val="18"/>
                <w:lang w:val="fr-FR"/>
              </w:rPr>
              <w:t>Bibliothèques</w:t>
            </w:r>
          </w:p>
        </w:tc>
        <w:tc>
          <w:tcPr>
            <w:tcW w:w="1076" w:type="dxa"/>
            <w:shd w:val="clear" w:color="auto" w:fill="auto"/>
            <w:vAlign w:val="bottom"/>
            <w:hideMark/>
          </w:tcPr>
          <w:p w14:paraId="54773F7A" w14:textId="77777777" w:rsidR="00560776" w:rsidRPr="00474765" w:rsidRDefault="00560776" w:rsidP="00474765">
            <w:pPr>
              <w:suppressAutoHyphens w:val="0"/>
              <w:spacing w:before="40" w:after="40" w:line="220" w:lineRule="exact"/>
              <w:jc w:val="right"/>
              <w:rPr>
                <w:sz w:val="18"/>
              </w:rPr>
            </w:pPr>
            <w:r w:rsidRPr="00474765">
              <w:rPr>
                <w:sz w:val="18"/>
                <w:lang w:val="fr-FR"/>
              </w:rPr>
              <w:t xml:space="preserve">1 713 800 </w:t>
            </w:r>
          </w:p>
        </w:tc>
        <w:tc>
          <w:tcPr>
            <w:tcW w:w="1219" w:type="dxa"/>
            <w:shd w:val="clear" w:color="auto" w:fill="auto"/>
            <w:vAlign w:val="bottom"/>
            <w:hideMark/>
          </w:tcPr>
          <w:p w14:paraId="7DCB0B86" w14:textId="77777777" w:rsidR="00560776" w:rsidRPr="00474765" w:rsidRDefault="00560776" w:rsidP="00474765">
            <w:pPr>
              <w:suppressAutoHyphens w:val="0"/>
              <w:spacing w:before="40" w:after="40" w:line="220" w:lineRule="exact"/>
              <w:jc w:val="right"/>
              <w:rPr>
                <w:sz w:val="18"/>
              </w:rPr>
            </w:pPr>
            <w:r w:rsidRPr="00474765">
              <w:rPr>
                <w:sz w:val="18"/>
                <w:lang w:val="fr-FR"/>
              </w:rPr>
              <w:t xml:space="preserve">1 705 660 </w:t>
            </w:r>
          </w:p>
        </w:tc>
        <w:tc>
          <w:tcPr>
            <w:tcW w:w="1219" w:type="dxa"/>
            <w:shd w:val="clear" w:color="auto" w:fill="auto"/>
            <w:vAlign w:val="bottom"/>
            <w:hideMark/>
          </w:tcPr>
          <w:p w14:paraId="71861C92" w14:textId="77777777" w:rsidR="00560776" w:rsidRPr="00474765" w:rsidRDefault="00560776" w:rsidP="00474765">
            <w:pPr>
              <w:suppressAutoHyphens w:val="0"/>
              <w:spacing w:before="40" w:after="40" w:line="220" w:lineRule="exact"/>
              <w:jc w:val="right"/>
              <w:rPr>
                <w:sz w:val="18"/>
              </w:rPr>
            </w:pPr>
            <w:r w:rsidRPr="00474765">
              <w:rPr>
                <w:sz w:val="18"/>
                <w:lang w:val="fr-FR"/>
              </w:rPr>
              <w:t xml:space="preserve">1 735 426 </w:t>
            </w:r>
          </w:p>
        </w:tc>
        <w:tc>
          <w:tcPr>
            <w:tcW w:w="1219" w:type="dxa"/>
            <w:shd w:val="clear" w:color="auto" w:fill="auto"/>
            <w:vAlign w:val="bottom"/>
            <w:hideMark/>
          </w:tcPr>
          <w:p w14:paraId="410307D9" w14:textId="77777777" w:rsidR="00560776" w:rsidRPr="00474765" w:rsidRDefault="00560776" w:rsidP="00474765">
            <w:pPr>
              <w:suppressAutoHyphens w:val="0"/>
              <w:spacing w:before="40" w:after="40" w:line="220" w:lineRule="exact"/>
              <w:jc w:val="right"/>
              <w:rPr>
                <w:sz w:val="18"/>
              </w:rPr>
            </w:pPr>
            <w:r w:rsidRPr="00474765">
              <w:rPr>
                <w:sz w:val="18"/>
                <w:lang w:val="fr-FR"/>
              </w:rPr>
              <w:t xml:space="preserve">1 620 524 </w:t>
            </w:r>
          </w:p>
        </w:tc>
        <w:tc>
          <w:tcPr>
            <w:tcW w:w="1219" w:type="dxa"/>
            <w:shd w:val="clear" w:color="auto" w:fill="auto"/>
            <w:vAlign w:val="bottom"/>
            <w:hideMark/>
          </w:tcPr>
          <w:p w14:paraId="2C50DE95" w14:textId="77777777" w:rsidR="00560776" w:rsidRPr="00474765" w:rsidRDefault="00560776" w:rsidP="00474765">
            <w:pPr>
              <w:suppressAutoHyphens w:val="0"/>
              <w:spacing w:before="40" w:after="40" w:line="220" w:lineRule="exact"/>
              <w:jc w:val="right"/>
              <w:rPr>
                <w:sz w:val="18"/>
              </w:rPr>
            </w:pPr>
            <w:r w:rsidRPr="00474765">
              <w:rPr>
                <w:sz w:val="18"/>
                <w:lang w:val="fr-FR"/>
              </w:rPr>
              <w:t xml:space="preserve">2 401 200 </w:t>
            </w:r>
          </w:p>
        </w:tc>
      </w:tr>
      <w:tr w:rsidR="00474765" w:rsidRPr="00474765" w14:paraId="0D30DF64" w14:textId="77777777" w:rsidTr="00566E05">
        <w:tc>
          <w:tcPr>
            <w:tcW w:w="1418" w:type="dxa"/>
            <w:shd w:val="clear" w:color="auto" w:fill="auto"/>
            <w:hideMark/>
          </w:tcPr>
          <w:p w14:paraId="507EC91A" w14:textId="77777777" w:rsidR="00560776" w:rsidRPr="00474765" w:rsidRDefault="00560776" w:rsidP="00474765">
            <w:pPr>
              <w:suppressAutoHyphens w:val="0"/>
              <w:spacing w:before="40" w:after="40" w:line="220" w:lineRule="exact"/>
              <w:rPr>
                <w:sz w:val="18"/>
              </w:rPr>
            </w:pPr>
            <w:r w:rsidRPr="00474765">
              <w:rPr>
                <w:sz w:val="18"/>
                <w:lang w:val="fr-FR"/>
              </w:rPr>
              <w:t>Centres culturels</w:t>
            </w:r>
          </w:p>
        </w:tc>
        <w:tc>
          <w:tcPr>
            <w:tcW w:w="1076" w:type="dxa"/>
            <w:shd w:val="clear" w:color="auto" w:fill="auto"/>
            <w:vAlign w:val="bottom"/>
            <w:hideMark/>
          </w:tcPr>
          <w:p w14:paraId="2AF5CDF4" w14:textId="77777777" w:rsidR="00560776" w:rsidRPr="00474765" w:rsidRDefault="00560776" w:rsidP="00474765">
            <w:pPr>
              <w:suppressAutoHyphens w:val="0"/>
              <w:spacing w:before="40" w:after="40" w:line="220" w:lineRule="exact"/>
              <w:jc w:val="right"/>
              <w:rPr>
                <w:sz w:val="18"/>
              </w:rPr>
            </w:pPr>
            <w:r w:rsidRPr="00474765">
              <w:rPr>
                <w:sz w:val="18"/>
                <w:lang w:val="fr-FR"/>
              </w:rPr>
              <w:t xml:space="preserve">5 496 300 </w:t>
            </w:r>
          </w:p>
        </w:tc>
        <w:tc>
          <w:tcPr>
            <w:tcW w:w="1219" w:type="dxa"/>
            <w:shd w:val="clear" w:color="auto" w:fill="auto"/>
            <w:vAlign w:val="bottom"/>
            <w:hideMark/>
          </w:tcPr>
          <w:p w14:paraId="32EAC582" w14:textId="77777777" w:rsidR="00560776" w:rsidRPr="00474765" w:rsidRDefault="00560776" w:rsidP="00474765">
            <w:pPr>
              <w:suppressAutoHyphens w:val="0"/>
              <w:spacing w:before="40" w:after="40" w:line="220" w:lineRule="exact"/>
              <w:jc w:val="right"/>
              <w:rPr>
                <w:sz w:val="18"/>
              </w:rPr>
            </w:pPr>
            <w:r w:rsidRPr="00474765">
              <w:rPr>
                <w:sz w:val="18"/>
                <w:lang w:val="fr-FR"/>
              </w:rPr>
              <w:t xml:space="preserve">5 879 658 </w:t>
            </w:r>
          </w:p>
        </w:tc>
        <w:tc>
          <w:tcPr>
            <w:tcW w:w="1219" w:type="dxa"/>
            <w:shd w:val="clear" w:color="auto" w:fill="auto"/>
            <w:vAlign w:val="bottom"/>
            <w:hideMark/>
          </w:tcPr>
          <w:p w14:paraId="73A7EB15" w14:textId="77777777" w:rsidR="00560776" w:rsidRPr="00474765" w:rsidRDefault="00560776" w:rsidP="00474765">
            <w:pPr>
              <w:suppressAutoHyphens w:val="0"/>
              <w:spacing w:before="40" w:after="40" w:line="220" w:lineRule="exact"/>
              <w:jc w:val="right"/>
              <w:rPr>
                <w:sz w:val="18"/>
              </w:rPr>
            </w:pPr>
            <w:r w:rsidRPr="00474765">
              <w:rPr>
                <w:sz w:val="18"/>
                <w:lang w:val="fr-FR"/>
              </w:rPr>
              <w:t xml:space="preserve">5 644 179 </w:t>
            </w:r>
          </w:p>
        </w:tc>
        <w:tc>
          <w:tcPr>
            <w:tcW w:w="1219" w:type="dxa"/>
            <w:shd w:val="clear" w:color="auto" w:fill="auto"/>
            <w:vAlign w:val="bottom"/>
            <w:hideMark/>
          </w:tcPr>
          <w:p w14:paraId="0BF28330" w14:textId="77777777" w:rsidR="00560776" w:rsidRPr="00474765" w:rsidRDefault="00560776" w:rsidP="00474765">
            <w:pPr>
              <w:suppressAutoHyphens w:val="0"/>
              <w:spacing w:before="40" w:after="40" w:line="220" w:lineRule="exact"/>
              <w:jc w:val="right"/>
              <w:rPr>
                <w:sz w:val="18"/>
              </w:rPr>
            </w:pPr>
            <w:r w:rsidRPr="00474765">
              <w:rPr>
                <w:sz w:val="18"/>
                <w:lang w:val="fr-FR"/>
              </w:rPr>
              <w:t xml:space="preserve">4 821 708 </w:t>
            </w:r>
          </w:p>
        </w:tc>
        <w:tc>
          <w:tcPr>
            <w:tcW w:w="1219" w:type="dxa"/>
            <w:shd w:val="clear" w:color="auto" w:fill="auto"/>
            <w:vAlign w:val="bottom"/>
            <w:hideMark/>
          </w:tcPr>
          <w:p w14:paraId="719F73F8" w14:textId="77777777" w:rsidR="00560776" w:rsidRPr="00474765" w:rsidRDefault="00560776" w:rsidP="00474765">
            <w:pPr>
              <w:suppressAutoHyphens w:val="0"/>
              <w:spacing w:before="40" w:after="40" w:line="220" w:lineRule="exact"/>
              <w:jc w:val="right"/>
              <w:rPr>
                <w:sz w:val="18"/>
              </w:rPr>
            </w:pPr>
            <w:r w:rsidRPr="00474765">
              <w:rPr>
                <w:sz w:val="18"/>
                <w:lang w:val="fr-FR"/>
              </w:rPr>
              <w:t xml:space="preserve">2 699 400 </w:t>
            </w:r>
          </w:p>
        </w:tc>
      </w:tr>
      <w:tr w:rsidR="00474765" w:rsidRPr="00474765" w14:paraId="47C7FC05" w14:textId="77777777" w:rsidTr="00566E05">
        <w:tc>
          <w:tcPr>
            <w:tcW w:w="1418" w:type="dxa"/>
            <w:shd w:val="clear" w:color="auto" w:fill="auto"/>
            <w:hideMark/>
          </w:tcPr>
          <w:p w14:paraId="26F6C131" w14:textId="77777777" w:rsidR="00560776" w:rsidRPr="00474765" w:rsidRDefault="00560776" w:rsidP="00474765">
            <w:pPr>
              <w:suppressAutoHyphens w:val="0"/>
              <w:spacing w:before="40" w:after="40" w:line="220" w:lineRule="exact"/>
              <w:rPr>
                <w:sz w:val="18"/>
              </w:rPr>
            </w:pPr>
            <w:r w:rsidRPr="00474765">
              <w:rPr>
                <w:sz w:val="18"/>
                <w:lang w:val="fr-FR"/>
              </w:rPr>
              <w:t>Cinéma</w:t>
            </w:r>
          </w:p>
        </w:tc>
        <w:tc>
          <w:tcPr>
            <w:tcW w:w="1076" w:type="dxa"/>
            <w:shd w:val="clear" w:color="auto" w:fill="auto"/>
            <w:vAlign w:val="bottom"/>
            <w:hideMark/>
          </w:tcPr>
          <w:p w14:paraId="635E41AD" w14:textId="77777777" w:rsidR="00560776" w:rsidRPr="00474765" w:rsidRDefault="00560776" w:rsidP="00474765">
            <w:pPr>
              <w:suppressAutoHyphens w:val="0"/>
              <w:spacing w:before="40" w:after="40" w:line="220" w:lineRule="exact"/>
              <w:jc w:val="right"/>
              <w:rPr>
                <w:sz w:val="18"/>
              </w:rPr>
            </w:pPr>
            <w:r w:rsidRPr="00474765">
              <w:rPr>
                <w:sz w:val="18"/>
                <w:lang w:val="fr-FR"/>
              </w:rPr>
              <w:t xml:space="preserve">1 505 900 </w:t>
            </w:r>
          </w:p>
        </w:tc>
        <w:tc>
          <w:tcPr>
            <w:tcW w:w="1219" w:type="dxa"/>
            <w:shd w:val="clear" w:color="auto" w:fill="auto"/>
            <w:vAlign w:val="bottom"/>
            <w:hideMark/>
          </w:tcPr>
          <w:p w14:paraId="320A71A0" w14:textId="77777777" w:rsidR="00560776" w:rsidRPr="00474765" w:rsidRDefault="00560776" w:rsidP="00474765">
            <w:pPr>
              <w:suppressAutoHyphens w:val="0"/>
              <w:spacing w:before="40" w:after="40" w:line="220" w:lineRule="exact"/>
              <w:jc w:val="right"/>
              <w:rPr>
                <w:sz w:val="18"/>
              </w:rPr>
            </w:pPr>
            <w:r w:rsidRPr="00474765">
              <w:rPr>
                <w:sz w:val="18"/>
                <w:lang w:val="fr-FR"/>
              </w:rPr>
              <w:t xml:space="preserve">1 090 002 </w:t>
            </w:r>
          </w:p>
        </w:tc>
        <w:tc>
          <w:tcPr>
            <w:tcW w:w="1219" w:type="dxa"/>
            <w:shd w:val="clear" w:color="auto" w:fill="auto"/>
            <w:vAlign w:val="bottom"/>
            <w:hideMark/>
          </w:tcPr>
          <w:p w14:paraId="55B5D08E" w14:textId="77777777" w:rsidR="00560776" w:rsidRPr="00474765" w:rsidRDefault="00560776" w:rsidP="00474765">
            <w:pPr>
              <w:suppressAutoHyphens w:val="0"/>
              <w:spacing w:before="40" w:after="40" w:line="220" w:lineRule="exact"/>
              <w:jc w:val="right"/>
              <w:rPr>
                <w:sz w:val="18"/>
              </w:rPr>
            </w:pPr>
            <w:r w:rsidRPr="00474765">
              <w:rPr>
                <w:sz w:val="18"/>
                <w:lang w:val="fr-FR"/>
              </w:rPr>
              <w:t xml:space="preserve">1 254 771 </w:t>
            </w:r>
          </w:p>
        </w:tc>
        <w:tc>
          <w:tcPr>
            <w:tcW w:w="1219" w:type="dxa"/>
            <w:shd w:val="clear" w:color="auto" w:fill="auto"/>
            <w:vAlign w:val="bottom"/>
            <w:hideMark/>
          </w:tcPr>
          <w:p w14:paraId="3B0EB1BA" w14:textId="77777777" w:rsidR="00560776" w:rsidRPr="00474765" w:rsidRDefault="00560776" w:rsidP="00474765">
            <w:pPr>
              <w:suppressAutoHyphens w:val="0"/>
              <w:spacing w:before="40" w:after="40" w:line="220" w:lineRule="exact"/>
              <w:jc w:val="right"/>
              <w:rPr>
                <w:sz w:val="18"/>
              </w:rPr>
            </w:pPr>
            <w:r w:rsidRPr="00474765">
              <w:rPr>
                <w:sz w:val="18"/>
                <w:lang w:val="fr-FR"/>
              </w:rPr>
              <w:t xml:space="preserve">4 500 669 </w:t>
            </w:r>
          </w:p>
        </w:tc>
        <w:tc>
          <w:tcPr>
            <w:tcW w:w="1219" w:type="dxa"/>
            <w:shd w:val="clear" w:color="auto" w:fill="auto"/>
            <w:vAlign w:val="bottom"/>
            <w:hideMark/>
          </w:tcPr>
          <w:p w14:paraId="3DC4F3C1" w14:textId="77777777" w:rsidR="00560776" w:rsidRPr="00474765" w:rsidRDefault="00560776" w:rsidP="00474765">
            <w:pPr>
              <w:suppressAutoHyphens w:val="0"/>
              <w:spacing w:before="40" w:after="40" w:line="220" w:lineRule="exact"/>
              <w:jc w:val="right"/>
              <w:rPr>
                <w:sz w:val="18"/>
              </w:rPr>
            </w:pPr>
            <w:r w:rsidRPr="00474765">
              <w:rPr>
                <w:sz w:val="18"/>
                <w:lang w:val="fr-FR"/>
              </w:rPr>
              <w:t xml:space="preserve">1 877 100 </w:t>
            </w:r>
          </w:p>
        </w:tc>
      </w:tr>
      <w:tr w:rsidR="00474765" w:rsidRPr="00474765" w14:paraId="4A1A8135" w14:textId="77777777" w:rsidTr="00566E05">
        <w:tc>
          <w:tcPr>
            <w:tcW w:w="1418" w:type="dxa"/>
            <w:tcBorders>
              <w:bottom w:val="single" w:sz="12" w:space="0" w:color="auto"/>
            </w:tcBorders>
            <w:shd w:val="clear" w:color="auto" w:fill="auto"/>
            <w:hideMark/>
          </w:tcPr>
          <w:p w14:paraId="5E1C1B8A" w14:textId="77777777" w:rsidR="00560776" w:rsidRPr="00474765" w:rsidRDefault="00560776" w:rsidP="00566E05">
            <w:pPr>
              <w:suppressAutoHyphens w:val="0"/>
              <w:spacing w:before="80" w:after="80" w:line="220" w:lineRule="exact"/>
              <w:ind w:left="284"/>
              <w:rPr>
                <w:b/>
                <w:sz w:val="18"/>
              </w:rPr>
            </w:pPr>
            <w:r w:rsidRPr="00474765">
              <w:rPr>
                <w:b/>
                <w:bCs/>
                <w:sz w:val="18"/>
                <w:lang w:val="fr-FR"/>
              </w:rPr>
              <w:t>Nombre total</w:t>
            </w:r>
          </w:p>
        </w:tc>
        <w:tc>
          <w:tcPr>
            <w:tcW w:w="1076" w:type="dxa"/>
            <w:tcBorders>
              <w:bottom w:val="single" w:sz="12" w:space="0" w:color="auto"/>
            </w:tcBorders>
            <w:shd w:val="clear" w:color="auto" w:fill="auto"/>
            <w:vAlign w:val="bottom"/>
            <w:hideMark/>
          </w:tcPr>
          <w:p w14:paraId="77596129" w14:textId="77777777" w:rsidR="00560776" w:rsidRPr="00474765" w:rsidRDefault="00560776" w:rsidP="00566E05">
            <w:pPr>
              <w:suppressAutoHyphens w:val="0"/>
              <w:spacing w:before="80" w:after="80" w:line="220" w:lineRule="exact"/>
              <w:jc w:val="right"/>
              <w:rPr>
                <w:b/>
                <w:bCs/>
                <w:sz w:val="18"/>
              </w:rPr>
            </w:pPr>
            <w:r w:rsidRPr="00474765">
              <w:rPr>
                <w:b/>
                <w:bCs/>
                <w:sz w:val="18"/>
                <w:lang w:val="fr-FR"/>
              </w:rPr>
              <w:t>10 927 700</w:t>
            </w:r>
            <w:r w:rsidRPr="00474765">
              <w:rPr>
                <w:sz w:val="18"/>
                <w:lang w:val="fr-FR"/>
              </w:rPr>
              <w:t xml:space="preserve"> </w:t>
            </w:r>
          </w:p>
        </w:tc>
        <w:tc>
          <w:tcPr>
            <w:tcW w:w="1219" w:type="dxa"/>
            <w:tcBorders>
              <w:bottom w:val="single" w:sz="12" w:space="0" w:color="auto"/>
            </w:tcBorders>
            <w:shd w:val="clear" w:color="auto" w:fill="auto"/>
            <w:vAlign w:val="bottom"/>
            <w:hideMark/>
          </w:tcPr>
          <w:p w14:paraId="3AF14E8B" w14:textId="77777777" w:rsidR="00560776" w:rsidRPr="00474765" w:rsidRDefault="00560776" w:rsidP="00566E05">
            <w:pPr>
              <w:suppressAutoHyphens w:val="0"/>
              <w:spacing w:before="80" w:after="80" w:line="220" w:lineRule="exact"/>
              <w:jc w:val="right"/>
              <w:rPr>
                <w:b/>
                <w:bCs/>
                <w:sz w:val="18"/>
              </w:rPr>
            </w:pPr>
            <w:r w:rsidRPr="00474765">
              <w:rPr>
                <w:b/>
                <w:bCs/>
                <w:sz w:val="18"/>
                <w:lang w:val="fr-FR"/>
              </w:rPr>
              <w:t>10 879 290</w:t>
            </w:r>
            <w:r w:rsidRPr="00474765">
              <w:rPr>
                <w:sz w:val="18"/>
                <w:lang w:val="fr-FR"/>
              </w:rPr>
              <w:t xml:space="preserve"> </w:t>
            </w:r>
          </w:p>
        </w:tc>
        <w:tc>
          <w:tcPr>
            <w:tcW w:w="1219" w:type="dxa"/>
            <w:tcBorders>
              <w:bottom w:val="single" w:sz="12" w:space="0" w:color="auto"/>
            </w:tcBorders>
            <w:shd w:val="clear" w:color="auto" w:fill="auto"/>
            <w:vAlign w:val="bottom"/>
            <w:hideMark/>
          </w:tcPr>
          <w:p w14:paraId="565EECA8" w14:textId="77777777" w:rsidR="00560776" w:rsidRPr="00474765" w:rsidRDefault="00560776" w:rsidP="00566E05">
            <w:pPr>
              <w:suppressAutoHyphens w:val="0"/>
              <w:spacing w:before="80" w:after="80" w:line="220" w:lineRule="exact"/>
              <w:jc w:val="right"/>
              <w:rPr>
                <w:b/>
                <w:bCs/>
                <w:sz w:val="18"/>
              </w:rPr>
            </w:pPr>
            <w:r w:rsidRPr="00474765">
              <w:rPr>
                <w:b/>
                <w:bCs/>
                <w:sz w:val="18"/>
                <w:lang w:val="fr-FR"/>
              </w:rPr>
              <w:t>11 557 231</w:t>
            </w:r>
            <w:r w:rsidRPr="00474765">
              <w:rPr>
                <w:sz w:val="18"/>
                <w:lang w:val="fr-FR"/>
              </w:rPr>
              <w:t xml:space="preserve"> </w:t>
            </w:r>
          </w:p>
        </w:tc>
        <w:tc>
          <w:tcPr>
            <w:tcW w:w="1219" w:type="dxa"/>
            <w:tcBorders>
              <w:bottom w:val="single" w:sz="12" w:space="0" w:color="auto"/>
            </w:tcBorders>
            <w:shd w:val="clear" w:color="auto" w:fill="auto"/>
            <w:vAlign w:val="bottom"/>
            <w:hideMark/>
          </w:tcPr>
          <w:p w14:paraId="12A9D1C9" w14:textId="77777777" w:rsidR="00560776" w:rsidRPr="00474765" w:rsidRDefault="00560776" w:rsidP="00566E05">
            <w:pPr>
              <w:suppressAutoHyphens w:val="0"/>
              <w:spacing w:before="80" w:after="80" w:line="220" w:lineRule="exact"/>
              <w:jc w:val="right"/>
              <w:rPr>
                <w:b/>
                <w:bCs/>
                <w:sz w:val="18"/>
              </w:rPr>
            </w:pPr>
            <w:r w:rsidRPr="00474765">
              <w:rPr>
                <w:b/>
                <w:bCs/>
                <w:sz w:val="18"/>
                <w:lang w:val="fr-FR"/>
              </w:rPr>
              <w:t>13 653 630</w:t>
            </w:r>
            <w:r w:rsidRPr="00474765">
              <w:rPr>
                <w:sz w:val="18"/>
                <w:lang w:val="fr-FR"/>
              </w:rPr>
              <w:t xml:space="preserve"> </w:t>
            </w:r>
          </w:p>
        </w:tc>
        <w:tc>
          <w:tcPr>
            <w:tcW w:w="1219" w:type="dxa"/>
            <w:tcBorders>
              <w:bottom w:val="single" w:sz="12" w:space="0" w:color="auto"/>
            </w:tcBorders>
            <w:shd w:val="clear" w:color="auto" w:fill="auto"/>
            <w:vAlign w:val="bottom"/>
            <w:hideMark/>
          </w:tcPr>
          <w:p w14:paraId="17E1BCF3" w14:textId="77777777" w:rsidR="00560776" w:rsidRPr="00474765" w:rsidRDefault="00560776" w:rsidP="00566E05">
            <w:pPr>
              <w:suppressAutoHyphens w:val="0"/>
              <w:spacing w:before="80" w:after="80" w:line="220" w:lineRule="exact"/>
              <w:jc w:val="right"/>
              <w:rPr>
                <w:b/>
                <w:bCs/>
                <w:sz w:val="18"/>
              </w:rPr>
            </w:pPr>
            <w:r w:rsidRPr="00474765">
              <w:rPr>
                <w:b/>
                <w:bCs/>
                <w:sz w:val="18"/>
                <w:lang w:val="fr-FR"/>
              </w:rPr>
              <w:t>11 347 800</w:t>
            </w:r>
            <w:r w:rsidRPr="00474765">
              <w:rPr>
                <w:sz w:val="18"/>
                <w:lang w:val="fr-FR"/>
              </w:rPr>
              <w:t xml:space="preserve"> </w:t>
            </w:r>
          </w:p>
        </w:tc>
      </w:tr>
    </w:tbl>
    <w:p w14:paraId="75DB9A4E" w14:textId="2073EFBE" w:rsidR="00560776" w:rsidRPr="00474765" w:rsidRDefault="00560776" w:rsidP="00474765">
      <w:pPr>
        <w:pStyle w:val="SingleTxtG"/>
        <w:keepNext/>
        <w:spacing w:before="120"/>
        <w:ind w:firstLine="170"/>
        <w:rPr>
          <w:sz w:val="18"/>
          <w:szCs w:val="18"/>
        </w:rPr>
      </w:pPr>
      <w:r w:rsidRPr="00255530">
        <w:rPr>
          <w:i/>
          <w:iCs/>
          <w:sz w:val="18"/>
          <w:szCs w:val="18"/>
        </w:rPr>
        <w:t>Source</w:t>
      </w:r>
      <w:r w:rsidR="00255530">
        <w:rPr>
          <w:sz w:val="18"/>
          <w:szCs w:val="18"/>
        </w:rPr>
        <w:t> </w:t>
      </w:r>
      <w:r w:rsidRPr="00474765">
        <w:rPr>
          <w:sz w:val="18"/>
          <w:szCs w:val="18"/>
        </w:rPr>
        <w:t>: Ministère de la culture.</w:t>
      </w:r>
    </w:p>
    <w:p w14:paraId="04BB8A31" w14:textId="74542C77" w:rsidR="00560776" w:rsidRPr="00C8158A" w:rsidRDefault="00560776" w:rsidP="00474765">
      <w:pPr>
        <w:pStyle w:val="H1G"/>
        <w:rPr>
          <w:lang w:val="fr-FR"/>
        </w:rPr>
      </w:pPr>
      <w:r>
        <w:rPr>
          <w:lang w:val="fr-FR"/>
        </w:rPr>
        <w:tab/>
      </w:r>
      <w:r>
        <w:rPr>
          <w:lang w:val="fr-FR"/>
        </w:rPr>
        <w:tab/>
        <w:t xml:space="preserve">Paragraphe 22 de la liste de points </w:t>
      </w:r>
    </w:p>
    <w:p w14:paraId="29B123FD" w14:textId="3F20F5AE" w:rsidR="00560776" w:rsidRPr="00C8158A" w:rsidRDefault="00560776" w:rsidP="0040732C">
      <w:pPr>
        <w:pStyle w:val="SingleTxtG"/>
        <w:rPr>
          <w:lang w:val="fr-FR"/>
        </w:rPr>
      </w:pPr>
      <w:r>
        <w:rPr>
          <w:lang w:val="fr-FR"/>
        </w:rPr>
        <w:t>247.</w:t>
      </w:r>
      <w:r>
        <w:rPr>
          <w:lang w:val="fr-FR"/>
        </w:rPr>
        <w:tab/>
        <w:t>Dans le cadre de l</w:t>
      </w:r>
      <w:r w:rsidR="009C7759">
        <w:rPr>
          <w:lang w:val="fr-FR"/>
        </w:rPr>
        <w:t>’</w:t>
      </w:r>
      <w:r>
        <w:rPr>
          <w:lang w:val="fr-FR"/>
        </w:rPr>
        <w:t>application des articles 9 et 10 du Pacte, la Mongolie a obtenu les résultats suivants en ce qui concerne certains aspects du traité :</w:t>
      </w:r>
    </w:p>
    <w:p w14:paraId="0BBE5E81" w14:textId="17C4E4B1" w:rsidR="00560776" w:rsidRPr="00C8158A" w:rsidRDefault="00560776" w:rsidP="00474765">
      <w:pPr>
        <w:pStyle w:val="Bullet1G"/>
        <w:rPr>
          <w:lang w:val="fr-FR"/>
        </w:rPr>
      </w:pPr>
      <w:r>
        <w:rPr>
          <w:lang w:val="fr-FR"/>
        </w:rPr>
        <w:t>Les personnes âgées (les hommes de plus de 60</w:t>
      </w:r>
      <w:r w:rsidR="00566E05">
        <w:rPr>
          <w:lang w:val="fr-FR"/>
        </w:rPr>
        <w:t> </w:t>
      </w:r>
      <w:r>
        <w:rPr>
          <w:lang w:val="fr-FR"/>
        </w:rPr>
        <w:t>ans et les femmes de plus de 55</w:t>
      </w:r>
      <w:r w:rsidR="00566E05">
        <w:rPr>
          <w:lang w:val="fr-FR"/>
        </w:rPr>
        <w:t> </w:t>
      </w:r>
      <w:r>
        <w:rPr>
          <w:lang w:val="fr-FR"/>
        </w:rPr>
        <w:t>ans) qui n</w:t>
      </w:r>
      <w:r w:rsidR="009C7759">
        <w:rPr>
          <w:lang w:val="fr-FR"/>
        </w:rPr>
        <w:t>’</w:t>
      </w:r>
      <w:r>
        <w:rPr>
          <w:lang w:val="fr-FR"/>
        </w:rPr>
        <w:t>ont pas droit à une pension de vieillesse de la caisse d</w:t>
      </w:r>
      <w:r w:rsidR="009C7759">
        <w:rPr>
          <w:lang w:val="fr-FR"/>
        </w:rPr>
        <w:t>’</w:t>
      </w:r>
      <w:r>
        <w:rPr>
          <w:lang w:val="fr-FR"/>
        </w:rPr>
        <w:t xml:space="preserve">assurance sociale reçoivent sans condition aucune une pension de la caisse de protection sociale (dont le montant est fixé par le Gouvernement). Cette mesure a permis de verser une pension de vieillesse à toutes les personnes âgées ; </w:t>
      </w:r>
    </w:p>
    <w:p w14:paraId="213C3A2E" w14:textId="74AE90C7" w:rsidR="00560776" w:rsidRPr="00C8158A" w:rsidRDefault="00560776" w:rsidP="00474765">
      <w:pPr>
        <w:pStyle w:val="Bullet1G"/>
        <w:rPr>
          <w:lang w:val="fr-FR"/>
        </w:rPr>
      </w:pPr>
      <w:r>
        <w:rPr>
          <w:lang w:val="fr-FR"/>
        </w:rPr>
        <w:t>L</w:t>
      </w:r>
      <w:r w:rsidR="009C7759">
        <w:rPr>
          <w:lang w:val="fr-FR"/>
        </w:rPr>
        <w:t>’</w:t>
      </w:r>
      <w:r>
        <w:rPr>
          <w:lang w:val="fr-FR"/>
        </w:rPr>
        <w:t>assurance maladie couvre 90,2</w:t>
      </w:r>
      <w:r w:rsidR="00F27779">
        <w:rPr>
          <w:lang w:val="fr-FR"/>
        </w:rPr>
        <w:t> </w:t>
      </w:r>
      <w:r>
        <w:rPr>
          <w:lang w:val="fr-FR"/>
        </w:rPr>
        <w:t>% de la population car l</w:t>
      </w:r>
      <w:r w:rsidR="009C7759">
        <w:rPr>
          <w:lang w:val="fr-FR"/>
        </w:rPr>
        <w:t>’</w:t>
      </w:r>
      <w:r>
        <w:rPr>
          <w:lang w:val="fr-FR"/>
        </w:rPr>
        <w:t>État prend en charge les primes d</w:t>
      </w:r>
      <w:r w:rsidR="009C7759">
        <w:rPr>
          <w:lang w:val="fr-FR"/>
        </w:rPr>
        <w:t>’</w:t>
      </w:r>
      <w:r>
        <w:rPr>
          <w:lang w:val="fr-FR"/>
        </w:rPr>
        <w:t>assurance maladie des personnes âgées, des enfants (de moins de 18</w:t>
      </w:r>
      <w:r w:rsidR="00566E05">
        <w:rPr>
          <w:lang w:val="fr-FR"/>
        </w:rPr>
        <w:t> </w:t>
      </w:r>
      <w:r>
        <w:rPr>
          <w:lang w:val="fr-FR"/>
        </w:rPr>
        <w:t>ans), des membres de ménages ayant un besoin urgent de protection sociale et des mères ou des pères s</w:t>
      </w:r>
      <w:r w:rsidR="009C7759">
        <w:rPr>
          <w:lang w:val="fr-FR"/>
        </w:rPr>
        <w:t>’</w:t>
      </w:r>
      <w:r>
        <w:rPr>
          <w:lang w:val="fr-FR"/>
        </w:rPr>
        <w:t>occupant de leurs enfants jusqu</w:t>
      </w:r>
      <w:r w:rsidR="009C7759">
        <w:rPr>
          <w:lang w:val="fr-FR"/>
        </w:rPr>
        <w:t>’</w:t>
      </w:r>
      <w:r>
        <w:rPr>
          <w:lang w:val="fr-FR"/>
        </w:rPr>
        <w:t>à l</w:t>
      </w:r>
      <w:r w:rsidR="009C7759">
        <w:rPr>
          <w:lang w:val="fr-FR"/>
        </w:rPr>
        <w:t>’</w:t>
      </w:r>
      <w:r>
        <w:rPr>
          <w:lang w:val="fr-FR"/>
        </w:rPr>
        <w:t>âge de 2</w:t>
      </w:r>
      <w:r w:rsidR="00566E05">
        <w:rPr>
          <w:lang w:val="fr-FR"/>
        </w:rPr>
        <w:t> </w:t>
      </w:r>
      <w:r>
        <w:rPr>
          <w:lang w:val="fr-FR"/>
        </w:rPr>
        <w:t>ans (jusqu</w:t>
      </w:r>
      <w:r w:rsidR="009C7759">
        <w:rPr>
          <w:lang w:val="fr-FR"/>
        </w:rPr>
        <w:t>’</w:t>
      </w:r>
      <w:r>
        <w:rPr>
          <w:lang w:val="fr-FR"/>
        </w:rPr>
        <w:t>à 3</w:t>
      </w:r>
      <w:r w:rsidR="00566E05">
        <w:rPr>
          <w:lang w:val="fr-FR"/>
        </w:rPr>
        <w:t> </w:t>
      </w:r>
      <w:r>
        <w:rPr>
          <w:lang w:val="fr-FR"/>
        </w:rPr>
        <w:t xml:space="preserve">ans dans le cas de jumeaux) ; </w:t>
      </w:r>
    </w:p>
    <w:p w14:paraId="1E90BCD9" w14:textId="3C7A10D6" w:rsidR="00560776" w:rsidRPr="00C8158A" w:rsidRDefault="00560776" w:rsidP="00474765">
      <w:pPr>
        <w:pStyle w:val="Bullet1G"/>
        <w:rPr>
          <w:lang w:val="fr-FR"/>
        </w:rPr>
      </w:pPr>
      <w:r>
        <w:rPr>
          <w:lang w:val="fr-FR"/>
        </w:rPr>
        <w:lastRenderedPageBreak/>
        <w:t>Les mères bénéficient d</w:t>
      </w:r>
      <w:r w:rsidR="009C7759">
        <w:rPr>
          <w:lang w:val="fr-FR"/>
        </w:rPr>
        <w:t>’</w:t>
      </w:r>
      <w:r>
        <w:rPr>
          <w:lang w:val="fr-FR"/>
        </w:rPr>
        <w:t>un congé de maternité de deux mois avant et immédiatement après l</w:t>
      </w:r>
      <w:r w:rsidR="009C7759">
        <w:rPr>
          <w:lang w:val="fr-FR"/>
        </w:rPr>
        <w:t>’</w:t>
      </w:r>
      <w:r>
        <w:rPr>
          <w:lang w:val="fr-FR"/>
        </w:rPr>
        <w:t>accouchement, pendant lequel elles perçoivent une allocation mensuelle correspondant à un salaire moyen. En outre, qu</w:t>
      </w:r>
      <w:r w:rsidR="009C7759">
        <w:rPr>
          <w:lang w:val="fr-FR"/>
        </w:rPr>
        <w:t>’</w:t>
      </w:r>
      <w:r>
        <w:rPr>
          <w:lang w:val="fr-FR"/>
        </w:rPr>
        <w:t>elles touchent ou non des prestations de la caisse d</w:t>
      </w:r>
      <w:r w:rsidR="009C7759">
        <w:rPr>
          <w:lang w:val="fr-FR"/>
        </w:rPr>
        <w:t>’</w:t>
      </w:r>
      <w:r>
        <w:rPr>
          <w:lang w:val="fr-FR"/>
        </w:rPr>
        <w:t>assurance sociale, les mères bénéficient d</w:t>
      </w:r>
      <w:r w:rsidR="009C7759">
        <w:rPr>
          <w:lang w:val="fr-FR"/>
        </w:rPr>
        <w:t>’</w:t>
      </w:r>
      <w:r>
        <w:rPr>
          <w:lang w:val="fr-FR"/>
        </w:rPr>
        <w:t>allocations de grossesse à partir du cinquième mois de leur grossesse jusqu</w:t>
      </w:r>
      <w:r w:rsidR="009C7759">
        <w:rPr>
          <w:lang w:val="fr-FR"/>
        </w:rPr>
        <w:t>’</w:t>
      </w:r>
      <w:r>
        <w:rPr>
          <w:lang w:val="fr-FR"/>
        </w:rPr>
        <w:t>à l</w:t>
      </w:r>
      <w:r w:rsidR="009C7759">
        <w:rPr>
          <w:lang w:val="fr-FR"/>
        </w:rPr>
        <w:t>’</w:t>
      </w:r>
      <w:r>
        <w:rPr>
          <w:lang w:val="fr-FR"/>
        </w:rPr>
        <w:t>accouchement, l</w:t>
      </w:r>
      <w:r w:rsidR="009C7759">
        <w:rPr>
          <w:lang w:val="fr-FR"/>
        </w:rPr>
        <w:t>’</w:t>
      </w:r>
      <w:r>
        <w:rPr>
          <w:lang w:val="fr-FR"/>
        </w:rPr>
        <w:t>État prenant également en charge, en partie ou totalement, leurs cotisations au système de pension de vieillesse ; les personnes qui restent à la maison pour s</w:t>
      </w:r>
      <w:r w:rsidR="009C7759">
        <w:rPr>
          <w:lang w:val="fr-FR"/>
        </w:rPr>
        <w:t>’</w:t>
      </w:r>
      <w:r>
        <w:rPr>
          <w:lang w:val="fr-FR"/>
        </w:rPr>
        <w:t>occuper de leur enfant jusqu</w:t>
      </w:r>
      <w:r w:rsidR="009C7759">
        <w:rPr>
          <w:lang w:val="fr-FR"/>
        </w:rPr>
        <w:t>’</w:t>
      </w:r>
      <w:r>
        <w:rPr>
          <w:lang w:val="fr-FR"/>
        </w:rPr>
        <w:t>à l</w:t>
      </w:r>
      <w:r w:rsidR="009C7759">
        <w:rPr>
          <w:lang w:val="fr-FR"/>
        </w:rPr>
        <w:t>’</w:t>
      </w:r>
      <w:r>
        <w:rPr>
          <w:lang w:val="fr-FR"/>
        </w:rPr>
        <w:t>âge de 3 ans reçoivent une allocation mensuelle de 50</w:t>
      </w:r>
      <w:r w:rsidR="009D5F2F">
        <w:rPr>
          <w:lang w:val="fr-FR"/>
        </w:rPr>
        <w:t> </w:t>
      </w:r>
      <w:r>
        <w:rPr>
          <w:lang w:val="fr-FR"/>
        </w:rPr>
        <w:t>000</w:t>
      </w:r>
      <w:r w:rsidR="009D5F2F">
        <w:rPr>
          <w:lang w:val="fr-FR"/>
        </w:rPr>
        <w:t> </w:t>
      </w:r>
      <w:proofErr w:type="spellStart"/>
      <w:r>
        <w:rPr>
          <w:lang w:val="fr-FR"/>
        </w:rPr>
        <w:t>togrogs</w:t>
      </w:r>
      <w:proofErr w:type="spellEnd"/>
      <w:r>
        <w:rPr>
          <w:lang w:val="fr-FR"/>
        </w:rPr>
        <w:t xml:space="preserve">. </w:t>
      </w:r>
    </w:p>
    <w:p w14:paraId="3866315E" w14:textId="1FC7C84D" w:rsidR="00560776" w:rsidRDefault="00560776" w:rsidP="0040732C">
      <w:pPr>
        <w:pStyle w:val="SingleTxtG"/>
        <w:rPr>
          <w:lang w:val="fr-FR"/>
        </w:rPr>
      </w:pPr>
      <w:r>
        <w:rPr>
          <w:lang w:val="fr-FR"/>
        </w:rPr>
        <w:t>248.</w:t>
      </w:r>
      <w:r>
        <w:rPr>
          <w:lang w:val="fr-FR"/>
        </w:rPr>
        <w:tab/>
        <w:t>La Mongolie a réalisé certains progrès grâce aux efforts qu</w:t>
      </w:r>
      <w:r w:rsidR="009C7759">
        <w:rPr>
          <w:lang w:val="fr-FR"/>
        </w:rPr>
        <w:t>’</w:t>
      </w:r>
      <w:r>
        <w:rPr>
          <w:lang w:val="fr-FR"/>
        </w:rPr>
        <w:t>elle déploie pour appliquer le Pacte ; elle se heurte cependant à plusieurs défis et obstacles en ce qui concerne l</w:t>
      </w:r>
      <w:r w:rsidR="009C7759">
        <w:rPr>
          <w:lang w:val="fr-FR"/>
        </w:rPr>
        <w:t>’</w:t>
      </w:r>
      <w:r>
        <w:rPr>
          <w:lang w:val="fr-FR"/>
        </w:rPr>
        <w:t>évaluation des effets conjugués, stratégiques et sociaux des projets miniers, et l</w:t>
      </w:r>
      <w:r w:rsidR="009C7759">
        <w:rPr>
          <w:lang w:val="fr-FR"/>
        </w:rPr>
        <w:t>’</w:t>
      </w:r>
      <w:r>
        <w:rPr>
          <w:lang w:val="fr-FR"/>
        </w:rPr>
        <w:t>amélioration de la gestion groupée de l</w:t>
      </w:r>
      <w:r w:rsidR="009C7759">
        <w:rPr>
          <w:lang w:val="fr-FR"/>
        </w:rPr>
        <w:t>’</w:t>
      </w:r>
      <w:r>
        <w:rPr>
          <w:lang w:val="fr-FR"/>
        </w:rPr>
        <w:t>eau.</w:t>
      </w:r>
    </w:p>
    <w:p w14:paraId="18F7C062" w14:textId="739C3A27" w:rsidR="00474765" w:rsidRPr="00474765" w:rsidRDefault="00474765" w:rsidP="00474765">
      <w:pPr>
        <w:pStyle w:val="SingleTxtG"/>
        <w:spacing w:before="240" w:after="0"/>
        <w:jc w:val="center"/>
        <w:rPr>
          <w:u w:val="single"/>
        </w:rPr>
      </w:pPr>
      <w:r>
        <w:rPr>
          <w:u w:val="single"/>
        </w:rPr>
        <w:tab/>
      </w:r>
      <w:r>
        <w:rPr>
          <w:u w:val="single"/>
        </w:rPr>
        <w:tab/>
      </w:r>
      <w:r>
        <w:rPr>
          <w:u w:val="single"/>
        </w:rPr>
        <w:tab/>
      </w:r>
    </w:p>
    <w:sectPr w:rsidR="00474765" w:rsidRPr="00474765" w:rsidSect="007750B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3D18F" w14:textId="77777777" w:rsidR="00A2320C" w:rsidRDefault="00A2320C" w:rsidP="00F95C08">
      <w:pPr>
        <w:spacing w:line="240" w:lineRule="auto"/>
      </w:pPr>
    </w:p>
  </w:endnote>
  <w:endnote w:type="continuationSeparator" w:id="0">
    <w:p w14:paraId="6430C541" w14:textId="77777777" w:rsidR="00A2320C" w:rsidRPr="00AC3823" w:rsidRDefault="00A2320C" w:rsidP="00AC3823">
      <w:pPr>
        <w:pStyle w:val="Pieddepage"/>
      </w:pPr>
    </w:p>
  </w:endnote>
  <w:endnote w:type="continuationNotice" w:id="1">
    <w:p w14:paraId="753367E5" w14:textId="77777777" w:rsidR="00A2320C" w:rsidRDefault="00A232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2F46" w14:textId="1ECD1003" w:rsidR="007750B7" w:rsidRPr="007750B7" w:rsidRDefault="007750B7" w:rsidP="007750B7">
    <w:pPr>
      <w:pStyle w:val="Pieddepage"/>
      <w:tabs>
        <w:tab w:val="right" w:pos="9638"/>
      </w:tabs>
    </w:pPr>
    <w:r w:rsidRPr="007750B7">
      <w:rPr>
        <w:b/>
        <w:sz w:val="18"/>
      </w:rPr>
      <w:fldChar w:fldCharType="begin"/>
    </w:r>
    <w:r w:rsidRPr="007750B7">
      <w:rPr>
        <w:b/>
        <w:sz w:val="18"/>
      </w:rPr>
      <w:instrText xml:space="preserve"> PAGE  \* MERGEFORMAT </w:instrText>
    </w:r>
    <w:r w:rsidRPr="007750B7">
      <w:rPr>
        <w:b/>
        <w:sz w:val="18"/>
      </w:rPr>
      <w:fldChar w:fldCharType="separate"/>
    </w:r>
    <w:r w:rsidRPr="007750B7">
      <w:rPr>
        <w:b/>
        <w:noProof/>
        <w:sz w:val="18"/>
      </w:rPr>
      <w:t>2</w:t>
    </w:r>
    <w:r w:rsidRPr="007750B7">
      <w:rPr>
        <w:b/>
        <w:sz w:val="18"/>
      </w:rPr>
      <w:fldChar w:fldCharType="end"/>
    </w:r>
    <w:r>
      <w:rPr>
        <w:b/>
        <w:sz w:val="18"/>
      </w:rPr>
      <w:tab/>
    </w:r>
    <w:r>
      <w:t>GE.22-04124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E656" w14:textId="7C004BE1" w:rsidR="007750B7" w:rsidRPr="007750B7" w:rsidRDefault="007750B7" w:rsidP="007750B7">
    <w:pPr>
      <w:pStyle w:val="Pieddepage"/>
      <w:tabs>
        <w:tab w:val="right" w:pos="9638"/>
      </w:tabs>
      <w:rPr>
        <w:b/>
        <w:sz w:val="18"/>
      </w:rPr>
    </w:pPr>
    <w:r>
      <w:t>GE.22-04124</w:t>
    </w:r>
    <w:r>
      <w:tab/>
    </w:r>
    <w:r w:rsidRPr="007750B7">
      <w:rPr>
        <w:b/>
        <w:sz w:val="18"/>
      </w:rPr>
      <w:fldChar w:fldCharType="begin"/>
    </w:r>
    <w:r w:rsidRPr="007750B7">
      <w:rPr>
        <w:b/>
        <w:sz w:val="18"/>
      </w:rPr>
      <w:instrText xml:space="preserve"> PAGE  \* MERGEFORMAT </w:instrText>
    </w:r>
    <w:r w:rsidRPr="007750B7">
      <w:rPr>
        <w:b/>
        <w:sz w:val="18"/>
      </w:rPr>
      <w:fldChar w:fldCharType="separate"/>
    </w:r>
    <w:r w:rsidRPr="007750B7">
      <w:rPr>
        <w:b/>
        <w:noProof/>
        <w:sz w:val="18"/>
      </w:rPr>
      <w:t>3</w:t>
    </w:r>
    <w:r w:rsidRPr="007750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E52B" w14:textId="2B0DAD6B" w:rsidR="0080236C" w:rsidRPr="007750B7" w:rsidRDefault="007750B7" w:rsidP="007750B7">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1DED2391" wp14:editId="7FAD888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22-04124  (F)</w:t>
    </w:r>
    <w:r>
      <w:rPr>
        <w:noProof/>
        <w:sz w:val="20"/>
      </w:rPr>
      <w:drawing>
        <wp:anchor distT="0" distB="0" distL="114300" distR="114300" simplePos="0" relativeHeight="251660288" behindDoc="0" locked="0" layoutInCell="1" allowOverlap="1" wp14:anchorId="3E1C772B" wp14:editId="00AE7AF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63F7">
      <w:rPr>
        <w:sz w:val="20"/>
      </w:rPr>
      <w:t xml:space="preserve">    120722    150722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F636" w14:textId="77777777" w:rsidR="00A2320C" w:rsidRPr="00AC3823" w:rsidRDefault="00A2320C" w:rsidP="00AC3823">
      <w:pPr>
        <w:pStyle w:val="Pieddepage"/>
        <w:tabs>
          <w:tab w:val="right" w:pos="2155"/>
        </w:tabs>
        <w:spacing w:after="80" w:line="240" w:lineRule="atLeast"/>
        <w:ind w:left="680"/>
        <w:rPr>
          <w:u w:val="single"/>
        </w:rPr>
      </w:pPr>
      <w:r>
        <w:rPr>
          <w:u w:val="single"/>
        </w:rPr>
        <w:tab/>
      </w:r>
    </w:p>
  </w:footnote>
  <w:footnote w:type="continuationSeparator" w:id="0">
    <w:p w14:paraId="7223679E" w14:textId="77777777" w:rsidR="00A2320C" w:rsidRPr="00AC3823" w:rsidRDefault="00A2320C" w:rsidP="00AC3823">
      <w:pPr>
        <w:pStyle w:val="Pieddepage"/>
        <w:tabs>
          <w:tab w:val="right" w:pos="2155"/>
        </w:tabs>
        <w:spacing w:after="80" w:line="240" w:lineRule="atLeast"/>
        <w:ind w:left="680"/>
        <w:rPr>
          <w:u w:val="single"/>
        </w:rPr>
      </w:pPr>
      <w:r>
        <w:rPr>
          <w:u w:val="single"/>
        </w:rPr>
        <w:tab/>
      </w:r>
    </w:p>
  </w:footnote>
  <w:footnote w:type="continuationNotice" w:id="1">
    <w:p w14:paraId="7FD3E21B" w14:textId="77777777" w:rsidR="00A2320C" w:rsidRPr="00AC3823" w:rsidRDefault="00A2320C">
      <w:pPr>
        <w:spacing w:line="240" w:lineRule="auto"/>
        <w:rPr>
          <w:sz w:val="2"/>
          <w:szCs w:val="2"/>
        </w:rPr>
      </w:pPr>
    </w:p>
  </w:footnote>
  <w:footnote w:id="2">
    <w:p w14:paraId="29971DD9" w14:textId="7B3EB728" w:rsidR="005563F7" w:rsidRPr="005563F7" w:rsidRDefault="005563F7">
      <w:pPr>
        <w:pStyle w:val="Notedebasdepage"/>
      </w:pPr>
      <w:r>
        <w:rPr>
          <w:rStyle w:val="Appelnotedebasdep"/>
        </w:rPr>
        <w:tab/>
      </w:r>
      <w:r w:rsidRPr="005563F7">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3">
    <w:p w14:paraId="2B4665E1" w14:textId="3AB9F6A4" w:rsidR="005563F7" w:rsidRPr="005563F7" w:rsidRDefault="005563F7">
      <w:pPr>
        <w:pStyle w:val="Notedebasdepage"/>
      </w:pPr>
      <w:r>
        <w:rPr>
          <w:rStyle w:val="Appelnotedebasdep"/>
        </w:rPr>
        <w:tab/>
      </w:r>
      <w:r w:rsidRPr="005563F7">
        <w:rPr>
          <w:rStyle w:val="Appelnotedebasdep"/>
          <w:sz w:val="20"/>
          <w:vertAlign w:val="baseline"/>
        </w:rPr>
        <w:t>**</w:t>
      </w:r>
      <w:r>
        <w:rPr>
          <w:rStyle w:val="Appelnotedebasdep"/>
          <w:sz w:val="20"/>
          <w:vertAlign w:val="baseline"/>
        </w:rPr>
        <w:tab/>
      </w:r>
      <w:r>
        <w:rPr>
          <w:lang w:val="fr-FR"/>
        </w:rPr>
        <w:t>L’annexe au présent rapport peut être consultée sur la page Web du Comité.</w:t>
      </w:r>
    </w:p>
  </w:footnote>
  <w:footnote w:id="4">
    <w:p w14:paraId="195A0AC5" w14:textId="4C03B82E" w:rsidR="00560776" w:rsidRPr="00C8158A" w:rsidRDefault="00560776" w:rsidP="00560776">
      <w:pPr>
        <w:pStyle w:val="Notedebasdepage"/>
        <w:rPr>
          <w:lang w:val="fr-FR"/>
        </w:rPr>
      </w:pPr>
      <w:r>
        <w:rPr>
          <w:lang w:val="fr-FR"/>
        </w:rPr>
        <w:tab/>
      </w:r>
      <w:r w:rsidRPr="00474DA1">
        <w:rPr>
          <w:rStyle w:val="Appelnotedebasdep"/>
        </w:rPr>
        <w:footnoteRef/>
      </w:r>
      <w:r>
        <w:rPr>
          <w:lang w:val="fr-FR"/>
        </w:rPr>
        <w:tab/>
        <w:t>Cadre budgétaire de 2020 de la Mongolie ; loi sur les hypothèses budgétaires pour 2021-2022.</w:t>
      </w:r>
    </w:p>
  </w:footnote>
  <w:footnote w:id="5">
    <w:p w14:paraId="2E5BD726" w14:textId="6AC5DCAC" w:rsidR="00560776" w:rsidRPr="00C8158A" w:rsidRDefault="00560776" w:rsidP="00560776">
      <w:pPr>
        <w:pStyle w:val="Notedebasdepage"/>
        <w:rPr>
          <w:lang w:val="fr-FR"/>
        </w:rPr>
      </w:pPr>
      <w:r>
        <w:rPr>
          <w:lang w:val="fr-FR"/>
        </w:rPr>
        <w:tab/>
      </w:r>
      <w:r w:rsidRPr="00474DA1">
        <w:rPr>
          <w:rStyle w:val="Appelnotedebasdep"/>
        </w:rPr>
        <w:footnoteRef/>
      </w:r>
      <w:r>
        <w:rPr>
          <w:lang w:val="fr-FR"/>
        </w:rPr>
        <w:tab/>
      </w:r>
      <w:r>
        <w:rPr>
          <w:lang w:val="fr-FR"/>
        </w:rPr>
        <w:tab/>
        <w:t xml:space="preserve">Enquête par sondage sur les indicateurs sociaux </w:t>
      </w:r>
      <w:r w:rsidR="008851D7" w:rsidRPr="00FA2080">
        <w:rPr>
          <w:lang w:val="fr-FR"/>
        </w:rPr>
        <w:t>−</w:t>
      </w:r>
      <w:r>
        <w:rPr>
          <w:lang w:val="fr-FR"/>
        </w:rPr>
        <w:t xml:space="preserve"> 2018, p. 5, infographie.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44F9" w14:textId="43F8D757" w:rsidR="007750B7" w:rsidRPr="007750B7" w:rsidRDefault="005A0FFE">
    <w:pPr>
      <w:pStyle w:val="En-tte"/>
    </w:pPr>
    <w:r>
      <w:fldChar w:fldCharType="begin"/>
    </w:r>
    <w:r>
      <w:instrText xml:space="preserve"> TITLE  \* MERGEFORMAT </w:instrText>
    </w:r>
    <w:r>
      <w:fldChar w:fldCharType="separate"/>
    </w:r>
    <w:r>
      <w:t>E/C.12/MNG/5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30D2" w14:textId="494A8D79" w:rsidR="007750B7" w:rsidRPr="007750B7" w:rsidRDefault="005A0FFE" w:rsidP="007750B7">
    <w:pPr>
      <w:pStyle w:val="En-tte"/>
      <w:jc w:val="right"/>
    </w:pPr>
    <w:r>
      <w:fldChar w:fldCharType="begin"/>
    </w:r>
    <w:r>
      <w:instrText xml:space="preserve"> TITLE  \* MERGEFORMAT </w:instrText>
    </w:r>
    <w:r>
      <w:fldChar w:fldCharType="separate"/>
    </w:r>
    <w:r>
      <w:t>E/C.12/MNG/5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746272388">
    <w:abstractNumId w:val="3"/>
  </w:num>
  <w:num w:numId="2" w16cid:durableId="1382436611">
    <w:abstractNumId w:val="2"/>
  </w:num>
  <w:num w:numId="3" w16cid:durableId="1043292157">
    <w:abstractNumId w:val="1"/>
  </w:num>
  <w:num w:numId="4" w16cid:durableId="92020333">
    <w:abstractNumId w:val="0"/>
  </w:num>
  <w:num w:numId="5" w16cid:durableId="997341845">
    <w:abstractNumId w:val="3"/>
  </w:num>
  <w:num w:numId="6" w16cid:durableId="928193091">
    <w:abstractNumId w:val="3"/>
  </w:num>
  <w:num w:numId="7" w16cid:durableId="68037477">
    <w:abstractNumId w:val="3"/>
  </w:num>
  <w:num w:numId="8" w16cid:durableId="279608028">
    <w:abstractNumId w:val="3"/>
  </w:num>
  <w:num w:numId="9" w16cid:durableId="1569724924">
    <w:abstractNumId w:val="3"/>
  </w:num>
  <w:num w:numId="10" w16cid:durableId="53507856">
    <w:abstractNumId w:val="3"/>
  </w:num>
  <w:num w:numId="11" w16cid:durableId="570116120">
    <w:abstractNumId w:val="3"/>
  </w:num>
  <w:num w:numId="12" w16cid:durableId="2130929086">
    <w:abstractNumId w:val="3"/>
  </w:num>
  <w:num w:numId="13" w16cid:durableId="668749052">
    <w:abstractNumId w:val="3"/>
  </w:num>
  <w:num w:numId="14" w16cid:durableId="365642050">
    <w:abstractNumId w:val="3"/>
  </w:num>
  <w:num w:numId="15" w16cid:durableId="1602294663">
    <w:abstractNumId w:val="3"/>
  </w:num>
  <w:num w:numId="16" w16cid:durableId="600188625">
    <w:abstractNumId w:val="3"/>
  </w:num>
  <w:num w:numId="17" w16cid:durableId="1164857439">
    <w:abstractNumId w:val="3"/>
  </w:num>
  <w:num w:numId="18" w16cid:durableId="1226377171">
    <w:abstractNumId w:val="3"/>
  </w:num>
  <w:num w:numId="19" w16cid:durableId="1075397841">
    <w:abstractNumId w:val="3"/>
  </w:num>
  <w:num w:numId="20" w16cid:durableId="800273705">
    <w:abstractNumId w:val="3"/>
  </w:num>
  <w:num w:numId="21" w16cid:durableId="1063724656">
    <w:abstractNumId w:val="3"/>
  </w:num>
  <w:num w:numId="22" w16cid:durableId="958997921">
    <w:abstractNumId w:val="3"/>
  </w:num>
  <w:num w:numId="23" w16cid:durableId="241913842">
    <w:abstractNumId w:val="3"/>
  </w:num>
  <w:num w:numId="24" w16cid:durableId="185951405">
    <w:abstractNumId w:val="3"/>
  </w:num>
  <w:num w:numId="25" w16cid:durableId="2061632360">
    <w:abstractNumId w:val="3"/>
  </w:num>
  <w:num w:numId="26" w16cid:durableId="1612668637">
    <w:abstractNumId w:val="3"/>
  </w:num>
  <w:num w:numId="27" w16cid:durableId="2015524584">
    <w:abstractNumId w:val="3"/>
  </w:num>
  <w:num w:numId="28" w16cid:durableId="18823159">
    <w:abstractNumId w:val="3"/>
  </w:num>
  <w:num w:numId="29" w16cid:durableId="2057503732">
    <w:abstractNumId w:val="2"/>
  </w:num>
  <w:num w:numId="30" w16cid:durableId="1295647357">
    <w:abstractNumId w:val="2"/>
  </w:num>
  <w:num w:numId="31" w16cid:durableId="151722924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0C"/>
    <w:rsid w:val="000177AA"/>
    <w:rsid w:val="00017F94"/>
    <w:rsid w:val="00023842"/>
    <w:rsid w:val="0002432E"/>
    <w:rsid w:val="000334F9"/>
    <w:rsid w:val="000425C5"/>
    <w:rsid w:val="00046301"/>
    <w:rsid w:val="00053800"/>
    <w:rsid w:val="00065775"/>
    <w:rsid w:val="00073B9D"/>
    <w:rsid w:val="0007796D"/>
    <w:rsid w:val="000B7790"/>
    <w:rsid w:val="000C0570"/>
    <w:rsid w:val="000D04D3"/>
    <w:rsid w:val="000E32C7"/>
    <w:rsid w:val="00110477"/>
    <w:rsid w:val="00111F2F"/>
    <w:rsid w:val="0014365E"/>
    <w:rsid w:val="00166306"/>
    <w:rsid w:val="00174E1C"/>
    <w:rsid w:val="00176178"/>
    <w:rsid w:val="0019079D"/>
    <w:rsid w:val="00197877"/>
    <w:rsid w:val="001C124C"/>
    <w:rsid w:val="001C3868"/>
    <w:rsid w:val="001C4295"/>
    <w:rsid w:val="001F525A"/>
    <w:rsid w:val="001F6365"/>
    <w:rsid w:val="00207B12"/>
    <w:rsid w:val="00223272"/>
    <w:rsid w:val="00227057"/>
    <w:rsid w:val="002424F2"/>
    <w:rsid w:val="002470FD"/>
    <w:rsid w:val="0024779E"/>
    <w:rsid w:val="002515E3"/>
    <w:rsid w:val="00255530"/>
    <w:rsid w:val="00266ACE"/>
    <w:rsid w:val="002832AC"/>
    <w:rsid w:val="002A6560"/>
    <w:rsid w:val="002D63AC"/>
    <w:rsid w:val="002D7C93"/>
    <w:rsid w:val="002E70C0"/>
    <w:rsid w:val="003009E4"/>
    <w:rsid w:val="003057F3"/>
    <w:rsid w:val="003519D8"/>
    <w:rsid w:val="00357EC8"/>
    <w:rsid w:val="0038225C"/>
    <w:rsid w:val="003A7C32"/>
    <w:rsid w:val="003B2166"/>
    <w:rsid w:val="00400617"/>
    <w:rsid w:val="0040732C"/>
    <w:rsid w:val="004135D4"/>
    <w:rsid w:val="00431286"/>
    <w:rsid w:val="00441C3B"/>
    <w:rsid w:val="00446FE5"/>
    <w:rsid w:val="00452396"/>
    <w:rsid w:val="00474765"/>
    <w:rsid w:val="0049444D"/>
    <w:rsid w:val="004B20C9"/>
    <w:rsid w:val="004B4741"/>
    <w:rsid w:val="004E3BE7"/>
    <w:rsid w:val="004E468C"/>
    <w:rsid w:val="004E46CE"/>
    <w:rsid w:val="004E4AD8"/>
    <w:rsid w:val="004F7E31"/>
    <w:rsid w:val="00505F20"/>
    <w:rsid w:val="00517404"/>
    <w:rsid w:val="005178AC"/>
    <w:rsid w:val="0054367B"/>
    <w:rsid w:val="005456BD"/>
    <w:rsid w:val="005505B7"/>
    <w:rsid w:val="005563F7"/>
    <w:rsid w:val="00560776"/>
    <w:rsid w:val="00566E05"/>
    <w:rsid w:val="00573BE5"/>
    <w:rsid w:val="00586ED3"/>
    <w:rsid w:val="00596AA9"/>
    <w:rsid w:val="005A0FFE"/>
    <w:rsid w:val="00603F48"/>
    <w:rsid w:val="0061432F"/>
    <w:rsid w:val="00676250"/>
    <w:rsid w:val="00680452"/>
    <w:rsid w:val="00690E8B"/>
    <w:rsid w:val="006C6637"/>
    <w:rsid w:val="00705366"/>
    <w:rsid w:val="0071601D"/>
    <w:rsid w:val="00717B69"/>
    <w:rsid w:val="00721AED"/>
    <w:rsid w:val="00723A5A"/>
    <w:rsid w:val="007750B7"/>
    <w:rsid w:val="00776979"/>
    <w:rsid w:val="007A62E6"/>
    <w:rsid w:val="007C0412"/>
    <w:rsid w:val="007C1326"/>
    <w:rsid w:val="007F3F1E"/>
    <w:rsid w:val="00802213"/>
    <w:rsid w:val="0080236C"/>
    <w:rsid w:val="0080684C"/>
    <w:rsid w:val="00807741"/>
    <w:rsid w:val="0083318F"/>
    <w:rsid w:val="00871C75"/>
    <w:rsid w:val="008776DC"/>
    <w:rsid w:val="008851D7"/>
    <w:rsid w:val="00891BD0"/>
    <w:rsid w:val="00894301"/>
    <w:rsid w:val="008A34B0"/>
    <w:rsid w:val="008A625F"/>
    <w:rsid w:val="008B138A"/>
    <w:rsid w:val="008F6EE8"/>
    <w:rsid w:val="009112E7"/>
    <w:rsid w:val="00914C4A"/>
    <w:rsid w:val="0094288E"/>
    <w:rsid w:val="00967489"/>
    <w:rsid w:val="009705C8"/>
    <w:rsid w:val="009919D6"/>
    <w:rsid w:val="009A6BAA"/>
    <w:rsid w:val="009A708A"/>
    <w:rsid w:val="009C1CF4"/>
    <w:rsid w:val="009C7759"/>
    <w:rsid w:val="009D3743"/>
    <w:rsid w:val="009D5F2F"/>
    <w:rsid w:val="009E6B9B"/>
    <w:rsid w:val="00A2320C"/>
    <w:rsid w:val="00A30353"/>
    <w:rsid w:val="00A737F5"/>
    <w:rsid w:val="00A7764B"/>
    <w:rsid w:val="00AA42FA"/>
    <w:rsid w:val="00AA7BF2"/>
    <w:rsid w:val="00AC244F"/>
    <w:rsid w:val="00AC2B27"/>
    <w:rsid w:val="00AC3823"/>
    <w:rsid w:val="00AE323C"/>
    <w:rsid w:val="00AE718A"/>
    <w:rsid w:val="00AF290F"/>
    <w:rsid w:val="00B00181"/>
    <w:rsid w:val="00B00B0D"/>
    <w:rsid w:val="00B10651"/>
    <w:rsid w:val="00B67B87"/>
    <w:rsid w:val="00B71946"/>
    <w:rsid w:val="00B765F7"/>
    <w:rsid w:val="00B86776"/>
    <w:rsid w:val="00B90661"/>
    <w:rsid w:val="00BA0CA9"/>
    <w:rsid w:val="00BD55C9"/>
    <w:rsid w:val="00BF5C4E"/>
    <w:rsid w:val="00C02897"/>
    <w:rsid w:val="00C20E19"/>
    <w:rsid w:val="00C374EF"/>
    <w:rsid w:val="00C47A89"/>
    <w:rsid w:val="00C47D05"/>
    <w:rsid w:val="00C55C92"/>
    <w:rsid w:val="00C7181E"/>
    <w:rsid w:val="00C95D95"/>
    <w:rsid w:val="00CE5FC8"/>
    <w:rsid w:val="00CF4B23"/>
    <w:rsid w:val="00D0092F"/>
    <w:rsid w:val="00D03961"/>
    <w:rsid w:val="00D1132A"/>
    <w:rsid w:val="00D26CBE"/>
    <w:rsid w:val="00D3439C"/>
    <w:rsid w:val="00D40589"/>
    <w:rsid w:val="00D46DBA"/>
    <w:rsid w:val="00D504E7"/>
    <w:rsid w:val="00D54C49"/>
    <w:rsid w:val="00D66F93"/>
    <w:rsid w:val="00D75300"/>
    <w:rsid w:val="00D84DAC"/>
    <w:rsid w:val="00DB1831"/>
    <w:rsid w:val="00DC23BB"/>
    <w:rsid w:val="00DC3725"/>
    <w:rsid w:val="00DD3BFD"/>
    <w:rsid w:val="00DD525C"/>
    <w:rsid w:val="00DF03F3"/>
    <w:rsid w:val="00DF1A08"/>
    <w:rsid w:val="00DF6678"/>
    <w:rsid w:val="00E544FF"/>
    <w:rsid w:val="00E83C46"/>
    <w:rsid w:val="00E916C8"/>
    <w:rsid w:val="00E9185B"/>
    <w:rsid w:val="00E92104"/>
    <w:rsid w:val="00E94CB1"/>
    <w:rsid w:val="00EB3C26"/>
    <w:rsid w:val="00EE5D87"/>
    <w:rsid w:val="00EF2E22"/>
    <w:rsid w:val="00F10B0E"/>
    <w:rsid w:val="00F2418C"/>
    <w:rsid w:val="00F27779"/>
    <w:rsid w:val="00F64B2E"/>
    <w:rsid w:val="00F660DF"/>
    <w:rsid w:val="00F677FC"/>
    <w:rsid w:val="00F70096"/>
    <w:rsid w:val="00F95C08"/>
    <w:rsid w:val="00FB540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CB6B0"/>
  <w15:docId w15:val="{4C1000BD-FDF4-48D8-A900-18E0CE5B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uiPriority w:val="9"/>
    <w:qFormat/>
    <w:rsid w:val="00023842"/>
    <w:pPr>
      <w:outlineLvl w:val="1"/>
    </w:pPr>
  </w:style>
  <w:style w:type="paragraph" w:styleId="Titre3">
    <w:name w:val="heading 3"/>
    <w:basedOn w:val="Normal"/>
    <w:next w:val="Normal"/>
    <w:link w:val="Titre3Car"/>
    <w:uiPriority w:val="9"/>
    <w:qFormat/>
    <w:rsid w:val="00023842"/>
    <w:pPr>
      <w:outlineLvl w:val="2"/>
    </w:pPr>
  </w:style>
  <w:style w:type="paragraph" w:styleId="Titre4">
    <w:name w:val="heading 4"/>
    <w:basedOn w:val="Normal"/>
    <w:next w:val="Normal"/>
    <w:link w:val="Titre4Car"/>
    <w:uiPriority w:val="9"/>
    <w:qFormat/>
    <w:rsid w:val="00023842"/>
    <w:pPr>
      <w:outlineLvl w:val="3"/>
    </w:pPr>
  </w:style>
  <w:style w:type="paragraph" w:styleId="Titre5">
    <w:name w:val="heading 5"/>
    <w:basedOn w:val="Normal"/>
    <w:next w:val="Normal"/>
    <w:link w:val="Titre5Car"/>
    <w:uiPriority w:val="9"/>
    <w:semiHidden/>
    <w:qFormat/>
    <w:rsid w:val="00023842"/>
    <w:pPr>
      <w:outlineLvl w:val="4"/>
    </w:pPr>
  </w:style>
  <w:style w:type="paragraph" w:styleId="Titre6">
    <w:name w:val="heading 6"/>
    <w:basedOn w:val="Normal"/>
    <w:next w:val="Normal"/>
    <w:link w:val="Titre6Car"/>
    <w:uiPriority w:val="9"/>
    <w:semiHidden/>
    <w:qFormat/>
    <w:rsid w:val="00023842"/>
    <w:pPr>
      <w:outlineLvl w:val="5"/>
    </w:pPr>
  </w:style>
  <w:style w:type="paragraph" w:styleId="Titre7">
    <w:name w:val="heading 7"/>
    <w:basedOn w:val="Normal"/>
    <w:next w:val="Normal"/>
    <w:link w:val="Titre7Car"/>
    <w:uiPriority w:val="9"/>
    <w:semiHidden/>
    <w:qFormat/>
    <w:rsid w:val="00023842"/>
    <w:pPr>
      <w:outlineLvl w:val="6"/>
    </w:pPr>
  </w:style>
  <w:style w:type="paragraph" w:styleId="Titre8">
    <w:name w:val="heading 8"/>
    <w:basedOn w:val="Normal"/>
    <w:next w:val="Normal"/>
    <w:link w:val="Titre8Car"/>
    <w:uiPriority w:val="9"/>
    <w:semiHidden/>
    <w:qFormat/>
    <w:rsid w:val="00023842"/>
    <w:pPr>
      <w:outlineLvl w:val="7"/>
    </w:pPr>
  </w:style>
  <w:style w:type="paragraph" w:styleId="Titre9">
    <w:name w:val="heading 9"/>
    <w:basedOn w:val="Normal"/>
    <w:next w:val="Normal"/>
    <w:link w:val="Titre9Car"/>
    <w:uiPriority w:val="9"/>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1C3868"/>
    <w:pPr>
      <w:spacing w:line="240" w:lineRule="auto"/>
    </w:pPr>
    <w:rPr>
      <w:sz w:val="16"/>
    </w:rPr>
  </w:style>
  <w:style w:type="character" w:customStyle="1" w:styleId="PieddepageCar">
    <w:name w:val="Pied de page Car"/>
    <w:aliases w:val="3_G Car"/>
    <w:basedOn w:val="Policepardfaut"/>
    <w:link w:val="Pieddepage"/>
    <w:uiPriority w:val="99"/>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
      </w:numPr>
      <w:spacing w:after="120"/>
      <w:ind w:right="1134"/>
      <w:jc w:val="both"/>
    </w:pPr>
  </w:style>
  <w:style w:type="paragraph" w:customStyle="1" w:styleId="Bullet2G">
    <w:name w:val="_Bullet 2_G"/>
    <w:basedOn w:val="Normal"/>
    <w:qFormat/>
    <w:rsid w:val="001C3868"/>
    <w:pPr>
      <w:numPr>
        <w:numId w:val="2"/>
      </w:numPr>
      <w:spacing w:after="120"/>
      <w:ind w:right="1134"/>
      <w:jc w:val="both"/>
    </w:pPr>
  </w:style>
  <w:style w:type="paragraph" w:customStyle="1" w:styleId="ParNoG">
    <w:name w:val="_ParNo_G"/>
    <w:basedOn w:val="Normal"/>
    <w:qFormat/>
    <w:rsid w:val="001C386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uiPriority w:val="9"/>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uiPriority w:val="9"/>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uiPriority w:val="9"/>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uiPriority w:val="9"/>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uiPriority w:val="9"/>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uiPriority w:val="9"/>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uiPriority w:val="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paragraph" w:customStyle="1" w:styleId="ParaNoG">
    <w:name w:val="_ParaNo._G"/>
    <w:basedOn w:val="SingleTxtG"/>
    <w:rsid w:val="00560776"/>
    <w:pPr>
      <w:numPr>
        <w:numId w:val="4"/>
      </w:numPr>
      <w:tabs>
        <w:tab w:val="clear" w:pos="2835"/>
      </w:tabs>
      <w:kinsoku/>
      <w:overflowPunct/>
      <w:autoSpaceDE/>
      <w:autoSpaceDN/>
      <w:adjustRightInd/>
      <w:snapToGrid/>
    </w:pPr>
    <w:rPr>
      <w:rFonts w:eastAsia="SimSun"/>
      <w:lang w:val="en-GB" w:eastAsia="zh-CN"/>
    </w:rPr>
  </w:style>
  <w:style w:type="character" w:customStyle="1" w:styleId="SingleTxtGChar">
    <w:name w:val="_ Single Txt_G Char"/>
    <w:basedOn w:val="Policepardfaut"/>
    <w:link w:val="SingleTxtG"/>
    <w:rsid w:val="00560776"/>
    <w:rPr>
      <w:rFonts w:ascii="Times New Roman" w:eastAsiaTheme="minorHAnsi" w:hAnsi="Times New Roman" w:cs="Times New Roman"/>
      <w:sz w:val="20"/>
      <w:szCs w:val="20"/>
      <w:lang w:eastAsia="en-US"/>
    </w:rPr>
  </w:style>
  <w:style w:type="character" w:styleId="Accentuation">
    <w:name w:val="Emphasis"/>
    <w:uiPriority w:val="20"/>
    <w:qFormat/>
    <w:rsid w:val="00560776"/>
    <w:rPr>
      <w:caps/>
      <w:spacing w:val="5"/>
      <w:sz w:val="20"/>
      <w:szCs w:val="20"/>
    </w:rPr>
  </w:style>
  <w:style w:type="paragraph" w:customStyle="1" w:styleId="Default">
    <w:name w:val="Default"/>
    <w:rsid w:val="00560776"/>
    <w:pPr>
      <w:autoSpaceDE w:val="0"/>
      <w:autoSpaceDN w:val="0"/>
      <w:adjustRightInd w:val="0"/>
      <w:spacing w:line="252" w:lineRule="auto"/>
    </w:pPr>
    <w:rPr>
      <w:rFonts w:asciiTheme="majorHAnsi" w:eastAsiaTheme="majorEastAsia" w:hAnsiTheme="majorHAnsi" w:cstheme="majorBidi"/>
      <w:color w:val="000000"/>
      <w:sz w:val="24"/>
      <w:szCs w:val="24"/>
      <w:lang w:val="en-US" w:eastAsia="fr-FR"/>
    </w:rPr>
  </w:style>
  <w:style w:type="character" w:customStyle="1" w:styleId="Headerorfooter">
    <w:name w:val="Header or footer_"/>
    <w:basedOn w:val="Policepardfaut"/>
    <w:rsid w:val="00560776"/>
    <w:rPr>
      <w:rFonts w:ascii="Arial" w:eastAsia="Arial" w:hAnsi="Arial" w:cs="Arial"/>
      <w:b/>
      <w:bCs/>
      <w:i w:val="0"/>
      <w:iCs w:val="0"/>
      <w:smallCaps w:val="0"/>
      <w:strike w:val="0"/>
      <w:sz w:val="21"/>
      <w:szCs w:val="21"/>
      <w:u w:val="none"/>
    </w:rPr>
  </w:style>
  <w:style w:type="character" w:customStyle="1" w:styleId="Headerorfooter0">
    <w:name w:val="Header or footer"/>
    <w:basedOn w:val="Headerorfooter"/>
    <w:rsid w:val="00560776"/>
    <w:rPr>
      <w:rFonts w:ascii="Arial" w:eastAsia="Arial" w:hAnsi="Arial" w:cs="Arial"/>
      <w:b/>
      <w:bCs/>
      <w:i w:val="0"/>
      <w:iCs w:val="0"/>
      <w:smallCaps w:val="0"/>
      <w:strike w:val="0"/>
      <w:color w:val="000000"/>
      <w:spacing w:val="0"/>
      <w:w w:val="100"/>
      <w:position w:val="0"/>
      <w:sz w:val="21"/>
      <w:szCs w:val="21"/>
      <w:u w:val="none"/>
      <w:lang w:val="mn-MN" w:eastAsia="mn-MN" w:bidi="mn-MN"/>
    </w:rPr>
  </w:style>
  <w:style w:type="paragraph" w:styleId="Sansinterligne">
    <w:name w:val="No Spacing"/>
    <w:basedOn w:val="Normal"/>
    <w:link w:val="SansinterligneCar"/>
    <w:uiPriority w:val="1"/>
    <w:qFormat/>
    <w:rsid w:val="00560776"/>
    <w:pPr>
      <w:suppressAutoHyphens w:val="0"/>
      <w:kinsoku/>
      <w:overflowPunct/>
      <w:autoSpaceDE/>
      <w:autoSpaceDN/>
      <w:adjustRightInd/>
      <w:snapToGrid/>
      <w:spacing w:line="240" w:lineRule="auto"/>
      <w:jc w:val="both"/>
    </w:pPr>
    <w:rPr>
      <w:rFonts w:ascii="Arial" w:eastAsiaTheme="majorEastAsia" w:hAnsi="Arial" w:cstheme="majorBidi"/>
      <w:sz w:val="24"/>
      <w:szCs w:val="22"/>
      <w:lang w:val="mn-MN" w:eastAsia="fr-FR"/>
    </w:rPr>
  </w:style>
  <w:style w:type="character" w:customStyle="1" w:styleId="SansinterligneCar">
    <w:name w:val="Sans interligne Car"/>
    <w:basedOn w:val="Policepardfaut"/>
    <w:link w:val="Sansinterligne"/>
    <w:uiPriority w:val="1"/>
    <w:locked/>
    <w:rsid w:val="00560776"/>
    <w:rPr>
      <w:rFonts w:ascii="Arial" w:eastAsiaTheme="majorEastAsia" w:hAnsi="Arial" w:cstheme="majorBidi"/>
      <w:sz w:val="24"/>
      <w:lang w:val="mn-MN" w:eastAsia="fr-FR"/>
    </w:rPr>
  </w:style>
  <w:style w:type="character" w:customStyle="1" w:styleId="highlight">
    <w:name w:val="highlight"/>
    <w:basedOn w:val="Policepardfaut"/>
    <w:rsid w:val="00560776"/>
  </w:style>
  <w:style w:type="paragraph" w:styleId="Titre">
    <w:name w:val="Title"/>
    <w:basedOn w:val="Normal"/>
    <w:next w:val="Normal"/>
    <w:link w:val="TitreCar"/>
    <w:uiPriority w:val="10"/>
    <w:qFormat/>
    <w:rsid w:val="00560776"/>
    <w:pPr>
      <w:pBdr>
        <w:top w:val="dotted" w:sz="2" w:space="1" w:color="632423" w:themeColor="accent2" w:themeShade="80"/>
        <w:bottom w:val="dotted" w:sz="2" w:space="6" w:color="632423" w:themeColor="accent2" w:themeShade="80"/>
      </w:pBdr>
      <w:suppressAutoHyphens w:val="0"/>
      <w:kinsoku/>
      <w:overflowPunct/>
      <w:autoSpaceDE/>
      <w:autoSpaceDN/>
      <w:adjustRightInd/>
      <w:snapToGrid/>
      <w:spacing w:before="500" w:after="300" w:line="240" w:lineRule="auto"/>
      <w:jc w:val="center"/>
    </w:pPr>
    <w:rPr>
      <w:rFonts w:ascii="Arial" w:eastAsiaTheme="majorEastAsia" w:hAnsi="Arial" w:cstheme="majorBidi"/>
      <w:caps/>
      <w:color w:val="632423" w:themeColor="accent2" w:themeShade="80"/>
      <w:spacing w:val="50"/>
      <w:sz w:val="44"/>
      <w:szCs w:val="44"/>
      <w:lang w:val="mn-MN" w:eastAsia="fr-FR"/>
    </w:rPr>
  </w:style>
  <w:style w:type="character" w:customStyle="1" w:styleId="TitreCar">
    <w:name w:val="Titre Car"/>
    <w:basedOn w:val="Policepardfaut"/>
    <w:link w:val="Titre"/>
    <w:uiPriority w:val="10"/>
    <w:rsid w:val="00560776"/>
    <w:rPr>
      <w:rFonts w:ascii="Arial" w:eastAsiaTheme="majorEastAsia" w:hAnsi="Arial" w:cstheme="majorBidi"/>
      <w:caps/>
      <w:color w:val="632423" w:themeColor="accent2" w:themeShade="80"/>
      <w:spacing w:val="50"/>
      <w:sz w:val="44"/>
      <w:szCs w:val="44"/>
      <w:lang w:val="mn-MN" w:eastAsia="fr-FR"/>
    </w:rPr>
  </w:style>
  <w:style w:type="character" w:styleId="Rfrencelgre">
    <w:name w:val="Subtle Reference"/>
    <w:basedOn w:val="Policepardfaut"/>
    <w:uiPriority w:val="31"/>
    <w:qFormat/>
    <w:rsid w:val="00560776"/>
    <w:rPr>
      <w:rFonts w:asciiTheme="minorHAnsi" w:eastAsiaTheme="minorEastAsia" w:hAnsiTheme="minorHAnsi" w:cstheme="minorBidi"/>
      <w:i/>
      <w:iCs/>
      <w:color w:val="622423" w:themeColor="accent2" w:themeShade="7F"/>
    </w:rPr>
  </w:style>
  <w:style w:type="paragraph" w:styleId="En-ttedetabledesmatires">
    <w:name w:val="TOC Heading"/>
    <w:basedOn w:val="Titre1"/>
    <w:next w:val="Normal"/>
    <w:uiPriority w:val="39"/>
    <w:semiHidden/>
    <w:unhideWhenUsed/>
    <w:qFormat/>
    <w:rsid w:val="00560776"/>
    <w:pPr>
      <w:keepNext w:val="0"/>
      <w:keepLines w:val="0"/>
      <w:tabs>
        <w:tab w:val="clear" w:pos="1701"/>
        <w:tab w:val="clear" w:pos="2268"/>
        <w:tab w:val="clear" w:pos="2835"/>
      </w:tabs>
      <w:suppressAutoHyphens w:val="0"/>
      <w:kinsoku/>
      <w:overflowPunct/>
      <w:autoSpaceDE/>
      <w:autoSpaceDN/>
      <w:adjustRightInd/>
      <w:snapToGrid/>
      <w:spacing w:after="200" w:line="252" w:lineRule="auto"/>
      <w:ind w:left="720" w:hanging="720"/>
      <w:contextualSpacing/>
      <w:jc w:val="both"/>
      <w:outlineLvl w:val="9"/>
    </w:pPr>
    <w:rPr>
      <w:rFonts w:ascii="Arial" w:eastAsiaTheme="majorEastAsia" w:hAnsi="Arial" w:cstheme="majorBidi"/>
      <w:b/>
      <w:bCs/>
      <w:sz w:val="28"/>
      <w:szCs w:val="28"/>
      <w:lang w:val="mn-MN" w:eastAsia="fr-FR" w:bidi="en-US"/>
    </w:rPr>
  </w:style>
  <w:style w:type="paragraph" w:styleId="Rvision">
    <w:name w:val="Revision"/>
    <w:hidden/>
    <w:uiPriority w:val="99"/>
    <w:semiHidden/>
    <w:rsid w:val="00560776"/>
    <w:pPr>
      <w:spacing w:after="0" w:line="240" w:lineRule="auto"/>
    </w:pPr>
    <w:rPr>
      <w:rFonts w:ascii="Arial" w:eastAsiaTheme="majorEastAsia" w:hAnsi="Arial" w:cstheme="majorBidi"/>
      <w:sz w:val="24"/>
      <w:lang w:val="mn-MN" w:eastAsia="fr-FR"/>
    </w:rPr>
  </w:style>
  <w:style w:type="character" w:styleId="Marquedecommentaire">
    <w:name w:val="annotation reference"/>
    <w:basedOn w:val="Policepardfaut"/>
    <w:semiHidden/>
    <w:unhideWhenUsed/>
    <w:rsid w:val="00560776"/>
    <w:rPr>
      <w:sz w:val="16"/>
      <w:szCs w:val="16"/>
    </w:rPr>
  </w:style>
  <w:style w:type="paragraph" w:styleId="Commentaire">
    <w:name w:val="annotation text"/>
    <w:basedOn w:val="Normal"/>
    <w:link w:val="CommentaireCar"/>
    <w:unhideWhenUsed/>
    <w:rsid w:val="00560776"/>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rsid w:val="00560776"/>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semiHidden/>
    <w:unhideWhenUsed/>
    <w:rsid w:val="00560776"/>
    <w:rPr>
      <w:b/>
      <w:bCs/>
    </w:rPr>
  </w:style>
  <w:style w:type="character" w:customStyle="1" w:styleId="ObjetducommentaireCar">
    <w:name w:val="Objet du commentaire Car"/>
    <w:basedOn w:val="CommentaireCar"/>
    <w:link w:val="Objetducommentaire"/>
    <w:semiHidden/>
    <w:rsid w:val="00560776"/>
    <w:rPr>
      <w:rFonts w:ascii="Times New Roman" w:hAnsi="Times New Roman" w:cs="Times New Roman"/>
      <w:b/>
      <w:bCs/>
      <w:sz w:val="20"/>
      <w:szCs w:val="20"/>
      <w:lang w:val="en-GB" w:eastAsia="en-US"/>
    </w:rPr>
  </w:style>
  <w:style w:type="character" w:styleId="Mentionnonrsolue">
    <w:name w:val="Unresolved Mention"/>
    <w:basedOn w:val="Policepardfaut"/>
    <w:uiPriority w:val="99"/>
    <w:semiHidden/>
    <w:unhideWhenUsed/>
    <w:rsid w:val="00560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Sheet3!$A$2</c:f>
              <c:strCache>
                <c:ptCount val="1"/>
                <c:pt idx="0">
                  <c:v>Eligible livestock breeders</c:v>
                </c:pt>
              </c:strCache>
            </c:strRef>
          </c:tx>
          <c:invertIfNegative val="0"/>
          <c:dLbls>
            <c:dLbl>
              <c:idx val="0"/>
              <c:layout>
                <c:manualLayout>
                  <c:x val="8.2250924124753159E-3"/>
                  <c:y val="-4.47898843045547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6D-406C-89C4-6A2340AD340E}"/>
                </c:ext>
              </c:extLst>
            </c:dLbl>
            <c:dLbl>
              <c:idx val="1"/>
              <c:layout>
                <c:manualLayout>
                  <c:x val="8.2250924124752569E-3"/>
                  <c:y val="-4.47898843045547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6D-406C-89C4-6A2340AD340E}"/>
                </c:ext>
              </c:extLst>
            </c:dLbl>
            <c:dLbl>
              <c:idx val="2"/>
              <c:layout>
                <c:manualLayout>
                  <c:x val="-3.2900369649901252E-3"/>
                  <c:y val="-2.98599228697032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6D-406C-89C4-6A2340AD340E}"/>
                </c:ext>
              </c:extLst>
            </c:dLbl>
            <c:dLbl>
              <c:idx val="3"/>
              <c:layout>
                <c:manualLayout>
                  <c:x val="1.6450184824950624E-3"/>
                  <c:y val="-7.46498071742578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6D-406C-89C4-6A2340AD340E}"/>
                </c:ext>
              </c:extLst>
            </c:dLbl>
            <c:dLbl>
              <c:idx val="4"/>
              <c:layout>
                <c:manualLayout>
                  <c:x val="1.6450184824950624E-3"/>
                  <c:y val="-1.49299614348515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E6D-406C-89C4-6A2340AD340E}"/>
                </c:ext>
              </c:extLst>
            </c:dLbl>
            <c:spPr>
              <a:noFill/>
              <a:ln>
                <a:noFill/>
              </a:ln>
              <a:effectLst/>
            </c:spPr>
            <c:txPr>
              <a:bodyPr/>
              <a:lstStyle/>
              <a:p>
                <a:pPr>
                  <a:defRPr sz="1000" b="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Sheet3!$B$1:$F$1</c:f>
              <c:numCache>
                <c:formatCode>General</c:formatCode>
                <c:ptCount val="5"/>
                <c:pt idx="0">
                  <c:v>2015</c:v>
                </c:pt>
                <c:pt idx="1">
                  <c:v>2016</c:v>
                </c:pt>
                <c:pt idx="2">
                  <c:v>2017</c:v>
                </c:pt>
                <c:pt idx="3">
                  <c:v>2018</c:v>
                </c:pt>
                <c:pt idx="4">
                  <c:v>2019</c:v>
                </c:pt>
              </c:numCache>
            </c:numRef>
          </c:cat>
          <c:val>
            <c:numRef>
              <c:f>Sheet3!$B$2:$F$2</c:f>
              <c:numCache>
                <c:formatCode>General</c:formatCode>
                <c:ptCount val="5"/>
                <c:pt idx="0">
                  <c:v>269.2</c:v>
                </c:pt>
                <c:pt idx="1">
                  <c:v>280.5</c:v>
                </c:pt>
                <c:pt idx="2">
                  <c:v>264.10000000000002</c:v>
                </c:pt>
                <c:pt idx="3">
                  <c:v>252.5</c:v>
                </c:pt>
                <c:pt idx="4">
                  <c:v>248.3</c:v>
                </c:pt>
              </c:numCache>
            </c:numRef>
          </c:val>
          <c:extLst>
            <c:ext xmlns:c16="http://schemas.microsoft.com/office/drawing/2014/chart" uri="{C3380CC4-5D6E-409C-BE32-E72D297353CC}">
              <c16:uniqueId val="{00000005-6E6D-406C-89C4-6A2340AD340E}"/>
            </c:ext>
          </c:extLst>
        </c:ser>
        <c:ser>
          <c:idx val="1"/>
          <c:order val="1"/>
          <c:tx>
            <c:strRef>
              <c:f>Sheet3!$A$3</c:f>
              <c:strCache>
                <c:ptCount val="1"/>
                <c:pt idx="0">
                  <c:v>insured livestock breeders</c:v>
                </c:pt>
              </c:strCache>
            </c:strRef>
          </c:tx>
          <c:invertIfNegative val="0"/>
          <c:dLbls>
            <c:dLbl>
              <c:idx val="0"/>
              <c:layout>
                <c:manualLayout>
                  <c:x val="3.0220520149109701E-2"/>
                  <c:y val="-5.6526334208223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E6D-406C-89C4-6A2340AD340E}"/>
                </c:ext>
              </c:extLst>
            </c:dLbl>
            <c:dLbl>
              <c:idx val="1"/>
              <c:layout>
                <c:manualLayout>
                  <c:x val="2.9074439916987844E-2"/>
                  <c:y val="-2.3279790026246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E6D-406C-89C4-6A2340AD340E}"/>
                </c:ext>
              </c:extLst>
            </c:dLbl>
            <c:dLbl>
              <c:idx val="2"/>
              <c:layout>
                <c:manualLayout>
                  <c:x val="2.6320295719920946E-2"/>
                  <c:y val="-4.10573939458419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E6D-406C-89C4-6A2340AD340E}"/>
                </c:ext>
              </c:extLst>
            </c:dLbl>
            <c:dLbl>
              <c:idx val="3"/>
              <c:layout>
                <c:manualLayout>
                  <c:x val="2.7466457907302934E-2"/>
                  <c:y val="-2.61277340332458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E6D-406C-89C4-6A2340AD340E}"/>
                </c:ext>
              </c:extLst>
            </c:dLbl>
            <c:dLbl>
              <c:idx val="4"/>
              <c:layout>
                <c:manualLayout>
                  <c:x val="3.0220520149109701E-2"/>
                  <c:y val="-2.70124234470691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E6D-406C-89C4-6A2340AD340E}"/>
                </c:ext>
              </c:extLst>
            </c:dLbl>
            <c:spPr>
              <a:noFill/>
              <a:ln>
                <a:noFill/>
              </a:ln>
              <a:effectLst/>
            </c:spPr>
            <c:txPr>
              <a:bodyPr/>
              <a:lstStyle/>
              <a:p>
                <a:pPr>
                  <a:defRPr sz="1000" b="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Sheet3!$B$1:$F$1</c:f>
              <c:numCache>
                <c:formatCode>General</c:formatCode>
                <c:ptCount val="5"/>
                <c:pt idx="0">
                  <c:v>2015</c:v>
                </c:pt>
                <c:pt idx="1">
                  <c:v>2016</c:v>
                </c:pt>
                <c:pt idx="2">
                  <c:v>2017</c:v>
                </c:pt>
                <c:pt idx="3">
                  <c:v>2018</c:v>
                </c:pt>
                <c:pt idx="4">
                  <c:v>2019</c:v>
                </c:pt>
              </c:numCache>
            </c:numRef>
          </c:cat>
          <c:val>
            <c:numRef>
              <c:f>Sheet3!$B$3:$F$3</c:f>
              <c:numCache>
                <c:formatCode>General</c:formatCode>
                <c:ptCount val="5"/>
                <c:pt idx="0">
                  <c:v>30.9</c:v>
                </c:pt>
                <c:pt idx="1">
                  <c:v>58.1</c:v>
                </c:pt>
                <c:pt idx="2">
                  <c:v>37.6</c:v>
                </c:pt>
                <c:pt idx="3">
                  <c:v>42.2</c:v>
                </c:pt>
                <c:pt idx="4">
                  <c:v>45.2</c:v>
                </c:pt>
              </c:numCache>
            </c:numRef>
          </c:val>
          <c:extLst>
            <c:ext xmlns:c16="http://schemas.microsoft.com/office/drawing/2014/chart" uri="{C3380CC4-5D6E-409C-BE32-E72D297353CC}">
              <c16:uniqueId val="{0000000B-6E6D-406C-89C4-6A2340AD340E}"/>
            </c:ext>
          </c:extLst>
        </c:ser>
        <c:dLbls>
          <c:showLegendKey val="0"/>
          <c:showVal val="1"/>
          <c:showCatName val="0"/>
          <c:showSerName val="0"/>
          <c:showPercent val="0"/>
          <c:showBubbleSize val="0"/>
        </c:dLbls>
        <c:gapWidth val="150"/>
        <c:shape val="box"/>
        <c:axId val="295108608"/>
        <c:axId val="295110528"/>
        <c:axId val="0"/>
      </c:bar3DChart>
      <c:catAx>
        <c:axId val="295108608"/>
        <c:scaling>
          <c:orientation val="minMax"/>
        </c:scaling>
        <c:delete val="0"/>
        <c:axPos val="b"/>
        <c:numFmt formatCode="General" sourceLinked="1"/>
        <c:majorTickMark val="none"/>
        <c:minorTickMark val="none"/>
        <c:tickLblPos val="nextTo"/>
        <c:txPr>
          <a:bodyPr/>
          <a:lstStyle/>
          <a:p>
            <a:pPr>
              <a:defRPr sz="1000" b="0">
                <a:latin typeface="Arial" panose="020B0604020202020204" pitchFamily="34" charset="0"/>
                <a:cs typeface="Arial" panose="020B0604020202020204" pitchFamily="34" charset="0"/>
              </a:defRPr>
            </a:pPr>
            <a:endParaRPr lang="en-US"/>
          </a:p>
        </c:txPr>
        <c:crossAx val="295110528"/>
        <c:crosses val="autoZero"/>
        <c:auto val="1"/>
        <c:lblAlgn val="ctr"/>
        <c:lblOffset val="100"/>
        <c:noMultiLvlLbl val="0"/>
      </c:catAx>
      <c:valAx>
        <c:axId val="295110528"/>
        <c:scaling>
          <c:orientation val="minMax"/>
        </c:scaling>
        <c:delete val="1"/>
        <c:axPos val="l"/>
        <c:numFmt formatCode="General" sourceLinked="1"/>
        <c:majorTickMark val="none"/>
        <c:minorTickMark val="none"/>
        <c:tickLblPos val="none"/>
        <c:crossAx val="295108608"/>
        <c:crosses val="autoZero"/>
        <c:crossBetween val="between"/>
      </c:valAx>
    </c:plotArea>
    <c:legend>
      <c:legendPos val="t"/>
      <c:legendEntry>
        <c:idx val="0"/>
        <c:txPr>
          <a:bodyPr/>
          <a:lstStyle/>
          <a:p>
            <a:pPr>
              <a:defRPr sz="1100">
                <a:latin typeface="Arial" panose="020B0604020202020204" pitchFamily="34" charset="0"/>
                <a:cs typeface="Arial" panose="020B0604020202020204" pitchFamily="34" charset="0"/>
              </a:defRPr>
            </a:pPr>
            <a:endParaRPr lang="en-US"/>
          </a:p>
        </c:txPr>
      </c:legendEntry>
      <c:legendEntry>
        <c:idx val="1"/>
        <c:txPr>
          <a:bodyPr/>
          <a:lstStyle/>
          <a:p>
            <a:pPr>
              <a:defRPr sz="1100">
                <a:latin typeface="Arial" panose="020B0604020202020204" pitchFamily="34" charset="0"/>
                <a:cs typeface="Arial" panose="020B0604020202020204" pitchFamily="34" charset="0"/>
              </a:defRPr>
            </a:pPr>
            <a:endParaRPr lang="en-US"/>
          </a:p>
        </c:txPr>
      </c:legendEntry>
      <c:overlay val="0"/>
      <c:txPr>
        <a:bodyPr/>
        <a:lstStyle/>
        <a:p>
          <a:pPr>
            <a:defRPr sz="12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48</Pages>
  <Words>25888</Words>
  <Characters>147565</Characters>
  <Application>Microsoft Office Word</Application>
  <DocSecurity>0</DocSecurity>
  <Lines>1229</Lines>
  <Paragraphs>346</Paragraphs>
  <ScaleCrop>false</ScaleCrop>
  <HeadingPairs>
    <vt:vector size="2" baseType="variant">
      <vt:variant>
        <vt:lpstr>Titre</vt:lpstr>
      </vt:variant>
      <vt:variant>
        <vt:i4>1</vt:i4>
      </vt:variant>
    </vt:vector>
  </HeadingPairs>
  <TitlesOfParts>
    <vt:vector size="1" baseType="lpstr">
      <vt:lpstr>E/C.12/MNG/5</vt:lpstr>
    </vt:vector>
  </TitlesOfParts>
  <Company>DCM</Company>
  <LinksUpToDate>false</LinksUpToDate>
  <CharactersWithSpaces>173107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E/C.12/MNG/5</dc:title>
  <dc:subject/>
  <dc:creator>Julien OKRZESIK</dc:creator>
  <cp:keywords/>
  <cp:lastModifiedBy>Julien Okrzesik</cp:lastModifiedBy>
  <cp:revision>3</cp:revision>
  <cp:lastPrinted>2022-07-15T09:38:00Z</cp:lastPrinted>
  <dcterms:created xsi:type="dcterms:W3CDTF">2022-07-15T09:38:00Z</dcterms:created>
  <dcterms:modified xsi:type="dcterms:W3CDTF">2022-07-15T09:38:00Z</dcterms:modified>
</cp:coreProperties>
</file>