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647DDC" w14:paraId="04CFBAE2" w14:textId="77777777" w:rsidTr="008F7EA5">
        <w:trPr>
          <w:trHeight w:hRule="exact" w:val="851"/>
        </w:trPr>
        <w:tc>
          <w:tcPr>
            <w:tcW w:w="1276" w:type="dxa"/>
            <w:tcBorders>
              <w:bottom w:val="single" w:sz="4" w:space="0" w:color="auto"/>
            </w:tcBorders>
          </w:tcPr>
          <w:p w14:paraId="6752455D" w14:textId="77777777" w:rsidR="00060E82" w:rsidRPr="00DB58B5" w:rsidRDefault="00060E82" w:rsidP="008F7EA5"/>
        </w:tc>
        <w:tc>
          <w:tcPr>
            <w:tcW w:w="2268" w:type="dxa"/>
            <w:tcBorders>
              <w:bottom w:val="single" w:sz="4" w:space="0" w:color="auto"/>
            </w:tcBorders>
            <w:vAlign w:val="bottom"/>
          </w:tcPr>
          <w:p w14:paraId="5A3BE137" w14:textId="77777777" w:rsidR="00060E82" w:rsidRPr="00647DDC" w:rsidRDefault="00060E82" w:rsidP="008F7EA5">
            <w:pPr>
              <w:spacing w:after="80" w:line="300" w:lineRule="exact"/>
              <w:rPr>
                <w:sz w:val="28"/>
              </w:rPr>
            </w:pPr>
            <w:r w:rsidRPr="00647DDC">
              <w:rPr>
                <w:sz w:val="28"/>
              </w:rPr>
              <w:t>Nations Unies</w:t>
            </w:r>
          </w:p>
        </w:tc>
        <w:tc>
          <w:tcPr>
            <w:tcW w:w="6095" w:type="dxa"/>
            <w:gridSpan w:val="2"/>
            <w:tcBorders>
              <w:bottom w:val="single" w:sz="4" w:space="0" w:color="auto"/>
            </w:tcBorders>
            <w:vAlign w:val="bottom"/>
          </w:tcPr>
          <w:p w14:paraId="463BF26B" w14:textId="4D9C0747" w:rsidR="00060E82" w:rsidRPr="00647DDC" w:rsidRDefault="00BD788C" w:rsidP="00BD788C">
            <w:pPr>
              <w:jc w:val="right"/>
            </w:pPr>
            <w:r w:rsidRPr="00647DDC">
              <w:rPr>
                <w:sz w:val="40"/>
              </w:rPr>
              <w:t>E</w:t>
            </w:r>
            <w:r w:rsidRPr="00647DDC">
              <w:t>/C.12/66/D/20/2017</w:t>
            </w:r>
          </w:p>
        </w:tc>
      </w:tr>
      <w:tr w:rsidR="00060E82" w:rsidRPr="00647DDC" w14:paraId="5D636B5D" w14:textId="77777777" w:rsidTr="008F7EA5">
        <w:trPr>
          <w:trHeight w:hRule="exact" w:val="2835"/>
        </w:trPr>
        <w:tc>
          <w:tcPr>
            <w:tcW w:w="1276" w:type="dxa"/>
            <w:tcBorders>
              <w:top w:val="single" w:sz="4" w:space="0" w:color="auto"/>
              <w:bottom w:val="single" w:sz="12" w:space="0" w:color="auto"/>
            </w:tcBorders>
          </w:tcPr>
          <w:p w14:paraId="30411292" w14:textId="77777777" w:rsidR="00060E82" w:rsidRPr="00647DDC" w:rsidRDefault="000F084D" w:rsidP="008F7EA5">
            <w:pPr>
              <w:spacing w:before="120"/>
              <w:jc w:val="center"/>
            </w:pPr>
            <w:r w:rsidRPr="00647DDC">
              <w:rPr>
                <w:noProof/>
                <w:lang w:val="en-GB" w:eastAsia="en-GB"/>
              </w:rPr>
              <w:drawing>
                <wp:inline distT="0" distB="0" distL="0" distR="0" wp14:anchorId="7BB4ED2F" wp14:editId="66FC2CAB">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7233CB" w14:textId="77777777" w:rsidR="00060E82" w:rsidRPr="00647DDC" w:rsidRDefault="00BD788C" w:rsidP="008F7EA5">
            <w:pPr>
              <w:spacing w:before="120" w:line="460" w:lineRule="exact"/>
              <w:rPr>
                <w:b/>
                <w:sz w:val="40"/>
                <w:szCs w:val="40"/>
              </w:rPr>
            </w:pPr>
            <w:r w:rsidRPr="00647DDC">
              <w:rPr>
                <w:b/>
                <w:sz w:val="40"/>
                <w:szCs w:val="40"/>
              </w:rPr>
              <w:t>Conseil économique et social</w:t>
            </w:r>
          </w:p>
        </w:tc>
        <w:tc>
          <w:tcPr>
            <w:tcW w:w="2835" w:type="dxa"/>
            <w:tcBorders>
              <w:top w:val="single" w:sz="4" w:space="0" w:color="auto"/>
              <w:bottom w:val="single" w:sz="12" w:space="0" w:color="auto"/>
            </w:tcBorders>
          </w:tcPr>
          <w:p w14:paraId="7739DAE5" w14:textId="4AE4C9A2" w:rsidR="00060E82" w:rsidRPr="00647DDC" w:rsidRDefault="00BD788C" w:rsidP="00BD788C">
            <w:pPr>
              <w:spacing w:before="240" w:line="240" w:lineRule="exact"/>
            </w:pPr>
            <w:proofErr w:type="spellStart"/>
            <w:r w:rsidRPr="00647DDC">
              <w:t>Distr</w:t>
            </w:r>
            <w:proofErr w:type="spellEnd"/>
            <w:r w:rsidRPr="00647DDC">
              <w:t xml:space="preserve">. </w:t>
            </w:r>
            <w:r w:rsidR="00441270" w:rsidRPr="00647DDC">
              <w:t>g</w:t>
            </w:r>
            <w:r w:rsidR="003D4FF5" w:rsidRPr="00647DDC">
              <w:t>éné</w:t>
            </w:r>
            <w:r w:rsidR="00441270" w:rsidRPr="00647DDC">
              <w:t>ral</w:t>
            </w:r>
            <w:r w:rsidR="003D4FF5" w:rsidRPr="00647DDC">
              <w:t>e</w:t>
            </w:r>
          </w:p>
          <w:p w14:paraId="018F6F78" w14:textId="3A50C8D9" w:rsidR="00BD788C" w:rsidRPr="00647DDC" w:rsidRDefault="00412D57" w:rsidP="0094671A">
            <w:pPr>
              <w:spacing w:line="240" w:lineRule="exact"/>
            </w:pPr>
            <w:r>
              <w:t>1</w:t>
            </w:r>
            <w:r w:rsidR="00667518" w:rsidRPr="0094671A">
              <w:rPr>
                <w:vertAlign w:val="superscript"/>
              </w:rPr>
              <w:t>er</w:t>
            </w:r>
            <w:r w:rsidR="00667518">
              <w:t xml:space="preserve"> </w:t>
            </w:r>
            <w:r w:rsidR="00AF6EF8">
              <w:t xml:space="preserve">novembre </w:t>
            </w:r>
            <w:r w:rsidR="00BD788C" w:rsidRPr="00412D57">
              <w:t>2019</w:t>
            </w:r>
          </w:p>
          <w:p w14:paraId="76B3EDD6" w14:textId="77777777" w:rsidR="00BD788C" w:rsidRPr="00647DDC" w:rsidRDefault="00BD788C" w:rsidP="00BD788C">
            <w:pPr>
              <w:spacing w:line="240" w:lineRule="exact"/>
            </w:pPr>
          </w:p>
          <w:p w14:paraId="6FB82121" w14:textId="77777777" w:rsidR="00BD788C" w:rsidRPr="00647DDC" w:rsidRDefault="00BD788C" w:rsidP="00BD788C">
            <w:pPr>
              <w:spacing w:line="240" w:lineRule="exact"/>
            </w:pPr>
            <w:r w:rsidRPr="00647DDC">
              <w:t>Original : français</w:t>
            </w:r>
          </w:p>
          <w:p w14:paraId="05DBD412" w14:textId="48360B2B" w:rsidR="00BD788C" w:rsidRPr="00647DDC" w:rsidRDefault="00BD788C" w:rsidP="00BD788C">
            <w:pPr>
              <w:spacing w:line="240" w:lineRule="exact"/>
            </w:pPr>
          </w:p>
        </w:tc>
      </w:tr>
    </w:tbl>
    <w:p w14:paraId="4A1AAACC" w14:textId="77777777" w:rsidR="00BD788C" w:rsidRPr="00647DDC" w:rsidRDefault="00BD788C" w:rsidP="00BD788C">
      <w:pPr>
        <w:spacing w:before="120"/>
        <w:rPr>
          <w:b/>
          <w:sz w:val="24"/>
          <w:szCs w:val="24"/>
        </w:rPr>
      </w:pPr>
      <w:r w:rsidRPr="00647DDC">
        <w:rPr>
          <w:b/>
          <w:sz w:val="24"/>
          <w:szCs w:val="24"/>
        </w:rPr>
        <w:t>Comité des droits économiques, sociaux et culturels</w:t>
      </w:r>
    </w:p>
    <w:p w14:paraId="2487A493" w14:textId="1B7966F3" w:rsidR="00BD788C" w:rsidRPr="0094671A" w:rsidRDefault="00BD788C" w:rsidP="0094671A">
      <w:pPr>
        <w:pStyle w:val="HChG"/>
      </w:pPr>
      <w:r w:rsidRPr="0094671A">
        <w:tab/>
      </w:r>
      <w:r w:rsidRPr="0094671A">
        <w:tab/>
      </w:r>
      <w:r w:rsidR="00574FA1" w:rsidRPr="0094671A">
        <w:t>Décision adoptée par le Comité en vertu du Protocole f</w:t>
      </w:r>
      <w:r w:rsidR="00FA5270" w:rsidRPr="0094671A">
        <w:t>acultatif se rapportant au Pact</w:t>
      </w:r>
      <w:r w:rsidR="00574FA1" w:rsidRPr="0094671A">
        <w:t>e</w:t>
      </w:r>
      <w:r w:rsidR="00C51CD7" w:rsidRPr="0094671A">
        <w:t xml:space="preserve"> international relatif </w:t>
      </w:r>
      <w:r w:rsidR="00C51CD7" w:rsidRPr="0094671A">
        <w:br/>
        <w:t>aux droits économiques, sociaux et culturels</w:t>
      </w:r>
      <w:r w:rsidR="00574FA1" w:rsidRPr="0094671A">
        <w:t xml:space="preserve">, concernant </w:t>
      </w:r>
      <w:r w:rsidR="00900E42" w:rsidRPr="0094671A">
        <w:br/>
      </w:r>
      <w:r w:rsidR="00574FA1" w:rsidRPr="0094671A">
        <w:t>la c</w:t>
      </w:r>
      <w:r w:rsidRPr="0094671A">
        <w:t>ommunication n</w:t>
      </w:r>
      <w:r w:rsidRPr="0094671A">
        <w:rPr>
          <w:vertAlign w:val="superscript"/>
        </w:rPr>
        <w:t>o</w:t>
      </w:r>
      <w:r w:rsidR="00667518">
        <w:t> </w:t>
      </w:r>
      <w:r w:rsidRPr="0094671A">
        <w:t>20/2017</w:t>
      </w:r>
      <w:r w:rsidR="00C05BE0" w:rsidRPr="0094671A">
        <w:rPr>
          <w:rStyle w:val="Appelnotedebasdep"/>
          <w:b w:val="0"/>
          <w:bCs/>
          <w:sz w:val="20"/>
          <w:vertAlign w:val="baseline"/>
        </w:rPr>
        <w:footnoteReference w:customMarkFollows="1" w:id="2"/>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D788C" w:rsidRPr="00647DDC" w14:paraId="1EBF53D8" w14:textId="77777777" w:rsidTr="0094671A">
        <w:tc>
          <w:tcPr>
            <w:tcW w:w="3402" w:type="dxa"/>
          </w:tcPr>
          <w:p w14:paraId="02C15BB2" w14:textId="77777777" w:rsidR="00BD788C" w:rsidRPr="00647DDC" w:rsidRDefault="00BD788C" w:rsidP="00694327">
            <w:pPr>
              <w:pStyle w:val="SingleTxtG"/>
              <w:ind w:left="0" w:right="0"/>
              <w:jc w:val="left"/>
              <w:rPr>
                <w:i/>
              </w:rPr>
            </w:pPr>
            <w:r w:rsidRPr="00647DDC">
              <w:rPr>
                <w:i/>
              </w:rPr>
              <w:t>Communication présentée par</w:t>
            </w:r>
            <w:r w:rsidRPr="00647DDC">
              <w:t> :</w:t>
            </w:r>
          </w:p>
        </w:tc>
        <w:tc>
          <w:tcPr>
            <w:tcW w:w="3969" w:type="dxa"/>
          </w:tcPr>
          <w:p w14:paraId="4EE7694B" w14:textId="2F5CBDE9" w:rsidR="00BD788C" w:rsidRPr="00647DDC" w:rsidRDefault="00BD788C" w:rsidP="0094671A">
            <w:pPr>
              <w:pStyle w:val="SingleTxtG"/>
              <w:ind w:left="0" w:right="0"/>
              <w:jc w:val="left"/>
            </w:pPr>
            <w:r w:rsidRPr="00647DDC">
              <w:rPr>
                <w:lang w:val="fr-FR" w:eastAsia="es-ES"/>
              </w:rPr>
              <w:t>M</w:t>
            </w:r>
            <w:r w:rsidR="006C3429" w:rsidRPr="00647DDC">
              <w:rPr>
                <w:lang w:val="fr-FR" w:eastAsia="es-ES"/>
              </w:rPr>
              <w:t>.</w:t>
            </w:r>
            <w:r w:rsidRPr="00647DDC">
              <w:rPr>
                <w:lang w:val="fr-FR" w:eastAsia="es-ES"/>
              </w:rPr>
              <w:t xml:space="preserve"> L</w:t>
            </w:r>
            <w:r w:rsidR="006C3429" w:rsidRPr="00647DDC">
              <w:rPr>
                <w:lang w:val="fr-FR" w:eastAsia="es-ES"/>
              </w:rPr>
              <w:t>.</w:t>
            </w:r>
            <w:r w:rsidRPr="00647DDC">
              <w:rPr>
                <w:lang w:val="fr-FR" w:eastAsia="es-ES"/>
              </w:rPr>
              <w:t xml:space="preserve"> B</w:t>
            </w:r>
            <w:r w:rsidR="006C3429" w:rsidRPr="00647DDC">
              <w:rPr>
                <w:lang w:val="fr-FR" w:eastAsia="es-ES"/>
              </w:rPr>
              <w:t>.</w:t>
            </w:r>
            <w:r w:rsidRPr="00647DDC">
              <w:rPr>
                <w:lang w:val="fr-FR" w:eastAsia="es-ES"/>
              </w:rPr>
              <w:t xml:space="preserve"> (représenté par</w:t>
            </w:r>
            <w:r w:rsidRPr="00647DDC">
              <w:t xml:space="preserve"> </w:t>
            </w:r>
            <w:r w:rsidR="00C51CD7" w:rsidRPr="00647DDC">
              <w:t xml:space="preserve">un conseil, </w:t>
            </w:r>
            <w:r w:rsidRPr="00647DDC">
              <w:rPr>
                <w:lang w:val="fr-FR" w:eastAsia="es-ES"/>
              </w:rPr>
              <w:t>Frédéric Fabre)</w:t>
            </w:r>
          </w:p>
        </w:tc>
      </w:tr>
      <w:tr w:rsidR="00BD788C" w:rsidRPr="00647DDC" w14:paraId="38ECE4BE" w14:textId="77777777" w:rsidTr="0094671A">
        <w:tc>
          <w:tcPr>
            <w:tcW w:w="3402" w:type="dxa"/>
          </w:tcPr>
          <w:p w14:paraId="2D0037AC" w14:textId="77777777" w:rsidR="00BD788C" w:rsidRPr="00647DDC" w:rsidRDefault="00BD788C" w:rsidP="00694327">
            <w:pPr>
              <w:pStyle w:val="SingleTxtG"/>
              <w:ind w:left="0" w:right="0"/>
              <w:jc w:val="left"/>
              <w:rPr>
                <w:i/>
              </w:rPr>
            </w:pPr>
            <w:r w:rsidRPr="00647DDC">
              <w:rPr>
                <w:i/>
              </w:rPr>
              <w:t>Au nom de</w:t>
            </w:r>
            <w:r w:rsidRPr="00647DDC">
              <w:t> :</w:t>
            </w:r>
          </w:p>
        </w:tc>
        <w:tc>
          <w:tcPr>
            <w:tcW w:w="3969" w:type="dxa"/>
          </w:tcPr>
          <w:p w14:paraId="7C648FC8" w14:textId="77777777" w:rsidR="00BD788C" w:rsidRPr="00647DDC" w:rsidRDefault="00BD788C" w:rsidP="0094671A">
            <w:pPr>
              <w:pStyle w:val="SingleTxtG"/>
              <w:ind w:left="0" w:right="0"/>
              <w:jc w:val="left"/>
            </w:pPr>
            <w:r w:rsidRPr="00647DDC">
              <w:t>L’auteur</w:t>
            </w:r>
          </w:p>
        </w:tc>
      </w:tr>
      <w:tr w:rsidR="00BD788C" w:rsidRPr="00647DDC" w14:paraId="0813F3CA" w14:textId="77777777" w:rsidTr="0094671A">
        <w:tc>
          <w:tcPr>
            <w:tcW w:w="3402" w:type="dxa"/>
          </w:tcPr>
          <w:p w14:paraId="731014E0" w14:textId="77777777" w:rsidR="00BD788C" w:rsidRPr="00647DDC" w:rsidRDefault="00BD788C" w:rsidP="00694327">
            <w:pPr>
              <w:pStyle w:val="SingleTxtG"/>
              <w:ind w:left="0" w:right="0"/>
              <w:jc w:val="left"/>
              <w:rPr>
                <w:i/>
              </w:rPr>
            </w:pPr>
            <w:r w:rsidRPr="00647DDC">
              <w:rPr>
                <w:i/>
              </w:rPr>
              <w:t>État partie</w:t>
            </w:r>
            <w:r w:rsidRPr="00647DDC">
              <w:t> :</w:t>
            </w:r>
          </w:p>
        </w:tc>
        <w:tc>
          <w:tcPr>
            <w:tcW w:w="3969" w:type="dxa"/>
          </w:tcPr>
          <w:p w14:paraId="4AFDDCFF" w14:textId="77777777" w:rsidR="00BD788C" w:rsidRPr="00647DDC" w:rsidRDefault="00BD788C" w:rsidP="0094671A">
            <w:pPr>
              <w:pStyle w:val="SingleTxtG"/>
              <w:ind w:left="0" w:right="0"/>
              <w:jc w:val="left"/>
            </w:pPr>
            <w:r w:rsidRPr="00647DDC">
              <w:t>Luxembourg</w:t>
            </w:r>
          </w:p>
        </w:tc>
      </w:tr>
      <w:tr w:rsidR="00BD788C" w:rsidRPr="00647DDC" w14:paraId="6DCA2276" w14:textId="77777777" w:rsidTr="0094671A">
        <w:tc>
          <w:tcPr>
            <w:tcW w:w="3402" w:type="dxa"/>
          </w:tcPr>
          <w:p w14:paraId="007C3500" w14:textId="77777777" w:rsidR="00BD788C" w:rsidRPr="00647DDC" w:rsidRDefault="00BD788C" w:rsidP="00694327">
            <w:pPr>
              <w:pStyle w:val="SingleTxtG"/>
              <w:ind w:left="0" w:right="0"/>
              <w:jc w:val="left"/>
              <w:rPr>
                <w:i/>
              </w:rPr>
            </w:pPr>
            <w:r w:rsidRPr="00647DDC">
              <w:rPr>
                <w:i/>
              </w:rPr>
              <w:t>Date de la communication</w:t>
            </w:r>
            <w:r w:rsidRPr="00647DDC">
              <w:t> :</w:t>
            </w:r>
          </w:p>
        </w:tc>
        <w:tc>
          <w:tcPr>
            <w:tcW w:w="3969" w:type="dxa"/>
          </w:tcPr>
          <w:p w14:paraId="3809DF59" w14:textId="77777777" w:rsidR="00BD788C" w:rsidRPr="00647DDC" w:rsidRDefault="00BD788C" w:rsidP="0094671A">
            <w:pPr>
              <w:pStyle w:val="SingleTxtG"/>
              <w:ind w:left="0" w:right="0"/>
              <w:jc w:val="left"/>
            </w:pPr>
            <w:r w:rsidRPr="00647DDC">
              <w:t>28 novembre 2016</w:t>
            </w:r>
          </w:p>
        </w:tc>
      </w:tr>
      <w:tr w:rsidR="00BD788C" w:rsidRPr="00647DDC" w14:paraId="38FA0797" w14:textId="77777777" w:rsidTr="0094671A">
        <w:tc>
          <w:tcPr>
            <w:tcW w:w="3402" w:type="dxa"/>
          </w:tcPr>
          <w:p w14:paraId="7E98F8F5" w14:textId="13EE60E6" w:rsidR="00BD788C" w:rsidRPr="00647DDC" w:rsidRDefault="00BD788C" w:rsidP="00C51CD7">
            <w:pPr>
              <w:pStyle w:val="SingleTxtG"/>
              <w:ind w:left="0" w:right="0"/>
              <w:jc w:val="left"/>
              <w:rPr>
                <w:i/>
              </w:rPr>
            </w:pPr>
            <w:r w:rsidRPr="00647DDC">
              <w:rPr>
                <w:i/>
              </w:rPr>
              <w:t xml:space="preserve">Date </w:t>
            </w:r>
            <w:r w:rsidR="00C51CD7" w:rsidRPr="00647DDC">
              <w:rPr>
                <w:i/>
              </w:rPr>
              <w:t>d’adoption de la décision</w:t>
            </w:r>
            <w:r w:rsidRPr="00647DDC">
              <w:t> :</w:t>
            </w:r>
          </w:p>
        </w:tc>
        <w:tc>
          <w:tcPr>
            <w:tcW w:w="3969" w:type="dxa"/>
            <w:vAlign w:val="bottom"/>
          </w:tcPr>
          <w:p w14:paraId="4D93C504" w14:textId="3B081572" w:rsidR="00BD788C" w:rsidRPr="00647DDC" w:rsidRDefault="00FA5270" w:rsidP="0094671A">
            <w:pPr>
              <w:pStyle w:val="SingleTxtG"/>
              <w:ind w:left="0" w:right="0"/>
              <w:jc w:val="left"/>
            </w:pPr>
            <w:r w:rsidRPr="00647DDC">
              <w:t>11</w:t>
            </w:r>
            <w:r w:rsidR="00BD788C" w:rsidRPr="00647DDC">
              <w:t xml:space="preserve"> octobre 2019</w:t>
            </w:r>
          </w:p>
        </w:tc>
      </w:tr>
      <w:tr w:rsidR="00BD788C" w:rsidRPr="00647DDC" w14:paraId="6558B20F" w14:textId="77777777" w:rsidTr="0094671A">
        <w:tc>
          <w:tcPr>
            <w:tcW w:w="3402" w:type="dxa"/>
          </w:tcPr>
          <w:p w14:paraId="6B01FD3A" w14:textId="77777777" w:rsidR="00BD788C" w:rsidRPr="00647DDC" w:rsidRDefault="00BD788C" w:rsidP="00694327">
            <w:pPr>
              <w:pStyle w:val="SingleTxtG"/>
              <w:ind w:left="0" w:right="0"/>
              <w:jc w:val="left"/>
            </w:pPr>
            <w:r w:rsidRPr="00647DDC">
              <w:rPr>
                <w:i/>
              </w:rPr>
              <w:t>Objet</w:t>
            </w:r>
            <w:r w:rsidRPr="00647DDC">
              <w:t> :</w:t>
            </w:r>
          </w:p>
        </w:tc>
        <w:tc>
          <w:tcPr>
            <w:tcW w:w="3402" w:type="dxa"/>
            <w:vAlign w:val="bottom"/>
          </w:tcPr>
          <w:p w14:paraId="465C7DF3" w14:textId="77777777" w:rsidR="00BD788C" w:rsidRPr="00647DDC" w:rsidRDefault="00BD788C" w:rsidP="0094671A">
            <w:pPr>
              <w:pStyle w:val="SingleTxtG"/>
              <w:ind w:left="0" w:right="0"/>
              <w:jc w:val="left"/>
            </w:pPr>
            <w:r w:rsidRPr="00647DDC">
              <w:t>Licenciement d’un délégué syndical</w:t>
            </w:r>
          </w:p>
        </w:tc>
      </w:tr>
      <w:tr w:rsidR="00BD788C" w:rsidRPr="00647DDC" w14:paraId="098EBA93" w14:textId="77777777" w:rsidTr="0094671A">
        <w:tc>
          <w:tcPr>
            <w:tcW w:w="3402" w:type="dxa"/>
          </w:tcPr>
          <w:p w14:paraId="16B3E10A" w14:textId="6E967B63" w:rsidR="00BD788C" w:rsidRPr="00647DDC" w:rsidRDefault="00BD788C" w:rsidP="00694327">
            <w:pPr>
              <w:pStyle w:val="SingleTxtG"/>
              <w:ind w:left="0" w:right="0"/>
              <w:jc w:val="left"/>
            </w:pPr>
            <w:r w:rsidRPr="00647DDC">
              <w:rPr>
                <w:i/>
              </w:rPr>
              <w:t>Question</w:t>
            </w:r>
            <w:r w:rsidR="00C51CD7" w:rsidRPr="00647DDC">
              <w:rPr>
                <w:i/>
              </w:rPr>
              <w:t>(</w:t>
            </w:r>
            <w:r w:rsidRPr="00647DDC">
              <w:rPr>
                <w:i/>
              </w:rPr>
              <w:t>s</w:t>
            </w:r>
            <w:r w:rsidR="00C51CD7" w:rsidRPr="00647DDC">
              <w:rPr>
                <w:i/>
              </w:rPr>
              <w:t>)</w:t>
            </w:r>
            <w:r w:rsidRPr="00647DDC">
              <w:rPr>
                <w:i/>
              </w:rPr>
              <w:t xml:space="preserve"> de procédure</w:t>
            </w:r>
            <w:r w:rsidRPr="00647DDC">
              <w:t> :</w:t>
            </w:r>
          </w:p>
        </w:tc>
        <w:tc>
          <w:tcPr>
            <w:tcW w:w="3402" w:type="dxa"/>
            <w:vAlign w:val="bottom"/>
          </w:tcPr>
          <w:p w14:paraId="0DCCEC37" w14:textId="627D9CF5" w:rsidR="00BD788C" w:rsidRPr="00647DDC" w:rsidRDefault="00BD788C" w:rsidP="0094671A">
            <w:pPr>
              <w:pStyle w:val="SingleTxtG"/>
              <w:ind w:left="0" w:right="0"/>
              <w:jc w:val="left"/>
            </w:pPr>
            <w:r w:rsidRPr="00647DDC">
              <w:rPr>
                <w:lang w:val="fr-FR" w:eastAsia="es-ES"/>
              </w:rPr>
              <w:t xml:space="preserve">Épuisement des voies de recours internes ; compétence </w:t>
            </w:r>
            <w:proofErr w:type="spellStart"/>
            <w:r w:rsidRPr="00647DDC">
              <w:rPr>
                <w:i/>
                <w:lang w:val="fr-FR" w:eastAsia="es-ES"/>
              </w:rPr>
              <w:t>ratione</w:t>
            </w:r>
            <w:proofErr w:type="spellEnd"/>
            <w:r w:rsidRPr="00647DDC">
              <w:rPr>
                <w:i/>
                <w:lang w:val="fr-FR" w:eastAsia="es-ES"/>
              </w:rPr>
              <w:t xml:space="preserve"> </w:t>
            </w:r>
            <w:proofErr w:type="spellStart"/>
            <w:r w:rsidRPr="00647DDC">
              <w:rPr>
                <w:i/>
                <w:lang w:val="fr-FR" w:eastAsia="es-ES"/>
              </w:rPr>
              <w:t>temporis</w:t>
            </w:r>
            <w:proofErr w:type="spellEnd"/>
            <w:r w:rsidRPr="00647DDC">
              <w:rPr>
                <w:i/>
                <w:lang w:val="fr-FR" w:eastAsia="es-ES"/>
              </w:rPr>
              <w:t> </w:t>
            </w:r>
            <w:r w:rsidRPr="00647DDC">
              <w:rPr>
                <w:lang w:val="fr-FR" w:eastAsia="es-ES"/>
              </w:rPr>
              <w:t xml:space="preserve">; compétence </w:t>
            </w:r>
            <w:proofErr w:type="spellStart"/>
            <w:r w:rsidRPr="00647DDC">
              <w:rPr>
                <w:i/>
                <w:lang w:val="fr-FR" w:eastAsia="es-ES"/>
              </w:rPr>
              <w:t>ratione</w:t>
            </w:r>
            <w:proofErr w:type="spellEnd"/>
            <w:r w:rsidRPr="00647DDC">
              <w:rPr>
                <w:i/>
                <w:lang w:val="fr-FR" w:eastAsia="es-ES"/>
              </w:rPr>
              <w:t xml:space="preserve"> materiae </w:t>
            </w:r>
            <w:r w:rsidRPr="00647DDC">
              <w:rPr>
                <w:lang w:val="fr-FR" w:eastAsia="es-ES"/>
              </w:rPr>
              <w:t>; appréciation des faits et des</w:t>
            </w:r>
            <w:r w:rsidR="00F13D4A">
              <w:rPr>
                <w:lang w:val="fr-FR" w:eastAsia="es-ES"/>
              </w:rPr>
              <w:t> </w:t>
            </w:r>
            <w:r w:rsidRPr="00647DDC">
              <w:rPr>
                <w:lang w:val="fr-FR" w:eastAsia="es-ES"/>
              </w:rPr>
              <w:t>éléments de preuve ; communication manifestement infondée et griefs insuffisamment étayés ; compétence</w:t>
            </w:r>
            <w:r w:rsidRPr="00647DDC">
              <w:t xml:space="preserve"> </w:t>
            </w:r>
            <w:proofErr w:type="spellStart"/>
            <w:r w:rsidRPr="00647DDC">
              <w:rPr>
                <w:i/>
                <w:lang w:val="fr-FR" w:eastAsia="es-ES"/>
              </w:rPr>
              <w:t>ratione</w:t>
            </w:r>
            <w:proofErr w:type="spellEnd"/>
            <w:r w:rsidRPr="00647DDC">
              <w:rPr>
                <w:lang w:val="fr-FR" w:eastAsia="es-ES"/>
              </w:rPr>
              <w:t xml:space="preserve"> </w:t>
            </w:r>
            <w:proofErr w:type="spellStart"/>
            <w:r w:rsidRPr="00647DDC">
              <w:rPr>
                <w:i/>
                <w:lang w:val="fr-FR" w:eastAsia="es-ES"/>
              </w:rPr>
              <w:t>loci</w:t>
            </w:r>
            <w:proofErr w:type="spellEnd"/>
          </w:p>
        </w:tc>
      </w:tr>
      <w:tr w:rsidR="00BD788C" w:rsidRPr="00647DDC" w14:paraId="3213DA5F" w14:textId="77777777" w:rsidTr="0094671A">
        <w:tc>
          <w:tcPr>
            <w:tcW w:w="3402" w:type="dxa"/>
          </w:tcPr>
          <w:p w14:paraId="43983C8B" w14:textId="7B5B824E" w:rsidR="00BD788C" w:rsidRPr="00647DDC" w:rsidRDefault="00BD788C" w:rsidP="00694327">
            <w:pPr>
              <w:pStyle w:val="SingleTxtG"/>
              <w:ind w:left="0" w:right="0"/>
              <w:jc w:val="left"/>
            </w:pPr>
            <w:r w:rsidRPr="00647DDC">
              <w:rPr>
                <w:i/>
              </w:rPr>
              <w:t>Question</w:t>
            </w:r>
            <w:r w:rsidR="00C51CD7" w:rsidRPr="00647DDC">
              <w:rPr>
                <w:i/>
              </w:rPr>
              <w:t>(</w:t>
            </w:r>
            <w:r w:rsidRPr="00647DDC">
              <w:rPr>
                <w:i/>
              </w:rPr>
              <w:t>s</w:t>
            </w:r>
            <w:r w:rsidR="00C51CD7" w:rsidRPr="00647DDC">
              <w:rPr>
                <w:i/>
              </w:rPr>
              <w:t>)</w:t>
            </w:r>
            <w:r w:rsidRPr="00647DDC">
              <w:rPr>
                <w:i/>
              </w:rPr>
              <w:t xml:space="preserve"> de fond</w:t>
            </w:r>
            <w:r w:rsidRPr="00647DDC">
              <w:t> :</w:t>
            </w:r>
          </w:p>
        </w:tc>
        <w:tc>
          <w:tcPr>
            <w:tcW w:w="3402" w:type="dxa"/>
            <w:vAlign w:val="bottom"/>
          </w:tcPr>
          <w:p w14:paraId="4257819A" w14:textId="07FB3EF2" w:rsidR="00BD788C" w:rsidRPr="00647DDC" w:rsidRDefault="005034D5" w:rsidP="0094671A">
            <w:pPr>
              <w:pStyle w:val="SingleTxtG"/>
              <w:ind w:left="0" w:right="0"/>
              <w:jc w:val="left"/>
            </w:pPr>
            <w:r w:rsidRPr="00647DDC">
              <w:t>Droit du travail et de l’emploi</w:t>
            </w:r>
          </w:p>
        </w:tc>
      </w:tr>
      <w:tr w:rsidR="00BD788C" w:rsidRPr="00647DDC" w14:paraId="04A963B5" w14:textId="77777777" w:rsidTr="0094671A">
        <w:tc>
          <w:tcPr>
            <w:tcW w:w="3402" w:type="dxa"/>
          </w:tcPr>
          <w:p w14:paraId="3EAD37CB" w14:textId="77777777" w:rsidR="00BD788C" w:rsidRPr="00647DDC" w:rsidRDefault="00BD788C" w:rsidP="00694327">
            <w:pPr>
              <w:pStyle w:val="SingleTxtG"/>
              <w:ind w:left="0" w:right="0"/>
              <w:jc w:val="left"/>
            </w:pPr>
            <w:r w:rsidRPr="00647DDC">
              <w:rPr>
                <w:i/>
              </w:rPr>
              <w:t>Article(s) du Pacte</w:t>
            </w:r>
            <w:r w:rsidRPr="00647DDC">
              <w:t> :</w:t>
            </w:r>
          </w:p>
        </w:tc>
        <w:tc>
          <w:tcPr>
            <w:tcW w:w="3402" w:type="dxa"/>
            <w:vAlign w:val="bottom"/>
          </w:tcPr>
          <w:p w14:paraId="164232F3" w14:textId="67FEF17F" w:rsidR="00BD788C" w:rsidRPr="00647DDC" w:rsidRDefault="00BD788C" w:rsidP="0094671A">
            <w:pPr>
              <w:pStyle w:val="SingleTxtG"/>
              <w:ind w:left="0" w:right="0"/>
              <w:jc w:val="left"/>
            </w:pPr>
            <w:r w:rsidRPr="00647DDC">
              <w:t>8</w:t>
            </w:r>
            <w:r w:rsidR="00C51CD7" w:rsidRPr="00647DDC">
              <w:t xml:space="preserve"> </w:t>
            </w:r>
            <w:r w:rsidR="007D621E">
              <w:t>(</w:t>
            </w:r>
            <w:r w:rsidR="00C51CD7" w:rsidRPr="00647DDC">
              <w:t>par</w:t>
            </w:r>
            <w:r w:rsidR="00790DA6" w:rsidRPr="00647DDC">
              <w:t>.</w:t>
            </w:r>
            <w:r w:rsidRPr="00647DDC">
              <w:t xml:space="preserve"> 1 a) et 3)</w:t>
            </w:r>
          </w:p>
        </w:tc>
      </w:tr>
      <w:tr w:rsidR="00BD788C" w:rsidRPr="00647DDC" w14:paraId="2BCE4627" w14:textId="77777777" w:rsidTr="0094671A">
        <w:tc>
          <w:tcPr>
            <w:tcW w:w="3402" w:type="dxa"/>
          </w:tcPr>
          <w:p w14:paraId="7162B88B" w14:textId="77777777" w:rsidR="00BD788C" w:rsidRPr="00647DDC" w:rsidRDefault="00BD788C" w:rsidP="00694327">
            <w:pPr>
              <w:pStyle w:val="SingleTxtG"/>
              <w:ind w:left="0" w:right="0"/>
              <w:jc w:val="left"/>
            </w:pPr>
            <w:r w:rsidRPr="00647DDC">
              <w:rPr>
                <w:i/>
              </w:rPr>
              <w:t>Article(s) du Protocole facultatif</w:t>
            </w:r>
            <w:r w:rsidRPr="00647DDC">
              <w:t> :</w:t>
            </w:r>
          </w:p>
        </w:tc>
        <w:tc>
          <w:tcPr>
            <w:tcW w:w="3402" w:type="dxa"/>
            <w:vAlign w:val="bottom"/>
          </w:tcPr>
          <w:p w14:paraId="734EA9A0" w14:textId="4309BCF9" w:rsidR="00BD788C" w:rsidRPr="00647DDC" w:rsidRDefault="00FB7651" w:rsidP="0094671A">
            <w:pPr>
              <w:pStyle w:val="SingleTxtG"/>
              <w:ind w:left="0" w:right="0"/>
              <w:jc w:val="left"/>
            </w:pPr>
            <w:r w:rsidRPr="00647DDC">
              <w:rPr>
                <w:lang w:val="fr-FR" w:eastAsia="es-ES"/>
              </w:rPr>
              <w:t xml:space="preserve">2 et </w:t>
            </w:r>
            <w:r w:rsidR="00BD788C" w:rsidRPr="00647DDC">
              <w:rPr>
                <w:lang w:val="fr-FR" w:eastAsia="es-ES"/>
              </w:rPr>
              <w:t>3 (</w:t>
            </w:r>
            <w:r w:rsidR="00C51CD7" w:rsidRPr="00412D57">
              <w:rPr>
                <w:lang w:val="fr-FR" w:eastAsia="es-ES"/>
              </w:rPr>
              <w:t>par. </w:t>
            </w:r>
            <w:r w:rsidR="00BD788C" w:rsidRPr="00412D57">
              <w:rPr>
                <w:lang w:val="fr-FR" w:eastAsia="es-ES"/>
              </w:rPr>
              <w:t>1 et 2</w:t>
            </w:r>
            <w:r w:rsidR="00BD788C" w:rsidRPr="00647DDC">
              <w:rPr>
                <w:lang w:val="fr-FR" w:eastAsia="es-ES"/>
              </w:rPr>
              <w:t xml:space="preserve"> b))</w:t>
            </w:r>
          </w:p>
        </w:tc>
      </w:tr>
    </w:tbl>
    <w:p w14:paraId="236616B8" w14:textId="033DA776" w:rsidR="00BD788C" w:rsidRPr="00647DDC" w:rsidRDefault="00BD788C" w:rsidP="00BD788C">
      <w:pPr>
        <w:pStyle w:val="SingleTxtG"/>
        <w:rPr>
          <w:lang w:val="fr-FR" w:eastAsia="es-ES"/>
        </w:rPr>
      </w:pPr>
    </w:p>
    <w:p w14:paraId="1E824E70" w14:textId="0CEF3FAA" w:rsidR="00BD788C" w:rsidRPr="00647DDC" w:rsidRDefault="00BD788C" w:rsidP="000E41D4">
      <w:pPr>
        <w:pStyle w:val="SingleTxtG"/>
        <w:spacing w:before="120"/>
        <w:rPr>
          <w:lang w:val="fr-FR" w:eastAsia="es-ES"/>
        </w:rPr>
      </w:pPr>
      <w:r w:rsidRPr="00647DDC">
        <w:rPr>
          <w:lang w:val="fr-FR" w:eastAsia="es-ES"/>
        </w:rPr>
        <w:t>1.1</w:t>
      </w:r>
      <w:r w:rsidRPr="00647DDC">
        <w:rPr>
          <w:lang w:val="fr-FR" w:eastAsia="es-ES"/>
        </w:rPr>
        <w:tab/>
        <w:t>L’auteur de la communication, présentée le 28 novembre 2016, est M</w:t>
      </w:r>
      <w:r w:rsidR="006C3429" w:rsidRPr="00647DDC">
        <w:rPr>
          <w:lang w:val="fr-FR" w:eastAsia="es-ES"/>
        </w:rPr>
        <w:t>.</w:t>
      </w:r>
      <w:r w:rsidRPr="00647DDC">
        <w:rPr>
          <w:lang w:val="fr-FR" w:eastAsia="es-ES"/>
        </w:rPr>
        <w:t xml:space="preserve"> L</w:t>
      </w:r>
      <w:r w:rsidR="006C3429" w:rsidRPr="00647DDC">
        <w:rPr>
          <w:lang w:val="fr-FR" w:eastAsia="es-ES"/>
        </w:rPr>
        <w:t>.</w:t>
      </w:r>
      <w:r w:rsidRPr="00647DDC">
        <w:rPr>
          <w:lang w:val="fr-FR" w:eastAsia="es-ES"/>
        </w:rPr>
        <w:t xml:space="preserve"> B</w:t>
      </w:r>
      <w:r w:rsidR="006C3429" w:rsidRPr="00647DDC">
        <w:rPr>
          <w:lang w:val="fr-FR" w:eastAsia="es-ES"/>
        </w:rPr>
        <w:t>.</w:t>
      </w:r>
      <w:r w:rsidRPr="00647DDC">
        <w:rPr>
          <w:lang w:val="fr-FR" w:eastAsia="es-ES"/>
        </w:rPr>
        <w:t xml:space="preserve">, citoyen français né le 27 novembre 1960. Il allègue que le Luxembourg a violé ses droits énoncés </w:t>
      </w:r>
      <w:r w:rsidR="00D52F37" w:rsidRPr="00647DDC">
        <w:rPr>
          <w:lang w:val="fr-FR" w:eastAsia="es-ES"/>
        </w:rPr>
        <w:t xml:space="preserve">aux </w:t>
      </w:r>
      <w:r w:rsidR="003C4356" w:rsidRPr="00647DDC">
        <w:rPr>
          <w:lang w:val="fr-FR" w:eastAsia="es-ES"/>
        </w:rPr>
        <w:t>paragraphes </w:t>
      </w:r>
      <w:r w:rsidRPr="00647DDC">
        <w:rPr>
          <w:lang w:val="fr-FR" w:eastAsia="es-ES"/>
        </w:rPr>
        <w:t>1 a) et 3</w:t>
      </w:r>
      <w:r w:rsidR="00D52F37" w:rsidRPr="00647DDC">
        <w:rPr>
          <w:lang w:val="fr-FR" w:eastAsia="es-ES"/>
        </w:rPr>
        <w:t xml:space="preserve"> de l’article 8</w:t>
      </w:r>
      <w:r w:rsidRPr="00647DDC">
        <w:rPr>
          <w:lang w:val="fr-FR" w:eastAsia="es-ES"/>
        </w:rPr>
        <w:t xml:space="preserve"> du Pacte international relatif aux droits économiques, sociaux et culturels. Le Protocole facultatif est entré en vigueur pour l’État partie le 3 mai 2015. L’auteur est représenté par un conseil, Frédéric Fabre.</w:t>
      </w:r>
    </w:p>
    <w:p w14:paraId="0807DE01" w14:textId="68365341" w:rsidR="00BD788C" w:rsidRPr="00647DDC" w:rsidRDefault="00BD788C" w:rsidP="00BD788C">
      <w:pPr>
        <w:pStyle w:val="SingleTxtG"/>
        <w:rPr>
          <w:lang w:val="fr-FR" w:eastAsia="es-ES"/>
        </w:rPr>
      </w:pPr>
      <w:r w:rsidRPr="00647DDC">
        <w:rPr>
          <w:lang w:val="fr-FR" w:eastAsia="es-ES"/>
        </w:rPr>
        <w:t>1.2</w:t>
      </w:r>
      <w:r w:rsidRPr="00647DDC">
        <w:rPr>
          <w:lang w:val="fr-FR" w:eastAsia="es-ES"/>
        </w:rPr>
        <w:tab/>
        <w:t>La communication a été enregistrée par le Comité le 20 février 2017.</w:t>
      </w:r>
    </w:p>
    <w:p w14:paraId="0724D8D5" w14:textId="516A109C" w:rsidR="00FB4E31" w:rsidRPr="00647DDC" w:rsidRDefault="00FB4E31" w:rsidP="00BD788C">
      <w:pPr>
        <w:pStyle w:val="SingleTxtG"/>
        <w:rPr>
          <w:lang w:val="fr-FR" w:eastAsia="es-ES"/>
        </w:rPr>
      </w:pPr>
      <w:r w:rsidRPr="00647DDC">
        <w:rPr>
          <w:lang w:val="fr-FR" w:eastAsia="es-ES"/>
        </w:rPr>
        <w:t>1.3</w:t>
      </w:r>
      <w:r w:rsidRPr="00647DDC">
        <w:rPr>
          <w:lang w:val="fr-FR" w:eastAsia="es-ES"/>
        </w:rPr>
        <w:tab/>
        <w:t>Dans la présente décision, le Comité commence par résumer les renseignements fournis et les arguments avancés par les parties, sans indiquer sa propre position, puis il</w:t>
      </w:r>
      <w:r w:rsidR="00F13D4A">
        <w:rPr>
          <w:lang w:val="fr-FR" w:eastAsia="es-ES"/>
        </w:rPr>
        <w:t> </w:t>
      </w:r>
      <w:r w:rsidRPr="00647DDC">
        <w:rPr>
          <w:lang w:val="fr-FR" w:eastAsia="es-ES"/>
        </w:rPr>
        <w:t>examine les questions de recevabilité soulev</w:t>
      </w:r>
      <w:bookmarkStart w:id="0" w:name="_GoBack"/>
      <w:bookmarkEnd w:id="0"/>
      <w:r w:rsidRPr="00647DDC">
        <w:rPr>
          <w:lang w:val="fr-FR" w:eastAsia="es-ES"/>
        </w:rPr>
        <w:t>ées dans la communication.</w:t>
      </w:r>
    </w:p>
    <w:p w14:paraId="30DC927F" w14:textId="77777777" w:rsidR="00BD788C" w:rsidRPr="00647DDC" w:rsidRDefault="00BD788C" w:rsidP="00F755C9">
      <w:pPr>
        <w:pStyle w:val="H1G"/>
        <w:rPr>
          <w:lang w:val="fr-FR" w:eastAsia="es-ES"/>
        </w:rPr>
      </w:pPr>
      <w:r w:rsidRPr="00647DDC">
        <w:rPr>
          <w:lang w:val="fr-FR" w:eastAsia="es-ES"/>
        </w:rPr>
        <w:lastRenderedPageBreak/>
        <w:tab/>
        <w:t>A.</w:t>
      </w:r>
      <w:r w:rsidRPr="00647DDC">
        <w:rPr>
          <w:lang w:val="fr-FR" w:eastAsia="es-ES"/>
        </w:rPr>
        <w:tab/>
        <w:t xml:space="preserve">Résumé des renseignements fournis et des arguments avancés </w:t>
      </w:r>
      <w:r w:rsidRPr="00647DDC">
        <w:rPr>
          <w:lang w:val="fr-FR" w:eastAsia="es-ES"/>
        </w:rPr>
        <w:br/>
        <w:t>par les parties</w:t>
      </w:r>
    </w:p>
    <w:p w14:paraId="18ECEC94" w14:textId="6D0BFED2" w:rsidR="00BD788C" w:rsidRPr="00647DDC" w:rsidRDefault="00BD788C" w:rsidP="003C4356">
      <w:pPr>
        <w:pStyle w:val="H23G"/>
        <w:rPr>
          <w:lang w:val="fr-FR" w:eastAsia="es-ES"/>
        </w:rPr>
      </w:pPr>
      <w:r w:rsidRPr="00647DDC">
        <w:rPr>
          <w:lang w:val="fr-FR" w:eastAsia="es-ES"/>
        </w:rPr>
        <w:tab/>
      </w:r>
      <w:r w:rsidRPr="00647DDC">
        <w:rPr>
          <w:lang w:val="fr-FR" w:eastAsia="es-ES"/>
        </w:rPr>
        <w:tab/>
        <w:t>Rappel des faits présentés par l’auteur</w:t>
      </w:r>
    </w:p>
    <w:p w14:paraId="543CA675" w14:textId="003BA971" w:rsidR="00BD788C" w:rsidRPr="00647DDC" w:rsidRDefault="00BD788C" w:rsidP="00BD788C">
      <w:pPr>
        <w:pStyle w:val="SingleTxtG"/>
        <w:rPr>
          <w:lang w:val="fr-FR" w:eastAsia="en-GB"/>
        </w:rPr>
      </w:pPr>
      <w:r w:rsidRPr="00647DDC">
        <w:rPr>
          <w:lang w:val="fr-FR" w:eastAsia="en-GB"/>
        </w:rPr>
        <w:t>2.1</w:t>
      </w:r>
      <w:r w:rsidRPr="00647DDC">
        <w:rPr>
          <w:lang w:val="fr-FR" w:eastAsia="en-GB"/>
        </w:rPr>
        <w:tab/>
        <w:t>L’auteur était employé, depuis le 15 juillet 2002, dans une entreprise luxembourgeoise</w:t>
      </w:r>
      <w:r w:rsidRPr="00647DDC">
        <w:rPr>
          <w:rStyle w:val="Appelnotedebasdep"/>
          <w:lang w:eastAsia="en-GB"/>
        </w:rPr>
        <w:footnoteReference w:id="3"/>
      </w:r>
      <w:r w:rsidRPr="00647DDC">
        <w:rPr>
          <w:lang w:val="fr-FR" w:eastAsia="en-GB"/>
        </w:rPr>
        <w:t xml:space="preserve"> en tant que responsable du département </w:t>
      </w:r>
      <w:r w:rsidR="00F216C1" w:rsidRPr="00647DDC">
        <w:rPr>
          <w:lang w:val="fr-FR" w:eastAsia="en-GB"/>
        </w:rPr>
        <w:t xml:space="preserve">des </w:t>
      </w:r>
      <w:r w:rsidRPr="00647DDC">
        <w:rPr>
          <w:lang w:val="fr-FR" w:eastAsia="en-GB"/>
        </w:rPr>
        <w:t>énergies alternatives, supervisant des chantiers aussi bien au Luxembourg qu’en France. L’auteur avait également été élu représentant du personnel</w:t>
      </w:r>
      <w:r w:rsidR="00F216C1" w:rsidRPr="00647DDC">
        <w:rPr>
          <w:lang w:val="fr-FR" w:eastAsia="en-GB"/>
        </w:rPr>
        <w:t>,</w:t>
      </w:r>
      <w:r w:rsidRPr="00647DDC">
        <w:rPr>
          <w:lang w:val="fr-FR" w:eastAsia="en-GB"/>
        </w:rPr>
        <w:t xml:space="preserve"> puis délégué syndical.</w:t>
      </w:r>
    </w:p>
    <w:p w14:paraId="35CAB54A" w14:textId="6C277F76" w:rsidR="00BD788C" w:rsidRPr="00647DDC" w:rsidRDefault="00BD788C" w:rsidP="008B7582">
      <w:pPr>
        <w:pStyle w:val="SingleTxtG"/>
        <w:rPr>
          <w:lang w:val="fr-FR" w:eastAsia="en-GB"/>
        </w:rPr>
      </w:pPr>
      <w:r w:rsidRPr="00647DDC">
        <w:rPr>
          <w:lang w:val="fr-FR" w:eastAsia="en-GB"/>
        </w:rPr>
        <w:t>2.2</w:t>
      </w:r>
      <w:r w:rsidRPr="00647DDC">
        <w:rPr>
          <w:lang w:val="fr-FR" w:eastAsia="en-GB"/>
        </w:rPr>
        <w:tab/>
        <w:t>Avec l’accord de la direction de l’entreprise</w:t>
      </w:r>
      <w:r w:rsidRPr="00647DDC">
        <w:rPr>
          <w:rStyle w:val="Appelnotedebasdep"/>
          <w:lang w:eastAsia="en-GB"/>
        </w:rPr>
        <w:footnoteReference w:id="4"/>
      </w:r>
      <w:r w:rsidRPr="00647DDC">
        <w:rPr>
          <w:lang w:val="fr-FR" w:eastAsia="en-GB"/>
        </w:rPr>
        <w:t>, l’auteur avait mis en place une « caisse noire » qu’il alimentait par le produit de la revente des surplus de matériaux en fin de chantiers</w:t>
      </w:r>
      <w:r w:rsidR="00F216C1" w:rsidRPr="00647DDC">
        <w:rPr>
          <w:lang w:val="fr-FR" w:eastAsia="en-GB"/>
        </w:rPr>
        <w:t>,</w:t>
      </w:r>
      <w:r w:rsidRPr="00647DDC">
        <w:rPr>
          <w:lang w:val="fr-FR" w:eastAsia="en-GB"/>
        </w:rPr>
        <w:t xml:space="preserve"> notamment du cuivre. Ces reventes, qui se faisaient par les employés </w:t>
      </w:r>
      <w:r w:rsidR="00F216C1" w:rsidRPr="00647DDC">
        <w:rPr>
          <w:lang w:val="fr-FR" w:eastAsia="en-GB"/>
        </w:rPr>
        <w:t>sur</w:t>
      </w:r>
      <w:r w:rsidRPr="00647DDC">
        <w:rPr>
          <w:lang w:val="fr-FR" w:eastAsia="en-GB"/>
        </w:rPr>
        <w:t xml:space="preserve"> ordre de l’auteur, ont eu lieu pendant plusieurs années</w:t>
      </w:r>
      <w:r w:rsidR="00F216C1" w:rsidRPr="00647DDC">
        <w:rPr>
          <w:lang w:val="fr-FR" w:eastAsia="en-GB"/>
        </w:rPr>
        <w:t>,</w:t>
      </w:r>
      <w:r w:rsidRPr="00647DDC">
        <w:rPr>
          <w:lang w:val="fr-FR" w:eastAsia="en-GB"/>
        </w:rPr>
        <w:t xml:space="preserve"> aussi bien en France qu’au Luxembourg</w:t>
      </w:r>
      <w:r w:rsidR="007F7827" w:rsidRPr="00647DDC">
        <w:rPr>
          <w:lang w:val="fr-FR" w:eastAsia="en-GB"/>
        </w:rPr>
        <w:t>.</w:t>
      </w:r>
      <w:r w:rsidRPr="00647DDC">
        <w:rPr>
          <w:lang w:val="fr-FR" w:eastAsia="en-GB"/>
        </w:rPr>
        <w:t xml:space="preserve"> </w:t>
      </w:r>
      <w:r w:rsidR="007F7827" w:rsidRPr="00647DDC">
        <w:rPr>
          <w:lang w:val="fr-FR" w:eastAsia="en-GB"/>
        </w:rPr>
        <w:t>Ensuite, ces reventes</w:t>
      </w:r>
      <w:r w:rsidR="00D56C1C" w:rsidRPr="00647DDC">
        <w:rPr>
          <w:lang w:val="fr-FR" w:eastAsia="en-GB"/>
        </w:rPr>
        <w:t xml:space="preserve"> </w:t>
      </w:r>
      <w:r w:rsidR="00F216C1" w:rsidRPr="00647DDC">
        <w:rPr>
          <w:lang w:val="fr-FR" w:eastAsia="en-GB"/>
        </w:rPr>
        <w:t>sur</w:t>
      </w:r>
      <w:r w:rsidR="00D56C1C" w:rsidRPr="00647DDC">
        <w:rPr>
          <w:lang w:val="fr-FR" w:eastAsia="en-GB"/>
        </w:rPr>
        <w:t xml:space="preserve"> ordre de l’auteur</w:t>
      </w:r>
      <w:r w:rsidR="007F7827" w:rsidRPr="00647DDC">
        <w:rPr>
          <w:lang w:val="fr-FR" w:eastAsia="en-GB"/>
        </w:rPr>
        <w:t xml:space="preserve"> ne se sont faites </w:t>
      </w:r>
      <w:r w:rsidRPr="00647DDC">
        <w:rPr>
          <w:lang w:val="fr-FR" w:eastAsia="en-GB"/>
        </w:rPr>
        <w:t>qu’au Luxembourg</w:t>
      </w:r>
      <w:r w:rsidR="00F216C1" w:rsidRPr="00647DDC">
        <w:rPr>
          <w:lang w:val="fr-FR" w:eastAsia="en-GB"/>
        </w:rPr>
        <w:t>,</w:t>
      </w:r>
      <w:r w:rsidRPr="00647DDC">
        <w:rPr>
          <w:lang w:val="fr-FR" w:eastAsia="en-GB"/>
        </w:rPr>
        <w:t xml:space="preserve"> en raison de contrôles mis en place en France sur la traçabilité des matériaux de chantier</w:t>
      </w:r>
      <w:r w:rsidR="00D96C99" w:rsidRPr="00647DDC">
        <w:rPr>
          <w:lang w:val="fr-FR" w:eastAsia="en-GB"/>
        </w:rPr>
        <w:t>,</w:t>
      </w:r>
      <w:r w:rsidRPr="00647DDC">
        <w:rPr>
          <w:lang w:val="fr-FR" w:eastAsia="en-GB"/>
        </w:rPr>
        <w:t xml:space="preserve"> afin de lutter contre le vol de matériaux sur les chantiers. </w:t>
      </w:r>
      <w:r w:rsidR="00E64B57" w:rsidRPr="00647DDC">
        <w:rPr>
          <w:lang w:val="fr-FR" w:eastAsia="en-GB"/>
        </w:rPr>
        <w:t>Selon l’auteur, c</w:t>
      </w:r>
      <w:r w:rsidRPr="00647DDC">
        <w:rPr>
          <w:lang w:val="fr-FR" w:eastAsia="en-GB"/>
        </w:rPr>
        <w:t xml:space="preserve">ette caisse noire servait notamment à acheter du matériel nécessaire au confort des salariés sur les chantiers (micro-ondes et cafetières), à payer les amendes routières des employés en déplacement, </w:t>
      </w:r>
      <w:r w:rsidR="005A540A" w:rsidRPr="00647DDC">
        <w:rPr>
          <w:lang w:val="fr-FR" w:eastAsia="en-GB"/>
        </w:rPr>
        <w:t>et</w:t>
      </w:r>
      <w:r w:rsidRPr="00647DDC">
        <w:rPr>
          <w:lang w:val="fr-FR" w:eastAsia="en-GB"/>
        </w:rPr>
        <w:t xml:space="preserve"> à financer des repas de fin de chantier et des fêtes du personnel. </w:t>
      </w:r>
    </w:p>
    <w:p w14:paraId="3C99A91B" w14:textId="53C77E65" w:rsidR="00BD788C" w:rsidRPr="00647DDC" w:rsidRDefault="00BD788C" w:rsidP="005A540A">
      <w:pPr>
        <w:pStyle w:val="SingleTxtG"/>
        <w:rPr>
          <w:lang w:val="fr-FR" w:eastAsia="en-GB"/>
        </w:rPr>
      </w:pPr>
      <w:r w:rsidRPr="00647DDC">
        <w:rPr>
          <w:lang w:val="fr-FR" w:eastAsia="en-GB"/>
        </w:rPr>
        <w:t>2.3</w:t>
      </w:r>
      <w:r w:rsidRPr="00647DDC">
        <w:rPr>
          <w:lang w:val="fr-FR" w:eastAsia="en-GB"/>
        </w:rPr>
        <w:tab/>
        <w:t xml:space="preserve">Le 3 décembre 2013, la direction de l’entreprise est entrée avec un huissier dans le bureau de l’auteur, et y a trouvé une caisse contenant </w:t>
      </w:r>
      <w:r w:rsidR="005A540A" w:rsidRPr="00647DDC">
        <w:rPr>
          <w:lang w:val="fr-FR" w:eastAsia="en-GB"/>
        </w:rPr>
        <w:t>près</w:t>
      </w:r>
      <w:r w:rsidRPr="00647DDC">
        <w:rPr>
          <w:lang w:val="fr-FR" w:eastAsia="en-GB"/>
        </w:rPr>
        <w:t xml:space="preserve"> de 3</w:t>
      </w:r>
      <w:r w:rsidR="005A540A" w:rsidRPr="00647DDC">
        <w:rPr>
          <w:lang w:val="fr-FR" w:eastAsia="en-GB"/>
        </w:rPr>
        <w:t> </w:t>
      </w:r>
      <w:r w:rsidRPr="00647DDC">
        <w:rPr>
          <w:lang w:val="fr-FR" w:eastAsia="en-GB"/>
        </w:rPr>
        <w:t>000 euros en liquide.</w:t>
      </w:r>
    </w:p>
    <w:p w14:paraId="6DF946C0" w14:textId="5DC76FA4" w:rsidR="00BD788C" w:rsidRPr="00647DDC" w:rsidRDefault="00BD788C" w:rsidP="00D52F37">
      <w:pPr>
        <w:pStyle w:val="SingleTxtG"/>
        <w:rPr>
          <w:lang w:val="fr-FR" w:eastAsia="en-GB"/>
        </w:rPr>
      </w:pPr>
      <w:r w:rsidRPr="00647DDC">
        <w:rPr>
          <w:lang w:val="fr-FR" w:eastAsia="en-GB"/>
        </w:rPr>
        <w:t>2.4</w:t>
      </w:r>
      <w:r w:rsidRPr="00647DDC">
        <w:rPr>
          <w:lang w:val="fr-FR" w:eastAsia="en-GB"/>
        </w:rPr>
        <w:tab/>
        <w:t xml:space="preserve">Le 5 décembre 2013, par lettre recommandée, l’entreprise a fait notifier à l’auteur sa mise à pied immédiate pour fautes graves, sur </w:t>
      </w:r>
      <w:r w:rsidR="005A540A" w:rsidRPr="00647DDC">
        <w:rPr>
          <w:lang w:val="fr-FR" w:eastAsia="en-GB"/>
        </w:rPr>
        <w:t xml:space="preserve">la </w:t>
      </w:r>
      <w:r w:rsidRPr="00647DDC">
        <w:rPr>
          <w:lang w:val="fr-FR" w:eastAsia="en-GB"/>
        </w:rPr>
        <w:t xml:space="preserve">base </w:t>
      </w:r>
      <w:r w:rsidR="00D52F37" w:rsidRPr="00647DDC">
        <w:rPr>
          <w:lang w:val="fr-FR" w:eastAsia="en-GB"/>
        </w:rPr>
        <w:t xml:space="preserve">du paragraphe 2 </w:t>
      </w:r>
      <w:r w:rsidRPr="00647DDC">
        <w:rPr>
          <w:lang w:val="fr-FR" w:eastAsia="en-GB"/>
        </w:rPr>
        <w:t>de l’article L</w:t>
      </w:r>
      <w:r w:rsidR="009834CE" w:rsidRPr="00412D57">
        <w:rPr>
          <w:lang w:val="fr-FR" w:eastAsia="en-GB"/>
        </w:rPr>
        <w:t>.</w:t>
      </w:r>
      <w:r w:rsidRPr="00647DDC">
        <w:rPr>
          <w:lang w:val="fr-FR" w:eastAsia="en-GB"/>
        </w:rPr>
        <w:t xml:space="preserve"> 415-11</w:t>
      </w:r>
      <w:r w:rsidRPr="00412D57">
        <w:rPr>
          <w:lang w:val="fr-FR" w:eastAsia="en-GB"/>
        </w:rPr>
        <w:t xml:space="preserve"> du Code du travail en vigueur au moment des faits</w:t>
      </w:r>
      <w:r w:rsidRPr="00647DDC">
        <w:rPr>
          <w:lang w:val="fr-FR" w:eastAsia="en-GB"/>
        </w:rPr>
        <w:t>.</w:t>
      </w:r>
    </w:p>
    <w:p w14:paraId="0F1C1AB4" w14:textId="0088006A" w:rsidR="00BD788C" w:rsidRPr="00647DDC" w:rsidRDefault="00BD788C" w:rsidP="009834CE">
      <w:pPr>
        <w:pStyle w:val="SingleTxtG"/>
        <w:rPr>
          <w:lang w:val="fr-FR" w:eastAsia="en-GB"/>
        </w:rPr>
      </w:pPr>
      <w:r w:rsidRPr="00647DDC">
        <w:rPr>
          <w:lang w:val="fr-FR" w:eastAsia="en-GB"/>
        </w:rPr>
        <w:t>2.5</w:t>
      </w:r>
      <w:r w:rsidRPr="00647DDC">
        <w:rPr>
          <w:lang w:val="fr-FR" w:eastAsia="en-GB"/>
        </w:rPr>
        <w:tab/>
        <w:t xml:space="preserve">Le 13 décembre 2013, suite à une requête présentée par l’entreprise pour l’obtention d’une résolution judiciaire du contrat de travail, l’auteur </w:t>
      </w:r>
      <w:r w:rsidR="009834CE" w:rsidRPr="00647DDC">
        <w:rPr>
          <w:lang w:val="fr-FR" w:eastAsia="en-GB"/>
        </w:rPr>
        <w:t>a reçu</w:t>
      </w:r>
      <w:r w:rsidRPr="00647DDC">
        <w:rPr>
          <w:lang w:val="fr-FR" w:eastAsia="en-GB"/>
        </w:rPr>
        <w:t xml:space="preserve"> une convocation du tribunal du travail</w:t>
      </w:r>
      <w:r w:rsidRPr="00647DDC">
        <w:t xml:space="preserve"> </w:t>
      </w:r>
      <w:r w:rsidRPr="00647DDC">
        <w:rPr>
          <w:lang w:val="fr-FR" w:eastAsia="en-GB"/>
        </w:rPr>
        <w:t>d’Esch</w:t>
      </w:r>
      <w:r w:rsidR="009834CE" w:rsidRPr="00647DDC">
        <w:rPr>
          <w:lang w:val="fr-FR" w:eastAsia="en-GB"/>
        </w:rPr>
        <w:t>-</w:t>
      </w:r>
      <w:r w:rsidRPr="00647DDC">
        <w:rPr>
          <w:lang w:val="fr-FR" w:eastAsia="en-GB"/>
        </w:rPr>
        <w:t>sur</w:t>
      </w:r>
      <w:r w:rsidR="009834CE" w:rsidRPr="00647DDC">
        <w:rPr>
          <w:lang w:val="fr-FR" w:eastAsia="en-GB"/>
        </w:rPr>
        <w:t>-</w:t>
      </w:r>
      <w:r w:rsidRPr="00647DDC">
        <w:rPr>
          <w:lang w:val="fr-FR" w:eastAsia="en-GB"/>
        </w:rPr>
        <w:t>Alzette (Luxembourg).</w:t>
      </w:r>
    </w:p>
    <w:p w14:paraId="4439350C" w14:textId="0C2D7AAC" w:rsidR="00BD788C" w:rsidRPr="00647DDC" w:rsidRDefault="00BD788C" w:rsidP="00D52F37">
      <w:pPr>
        <w:pStyle w:val="SingleTxtG"/>
        <w:rPr>
          <w:lang w:val="fr-FR" w:eastAsia="en-GB"/>
        </w:rPr>
      </w:pPr>
      <w:r w:rsidRPr="00647DDC">
        <w:rPr>
          <w:lang w:val="fr-FR" w:eastAsia="en-GB"/>
        </w:rPr>
        <w:t>2.6</w:t>
      </w:r>
      <w:r w:rsidRPr="00647DDC">
        <w:rPr>
          <w:lang w:val="fr-FR" w:eastAsia="en-GB"/>
        </w:rPr>
        <w:tab/>
        <w:t xml:space="preserve">Le 7 février 2014, agissant conformément </w:t>
      </w:r>
      <w:r w:rsidR="00D52F37" w:rsidRPr="00647DDC">
        <w:rPr>
          <w:lang w:val="fr-FR" w:eastAsia="en-GB"/>
        </w:rPr>
        <w:t>au paragraphe 3 de</w:t>
      </w:r>
      <w:r w:rsidRPr="00647DDC">
        <w:rPr>
          <w:lang w:val="fr-FR" w:eastAsia="en-GB"/>
        </w:rPr>
        <w:t xml:space="preserve"> </w:t>
      </w:r>
      <w:r w:rsidRPr="00647DDC">
        <w:t>l’article L</w:t>
      </w:r>
      <w:r w:rsidR="009834CE" w:rsidRPr="00647DDC">
        <w:t>.</w:t>
      </w:r>
      <w:r w:rsidRPr="00647DDC">
        <w:t xml:space="preserve"> 415-11 du Code du travail en vigueur à l</w:t>
      </w:r>
      <w:r w:rsidR="004B4C32" w:rsidRPr="00647DDC">
        <w:t>’</w:t>
      </w:r>
      <w:r w:rsidRPr="00647DDC">
        <w:t xml:space="preserve">époque des faits, </w:t>
      </w:r>
      <w:r w:rsidRPr="00647DDC">
        <w:rPr>
          <w:lang w:val="fr-FR" w:eastAsia="en-GB"/>
        </w:rPr>
        <w:t>le tribunal</w:t>
      </w:r>
      <w:r w:rsidR="009834CE" w:rsidRPr="00647DDC">
        <w:rPr>
          <w:lang w:val="fr-FR" w:eastAsia="en-GB"/>
        </w:rPr>
        <w:t xml:space="preserve"> du travail</w:t>
      </w:r>
      <w:r w:rsidRPr="00647DDC">
        <w:rPr>
          <w:lang w:val="fr-FR" w:eastAsia="en-GB"/>
        </w:rPr>
        <w:t xml:space="preserve"> </w:t>
      </w:r>
      <w:r w:rsidR="009834CE" w:rsidRPr="00647DDC">
        <w:rPr>
          <w:lang w:val="fr-FR" w:eastAsia="en-GB"/>
        </w:rPr>
        <w:t>a décidé</w:t>
      </w:r>
      <w:r w:rsidRPr="00647DDC">
        <w:rPr>
          <w:lang w:val="fr-FR" w:eastAsia="en-GB"/>
        </w:rPr>
        <w:t xml:space="preserve"> du maintien provisoire du salaire de l’auteur, en attendant la solution définitive du litige.</w:t>
      </w:r>
    </w:p>
    <w:p w14:paraId="61B4D60A" w14:textId="77777777" w:rsidR="00BD788C" w:rsidRPr="00647DDC" w:rsidRDefault="00BD788C" w:rsidP="00BD788C">
      <w:pPr>
        <w:pStyle w:val="SingleTxtG"/>
        <w:rPr>
          <w:lang w:val="fr-FR" w:eastAsia="en-GB"/>
        </w:rPr>
      </w:pPr>
      <w:r w:rsidRPr="00647DDC">
        <w:rPr>
          <w:lang w:val="fr-FR" w:eastAsia="en-GB"/>
        </w:rPr>
        <w:t>2.7</w:t>
      </w:r>
      <w:r w:rsidRPr="00647DDC">
        <w:rPr>
          <w:lang w:val="fr-FR" w:eastAsia="en-GB"/>
        </w:rPr>
        <w:tab/>
        <w:t>Des audiences ont eu lieu les 8 juillet et 16 septembre 2014. Le 14 octobre 2014, le tribunal du travail a prononcé la résolution du contrat de travail de l’auteur pour faute grave, avec effet au 5 décembre 2013, date de sa mise à pied.</w:t>
      </w:r>
    </w:p>
    <w:p w14:paraId="71841ED0" w14:textId="568C722D" w:rsidR="00BD788C" w:rsidRPr="00647DDC" w:rsidRDefault="00BD788C" w:rsidP="00201E54">
      <w:pPr>
        <w:pStyle w:val="SingleTxtG"/>
        <w:rPr>
          <w:lang w:val="fr-FR" w:eastAsia="en-GB"/>
        </w:rPr>
      </w:pPr>
      <w:r w:rsidRPr="00647DDC">
        <w:rPr>
          <w:lang w:val="fr-FR" w:eastAsia="en-GB"/>
        </w:rPr>
        <w:t>2.8</w:t>
      </w:r>
      <w:r w:rsidRPr="00647DDC">
        <w:rPr>
          <w:lang w:val="fr-FR" w:eastAsia="en-GB"/>
        </w:rPr>
        <w:tab/>
        <w:t xml:space="preserve">L’auteur a </w:t>
      </w:r>
      <w:r w:rsidRPr="00647DDC">
        <w:rPr>
          <w:lang w:val="fr-FR" w:eastAsia="es-ES"/>
        </w:rPr>
        <w:t xml:space="preserve">interjeté </w:t>
      </w:r>
      <w:r w:rsidRPr="00647DDC">
        <w:rPr>
          <w:lang w:val="fr-FR" w:eastAsia="en-GB"/>
        </w:rPr>
        <w:t>appel de cette décision, soutenant que la direction de l’entreprise était informée de la revente du cuivre, et qu’elle tolérait celle-ci.</w:t>
      </w:r>
    </w:p>
    <w:p w14:paraId="749F01F4" w14:textId="0F94AC69" w:rsidR="00BD788C" w:rsidRPr="00647DDC" w:rsidRDefault="00BD788C" w:rsidP="00BD788C">
      <w:pPr>
        <w:pStyle w:val="SingleTxtG"/>
        <w:rPr>
          <w:lang w:val="fr-FR" w:eastAsia="en-GB"/>
        </w:rPr>
      </w:pPr>
      <w:r w:rsidRPr="00647DDC">
        <w:rPr>
          <w:lang w:val="fr-FR" w:eastAsia="en-GB"/>
        </w:rPr>
        <w:t>2.9</w:t>
      </w:r>
      <w:r w:rsidRPr="00647DDC">
        <w:rPr>
          <w:lang w:val="fr-FR" w:eastAsia="en-GB"/>
        </w:rPr>
        <w:tab/>
        <w:t>Le 9 juin 2016, la Cour d’appel</w:t>
      </w:r>
      <w:r w:rsidR="00D25F7F" w:rsidRPr="00647DDC">
        <w:rPr>
          <w:lang w:val="fr-FR" w:eastAsia="en-GB"/>
        </w:rPr>
        <w:t xml:space="preserve"> du Luxembourg</w:t>
      </w:r>
      <w:r w:rsidRPr="00647DDC">
        <w:rPr>
          <w:lang w:val="fr-FR" w:eastAsia="en-GB"/>
        </w:rPr>
        <w:t xml:space="preserve"> a confirmé la </w:t>
      </w:r>
      <w:r w:rsidRPr="00647DDC">
        <w:rPr>
          <w:lang w:val="fr-FR" w:eastAsia="es-ES"/>
        </w:rPr>
        <w:t xml:space="preserve">résolution judiciaire du contrat de travail </w:t>
      </w:r>
      <w:r w:rsidR="009834CE" w:rsidRPr="00647DDC">
        <w:rPr>
          <w:lang w:val="fr-FR" w:eastAsia="es-ES"/>
        </w:rPr>
        <w:t xml:space="preserve">de l’auteur </w:t>
      </w:r>
      <w:r w:rsidRPr="00647DDC">
        <w:rPr>
          <w:lang w:val="fr-FR" w:eastAsia="es-ES"/>
        </w:rPr>
        <w:t>pour faute grave.</w:t>
      </w:r>
    </w:p>
    <w:p w14:paraId="131AD92A" w14:textId="77777777" w:rsidR="00BD788C" w:rsidRPr="00647DDC" w:rsidRDefault="00BD788C" w:rsidP="00BD788C">
      <w:pPr>
        <w:pStyle w:val="H23G"/>
        <w:rPr>
          <w:lang w:val="fr-FR" w:eastAsia="en-GB"/>
        </w:rPr>
      </w:pPr>
      <w:r w:rsidRPr="00647DDC">
        <w:rPr>
          <w:lang w:val="fr-FR" w:eastAsia="en-GB"/>
        </w:rPr>
        <w:tab/>
      </w:r>
      <w:r w:rsidRPr="00647DDC">
        <w:rPr>
          <w:lang w:val="fr-FR" w:eastAsia="en-GB"/>
        </w:rPr>
        <w:tab/>
        <w:t>Teneur de la plainte</w:t>
      </w:r>
    </w:p>
    <w:p w14:paraId="0809ECEA" w14:textId="0EA460EB" w:rsidR="00BD788C" w:rsidRPr="00647DDC" w:rsidRDefault="00BD788C" w:rsidP="00E11672">
      <w:pPr>
        <w:pStyle w:val="SingleTxtG"/>
        <w:rPr>
          <w:lang w:val="fr-FR" w:eastAsia="en-GB"/>
        </w:rPr>
      </w:pPr>
      <w:r w:rsidRPr="00647DDC">
        <w:rPr>
          <w:lang w:val="fr-FR" w:eastAsia="en-GB"/>
        </w:rPr>
        <w:t>3.1</w:t>
      </w:r>
      <w:r w:rsidRPr="00647DDC">
        <w:rPr>
          <w:lang w:val="fr-FR" w:eastAsia="en-GB"/>
        </w:rPr>
        <w:tab/>
        <w:t xml:space="preserve">L’auteur conteste son licenciement, estimant que la direction était au courant de la pratique qui lui était reprochée et que le revenu dégagé </w:t>
      </w:r>
      <w:r w:rsidR="00E11672" w:rsidRPr="00647DDC">
        <w:rPr>
          <w:lang w:val="fr-FR" w:eastAsia="en-GB"/>
        </w:rPr>
        <w:t xml:space="preserve">servait </w:t>
      </w:r>
      <w:r w:rsidRPr="00647DDC">
        <w:rPr>
          <w:lang w:val="fr-FR" w:eastAsia="en-GB"/>
        </w:rPr>
        <w:t>« pour l’entreprise et pour qu’il y ait une bonne ambiance dans un travail particulièrement difficile ». L’auteur soutient que les griefs invoqués par son ancien employeur ne sont pas précis, que les reproches soulevés sont vagues, et que l’accusation la « plus grotesque » est qu’il serait « détesté des autres salariés »</w:t>
      </w:r>
      <w:r w:rsidRPr="00647DDC">
        <w:rPr>
          <w:rStyle w:val="Appelnotedebasdep"/>
          <w:lang w:eastAsia="en-GB"/>
        </w:rPr>
        <w:footnoteReference w:id="5"/>
      </w:r>
      <w:r w:rsidRPr="00647DDC">
        <w:rPr>
          <w:lang w:val="fr-FR" w:eastAsia="en-GB"/>
        </w:rPr>
        <w:t>.</w:t>
      </w:r>
    </w:p>
    <w:p w14:paraId="7FD27983" w14:textId="4DB2E09B" w:rsidR="00BD788C" w:rsidRPr="00647DDC" w:rsidRDefault="00BD788C" w:rsidP="00201E54">
      <w:pPr>
        <w:pStyle w:val="SingleTxtG"/>
        <w:rPr>
          <w:lang w:val="fr-FR" w:eastAsia="es-ES"/>
        </w:rPr>
      </w:pPr>
      <w:r w:rsidRPr="00647DDC">
        <w:rPr>
          <w:lang w:val="fr-FR" w:eastAsia="en-GB"/>
        </w:rPr>
        <w:lastRenderedPageBreak/>
        <w:t>3.</w:t>
      </w:r>
      <w:r w:rsidRPr="00647DDC">
        <w:rPr>
          <w:lang w:val="fr-FR" w:eastAsia="es-ES"/>
        </w:rPr>
        <w:t>2</w:t>
      </w:r>
      <w:r w:rsidRPr="00647DDC">
        <w:rPr>
          <w:lang w:val="fr-FR" w:eastAsia="es-ES"/>
        </w:rPr>
        <w:tab/>
        <w:t xml:space="preserve">L’auteur </w:t>
      </w:r>
      <w:r w:rsidR="00201E54" w:rsidRPr="00647DDC">
        <w:rPr>
          <w:lang w:val="fr-FR" w:eastAsia="es-ES"/>
        </w:rPr>
        <w:t>affirme</w:t>
      </w:r>
      <w:r w:rsidRPr="00647DDC">
        <w:rPr>
          <w:lang w:val="fr-FR" w:eastAsia="es-ES"/>
        </w:rPr>
        <w:t xml:space="preserve"> également que la Cour d’appel n’a pas tenu compte des témoignages qu’il a présentés pour confirmer ses arguments, ceux-ci </w:t>
      </w:r>
      <w:r w:rsidR="00201E54" w:rsidRPr="00647DDC">
        <w:rPr>
          <w:lang w:val="fr-FR" w:eastAsia="es-ES"/>
        </w:rPr>
        <w:t xml:space="preserve">ayant été écartés </w:t>
      </w:r>
      <w:r w:rsidRPr="00647DDC">
        <w:rPr>
          <w:lang w:val="fr-FR" w:eastAsia="es-ES"/>
        </w:rPr>
        <w:t>« pour défaut de pertinence » et parce qu</w:t>
      </w:r>
      <w:r w:rsidR="00FF58C2" w:rsidRPr="00647DDC">
        <w:rPr>
          <w:lang w:val="fr-FR" w:eastAsia="es-ES"/>
        </w:rPr>
        <w:t>’</w:t>
      </w:r>
      <w:r w:rsidRPr="00647DDC">
        <w:rPr>
          <w:lang w:val="fr-FR" w:eastAsia="es-ES"/>
        </w:rPr>
        <w:t>ils seraient contredits par les autres éléments du dossier</w:t>
      </w:r>
      <w:r w:rsidRPr="00647DDC">
        <w:rPr>
          <w:rStyle w:val="Appelnotedebasdep"/>
          <w:lang w:eastAsia="es-ES"/>
        </w:rPr>
        <w:footnoteReference w:id="6"/>
      </w:r>
      <w:r w:rsidRPr="00647DDC">
        <w:rPr>
          <w:lang w:val="fr-FR" w:eastAsia="es-ES"/>
        </w:rPr>
        <w:t>.</w:t>
      </w:r>
    </w:p>
    <w:p w14:paraId="488C92BF" w14:textId="38E5DEE8" w:rsidR="00BD788C" w:rsidRPr="00647DDC" w:rsidRDefault="00BD788C" w:rsidP="00E564A7">
      <w:pPr>
        <w:pStyle w:val="SingleTxtG"/>
        <w:rPr>
          <w:lang w:val="fr-FR" w:eastAsia="en-GB"/>
        </w:rPr>
      </w:pPr>
      <w:r w:rsidRPr="00647DDC">
        <w:rPr>
          <w:lang w:val="fr-FR" w:eastAsia="en-GB"/>
        </w:rPr>
        <w:t>3.3</w:t>
      </w:r>
      <w:r w:rsidRPr="00647DDC">
        <w:rPr>
          <w:lang w:val="fr-FR" w:eastAsia="en-GB"/>
        </w:rPr>
        <w:tab/>
        <w:t xml:space="preserve">L’auteur allègue ainsi la violation </w:t>
      </w:r>
      <w:r w:rsidR="00D52F37" w:rsidRPr="00647DDC">
        <w:rPr>
          <w:lang w:val="fr-FR" w:eastAsia="en-GB"/>
        </w:rPr>
        <w:t xml:space="preserve">des paragraphes 1 a) et 3 </w:t>
      </w:r>
      <w:r w:rsidRPr="00647DDC">
        <w:rPr>
          <w:lang w:val="fr-FR" w:eastAsia="en-GB"/>
        </w:rPr>
        <w:t xml:space="preserve">de l’article 8 du Pacte, en raison de la méconnaissance par les juridictions de l’État partie de son statut de salarié protégé. Mettant en avant que l’un des grands principes de l’Organisation </w:t>
      </w:r>
      <w:r w:rsidR="00201E54" w:rsidRPr="00647DDC">
        <w:rPr>
          <w:lang w:val="fr-FR" w:eastAsia="en-GB"/>
        </w:rPr>
        <w:t>i</w:t>
      </w:r>
      <w:r w:rsidRPr="00647DDC">
        <w:rPr>
          <w:lang w:val="fr-FR" w:eastAsia="en-GB"/>
        </w:rPr>
        <w:t xml:space="preserve">nternationale du Travail est qu’un délégué syndical est un salarié protégé, il estime que les juridictions internes auraient dû procéder à un examen plus minutieux de la requête en résolution de </w:t>
      </w:r>
      <w:r w:rsidR="00201E54" w:rsidRPr="00647DDC">
        <w:rPr>
          <w:lang w:val="fr-FR" w:eastAsia="en-GB"/>
        </w:rPr>
        <w:t xml:space="preserve">son </w:t>
      </w:r>
      <w:r w:rsidRPr="00647DDC">
        <w:rPr>
          <w:lang w:val="fr-FR" w:eastAsia="en-GB"/>
        </w:rPr>
        <w:t>contrat de travail, et que la prudence impose à une juridiction de ne pas considérer des attestations ou de limiter la portée des attestations fournies par l’employeur contre un salarié licencié. L’auteur soutient que, dans l’État partie, un délégué syndical est un salarié qui bénéficie d’un statut sous</w:t>
      </w:r>
      <w:r w:rsidR="00584586" w:rsidRPr="00647DDC">
        <w:rPr>
          <w:lang w:val="fr-FR" w:eastAsia="en-GB"/>
        </w:rPr>
        <w:t>-</w:t>
      </w:r>
      <w:r w:rsidRPr="00647DDC">
        <w:rPr>
          <w:lang w:val="fr-FR" w:eastAsia="en-GB"/>
        </w:rPr>
        <w:t>protégé</w:t>
      </w:r>
      <w:r w:rsidR="00584586" w:rsidRPr="00647DDC">
        <w:rPr>
          <w:lang w:val="fr-FR" w:eastAsia="en-GB"/>
        </w:rPr>
        <w:t>,</w:t>
      </w:r>
      <w:r w:rsidRPr="00647DDC">
        <w:rPr>
          <w:lang w:val="fr-FR" w:eastAsia="en-GB"/>
        </w:rPr>
        <w:t xml:space="preserve"> puisque, pour les tribunaux de l’État partie ayant examiné son licenciement, « il n’y a pas de différence à faire entre la faute grave du salarié et celle du salarié délégué protégé</w:t>
      </w:r>
      <w:r w:rsidR="00E564A7" w:rsidRPr="00647DDC">
        <w:rPr>
          <w:lang w:val="fr-FR" w:eastAsia="en-GB"/>
        </w:rPr>
        <w:t> »</w:t>
      </w:r>
      <w:r w:rsidRPr="00647DDC">
        <w:rPr>
          <w:lang w:val="fr-FR" w:eastAsia="en-GB"/>
        </w:rPr>
        <w:t xml:space="preserve"> </w:t>
      </w:r>
      <w:r w:rsidR="00E564A7" w:rsidRPr="00647DDC">
        <w:rPr>
          <w:lang w:val="fr-FR" w:eastAsia="en-GB"/>
        </w:rPr>
        <w:t>et</w:t>
      </w:r>
      <w:r w:rsidRPr="00647DDC">
        <w:rPr>
          <w:lang w:val="fr-FR" w:eastAsia="en-GB"/>
        </w:rPr>
        <w:t xml:space="preserve"> </w:t>
      </w:r>
      <w:r w:rsidR="00E564A7" w:rsidRPr="00647DDC">
        <w:rPr>
          <w:lang w:val="fr-FR" w:eastAsia="en-GB"/>
        </w:rPr>
        <w:t>« </w:t>
      </w:r>
      <w:r w:rsidRPr="00647DDC">
        <w:rPr>
          <w:lang w:val="fr-FR" w:eastAsia="en-GB"/>
        </w:rPr>
        <w:t>la faute d’un délégué ne doit certainement pas être plus lourde que celle d’un collègue qui n’a pas cette qualité, le contraire pourrait tout au plus se concevoir si l’on admet qu’un délégué doit servir d’exemple aux autres membres du personnel ».</w:t>
      </w:r>
      <w:r w:rsidRPr="00647DDC">
        <w:rPr>
          <w:lang w:val="fr-FR" w:eastAsia="es-ES"/>
        </w:rPr>
        <w:t xml:space="preserve"> La</w:t>
      </w:r>
      <w:r w:rsidR="00A259C0">
        <w:rPr>
          <w:lang w:val="fr-FR" w:eastAsia="es-ES"/>
        </w:rPr>
        <w:t> </w:t>
      </w:r>
      <w:r w:rsidRPr="00647DDC">
        <w:rPr>
          <w:lang w:val="fr-FR" w:eastAsia="es-ES"/>
        </w:rPr>
        <w:t>communication mentionne par ailleurs qu’après le licenciement de l’auteur, d’autres salariés ont également été licenciés, sans cependant fournir de précision à cet égard.</w:t>
      </w:r>
    </w:p>
    <w:p w14:paraId="53E6827A" w14:textId="6F598A7C" w:rsidR="00BD788C" w:rsidRPr="00647DDC" w:rsidRDefault="00BD788C" w:rsidP="00456D3C">
      <w:pPr>
        <w:pStyle w:val="SingleTxtG"/>
        <w:rPr>
          <w:lang w:val="fr-FR" w:eastAsia="en-GB"/>
        </w:rPr>
      </w:pPr>
      <w:r w:rsidRPr="00647DDC">
        <w:rPr>
          <w:lang w:val="fr-FR" w:eastAsia="en-GB"/>
        </w:rPr>
        <w:t>3.4</w:t>
      </w:r>
      <w:r w:rsidRPr="00647DDC">
        <w:rPr>
          <w:lang w:val="fr-FR" w:eastAsia="en-GB"/>
        </w:rPr>
        <w:tab/>
        <w:t xml:space="preserve">L’auteur estime avoir épuisé toutes les voies de recours internes utiles. Il estime </w:t>
      </w:r>
      <w:r w:rsidR="00584586" w:rsidRPr="00647DDC">
        <w:rPr>
          <w:lang w:val="fr-FR" w:eastAsia="en-GB"/>
        </w:rPr>
        <w:t xml:space="preserve">également </w:t>
      </w:r>
      <w:r w:rsidRPr="00647DDC">
        <w:rPr>
          <w:lang w:val="fr-FR" w:eastAsia="en-GB"/>
        </w:rPr>
        <w:t>qu’il serait inutile de se pourvoir en cassation</w:t>
      </w:r>
      <w:r w:rsidR="00584586" w:rsidRPr="00647DDC">
        <w:rPr>
          <w:lang w:val="fr-FR" w:eastAsia="en-GB"/>
        </w:rPr>
        <w:t>,</w:t>
      </w:r>
      <w:r w:rsidRPr="00647DDC">
        <w:rPr>
          <w:lang w:val="fr-FR" w:eastAsia="en-GB"/>
        </w:rPr>
        <w:t xml:space="preserve"> puisqu’il n’invoque pas une erreur de droit mais un problème d’interprétation des faits, et que seule une erreur de droit ou de procédure pourrait faire l’objet d’un recours devant la Cour de cassation. L’auteur précise aussi qu’une analyse de la jurisprudence de la Cour de </w:t>
      </w:r>
      <w:r w:rsidR="00584586" w:rsidRPr="00647DDC">
        <w:rPr>
          <w:lang w:val="fr-FR" w:eastAsia="en-GB"/>
        </w:rPr>
        <w:t>c</w:t>
      </w:r>
      <w:r w:rsidRPr="00647DDC">
        <w:rPr>
          <w:lang w:val="fr-FR" w:eastAsia="en-GB"/>
        </w:rPr>
        <w:t>assation entre 2014 et 2016</w:t>
      </w:r>
      <w:r w:rsidR="00456D3C" w:rsidRPr="00647DDC">
        <w:rPr>
          <w:lang w:val="fr-FR" w:eastAsia="en-GB"/>
        </w:rPr>
        <w:t>,</w:t>
      </w:r>
      <w:r w:rsidRPr="00647DDC">
        <w:rPr>
          <w:lang w:val="fr-FR" w:eastAsia="en-GB"/>
        </w:rPr>
        <w:t xml:space="preserve"> en matière de droit du travail</w:t>
      </w:r>
      <w:r w:rsidR="00456D3C" w:rsidRPr="00647DDC">
        <w:rPr>
          <w:lang w:val="fr-FR" w:eastAsia="en-GB"/>
        </w:rPr>
        <w:t>,</w:t>
      </w:r>
      <w:r w:rsidRPr="00647DDC">
        <w:rPr>
          <w:lang w:val="fr-FR" w:eastAsia="en-GB"/>
        </w:rPr>
        <w:t xml:space="preserve"> démontre qu’un salarié qui a perdu devant la Cour d’appel ne peut pas gagner devant la Cour de cassation. </w:t>
      </w:r>
      <w:r w:rsidR="00456D3C" w:rsidRPr="00647DDC">
        <w:rPr>
          <w:lang w:val="fr-FR" w:eastAsia="en-GB"/>
        </w:rPr>
        <w:t>Selon lui, c</w:t>
      </w:r>
      <w:r w:rsidRPr="00647DDC">
        <w:rPr>
          <w:lang w:val="fr-FR" w:eastAsia="en-GB"/>
        </w:rPr>
        <w:t xml:space="preserve">e fait est causé par la présence d’un magistrat de la Cour d’appel au délibéré de la Cour de cassation. Connaissant parfaitement le dossier, </w:t>
      </w:r>
      <w:r w:rsidR="00456D3C" w:rsidRPr="00647DDC">
        <w:rPr>
          <w:lang w:val="fr-FR" w:eastAsia="en-GB"/>
        </w:rPr>
        <w:t>ce dernier</w:t>
      </w:r>
      <w:r w:rsidRPr="00647DDC">
        <w:rPr>
          <w:lang w:val="fr-FR" w:eastAsia="en-GB"/>
        </w:rPr>
        <w:t xml:space="preserve"> peut l’expliquer à ses collègues et les orienter dans le sens de la décision de la Cour d’appel</w:t>
      </w:r>
      <w:r w:rsidR="00584586" w:rsidRPr="00647DDC">
        <w:rPr>
          <w:lang w:val="fr-FR" w:eastAsia="en-GB"/>
        </w:rPr>
        <w:t>.</w:t>
      </w:r>
      <w:r w:rsidRPr="00647DDC">
        <w:rPr>
          <w:lang w:val="fr-FR" w:eastAsia="en-GB"/>
        </w:rPr>
        <w:t xml:space="preserve"> Par conséquent, </w:t>
      </w:r>
      <w:r w:rsidR="00456D3C" w:rsidRPr="00647DDC">
        <w:rPr>
          <w:lang w:val="fr-FR" w:eastAsia="en-GB"/>
        </w:rPr>
        <w:t>l’auteur estime n’avoir</w:t>
      </w:r>
      <w:r w:rsidRPr="00647DDC">
        <w:rPr>
          <w:lang w:val="fr-FR" w:eastAsia="en-GB"/>
        </w:rPr>
        <w:t xml:space="preserve"> vraiment aucune chance de succès devant la Cour de cassation.</w:t>
      </w:r>
    </w:p>
    <w:p w14:paraId="4D285B09" w14:textId="77777777" w:rsidR="00BD788C" w:rsidRPr="00647DDC" w:rsidRDefault="00BD788C" w:rsidP="00BD788C">
      <w:pPr>
        <w:pStyle w:val="H23G"/>
        <w:rPr>
          <w:lang w:val="fr-FR" w:eastAsia="es-ES"/>
        </w:rPr>
      </w:pPr>
      <w:r w:rsidRPr="00647DDC">
        <w:rPr>
          <w:lang w:val="fr-FR" w:eastAsia="es-ES"/>
        </w:rPr>
        <w:tab/>
      </w:r>
      <w:r w:rsidRPr="00647DDC">
        <w:rPr>
          <w:lang w:val="fr-FR" w:eastAsia="es-ES"/>
        </w:rPr>
        <w:tab/>
        <w:t xml:space="preserve">Renseignements complémentaires communiqués par l’auteur </w:t>
      </w:r>
    </w:p>
    <w:p w14:paraId="20394482" w14:textId="7FFC7585" w:rsidR="00BD788C" w:rsidRPr="00647DDC" w:rsidRDefault="00BD788C" w:rsidP="00D25F7F">
      <w:pPr>
        <w:pStyle w:val="SingleTxtG"/>
        <w:rPr>
          <w:lang w:val="fr-FR" w:eastAsia="es-ES"/>
        </w:rPr>
      </w:pPr>
      <w:r w:rsidRPr="00647DDC">
        <w:rPr>
          <w:lang w:val="fr-FR" w:eastAsia="es-ES"/>
        </w:rPr>
        <w:t>4.1</w:t>
      </w:r>
      <w:r w:rsidRPr="00647DDC">
        <w:rPr>
          <w:lang w:val="fr-FR" w:eastAsia="es-ES"/>
        </w:rPr>
        <w:tab/>
        <w:t>Le 1</w:t>
      </w:r>
      <w:r w:rsidRPr="00647DDC">
        <w:rPr>
          <w:vertAlign w:val="superscript"/>
          <w:lang w:val="fr-FR" w:eastAsia="es-ES"/>
        </w:rPr>
        <w:t>er</w:t>
      </w:r>
      <w:r w:rsidRPr="00647DDC">
        <w:rPr>
          <w:lang w:val="fr-FR" w:eastAsia="es-ES"/>
        </w:rPr>
        <w:t xml:space="preserve"> juin 2018, l’auteur a fait part au Comité d’un nouveau fait survenu le 10 avril 2018, lorsque </w:t>
      </w:r>
      <w:r w:rsidR="00DB5D4A" w:rsidRPr="00647DDC">
        <w:rPr>
          <w:lang w:val="fr-FR" w:eastAsia="es-ES"/>
        </w:rPr>
        <w:t xml:space="preserve">la </w:t>
      </w:r>
      <w:r w:rsidR="00D25F7F" w:rsidRPr="00647DDC">
        <w:rPr>
          <w:lang w:val="fr-FR" w:eastAsia="es-ES"/>
        </w:rPr>
        <w:t>c</w:t>
      </w:r>
      <w:r w:rsidR="00DB5D4A" w:rsidRPr="00647DDC">
        <w:rPr>
          <w:lang w:val="fr-FR" w:eastAsia="es-ES"/>
        </w:rPr>
        <w:t>our d’appel de Metz (France)</w:t>
      </w:r>
      <w:r w:rsidRPr="00647DDC">
        <w:rPr>
          <w:lang w:val="fr-FR" w:eastAsia="es-ES"/>
        </w:rPr>
        <w:t xml:space="preserve"> l’a condamné à rembourser les salaires perçus entre décembre 2013 –</w:t>
      </w:r>
      <w:r w:rsidR="00D25F7F" w:rsidRPr="00647DDC">
        <w:rPr>
          <w:lang w:val="fr-FR" w:eastAsia="es-ES"/>
        </w:rPr>
        <w:t> </w:t>
      </w:r>
      <w:r w:rsidRPr="00647DDC">
        <w:rPr>
          <w:lang w:val="fr-FR" w:eastAsia="es-ES"/>
        </w:rPr>
        <w:t>date de sa mise à pied</w:t>
      </w:r>
      <w:r w:rsidR="00D25F7F" w:rsidRPr="00647DDC">
        <w:rPr>
          <w:lang w:val="fr-FR" w:eastAsia="es-ES"/>
        </w:rPr>
        <w:t> </w:t>
      </w:r>
      <w:r w:rsidRPr="00647DDC">
        <w:rPr>
          <w:lang w:val="fr-FR" w:eastAsia="es-ES"/>
        </w:rPr>
        <w:t>– et juin 2016 –</w:t>
      </w:r>
      <w:r w:rsidR="00D25F7F" w:rsidRPr="00647DDC">
        <w:rPr>
          <w:lang w:val="fr-FR" w:eastAsia="es-ES"/>
        </w:rPr>
        <w:t> </w:t>
      </w:r>
      <w:r w:rsidRPr="00647DDC">
        <w:rPr>
          <w:lang w:val="fr-FR" w:eastAsia="es-ES"/>
        </w:rPr>
        <w:t>date de l’arrêt de la Cour d’appel</w:t>
      </w:r>
      <w:r w:rsidR="00D25F7F" w:rsidRPr="00647DDC">
        <w:rPr>
          <w:lang w:val="fr-FR" w:eastAsia="es-ES"/>
        </w:rPr>
        <w:t xml:space="preserve"> du Luxembourg </w:t>
      </w:r>
      <w:r w:rsidRPr="00647DDC">
        <w:rPr>
          <w:lang w:val="fr-FR" w:eastAsia="es-ES"/>
        </w:rPr>
        <w:t>–, avec intérêts, pour un total de 174</w:t>
      </w:r>
      <w:r w:rsidR="00D25F7F" w:rsidRPr="00647DDC">
        <w:rPr>
          <w:lang w:val="fr-FR" w:eastAsia="es-ES"/>
        </w:rPr>
        <w:t> </w:t>
      </w:r>
      <w:r w:rsidRPr="00647DDC">
        <w:rPr>
          <w:lang w:val="fr-FR" w:eastAsia="es-ES"/>
        </w:rPr>
        <w:t>000 euros. Selon l’auteur, ces juges ne sont même pas des magistrats professionnels</w:t>
      </w:r>
      <w:r w:rsidR="00D25F7F" w:rsidRPr="00647DDC">
        <w:rPr>
          <w:lang w:val="fr-FR" w:eastAsia="es-ES"/>
        </w:rPr>
        <w:t>,</w:t>
      </w:r>
      <w:r w:rsidRPr="00647DDC">
        <w:rPr>
          <w:lang w:val="fr-FR" w:eastAsia="es-ES"/>
        </w:rPr>
        <w:t xml:space="preserve"> mais souvent </w:t>
      </w:r>
      <w:r w:rsidR="00D25F7F" w:rsidRPr="00647DDC">
        <w:rPr>
          <w:lang w:val="fr-FR" w:eastAsia="es-ES"/>
        </w:rPr>
        <w:t>d’</w:t>
      </w:r>
      <w:r w:rsidRPr="00647DDC">
        <w:rPr>
          <w:lang w:val="fr-FR" w:eastAsia="es-ES"/>
        </w:rPr>
        <w:t xml:space="preserve">anciens policiers ou gendarmes qui imposent leur morale à la loi. L’auteur précise aussi que son ancien employeur luxembourgeois considère la France comme une colonie luxembourgeoise, </w:t>
      </w:r>
      <w:r w:rsidR="00DC1C59" w:rsidRPr="00647DDC">
        <w:rPr>
          <w:lang w:val="fr-FR" w:eastAsia="es-ES"/>
        </w:rPr>
        <w:t xml:space="preserve">en </w:t>
      </w:r>
      <w:r w:rsidRPr="00647DDC">
        <w:rPr>
          <w:lang w:val="fr-FR" w:eastAsia="es-ES"/>
        </w:rPr>
        <w:t>se tournant vers les tribunaux français pour obtenir le remboursement des salaires.</w:t>
      </w:r>
    </w:p>
    <w:p w14:paraId="5005F9B4" w14:textId="133569AD" w:rsidR="00BD788C" w:rsidRPr="00647DDC" w:rsidRDefault="00BD788C" w:rsidP="00D25F7F">
      <w:pPr>
        <w:pStyle w:val="SingleTxtG"/>
        <w:rPr>
          <w:lang w:val="fr-FR" w:eastAsia="es-ES"/>
        </w:rPr>
      </w:pPr>
      <w:r w:rsidRPr="00647DDC">
        <w:rPr>
          <w:lang w:val="fr-FR" w:eastAsia="es-ES"/>
        </w:rPr>
        <w:t>4.2</w:t>
      </w:r>
      <w:r w:rsidRPr="00647DDC">
        <w:rPr>
          <w:lang w:val="fr-FR" w:eastAsia="es-ES"/>
        </w:rPr>
        <w:tab/>
        <w:t xml:space="preserve">Les 30 août et 3 décembre 2018, l’auteur a fait parvenir d’autres informations en lien avec l’arrêt de la </w:t>
      </w:r>
      <w:r w:rsidR="00D25F7F" w:rsidRPr="00647DDC">
        <w:rPr>
          <w:lang w:val="fr-FR" w:eastAsia="es-ES"/>
        </w:rPr>
        <w:t>c</w:t>
      </w:r>
      <w:r w:rsidRPr="00647DDC">
        <w:rPr>
          <w:lang w:val="fr-FR" w:eastAsia="es-ES"/>
        </w:rPr>
        <w:t xml:space="preserve">our d’appel de Metz, notamment le commandement de payer reçu de son ancien employeur. </w:t>
      </w:r>
    </w:p>
    <w:p w14:paraId="10495D5D" w14:textId="77777777" w:rsidR="00BD788C" w:rsidRPr="00647DDC" w:rsidRDefault="00BD788C" w:rsidP="00BD788C">
      <w:pPr>
        <w:pStyle w:val="H23G"/>
        <w:rPr>
          <w:lang w:val="fr-FR" w:eastAsia="en-GB"/>
        </w:rPr>
      </w:pPr>
      <w:r w:rsidRPr="00647DDC">
        <w:rPr>
          <w:lang w:val="fr-FR" w:eastAsia="en-GB"/>
        </w:rPr>
        <w:tab/>
      </w:r>
      <w:r w:rsidRPr="00647DDC">
        <w:rPr>
          <w:lang w:val="fr-FR" w:eastAsia="en-GB"/>
        </w:rPr>
        <w:tab/>
        <w:t>Observations de l’État partie sur la recevabilité et le fond</w:t>
      </w:r>
    </w:p>
    <w:p w14:paraId="698F6CA2" w14:textId="77777777" w:rsidR="00BD788C" w:rsidRPr="00647DDC" w:rsidRDefault="00BD788C" w:rsidP="00BD788C">
      <w:pPr>
        <w:pStyle w:val="SingleTxtG"/>
        <w:rPr>
          <w:lang w:val="fr-FR" w:eastAsia="en-GB"/>
        </w:rPr>
      </w:pPr>
      <w:r w:rsidRPr="00647DDC">
        <w:rPr>
          <w:lang w:val="fr-FR" w:eastAsia="en-GB"/>
        </w:rPr>
        <w:t>5.1</w:t>
      </w:r>
      <w:r w:rsidRPr="00647DDC">
        <w:rPr>
          <w:lang w:val="fr-FR" w:eastAsia="en-GB"/>
        </w:rPr>
        <w:tab/>
        <w:t>Le 16 janvier 2019, l’État partie a soumis ses observations concernant la recevabilité et le fond de la communication.</w:t>
      </w:r>
    </w:p>
    <w:p w14:paraId="3E47775E" w14:textId="643ECC3E" w:rsidR="00BD788C" w:rsidRPr="00647DDC" w:rsidRDefault="00BD788C" w:rsidP="00BD788C">
      <w:pPr>
        <w:pStyle w:val="SingleTxtG"/>
        <w:rPr>
          <w:lang w:val="fr-FR" w:eastAsia="en-GB"/>
        </w:rPr>
      </w:pPr>
      <w:r w:rsidRPr="00647DDC">
        <w:rPr>
          <w:lang w:val="fr-FR" w:eastAsia="en-GB"/>
        </w:rPr>
        <w:lastRenderedPageBreak/>
        <w:t>5.2</w:t>
      </w:r>
      <w:r w:rsidRPr="00647DDC">
        <w:rPr>
          <w:lang w:val="fr-FR" w:eastAsia="en-GB"/>
        </w:rPr>
        <w:tab/>
        <w:t>En ce qui concerne la recevabilité, l’État partie estime en premier lieu que l’auteur n’a pas épuisé les voies de recours internes</w:t>
      </w:r>
      <w:r w:rsidR="00D25F7F" w:rsidRPr="00647DDC">
        <w:rPr>
          <w:lang w:val="fr-FR" w:eastAsia="en-GB"/>
        </w:rPr>
        <w:t>,</w:t>
      </w:r>
      <w:r w:rsidRPr="00647DDC">
        <w:rPr>
          <w:lang w:val="fr-FR" w:eastAsia="en-GB"/>
        </w:rPr>
        <w:t xml:space="preserve"> puisqu’il ne s’est pas pourvu en cassation, ce qu’il aurait pu faire s’il avait estimé que la Cour d’appel avait fait une mauvaise interprétation du droit applicable.</w:t>
      </w:r>
    </w:p>
    <w:p w14:paraId="56BB15EE" w14:textId="6944AF86" w:rsidR="00BD788C" w:rsidRPr="00647DDC" w:rsidRDefault="00BD788C" w:rsidP="00591D15">
      <w:pPr>
        <w:pStyle w:val="SingleTxtG"/>
        <w:rPr>
          <w:lang w:val="fr-FR" w:eastAsia="en-GB"/>
        </w:rPr>
      </w:pPr>
      <w:r w:rsidRPr="00647DDC">
        <w:rPr>
          <w:lang w:val="fr-FR" w:eastAsia="en-GB"/>
        </w:rPr>
        <w:t>5.3</w:t>
      </w:r>
      <w:r w:rsidRPr="00647DDC">
        <w:rPr>
          <w:lang w:val="fr-FR" w:eastAsia="en-GB"/>
        </w:rPr>
        <w:tab/>
        <w:t xml:space="preserve">L’État partie estime </w:t>
      </w:r>
      <w:r w:rsidR="00D25F7F" w:rsidRPr="00647DDC">
        <w:rPr>
          <w:lang w:val="fr-FR" w:eastAsia="en-GB"/>
        </w:rPr>
        <w:t>en second lieu</w:t>
      </w:r>
      <w:r w:rsidRPr="00647DDC">
        <w:rPr>
          <w:lang w:val="fr-FR" w:eastAsia="en-GB"/>
        </w:rPr>
        <w:t xml:space="preserve"> que la communication n’est pas recevable en raison d’une incompétence du Comité </w:t>
      </w:r>
      <w:proofErr w:type="spellStart"/>
      <w:r w:rsidRPr="00647DDC">
        <w:rPr>
          <w:i/>
          <w:lang w:val="fr-FR" w:eastAsia="en-GB"/>
        </w:rPr>
        <w:t>ratione</w:t>
      </w:r>
      <w:proofErr w:type="spellEnd"/>
      <w:r w:rsidRPr="00647DDC">
        <w:rPr>
          <w:i/>
          <w:lang w:val="fr-FR" w:eastAsia="en-GB"/>
        </w:rPr>
        <w:t xml:space="preserve"> </w:t>
      </w:r>
      <w:proofErr w:type="spellStart"/>
      <w:r w:rsidRPr="00647DDC">
        <w:rPr>
          <w:i/>
          <w:lang w:val="fr-FR" w:eastAsia="en-GB"/>
        </w:rPr>
        <w:t>temporis</w:t>
      </w:r>
      <w:proofErr w:type="spellEnd"/>
      <w:r w:rsidRPr="00647DDC">
        <w:rPr>
          <w:lang w:val="fr-FR" w:eastAsia="en-GB"/>
        </w:rPr>
        <w:t xml:space="preserve">, étant donné que les faits rapportés ont eu lieu avant la date d’entrée en vigueur du Protocole </w:t>
      </w:r>
      <w:r w:rsidR="00E1711C" w:rsidRPr="00647DDC">
        <w:rPr>
          <w:lang w:val="fr-FR" w:eastAsia="en-GB"/>
        </w:rPr>
        <w:t xml:space="preserve">facultatif </w:t>
      </w:r>
      <w:r w:rsidRPr="00647DDC">
        <w:rPr>
          <w:lang w:val="fr-FR" w:eastAsia="en-GB"/>
        </w:rPr>
        <w:t xml:space="preserve">à son égard. Ainsi, la communication serait irrecevable </w:t>
      </w:r>
      <w:r w:rsidR="00591D15" w:rsidRPr="00647DDC">
        <w:rPr>
          <w:lang w:val="fr-FR" w:eastAsia="en-GB"/>
        </w:rPr>
        <w:t>au titre</w:t>
      </w:r>
      <w:r w:rsidRPr="00647DDC">
        <w:rPr>
          <w:lang w:val="fr-FR" w:eastAsia="en-GB"/>
        </w:rPr>
        <w:t xml:space="preserve"> </w:t>
      </w:r>
      <w:r w:rsidR="00D52F37" w:rsidRPr="00647DDC">
        <w:rPr>
          <w:lang w:val="fr-FR" w:eastAsia="en-GB"/>
        </w:rPr>
        <w:t xml:space="preserve">du paragraphe 2 b) </w:t>
      </w:r>
      <w:r w:rsidRPr="00647DDC">
        <w:rPr>
          <w:lang w:val="fr-FR" w:eastAsia="en-GB"/>
        </w:rPr>
        <w:t xml:space="preserve">de l’article 3 du Protocole </w:t>
      </w:r>
      <w:r w:rsidRPr="00647DDC">
        <w:rPr>
          <w:lang w:val="fr-FR" w:eastAsia="es-ES"/>
        </w:rPr>
        <w:t>facultatif</w:t>
      </w:r>
      <w:r w:rsidRPr="00647DDC">
        <w:rPr>
          <w:lang w:val="fr-FR" w:eastAsia="en-GB"/>
        </w:rPr>
        <w:t>.</w:t>
      </w:r>
    </w:p>
    <w:p w14:paraId="624541EC" w14:textId="77777777" w:rsidR="00BD788C" w:rsidRPr="00647DDC" w:rsidRDefault="00BD788C" w:rsidP="00BD788C">
      <w:pPr>
        <w:pStyle w:val="SingleTxtG"/>
        <w:rPr>
          <w:lang w:val="fr-FR" w:eastAsia="en-GB"/>
        </w:rPr>
      </w:pPr>
      <w:r w:rsidRPr="00647DDC">
        <w:rPr>
          <w:lang w:val="fr-FR" w:eastAsia="en-GB"/>
        </w:rPr>
        <w:t>5.4</w:t>
      </w:r>
      <w:r w:rsidRPr="00647DDC">
        <w:rPr>
          <w:lang w:val="fr-FR" w:eastAsia="en-GB"/>
        </w:rPr>
        <w:tab/>
        <w:t>Quant au fond, l’État partie estime que les droits de l’auteur découlant du Pacte et des instruments nationaux ont été respectés.</w:t>
      </w:r>
    </w:p>
    <w:p w14:paraId="15FEDB3F" w14:textId="77777777" w:rsidR="00BD788C" w:rsidRPr="00647DDC" w:rsidRDefault="00BD788C" w:rsidP="00BD788C">
      <w:pPr>
        <w:pStyle w:val="H23G"/>
        <w:rPr>
          <w:lang w:val="fr-FR" w:eastAsia="en-GB"/>
        </w:rPr>
      </w:pPr>
      <w:r w:rsidRPr="00647DDC">
        <w:rPr>
          <w:lang w:val="fr-FR" w:eastAsia="en-GB"/>
        </w:rPr>
        <w:tab/>
      </w:r>
      <w:r w:rsidRPr="00647DDC">
        <w:rPr>
          <w:lang w:val="fr-FR" w:eastAsia="en-GB"/>
        </w:rPr>
        <w:tab/>
        <w:t xml:space="preserve">Commentaires de l’auteur sur les observations de l’État partie </w:t>
      </w:r>
    </w:p>
    <w:p w14:paraId="6D2DB190" w14:textId="551AC998" w:rsidR="00BD788C" w:rsidRPr="00647DDC" w:rsidRDefault="00BD788C" w:rsidP="00E1711C">
      <w:pPr>
        <w:pStyle w:val="SingleTxtG"/>
        <w:rPr>
          <w:lang w:val="fr-FR" w:eastAsia="en-GB"/>
        </w:rPr>
      </w:pPr>
      <w:r w:rsidRPr="00647DDC">
        <w:rPr>
          <w:lang w:val="fr-FR" w:eastAsia="en-GB"/>
        </w:rPr>
        <w:t>6.1</w:t>
      </w:r>
      <w:r w:rsidRPr="00647DDC">
        <w:rPr>
          <w:lang w:val="fr-FR" w:eastAsia="en-GB"/>
        </w:rPr>
        <w:tab/>
        <w:t xml:space="preserve">L’auteur a répondu aux observations de l’État partie le 14 mars 2019. Concernant l’observation selon laquelle il aurait pu se pourvoir en cassation, il fait valoir que l’État partie ne donne aucune jurisprudence pour expliquer </w:t>
      </w:r>
      <w:r w:rsidR="00E1711C" w:rsidRPr="00647DDC">
        <w:rPr>
          <w:lang w:val="fr-FR" w:eastAsia="en-GB"/>
        </w:rPr>
        <w:t>qu’il</w:t>
      </w:r>
      <w:r w:rsidRPr="00647DDC">
        <w:rPr>
          <w:lang w:val="fr-FR" w:eastAsia="en-GB"/>
        </w:rPr>
        <w:t xml:space="preserve"> avait une chance de gagner devant la Cour de </w:t>
      </w:r>
      <w:r w:rsidR="00E1711C" w:rsidRPr="00647DDC">
        <w:rPr>
          <w:lang w:val="fr-FR" w:eastAsia="en-GB"/>
        </w:rPr>
        <w:t>c</w:t>
      </w:r>
      <w:r w:rsidRPr="00647DDC">
        <w:rPr>
          <w:lang w:val="fr-FR" w:eastAsia="en-GB"/>
        </w:rPr>
        <w:t>assation. Il réitère qu’il ne s’agit pas d’une erreur de droit ou de procédure, mais d’interprétation des faits.</w:t>
      </w:r>
    </w:p>
    <w:p w14:paraId="0D01CB90" w14:textId="5113F675" w:rsidR="00BD788C" w:rsidRPr="00647DDC" w:rsidRDefault="00BD788C" w:rsidP="00E1711C">
      <w:pPr>
        <w:pStyle w:val="SingleTxtG"/>
        <w:rPr>
          <w:lang w:val="fr-FR" w:eastAsia="en-GB"/>
        </w:rPr>
      </w:pPr>
      <w:r w:rsidRPr="00647DDC">
        <w:rPr>
          <w:lang w:val="fr-FR" w:eastAsia="en-GB"/>
        </w:rPr>
        <w:t>6.2</w:t>
      </w:r>
      <w:r w:rsidRPr="00647DDC">
        <w:rPr>
          <w:lang w:val="fr-FR" w:eastAsia="en-GB"/>
        </w:rPr>
        <w:tab/>
        <w:t xml:space="preserve">Concernant la compétence </w:t>
      </w:r>
      <w:proofErr w:type="spellStart"/>
      <w:r w:rsidRPr="00647DDC">
        <w:rPr>
          <w:i/>
          <w:lang w:val="fr-FR" w:eastAsia="en-GB"/>
        </w:rPr>
        <w:t>ratione</w:t>
      </w:r>
      <w:proofErr w:type="spellEnd"/>
      <w:r w:rsidRPr="00647DDC">
        <w:rPr>
          <w:i/>
          <w:lang w:val="fr-FR" w:eastAsia="en-GB"/>
        </w:rPr>
        <w:t xml:space="preserve"> </w:t>
      </w:r>
      <w:proofErr w:type="spellStart"/>
      <w:r w:rsidRPr="00647DDC">
        <w:rPr>
          <w:i/>
          <w:lang w:val="fr-FR" w:eastAsia="en-GB"/>
        </w:rPr>
        <w:t>temporis</w:t>
      </w:r>
      <w:proofErr w:type="spellEnd"/>
      <w:r w:rsidRPr="00647DDC">
        <w:rPr>
          <w:lang w:val="fr-FR" w:eastAsia="en-GB"/>
        </w:rPr>
        <w:t xml:space="preserve">, l’auteur renvoie à l’affaire </w:t>
      </w:r>
      <w:proofErr w:type="spellStart"/>
      <w:r w:rsidRPr="00647DDC">
        <w:rPr>
          <w:i/>
          <w:lang w:val="fr-FR" w:eastAsia="en-GB"/>
        </w:rPr>
        <w:t>Arellano</w:t>
      </w:r>
      <w:proofErr w:type="spellEnd"/>
      <w:r w:rsidRPr="00647DDC">
        <w:rPr>
          <w:i/>
          <w:lang w:val="fr-FR" w:eastAsia="en-GB"/>
        </w:rPr>
        <w:t xml:space="preserve"> Medina c. </w:t>
      </w:r>
      <w:r w:rsidR="00E1711C" w:rsidRPr="00647DDC">
        <w:rPr>
          <w:i/>
          <w:lang w:val="fr-FR" w:eastAsia="en-GB"/>
        </w:rPr>
        <w:t>É</w:t>
      </w:r>
      <w:r w:rsidRPr="00647DDC">
        <w:rPr>
          <w:i/>
          <w:lang w:val="fr-FR" w:eastAsia="en-GB"/>
        </w:rPr>
        <w:t>quateur</w:t>
      </w:r>
      <w:r w:rsidRPr="0094671A">
        <w:rPr>
          <w:rStyle w:val="Appelnotedebasdep"/>
          <w:iCs/>
          <w:lang w:eastAsia="en-GB"/>
        </w:rPr>
        <w:footnoteReference w:id="7"/>
      </w:r>
      <w:r w:rsidRPr="00647DDC">
        <w:rPr>
          <w:lang w:val="fr-FR" w:eastAsia="en-GB"/>
        </w:rPr>
        <w:t xml:space="preserve"> pour soutenir que le Comité est compétent</w:t>
      </w:r>
      <w:r w:rsidR="00E1711C" w:rsidRPr="00647DDC">
        <w:rPr>
          <w:lang w:val="fr-FR" w:eastAsia="en-GB"/>
        </w:rPr>
        <w:t>,</w:t>
      </w:r>
      <w:r w:rsidRPr="00647DDC">
        <w:rPr>
          <w:lang w:val="fr-FR" w:eastAsia="en-GB"/>
        </w:rPr>
        <w:t xml:space="preserve"> car l’arrêt de la Cour d’appel, postérieur à l’entrée en vigueur du Protocole facultatif à l’égard de l’État partie, fait partie des faits de l’espèce.</w:t>
      </w:r>
    </w:p>
    <w:p w14:paraId="18EB1CAC" w14:textId="05E2B868" w:rsidR="00BD788C" w:rsidRPr="00647DDC" w:rsidRDefault="00BD788C" w:rsidP="00E1711C">
      <w:pPr>
        <w:pStyle w:val="SingleTxtG"/>
        <w:rPr>
          <w:lang w:val="fr-FR" w:eastAsia="en-GB"/>
        </w:rPr>
      </w:pPr>
      <w:r w:rsidRPr="00647DDC">
        <w:rPr>
          <w:lang w:val="fr-FR" w:eastAsia="en-GB"/>
        </w:rPr>
        <w:t>6.3</w:t>
      </w:r>
      <w:r w:rsidRPr="00647DDC">
        <w:rPr>
          <w:lang w:val="fr-FR" w:eastAsia="en-GB"/>
        </w:rPr>
        <w:tab/>
        <w:t xml:space="preserve">Concernant le fond, l’auteur </w:t>
      </w:r>
      <w:r w:rsidR="00E1711C" w:rsidRPr="00647DDC">
        <w:rPr>
          <w:lang w:val="fr-FR" w:eastAsia="en-GB"/>
        </w:rPr>
        <w:t>indique</w:t>
      </w:r>
      <w:r w:rsidRPr="00647DDC">
        <w:rPr>
          <w:lang w:val="fr-FR" w:eastAsia="en-GB"/>
        </w:rPr>
        <w:t xml:space="preserve"> qu’étant donné que l’État</w:t>
      </w:r>
      <w:r w:rsidR="00E1711C" w:rsidRPr="00647DDC">
        <w:rPr>
          <w:lang w:val="fr-FR" w:eastAsia="en-GB"/>
        </w:rPr>
        <w:t xml:space="preserve"> partie</w:t>
      </w:r>
      <w:r w:rsidRPr="00647DDC">
        <w:rPr>
          <w:lang w:val="fr-FR" w:eastAsia="en-GB"/>
        </w:rPr>
        <w:t xml:space="preserve"> ne présente pas d’arguments pour s’opposer à ses allégations, la violation doit être constatée par le Comité. </w:t>
      </w:r>
    </w:p>
    <w:p w14:paraId="0EB79F4B" w14:textId="77777777" w:rsidR="00BD788C" w:rsidRPr="00647DDC" w:rsidRDefault="00BD788C" w:rsidP="00BD788C">
      <w:pPr>
        <w:pStyle w:val="H1G"/>
        <w:rPr>
          <w:lang w:val="fr-FR" w:eastAsia="es-ES"/>
        </w:rPr>
      </w:pPr>
      <w:r w:rsidRPr="00647DDC">
        <w:rPr>
          <w:lang w:val="fr-FR" w:eastAsia="es-ES"/>
        </w:rPr>
        <w:tab/>
        <w:t>B.</w:t>
      </w:r>
      <w:r w:rsidRPr="00647DDC">
        <w:rPr>
          <w:lang w:val="fr-FR" w:eastAsia="es-ES"/>
        </w:rPr>
        <w:tab/>
        <w:t>Délibérations du Comité sur la recevabilité</w:t>
      </w:r>
    </w:p>
    <w:p w14:paraId="3566CB8D" w14:textId="77777777" w:rsidR="00BD788C" w:rsidRPr="00647DDC" w:rsidRDefault="00BD788C" w:rsidP="00BD788C">
      <w:pPr>
        <w:pStyle w:val="SingleTxtG"/>
        <w:rPr>
          <w:lang w:val="fr-FR" w:eastAsia="es-ES"/>
        </w:rPr>
      </w:pPr>
      <w:r w:rsidRPr="00647DDC">
        <w:rPr>
          <w:lang w:val="fr-FR" w:eastAsia="es-ES"/>
        </w:rPr>
        <w:t>7.1</w:t>
      </w:r>
      <w:r w:rsidRPr="00647DDC">
        <w:rPr>
          <w:lang w:val="fr-FR" w:eastAsia="es-ES"/>
        </w:rPr>
        <w:tab/>
        <w:t>Avant d’examiner tout grief formulé dans une communication, le Comité doit déterminer si celle-ci est recevable au regard du Protocole facultatif se rapportant au Pacte.</w:t>
      </w:r>
    </w:p>
    <w:p w14:paraId="439BA8C1" w14:textId="7AFFFDEE" w:rsidR="00BD788C" w:rsidRPr="00647DDC" w:rsidRDefault="00BD788C" w:rsidP="00EB328F">
      <w:pPr>
        <w:pStyle w:val="SingleTxtG"/>
        <w:rPr>
          <w:lang w:val="fr-FR" w:eastAsia="es-ES"/>
        </w:rPr>
      </w:pPr>
      <w:r w:rsidRPr="00647DDC">
        <w:rPr>
          <w:lang w:val="fr-FR" w:eastAsia="es-ES"/>
        </w:rPr>
        <w:t>7.2</w:t>
      </w:r>
      <w:r w:rsidRPr="00647DDC">
        <w:rPr>
          <w:lang w:val="fr-FR" w:eastAsia="es-ES"/>
        </w:rPr>
        <w:tab/>
      </w:r>
      <w:r w:rsidR="0004430C" w:rsidRPr="00647DDC">
        <w:rPr>
          <w:lang w:val="fr-FR" w:eastAsia="es-ES"/>
        </w:rPr>
        <w:t>Le Comité relève que l’État partie estime qu</w:t>
      </w:r>
      <w:r w:rsidR="004538E9" w:rsidRPr="00647DDC">
        <w:rPr>
          <w:lang w:val="fr-FR" w:eastAsia="es-ES"/>
        </w:rPr>
        <w:t>’</w:t>
      </w:r>
      <w:r w:rsidR="0004430C" w:rsidRPr="00647DDC">
        <w:rPr>
          <w:lang w:val="fr-FR" w:eastAsia="es-ES"/>
        </w:rPr>
        <w:t xml:space="preserve">il ne serait pas compétent </w:t>
      </w:r>
      <w:proofErr w:type="spellStart"/>
      <w:r w:rsidR="0004430C" w:rsidRPr="00647DDC">
        <w:rPr>
          <w:i/>
          <w:lang w:val="fr-FR" w:eastAsia="es-ES"/>
        </w:rPr>
        <w:t>ratione</w:t>
      </w:r>
      <w:proofErr w:type="spellEnd"/>
      <w:r w:rsidR="0004430C" w:rsidRPr="00647DDC">
        <w:rPr>
          <w:i/>
          <w:lang w:val="fr-FR" w:eastAsia="es-ES"/>
        </w:rPr>
        <w:t xml:space="preserve"> </w:t>
      </w:r>
      <w:proofErr w:type="spellStart"/>
      <w:r w:rsidR="0004430C" w:rsidRPr="00647DDC">
        <w:rPr>
          <w:i/>
          <w:lang w:val="fr-FR" w:eastAsia="es-ES"/>
        </w:rPr>
        <w:t>temporis</w:t>
      </w:r>
      <w:proofErr w:type="spellEnd"/>
      <w:r w:rsidR="0004430C" w:rsidRPr="00647DDC">
        <w:rPr>
          <w:lang w:val="fr-FR" w:eastAsia="es-ES"/>
        </w:rPr>
        <w:t xml:space="preserve"> pour examiner la présente communication, étant donné que</w:t>
      </w:r>
      <w:r w:rsidR="0004430C" w:rsidRPr="00647DDC">
        <w:t xml:space="preserve"> </w:t>
      </w:r>
      <w:r w:rsidR="0004430C" w:rsidRPr="00647DDC">
        <w:rPr>
          <w:lang w:val="fr-FR" w:eastAsia="es-ES"/>
        </w:rPr>
        <w:t xml:space="preserve">les faits rapportés ont eu lieu en 2013, </w:t>
      </w:r>
      <w:r w:rsidR="008C7B2E" w:rsidRPr="00647DDC">
        <w:rPr>
          <w:lang w:val="fr-FR" w:eastAsia="es-ES"/>
        </w:rPr>
        <w:t xml:space="preserve">soit </w:t>
      </w:r>
      <w:r w:rsidR="0004430C" w:rsidRPr="00647DDC">
        <w:rPr>
          <w:lang w:val="fr-FR" w:eastAsia="es-ES"/>
        </w:rPr>
        <w:t>avant la date d’entrée en vigueur du Protocole à l</w:t>
      </w:r>
      <w:r w:rsidR="00762F0E" w:rsidRPr="00647DDC">
        <w:rPr>
          <w:lang w:val="fr-FR" w:eastAsia="es-ES"/>
        </w:rPr>
        <w:t>’</w:t>
      </w:r>
      <w:r w:rsidR="0004430C" w:rsidRPr="00647DDC">
        <w:rPr>
          <w:lang w:val="fr-FR" w:eastAsia="es-ES"/>
        </w:rPr>
        <w:t xml:space="preserve">égard de l’État partie, le </w:t>
      </w:r>
      <w:r w:rsidR="0004430C" w:rsidRPr="00647DDC">
        <w:rPr>
          <w:lang w:val="fr-FR" w:eastAsia="en-GB"/>
        </w:rPr>
        <w:t>3 mai 2015</w:t>
      </w:r>
      <w:r w:rsidR="0004430C" w:rsidRPr="00647DDC">
        <w:rPr>
          <w:lang w:val="fr-FR" w:eastAsia="es-ES"/>
        </w:rPr>
        <w:t>.</w:t>
      </w:r>
      <w:r w:rsidR="0004430C" w:rsidRPr="00647DDC">
        <w:t xml:space="preserve"> </w:t>
      </w:r>
      <w:r w:rsidR="0004430C" w:rsidRPr="00647DDC">
        <w:rPr>
          <w:lang w:val="fr-FR" w:eastAsia="es-ES"/>
        </w:rPr>
        <w:t>Cependant</w:t>
      </w:r>
      <w:r w:rsidR="008C7B2E" w:rsidRPr="00647DDC">
        <w:rPr>
          <w:lang w:val="fr-FR" w:eastAsia="es-ES"/>
        </w:rPr>
        <w:t>,</w:t>
      </w:r>
      <w:r w:rsidR="0004430C" w:rsidRPr="00647DDC">
        <w:rPr>
          <w:lang w:val="fr-FR" w:eastAsia="es-ES"/>
        </w:rPr>
        <w:t xml:space="preserve"> le Comité note que l’arrêt de la Cour d’appel à l</w:t>
      </w:r>
      <w:r w:rsidR="00762F0E" w:rsidRPr="00647DDC">
        <w:rPr>
          <w:lang w:val="fr-FR" w:eastAsia="es-ES"/>
        </w:rPr>
        <w:t>’</w:t>
      </w:r>
      <w:r w:rsidR="008C7B2E" w:rsidRPr="00647DDC">
        <w:rPr>
          <w:lang w:val="fr-FR" w:eastAsia="es-ES"/>
        </w:rPr>
        <w:t>encontre</w:t>
      </w:r>
      <w:r w:rsidR="0004430C" w:rsidRPr="00647DDC">
        <w:rPr>
          <w:lang w:val="fr-FR" w:eastAsia="es-ES"/>
        </w:rPr>
        <w:t xml:space="preserve"> de l</w:t>
      </w:r>
      <w:r w:rsidR="00762F0E" w:rsidRPr="00647DDC">
        <w:rPr>
          <w:lang w:val="fr-FR" w:eastAsia="es-ES"/>
        </w:rPr>
        <w:t>’</w:t>
      </w:r>
      <w:r w:rsidR="0004430C" w:rsidRPr="00647DDC">
        <w:rPr>
          <w:lang w:val="fr-FR" w:eastAsia="es-ES"/>
        </w:rPr>
        <w:t>auteur a été prononcé le</w:t>
      </w:r>
      <w:r w:rsidR="0004430C" w:rsidRPr="00647DDC">
        <w:rPr>
          <w:lang w:val="fr-FR" w:eastAsia="en-GB"/>
        </w:rPr>
        <w:t xml:space="preserve"> 9 juin 2016</w:t>
      </w:r>
      <w:r w:rsidR="0004430C" w:rsidRPr="00647DDC">
        <w:rPr>
          <w:lang w:val="fr-FR" w:eastAsia="es-ES"/>
        </w:rPr>
        <w:t>. Il rappelle que</w:t>
      </w:r>
      <w:r w:rsidR="0004430C" w:rsidRPr="00647DDC">
        <w:t xml:space="preserve"> les décisions judiciaires des autorités nationales sont considérées comme faisant partie des faits</w:t>
      </w:r>
      <w:r w:rsidR="008C7B2E" w:rsidRPr="00647DDC">
        <w:t>,</w:t>
      </w:r>
      <w:r w:rsidR="0004430C" w:rsidRPr="00647DDC">
        <w:t xml:space="preserve"> lorsqu’elles résultent de procédures directement liées aux faits initiaux, actes ou omissions, qui ont donné lieu à la violation, pour autant qu’elles soient susceptibles de remédier à la violation alléguée. Lorsque ces décisions surviennent après l’entrée en vigueur du Protocole facultatif pour l’État partie concerné, le critère prévu au paragraphe 2 b) de l’article 3 ne fait pas obstacle à la recevabilité d’une communication, puisque, lorsque ces recours sont exercés, les juridictions nationales ont alors </w:t>
      </w:r>
      <w:r w:rsidR="00EB328F" w:rsidRPr="00647DDC">
        <w:t>la possibilité</w:t>
      </w:r>
      <w:r w:rsidR="0004430C" w:rsidRPr="00647DDC">
        <w:t xml:space="preserve"> de considérer les griefs, de mettre fin aux violations alléguées et</w:t>
      </w:r>
      <w:r w:rsidR="00EB328F" w:rsidRPr="00647DDC">
        <w:t>,</w:t>
      </w:r>
      <w:r w:rsidR="0004430C" w:rsidRPr="00647DDC">
        <w:t xml:space="preserve"> éventuellement</w:t>
      </w:r>
      <w:r w:rsidR="00EB328F" w:rsidRPr="00647DDC">
        <w:t>,</w:t>
      </w:r>
      <w:r w:rsidR="0004430C" w:rsidRPr="00647DDC">
        <w:t xml:space="preserve"> de les réparer</w:t>
      </w:r>
      <w:r w:rsidR="0004430C" w:rsidRPr="00647DDC">
        <w:rPr>
          <w:rStyle w:val="Appelnotedebasdep"/>
          <w:lang w:eastAsia="es-ES"/>
        </w:rPr>
        <w:footnoteReference w:id="8"/>
      </w:r>
      <w:r w:rsidR="0004430C" w:rsidRPr="00647DDC">
        <w:t>.</w:t>
      </w:r>
      <w:r w:rsidR="0004430C" w:rsidRPr="00647DDC">
        <w:rPr>
          <w:lang w:val="fr-FR" w:eastAsia="es-ES"/>
        </w:rPr>
        <w:t xml:space="preserve"> En l’espèce, </w:t>
      </w:r>
      <w:r w:rsidR="0004430C" w:rsidRPr="00647DDC">
        <w:rPr>
          <w:lang w:val="fr-FR" w:eastAsia="en-GB"/>
        </w:rPr>
        <w:t>la violation dont fait état l’auteur n’a pas son origine dans sa mise à pied</w:t>
      </w:r>
      <w:r w:rsidR="009A2968" w:rsidRPr="00647DDC">
        <w:rPr>
          <w:lang w:val="fr-FR" w:eastAsia="en-GB"/>
        </w:rPr>
        <w:t>,</w:t>
      </w:r>
      <w:r w:rsidR="0004430C" w:rsidRPr="00647DDC">
        <w:rPr>
          <w:lang w:val="fr-FR" w:eastAsia="en-GB"/>
        </w:rPr>
        <w:t xml:space="preserve"> en décembre 2013, mais bien dans la déclaration de résolution judiciaire de son contrat de travail</w:t>
      </w:r>
      <w:r w:rsidR="009A2968" w:rsidRPr="00647DDC">
        <w:rPr>
          <w:lang w:val="fr-FR" w:eastAsia="en-GB"/>
        </w:rPr>
        <w:t>,</w:t>
      </w:r>
      <w:r w:rsidR="0004430C" w:rsidRPr="00647DDC">
        <w:rPr>
          <w:lang w:val="fr-FR" w:eastAsia="en-GB"/>
        </w:rPr>
        <w:t xml:space="preserve"> confirmée par la Cour d’appel le 9 juin 2016. En ce sens, l’appel interjeté a permis aux juridictions nationales d’examiner de manière approfondie les éléments de preuve apportés par l’auteur et ses allégations de violations, afin, le cas échéant, d’y remédier. </w:t>
      </w:r>
      <w:r w:rsidR="0004430C" w:rsidRPr="00647DDC">
        <w:rPr>
          <w:lang w:val="fr-FR" w:eastAsia="es-ES"/>
        </w:rPr>
        <w:t xml:space="preserve">À la lumière de ce qui précède, le Comité ne peut donc déclarer la </w:t>
      </w:r>
      <w:r w:rsidR="0004430C" w:rsidRPr="00647DDC">
        <w:rPr>
          <w:lang w:val="fr-FR" w:eastAsia="es-ES"/>
        </w:rPr>
        <w:lastRenderedPageBreak/>
        <w:t>communication irrecevable au regard des dispositions du paragraphe 2 b) de l’article 3 du Protocole facultatif.</w:t>
      </w:r>
    </w:p>
    <w:p w14:paraId="45A5C75C" w14:textId="7A3236E7" w:rsidR="00AA4F61" w:rsidRPr="00647DDC" w:rsidRDefault="00BD788C" w:rsidP="00591D15">
      <w:pPr>
        <w:pStyle w:val="SingleTxtG"/>
        <w:rPr>
          <w:lang w:val="fr-FR" w:eastAsia="es-ES"/>
        </w:rPr>
      </w:pPr>
      <w:r w:rsidRPr="00647DDC">
        <w:rPr>
          <w:lang w:val="fr-FR" w:eastAsia="es-ES"/>
        </w:rPr>
        <w:t>7.3</w:t>
      </w:r>
      <w:r w:rsidRPr="00647DDC">
        <w:rPr>
          <w:lang w:val="fr-FR" w:eastAsia="es-ES"/>
        </w:rPr>
        <w:tab/>
      </w:r>
      <w:r w:rsidR="0004430C" w:rsidRPr="00647DDC">
        <w:rPr>
          <w:lang w:val="fr-FR" w:eastAsia="es-ES"/>
        </w:rPr>
        <w:t xml:space="preserve">Le Comité prend également note de l’argument de l’État partie selon lequel la communication est irrecevable </w:t>
      </w:r>
      <w:r w:rsidR="00591D15" w:rsidRPr="00647DDC">
        <w:rPr>
          <w:lang w:val="fr-FR" w:eastAsia="es-ES"/>
        </w:rPr>
        <w:t>au titre</w:t>
      </w:r>
      <w:r w:rsidR="0004430C" w:rsidRPr="00647DDC">
        <w:rPr>
          <w:lang w:val="fr-FR" w:eastAsia="es-ES"/>
        </w:rPr>
        <w:t xml:space="preserve"> des dispositions du paragraphe 1 de l’article 3 du Protocole facultatif, étant donné que l’auteur n’a pas épuisé les voies de recours internes en ne s’étant pas pourvu en cassation,</w:t>
      </w:r>
      <w:r w:rsidR="0004430C" w:rsidRPr="00647DDC">
        <w:t xml:space="preserve"> </w:t>
      </w:r>
      <w:r w:rsidR="00790DA6" w:rsidRPr="00647DDC">
        <w:t>ce</w:t>
      </w:r>
      <w:r w:rsidR="0004430C" w:rsidRPr="00647DDC">
        <w:t xml:space="preserve"> </w:t>
      </w:r>
      <w:r w:rsidR="0004430C" w:rsidRPr="00647DDC">
        <w:rPr>
          <w:lang w:val="fr-FR" w:eastAsia="es-ES"/>
        </w:rPr>
        <w:t xml:space="preserve">qu’il aurait pu faire s’il </w:t>
      </w:r>
      <w:r w:rsidR="00790DA6" w:rsidRPr="00647DDC">
        <w:rPr>
          <w:lang w:val="fr-FR" w:eastAsia="es-ES"/>
        </w:rPr>
        <w:t>considérait</w:t>
      </w:r>
      <w:r w:rsidR="0004430C" w:rsidRPr="00647DDC">
        <w:rPr>
          <w:lang w:val="fr-FR" w:eastAsia="es-ES"/>
        </w:rPr>
        <w:t xml:space="preserve"> que la Cour d’appel avait fait une mauvaise interprétation du droit applicable.</w:t>
      </w:r>
      <w:r w:rsidR="0004430C" w:rsidRPr="00647DDC">
        <w:t xml:space="preserve"> </w:t>
      </w:r>
      <w:r w:rsidR="0004430C" w:rsidRPr="00647DDC">
        <w:rPr>
          <w:lang w:val="fr-FR" w:eastAsia="es-ES"/>
        </w:rPr>
        <w:t>Le Comité prend également note de l’argument de l’auteur selon lequel il serait inutile de saisir la Cour de cassation</w:t>
      </w:r>
      <w:r w:rsidR="00790DA6" w:rsidRPr="00647DDC">
        <w:rPr>
          <w:lang w:val="fr-FR" w:eastAsia="es-ES"/>
        </w:rPr>
        <w:t>,</w:t>
      </w:r>
      <w:r w:rsidR="0004430C" w:rsidRPr="00647DDC">
        <w:rPr>
          <w:lang w:val="fr-FR" w:eastAsia="es-ES"/>
        </w:rPr>
        <w:t xml:space="preserve"> puisque seule une erreur de droit ou de procédure pourrait faire l’objet d’un pourvoi, alors qu’il s’agirait en l’espèce d’un problème d’interprétation des faits. Le Comité note également que, selon l’auteur, un salarié qui a perdu devant la Cour d’appel n’a aucune chance de succès devant la Cour de cassation, allégation qu’il appuie sur le fait que l’État partie ne donne aucune jurisprudence pour expliquer </w:t>
      </w:r>
      <w:r w:rsidR="00790DA6" w:rsidRPr="00647DDC">
        <w:rPr>
          <w:lang w:val="fr-FR" w:eastAsia="es-ES"/>
        </w:rPr>
        <w:t>qu’il</w:t>
      </w:r>
      <w:r w:rsidR="0004430C" w:rsidRPr="00647DDC">
        <w:rPr>
          <w:lang w:val="fr-FR" w:eastAsia="es-ES"/>
        </w:rPr>
        <w:t xml:space="preserve"> avait une chance de gagner devant la Cour de </w:t>
      </w:r>
      <w:r w:rsidR="00790DA6" w:rsidRPr="00647DDC">
        <w:rPr>
          <w:lang w:val="fr-FR" w:eastAsia="es-ES"/>
        </w:rPr>
        <w:t>c</w:t>
      </w:r>
      <w:r w:rsidR="0004430C" w:rsidRPr="00647DDC">
        <w:rPr>
          <w:lang w:val="fr-FR" w:eastAsia="es-ES"/>
        </w:rPr>
        <w:t xml:space="preserve">assation. </w:t>
      </w:r>
    </w:p>
    <w:p w14:paraId="03DDE6B2" w14:textId="446CEF40" w:rsidR="00BD788C" w:rsidRPr="00647DDC" w:rsidRDefault="00AA4F61" w:rsidP="006521C1">
      <w:pPr>
        <w:pStyle w:val="SingleTxtG"/>
        <w:rPr>
          <w:lang w:val="fr-FR" w:eastAsia="es-ES"/>
        </w:rPr>
      </w:pPr>
      <w:r w:rsidRPr="00647DDC">
        <w:rPr>
          <w:lang w:val="fr-FR" w:eastAsia="es-ES"/>
        </w:rPr>
        <w:t>7.4</w:t>
      </w:r>
      <w:r w:rsidRPr="00647DDC">
        <w:rPr>
          <w:lang w:val="fr-FR" w:eastAsia="es-ES"/>
        </w:rPr>
        <w:tab/>
      </w:r>
      <w:r w:rsidR="0004430C" w:rsidRPr="00647DDC">
        <w:rPr>
          <w:lang w:val="fr-FR" w:eastAsia="es-ES"/>
        </w:rPr>
        <w:t xml:space="preserve">Le Comité rappelle qu’en vertu des </w:t>
      </w:r>
      <w:r w:rsidR="006521C1">
        <w:rPr>
          <w:lang w:val="fr-FR" w:eastAsia="es-ES"/>
        </w:rPr>
        <w:t>normes</w:t>
      </w:r>
      <w:r w:rsidR="0004430C" w:rsidRPr="00647DDC">
        <w:rPr>
          <w:lang w:val="fr-FR" w:eastAsia="es-ES"/>
        </w:rPr>
        <w:t xml:space="preserve"> développé</w:t>
      </w:r>
      <w:r w:rsidR="006521C1">
        <w:rPr>
          <w:lang w:val="fr-FR" w:eastAsia="es-ES"/>
        </w:rPr>
        <w:t>e</w:t>
      </w:r>
      <w:r w:rsidR="0004430C" w:rsidRPr="00647DDC">
        <w:rPr>
          <w:lang w:val="fr-FR" w:eastAsia="es-ES"/>
        </w:rPr>
        <w:t>s en droit international, de simples doutes quant aux chances de succès d’un recours ne dispensent pas l’auteur de l’exercer</w:t>
      </w:r>
      <w:r w:rsidR="0004430C" w:rsidRPr="00647DDC">
        <w:rPr>
          <w:rStyle w:val="Appelnotedebasdep"/>
          <w:lang w:eastAsia="es-ES"/>
        </w:rPr>
        <w:footnoteReference w:id="9"/>
      </w:r>
      <w:r w:rsidR="0004430C" w:rsidRPr="00647DDC">
        <w:rPr>
          <w:lang w:val="fr-FR" w:eastAsia="es-ES"/>
        </w:rPr>
        <w:t xml:space="preserve">. </w:t>
      </w:r>
      <w:r w:rsidR="00591D15" w:rsidRPr="00647DDC">
        <w:rPr>
          <w:lang w:val="fr-FR" w:eastAsia="es-ES"/>
        </w:rPr>
        <w:t>Il</w:t>
      </w:r>
      <w:r w:rsidR="0004430C" w:rsidRPr="00412D57">
        <w:rPr>
          <w:lang w:val="fr-FR" w:eastAsia="es-ES"/>
        </w:rPr>
        <w:t xml:space="preserve"> observe à cet égard que l’auteur n’a pas développé son argument relatif au supposé caractère futile du pourvoi qu’il aurait pu introduire auprès de la Cour de </w:t>
      </w:r>
      <w:r w:rsidR="00591D15" w:rsidRPr="00647DDC">
        <w:rPr>
          <w:lang w:val="fr-FR" w:eastAsia="es-ES"/>
        </w:rPr>
        <w:t>c</w:t>
      </w:r>
      <w:r w:rsidR="0004430C" w:rsidRPr="00647DDC">
        <w:rPr>
          <w:lang w:val="fr-FR" w:eastAsia="es-ES"/>
        </w:rPr>
        <w:t xml:space="preserve">assation. </w:t>
      </w:r>
      <w:r w:rsidRPr="00647DDC">
        <w:rPr>
          <w:lang w:val="fr-FR" w:eastAsia="es-ES"/>
        </w:rPr>
        <w:t>Le Comité est conscient de ce qu’en vertu des lois du 18 février 1885 sur les pourvois et la procédure en cassation et du 7 mars 1980 sur l’organisation judiciaire, le pourvoi en cassation constitue dans l’État partie un recours extraordinaire formé devant la Cour de cassation contre une décision de justice rendue en dernier ressort, visant à vérifier la correcte application du droit et le respect des règles de procédure par les juges du fond. Il n</w:t>
      </w:r>
      <w:r w:rsidR="002E2084" w:rsidRPr="00647DDC">
        <w:rPr>
          <w:lang w:val="fr-FR" w:eastAsia="es-ES"/>
        </w:rPr>
        <w:t>’</w:t>
      </w:r>
      <w:r w:rsidRPr="00647DDC">
        <w:rPr>
          <w:lang w:val="fr-FR" w:eastAsia="es-ES"/>
        </w:rPr>
        <w:t xml:space="preserve">est cependant pas convaincu que, </w:t>
      </w:r>
      <w:proofErr w:type="spellStart"/>
      <w:r w:rsidRPr="00647DDC">
        <w:rPr>
          <w:lang w:val="fr-FR" w:eastAsia="es-ES"/>
        </w:rPr>
        <w:t>dût-elle</w:t>
      </w:r>
      <w:proofErr w:type="spellEnd"/>
      <w:r w:rsidRPr="00647DDC">
        <w:rPr>
          <w:lang w:val="fr-FR" w:eastAsia="es-ES"/>
        </w:rPr>
        <w:t xml:space="preserve"> avoir été sollicitée, la Cour de cassation n</w:t>
      </w:r>
      <w:r w:rsidR="002E2084" w:rsidRPr="00647DDC">
        <w:rPr>
          <w:lang w:val="fr-FR" w:eastAsia="es-ES"/>
        </w:rPr>
        <w:t>’</w:t>
      </w:r>
      <w:r w:rsidRPr="00647DDC">
        <w:rPr>
          <w:lang w:val="fr-FR" w:eastAsia="es-ES"/>
        </w:rPr>
        <w:t>aurait pas pu examiner les arguments de l</w:t>
      </w:r>
      <w:r w:rsidR="002E2084" w:rsidRPr="00647DDC">
        <w:rPr>
          <w:lang w:val="fr-FR" w:eastAsia="es-ES"/>
        </w:rPr>
        <w:t>’</w:t>
      </w:r>
      <w:r w:rsidRPr="00647DDC">
        <w:rPr>
          <w:lang w:val="fr-FR" w:eastAsia="es-ES"/>
        </w:rPr>
        <w:t>auteur concernant la protection due aux délégués syndicaux, ou l</w:t>
      </w:r>
      <w:r w:rsidR="002E2084" w:rsidRPr="00647DDC">
        <w:rPr>
          <w:lang w:val="fr-FR" w:eastAsia="es-ES"/>
        </w:rPr>
        <w:t>’</w:t>
      </w:r>
      <w:r w:rsidRPr="00647DDC">
        <w:rPr>
          <w:lang w:val="fr-FR" w:eastAsia="es-ES"/>
        </w:rPr>
        <w:t xml:space="preserve">interprétation de la notion de faute grave pouvant justifier le licenciement, au regard </w:t>
      </w:r>
      <w:r w:rsidR="00D52F37" w:rsidRPr="00647DDC">
        <w:rPr>
          <w:lang w:val="fr-FR" w:eastAsia="es-ES"/>
        </w:rPr>
        <w:t xml:space="preserve">du paragraphe 2 </w:t>
      </w:r>
      <w:r w:rsidRPr="00647DDC">
        <w:rPr>
          <w:lang w:val="fr-FR" w:eastAsia="es-ES"/>
        </w:rPr>
        <w:t xml:space="preserve">de </w:t>
      </w:r>
      <w:r w:rsidRPr="00647DDC">
        <w:rPr>
          <w:lang w:val="fr-FR" w:eastAsia="en-GB"/>
        </w:rPr>
        <w:t>l’article L</w:t>
      </w:r>
      <w:r w:rsidR="00D52F37" w:rsidRPr="00647DDC">
        <w:rPr>
          <w:lang w:val="fr-FR" w:eastAsia="en-GB"/>
        </w:rPr>
        <w:t>.</w:t>
      </w:r>
      <w:r w:rsidRPr="00647DDC">
        <w:rPr>
          <w:lang w:val="fr-FR" w:eastAsia="en-GB"/>
        </w:rPr>
        <w:t xml:space="preserve"> 415-11 du Code du travail</w:t>
      </w:r>
      <w:r w:rsidRPr="00647DDC">
        <w:rPr>
          <w:lang w:val="fr-FR" w:eastAsia="es-ES"/>
        </w:rPr>
        <w:t xml:space="preserve"> en vigueur à l</w:t>
      </w:r>
      <w:r w:rsidR="004174F9" w:rsidRPr="00647DDC">
        <w:rPr>
          <w:lang w:val="fr-FR" w:eastAsia="es-ES"/>
        </w:rPr>
        <w:t>’</w:t>
      </w:r>
      <w:r w:rsidRPr="00647DDC">
        <w:rPr>
          <w:lang w:val="fr-FR" w:eastAsia="es-ES"/>
        </w:rPr>
        <w:t xml:space="preserve">époque des faits. </w:t>
      </w:r>
      <w:r w:rsidR="0004430C" w:rsidRPr="00647DDC">
        <w:rPr>
          <w:lang w:val="fr-FR" w:eastAsia="es-ES"/>
        </w:rPr>
        <w:t>Il n</w:t>
      </w:r>
      <w:r w:rsidR="004174F9" w:rsidRPr="00647DDC">
        <w:rPr>
          <w:lang w:val="fr-FR" w:eastAsia="es-ES"/>
        </w:rPr>
        <w:t>’</w:t>
      </w:r>
      <w:r w:rsidR="0004430C" w:rsidRPr="00647DDC">
        <w:rPr>
          <w:lang w:val="fr-FR" w:eastAsia="es-ES"/>
        </w:rPr>
        <w:t xml:space="preserve">apparaît </w:t>
      </w:r>
      <w:r w:rsidRPr="00647DDC">
        <w:rPr>
          <w:lang w:val="fr-FR" w:eastAsia="es-ES"/>
        </w:rPr>
        <w:t>pas, du reste, que l</w:t>
      </w:r>
      <w:r w:rsidR="004174F9" w:rsidRPr="00647DDC">
        <w:rPr>
          <w:lang w:val="fr-FR" w:eastAsia="es-ES"/>
        </w:rPr>
        <w:t>’</w:t>
      </w:r>
      <w:r w:rsidRPr="00647DDC">
        <w:rPr>
          <w:lang w:val="fr-FR" w:eastAsia="es-ES"/>
        </w:rPr>
        <w:t>auteur a invoqué devant les juridictions nationales, même en substance, les droits qu</w:t>
      </w:r>
      <w:r w:rsidR="004174F9" w:rsidRPr="00647DDC">
        <w:rPr>
          <w:lang w:val="fr-FR" w:eastAsia="es-ES"/>
        </w:rPr>
        <w:t>’</w:t>
      </w:r>
      <w:r w:rsidRPr="00647DDC">
        <w:rPr>
          <w:lang w:val="fr-FR" w:eastAsia="es-ES"/>
        </w:rPr>
        <w:t xml:space="preserve">il prétend tirer des </w:t>
      </w:r>
      <w:r w:rsidR="00D52F37" w:rsidRPr="00647DDC">
        <w:rPr>
          <w:lang w:val="fr-FR" w:eastAsia="es-ES"/>
        </w:rPr>
        <w:t>paragraphes 1 a) et 3 de l’</w:t>
      </w:r>
      <w:r w:rsidRPr="00647DDC">
        <w:rPr>
          <w:lang w:val="fr-FR" w:eastAsia="es-ES"/>
        </w:rPr>
        <w:t xml:space="preserve">article 8 </w:t>
      </w:r>
      <w:r w:rsidR="004174F9" w:rsidRPr="00647DDC">
        <w:rPr>
          <w:lang w:val="fr-FR" w:eastAsia="es-ES"/>
        </w:rPr>
        <w:t>d</w:t>
      </w:r>
      <w:r w:rsidRPr="00647DDC">
        <w:rPr>
          <w:lang w:val="fr-FR" w:eastAsia="es-ES"/>
        </w:rPr>
        <w:t>u Pacte, qu</w:t>
      </w:r>
      <w:r w:rsidR="004174F9" w:rsidRPr="00647DDC">
        <w:rPr>
          <w:lang w:val="fr-FR" w:eastAsia="es-ES"/>
        </w:rPr>
        <w:t>’</w:t>
      </w:r>
      <w:r w:rsidRPr="00647DDC">
        <w:rPr>
          <w:lang w:val="fr-FR" w:eastAsia="es-ES"/>
        </w:rPr>
        <w:t>il invoque dans la présente communication. L</w:t>
      </w:r>
      <w:r w:rsidR="0004430C" w:rsidRPr="00647DDC">
        <w:rPr>
          <w:lang w:val="fr-FR" w:eastAsia="es-ES"/>
        </w:rPr>
        <w:t xml:space="preserve">e Comité </w:t>
      </w:r>
      <w:r w:rsidRPr="00647DDC">
        <w:rPr>
          <w:lang w:val="fr-FR" w:eastAsia="es-ES"/>
        </w:rPr>
        <w:t xml:space="preserve">en conclut que la présente communication est irrecevable </w:t>
      </w:r>
      <w:r w:rsidR="00591D15" w:rsidRPr="00647DDC">
        <w:rPr>
          <w:lang w:val="fr-FR" w:eastAsia="es-ES"/>
        </w:rPr>
        <w:t>au titre</w:t>
      </w:r>
      <w:r w:rsidRPr="00647DDC">
        <w:rPr>
          <w:lang w:val="fr-FR" w:eastAsia="es-ES"/>
        </w:rPr>
        <w:t xml:space="preserve"> du</w:t>
      </w:r>
      <w:r w:rsidR="0004430C" w:rsidRPr="00647DDC">
        <w:rPr>
          <w:lang w:val="fr-FR" w:eastAsia="es-ES"/>
        </w:rPr>
        <w:t xml:space="preserve"> paragraphe 1 de l’article 3 du Protocole facultatif.</w:t>
      </w:r>
    </w:p>
    <w:p w14:paraId="72E7FF12" w14:textId="30DD6B86" w:rsidR="00BD788C" w:rsidRPr="00647DDC" w:rsidRDefault="00BD788C" w:rsidP="00591D15">
      <w:pPr>
        <w:pStyle w:val="SingleTxtG"/>
        <w:rPr>
          <w:lang w:val="fr-FR" w:eastAsia="es-ES"/>
        </w:rPr>
      </w:pPr>
      <w:r w:rsidRPr="00647DDC">
        <w:rPr>
          <w:lang w:val="fr-FR" w:eastAsia="en-GB"/>
        </w:rPr>
        <w:t>7.</w:t>
      </w:r>
      <w:r w:rsidR="00505FA0" w:rsidRPr="00647DDC">
        <w:rPr>
          <w:lang w:val="fr-FR" w:eastAsia="en-GB"/>
        </w:rPr>
        <w:t>5</w:t>
      </w:r>
      <w:r w:rsidRPr="00647DDC">
        <w:rPr>
          <w:lang w:val="fr-FR" w:eastAsia="en-GB"/>
        </w:rPr>
        <w:tab/>
        <w:t xml:space="preserve">Finalement, le Comité relève que les griefs de l’auteur </w:t>
      </w:r>
      <w:r w:rsidR="00591D15" w:rsidRPr="00647DDC">
        <w:rPr>
          <w:lang w:val="fr-FR" w:eastAsia="en-GB"/>
        </w:rPr>
        <w:t>relatifs à</w:t>
      </w:r>
      <w:r w:rsidRPr="00647DDC">
        <w:rPr>
          <w:lang w:val="fr-FR" w:eastAsia="en-GB"/>
        </w:rPr>
        <w:t xml:space="preserve"> l’arrêt de la </w:t>
      </w:r>
      <w:r w:rsidR="00591D15" w:rsidRPr="00647DDC">
        <w:rPr>
          <w:lang w:val="fr-FR" w:eastAsia="en-GB"/>
        </w:rPr>
        <w:t>c</w:t>
      </w:r>
      <w:r w:rsidRPr="00647DDC">
        <w:rPr>
          <w:lang w:val="fr-FR" w:eastAsia="en-GB"/>
        </w:rPr>
        <w:t xml:space="preserve">our d’appel de Metz sont irrecevables </w:t>
      </w:r>
      <w:r w:rsidR="00591D15" w:rsidRPr="00647DDC">
        <w:rPr>
          <w:lang w:val="fr-FR" w:eastAsia="es-ES"/>
        </w:rPr>
        <w:t>au titre</w:t>
      </w:r>
      <w:r w:rsidRPr="00647DDC">
        <w:rPr>
          <w:lang w:val="fr-FR" w:eastAsia="es-ES"/>
        </w:rPr>
        <w:t xml:space="preserve"> de l’article 2 du Protocole facultatif</w:t>
      </w:r>
      <w:r w:rsidR="00591D15" w:rsidRPr="00647DDC">
        <w:rPr>
          <w:lang w:val="fr-FR" w:eastAsia="es-ES"/>
        </w:rPr>
        <w:t>, puisque</w:t>
      </w:r>
      <w:r w:rsidRPr="00647DDC">
        <w:rPr>
          <w:lang w:val="fr-FR" w:eastAsia="en-GB"/>
        </w:rPr>
        <w:t xml:space="preserve"> la présente communication est dirigée contre le Luxembourg, auquel les actes posés par la </w:t>
      </w:r>
      <w:r w:rsidR="00591D15" w:rsidRPr="00647DDC">
        <w:rPr>
          <w:lang w:val="fr-FR" w:eastAsia="en-GB"/>
        </w:rPr>
        <w:t>c</w:t>
      </w:r>
      <w:r w:rsidRPr="00647DDC">
        <w:rPr>
          <w:lang w:val="fr-FR" w:eastAsia="en-GB"/>
        </w:rPr>
        <w:t>our d’appel de Metz ne sont pas imputables.</w:t>
      </w:r>
    </w:p>
    <w:p w14:paraId="49314F86" w14:textId="77777777" w:rsidR="00BD788C" w:rsidRPr="00647DDC" w:rsidRDefault="00BD788C" w:rsidP="00BD788C">
      <w:pPr>
        <w:pStyle w:val="H1G"/>
        <w:rPr>
          <w:lang w:val="fr-FR" w:eastAsia="es-ES"/>
        </w:rPr>
      </w:pPr>
      <w:r w:rsidRPr="00647DDC">
        <w:rPr>
          <w:lang w:val="fr-FR" w:eastAsia="es-ES"/>
        </w:rPr>
        <w:tab/>
        <w:t>C.</w:t>
      </w:r>
      <w:r w:rsidRPr="00647DDC">
        <w:rPr>
          <w:lang w:val="fr-FR" w:eastAsia="es-ES"/>
        </w:rPr>
        <w:tab/>
        <w:t>Conclusion</w:t>
      </w:r>
    </w:p>
    <w:p w14:paraId="03C4966F" w14:textId="77777777" w:rsidR="00BD788C" w:rsidRPr="00647DDC" w:rsidRDefault="00BD788C" w:rsidP="00BD788C">
      <w:pPr>
        <w:pStyle w:val="SingleTxtG"/>
        <w:rPr>
          <w:lang w:val="fr-FR" w:eastAsia="en-GB"/>
        </w:rPr>
      </w:pPr>
      <w:r w:rsidRPr="00647DDC">
        <w:rPr>
          <w:lang w:val="fr-FR" w:eastAsia="en-GB"/>
        </w:rPr>
        <w:t>8.</w:t>
      </w:r>
      <w:r w:rsidRPr="00647DDC">
        <w:rPr>
          <w:lang w:val="fr-FR" w:eastAsia="en-GB"/>
        </w:rPr>
        <w:tab/>
        <w:t xml:space="preserve">Compte tenu de tous les renseignements fournis, le Comité, agissant en vertu du Protocole facultatif, considère que la communication est irrecevable au regard </w:t>
      </w:r>
      <w:r w:rsidRPr="00647DDC">
        <w:rPr>
          <w:lang w:val="fr-FR" w:eastAsia="es-ES"/>
        </w:rPr>
        <w:t>d</w:t>
      </w:r>
      <w:r w:rsidR="00505FA0" w:rsidRPr="00647DDC">
        <w:rPr>
          <w:lang w:val="fr-FR" w:eastAsia="es-ES"/>
        </w:rPr>
        <w:t xml:space="preserve">u paragraphe 1 </w:t>
      </w:r>
      <w:r w:rsidRPr="00647DDC">
        <w:rPr>
          <w:lang w:val="fr-FR" w:eastAsia="es-ES"/>
        </w:rPr>
        <w:t>de son article 3</w:t>
      </w:r>
      <w:r w:rsidRPr="00647DDC">
        <w:rPr>
          <w:lang w:val="fr-FR" w:eastAsia="en-GB"/>
        </w:rPr>
        <w:t>.</w:t>
      </w:r>
    </w:p>
    <w:p w14:paraId="27CBD021" w14:textId="3972CB0C" w:rsidR="00BD788C" w:rsidRDefault="00BD788C" w:rsidP="00674C57">
      <w:pPr>
        <w:pStyle w:val="SingleTxtG"/>
        <w:rPr>
          <w:lang w:val="fr-FR" w:eastAsia="en-GB"/>
        </w:rPr>
      </w:pPr>
      <w:r w:rsidRPr="00647DDC">
        <w:rPr>
          <w:lang w:val="fr-FR" w:eastAsia="en-GB"/>
        </w:rPr>
        <w:t>9.</w:t>
      </w:r>
      <w:r w:rsidRPr="00647DDC">
        <w:rPr>
          <w:lang w:val="fr-FR" w:eastAsia="en-GB"/>
        </w:rPr>
        <w:tab/>
        <w:t xml:space="preserve">La présente décision sera communiquée à l’auteur et à l’État partie en vertu </w:t>
      </w:r>
      <w:r w:rsidR="00D52F37" w:rsidRPr="00647DDC">
        <w:rPr>
          <w:lang w:val="fr-FR" w:eastAsia="en-GB"/>
        </w:rPr>
        <w:t xml:space="preserve">du paragraphe 1 </w:t>
      </w:r>
      <w:r w:rsidRPr="00647DDC">
        <w:rPr>
          <w:lang w:val="fr-FR" w:eastAsia="en-GB"/>
        </w:rPr>
        <w:t>de l’article 9 du Protocole facultatif.</w:t>
      </w:r>
    </w:p>
    <w:p w14:paraId="50FC577B" w14:textId="77777777" w:rsidR="00BD788C" w:rsidRPr="00BD788C" w:rsidRDefault="00BD788C" w:rsidP="00BD788C">
      <w:pPr>
        <w:pStyle w:val="SingleTxtG"/>
        <w:spacing w:before="240" w:after="0"/>
        <w:jc w:val="center"/>
        <w:rPr>
          <w:u w:val="single"/>
        </w:rPr>
      </w:pPr>
      <w:r>
        <w:rPr>
          <w:u w:val="single"/>
          <w:lang w:val="fr-FR" w:eastAsia="en-GB"/>
        </w:rPr>
        <w:tab/>
      </w:r>
      <w:r>
        <w:rPr>
          <w:u w:val="single"/>
          <w:lang w:val="fr-FR" w:eastAsia="en-GB"/>
        </w:rPr>
        <w:tab/>
      </w:r>
      <w:r>
        <w:rPr>
          <w:u w:val="single"/>
          <w:lang w:val="fr-FR" w:eastAsia="en-GB"/>
        </w:rPr>
        <w:tab/>
      </w:r>
      <w:r w:rsidR="00871322">
        <w:rPr>
          <w:u w:val="single"/>
          <w:lang w:val="fr-FR" w:eastAsia="en-GB"/>
        </w:rPr>
        <w:tab/>
      </w:r>
    </w:p>
    <w:sectPr w:rsidR="00BD788C" w:rsidRPr="00BD788C" w:rsidSect="005C3D1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77324" w14:textId="77777777" w:rsidR="0035781B" w:rsidRDefault="0035781B"/>
  </w:endnote>
  <w:endnote w:type="continuationSeparator" w:id="0">
    <w:p w14:paraId="7FF93B59" w14:textId="77777777" w:rsidR="0035781B" w:rsidRDefault="0035781B"/>
  </w:endnote>
  <w:endnote w:type="continuationNotice" w:id="1">
    <w:p w14:paraId="5E139ABD" w14:textId="77777777" w:rsidR="0035781B" w:rsidRDefault="00357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B0EE" w14:textId="5F70DE96" w:rsidR="00BD788C" w:rsidRPr="00BD788C" w:rsidRDefault="00BD788C" w:rsidP="00BD788C">
    <w:pPr>
      <w:pStyle w:val="Pieddepage"/>
      <w:tabs>
        <w:tab w:val="right" w:pos="9638"/>
      </w:tabs>
      <w:rPr>
        <w:sz w:val="18"/>
      </w:rPr>
    </w:pPr>
    <w:r w:rsidRPr="00BD788C">
      <w:rPr>
        <w:b/>
        <w:sz w:val="18"/>
      </w:rPr>
      <w:fldChar w:fldCharType="begin"/>
    </w:r>
    <w:r w:rsidRPr="00BD788C">
      <w:rPr>
        <w:b/>
        <w:sz w:val="18"/>
      </w:rPr>
      <w:instrText xml:space="preserve"> PAGE  \* MERGEFORMAT </w:instrText>
    </w:r>
    <w:r w:rsidRPr="00BD788C">
      <w:rPr>
        <w:b/>
        <w:sz w:val="18"/>
      </w:rPr>
      <w:fldChar w:fldCharType="separate"/>
    </w:r>
    <w:r w:rsidR="00281E30">
      <w:rPr>
        <w:b/>
        <w:noProof/>
        <w:sz w:val="18"/>
      </w:rPr>
      <w:t>4</w:t>
    </w:r>
    <w:r w:rsidRPr="00BD78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499E" w14:textId="1FD0A82B" w:rsidR="00BD788C" w:rsidRPr="00BD788C" w:rsidRDefault="00BD788C" w:rsidP="00BD788C">
    <w:pPr>
      <w:pStyle w:val="Pieddepage"/>
      <w:tabs>
        <w:tab w:val="right" w:pos="9638"/>
      </w:tabs>
      <w:rPr>
        <w:b/>
        <w:sz w:val="18"/>
      </w:rPr>
    </w:pPr>
    <w:r>
      <w:tab/>
    </w:r>
    <w:r w:rsidRPr="00BD788C">
      <w:rPr>
        <w:b/>
        <w:sz w:val="18"/>
      </w:rPr>
      <w:fldChar w:fldCharType="begin"/>
    </w:r>
    <w:r w:rsidRPr="00BD788C">
      <w:rPr>
        <w:b/>
        <w:sz w:val="18"/>
      </w:rPr>
      <w:instrText xml:space="preserve"> PAGE  \* MERGEFORMAT </w:instrText>
    </w:r>
    <w:r w:rsidRPr="00BD788C">
      <w:rPr>
        <w:b/>
        <w:sz w:val="18"/>
      </w:rPr>
      <w:fldChar w:fldCharType="separate"/>
    </w:r>
    <w:r w:rsidR="00281E30">
      <w:rPr>
        <w:b/>
        <w:noProof/>
        <w:sz w:val="18"/>
      </w:rPr>
      <w:t>5</w:t>
    </w:r>
    <w:r w:rsidRPr="00BD78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0CC0" w14:textId="1DF66C85" w:rsidR="007C3EE7" w:rsidRPr="007C3EE7" w:rsidRDefault="007C3EE7">
    <w:pPr>
      <w:pStyle w:val="Pieddepage"/>
      <w:rPr>
        <w:rFonts w:ascii="C39T30Lfz" w:hAnsi="C39T30Lfz"/>
        <w:sz w:val="56"/>
      </w:rPr>
    </w:pPr>
    <w:r>
      <w:rPr>
        <w:noProof/>
      </w:rPr>
      <w:drawing>
        <wp:anchor distT="0" distB="0" distL="114300" distR="114300" simplePos="0" relativeHeight="251660288" behindDoc="0" locked="0" layoutInCell="1" allowOverlap="1" wp14:anchorId="38EF5BC4" wp14:editId="65683786">
          <wp:simplePos x="0" y="0"/>
          <wp:positionH relativeFrom="column">
            <wp:posOffset>5543044</wp:posOffset>
          </wp:positionH>
          <wp:positionV relativeFrom="paragraph">
            <wp:posOffset>24276</wp:posOffset>
          </wp:positionV>
          <wp:extent cx="561975" cy="561975"/>
          <wp:effectExtent l="0" t="0" r="9525" b="9525"/>
          <wp:wrapNone/>
          <wp:docPr id="5" name="Image 4" descr="https://undocs.org/m2/QRCode.ashx?DS=E/C.12/66/D/20/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docs.org/m2/QRCode.ashx?DS=E/C.12/66/D/20/2017&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GE.</w:t>
    </w:r>
    <w:r>
      <w:rPr>
        <w:noProof/>
      </w:rPr>
      <w:drawing>
        <wp:anchor distT="0" distB="0" distL="114300" distR="114300" simplePos="0" relativeHeight="251659264" behindDoc="0" locked="0" layoutInCell="1" allowOverlap="0" wp14:anchorId="13E2FC5A" wp14:editId="61D9A743">
          <wp:simplePos x="0" y="0"/>
          <wp:positionH relativeFrom="margin">
            <wp:posOffset>4319905</wp:posOffset>
          </wp:positionH>
          <wp:positionV relativeFrom="margin">
            <wp:posOffset>9144000</wp:posOffset>
          </wp:positionV>
          <wp:extent cx="1104900" cy="234315"/>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4315"/>
                  </a:xfrm>
                  <a:prstGeom prst="rect">
                    <a:avLst/>
                  </a:prstGeom>
                  <a:noFill/>
                </pic:spPr>
              </pic:pic>
            </a:graphicData>
          </a:graphic>
          <wp14:sizeRelH relativeFrom="page">
            <wp14:pctWidth>0</wp14:pctWidth>
          </wp14:sizeRelH>
          <wp14:sizeRelV relativeFrom="page">
            <wp14:pctHeight>0</wp14:pctHeight>
          </wp14:sizeRelV>
        </wp:anchor>
      </w:drawing>
    </w:r>
    <w:r>
      <w:t>19-</w:t>
    </w:r>
    <w:r>
      <w:t>18950</w:t>
    </w:r>
    <w:r>
      <w:t xml:space="preserve">  (F)</w:t>
    </w:r>
    <w:r>
      <w:br/>
    </w:r>
    <w:r w:rsidRPr="007C3EE7">
      <w:rPr>
        <w:rFonts w:ascii="C39T30Lfz" w:hAnsi="C39T30Lfz"/>
        <w:sz w:val="56"/>
      </w:rPr>
      <w:t></w:t>
    </w:r>
    <w:r w:rsidRPr="007C3EE7">
      <w:rPr>
        <w:rFonts w:ascii="C39T30Lfz" w:hAnsi="C39T30Lfz"/>
        <w:sz w:val="56"/>
      </w:rPr>
      <w:t></w:t>
    </w:r>
    <w:r w:rsidRPr="007C3EE7">
      <w:rPr>
        <w:rFonts w:ascii="C39T30Lfz" w:hAnsi="C39T30Lfz"/>
        <w:sz w:val="56"/>
      </w:rPr>
      <w:t></w:t>
    </w:r>
    <w:r w:rsidRPr="007C3EE7">
      <w:rPr>
        <w:rFonts w:ascii="C39T30Lfz" w:hAnsi="C39T30Lfz"/>
        <w:sz w:val="56"/>
      </w:rPr>
      <w:t></w:t>
    </w:r>
    <w:r w:rsidRPr="007C3EE7">
      <w:rPr>
        <w:rFonts w:ascii="C39T30Lfz" w:hAnsi="C39T30Lfz"/>
        <w:sz w:val="56"/>
      </w:rPr>
      <w:t></w:t>
    </w:r>
    <w:r w:rsidRPr="007C3EE7">
      <w:rPr>
        <w:rFonts w:ascii="C39T30Lfz" w:hAnsi="C39T30Lfz"/>
        <w:sz w:val="56"/>
      </w:rPr>
      <w:t></w:t>
    </w:r>
    <w:r w:rsidRPr="007C3EE7">
      <w:rPr>
        <w:rFonts w:ascii="C39T30Lfz" w:hAnsi="C39T30Lfz"/>
        <w:sz w:val="56"/>
      </w:rPr>
      <w:t></w:t>
    </w:r>
    <w:r w:rsidRPr="007C3EE7">
      <w:rPr>
        <w:rFonts w:ascii="C39T30Lfz" w:hAnsi="C39T30Lfz"/>
        <w:sz w:val="56"/>
      </w:rPr>
      <w:t></w:t>
    </w:r>
    <w:r w:rsidRPr="007C3EE7">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7F55D" w14:textId="77777777" w:rsidR="0035781B" w:rsidRPr="00D27D5E" w:rsidRDefault="0035781B" w:rsidP="00D27D5E">
      <w:pPr>
        <w:tabs>
          <w:tab w:val="right" w:pos="2155"/>
        </w:tabs>
        <w:spacing w:after="80"/>
        <w:ind w:left="680"/>
        <w:rPr>
          <w:u w:val="single"/>
        </w:rPr>
      </w:pPr>
      <w:r>
        <w:rPr>
          <w:u w:val="single"/>
        </w:rPr>
        <w:tab/>
      </w:r>
    </w:p>
  </w:footnote>
  <w:footnote w:type="continuationSeparator" w:id="0">
    <w:p w14:paraId="4F748700" w14:textId="77777777" w:rsidR="0035781B" w:rsidRPr="00EA0E33" w:rsidRDefault="0035781B" w:rsidP="00EA0E33">
      <w:pPr>
        <w:tabs>
          <w:tab w:val="right" w:pos="2155"/>
        </w:tabs>
        <w:spacing w:after="80"/>
        <w:ind w:left="680"/>
        <w:rPr>
          <w:u w:val="single"/>
        </w:rPr>
      </w:pPr>
      <w:r w:rsidRPr="00EA0E33">
        <w:rPr>
          <w:u w:val="single"/>
        </w:rPr>
        <w:tab/>
      </w:r>
    </w:p>
  </w:footnote>
  <w:footnote w:type="continuationNotice" w:id="1">
    <w:p w14:paraId="78D82D8D" w14:textId="77777777" w:rsidR="0035781B" w:rsidRDefault="0035781B"/>
  </w:footnote>
  <w:footnote w:id="2">
    <w:p w14:paraId="32DDDAF9" w14:textId="17D2B551" w:rsidR="00C05BE0" w:rsidRPr="00412D57" w:rsidRDefault="00C05BE0" w:rsidP="00494A02">
      <w:pPr>
        <w:pStyle w:val="Notedebasdepage"/>
        <w:rPr>
          <w:lang w:val="fr-FR"/>
        </w:rPr>
      </w:pPr>
      <w:r w:rsidRPr="00647DDC">
        <w:rPr>
          <w:rStyle w:val="Appelnotedebasdep"/>
        </w:rPr>
        <w:tab/>
      </w:r>
      <w:r w:rsidRPr="0094671A">
        <w:rPr>
          <w:rStyle w:val="Appelnotedebasdep"/>
          <w:sz w:val="20"/>
          <w:vertAlign w:val="baseline"/>
        </w:rPr>
        <w:t>*</w:t>
      </w:r>
      <w:r w:rsidRPr="00647DDC">
        <w:rPr>
          <w:rStyle w:val="Appelnotedebasdep"/>
          <w:sz w:val="20"/>
          <w:vertAlign w:val="baseline"/>
        </w:rPr>
        <w:tab/>
      </w:r>
      <w:r w:rsidR="00C51CD7" w:rsidRPr="00412D57">
        <w:rPr>
          <w:lang w:val="fr-FR"/>
        </w:rPr>
        <w:t>A</w:t>
      </w:r>
      <w:r w:rsidRPr="00412D57">
        <w:rPr>
          <w:lang w:val="fr-FR"/>
        </w:rPr>
        <w:t>doptée par le Comité à sa</w:t>
      </w:r>
      <w:r w:rsidRPr="00412D57">
        <w:t xml:space="preserve"> </w:t>
      </w:r>
      <w:r w:rsidRPr="00412D57">
        <w:rPr>
          <w:lang w:val="fr-FR"/>
        </w:rPr>
        <w:t>soixante-sixième session (30 septembre-18 octobre 2019).</w:t>
      </w:r>
    </w:p>
  </w:footnote>
  <w:footnote w:id="3">
    <w:p w14:paraId="43A3EA83" w14:textId="788F5BF6" w:rsidR="00BD788C" w:rsidRPr="00647DDC" w:rsidRDefault="00BD788C" w:rsidP="0094671A">
      <w:pPr>
        <w:pStyle w:val="Notedebasdepage"/>
      </w:pPr>
      <w:r w:rsidRPr="00647DDC">
        <w:tab/>
      </w:r>
      <w:r w:rsidRPr="00647DDC">
        <w:rPr>
          <w:rStyle w:val="Appelnotedebasdep"/>
        </w:rPr>
        <w:footnoteRef/>
      </w:r>
      <w:r w:rsidRPr="00647DDC">
        <w:tab/>
      </w:r>
      <w:r w:rsidRPr="00412D57">
        <w:t xml:space="preserve">Il s’agit d’une entreprise </w:t>
      </w:r>
      <w:r w:rsidRPr="00647DDC">
        <w:t>spécialisée dans les services pour infrastructures de réseaux électriques, de</w:t>
      </w:r>
      <w:r w:rsidR="00494A02">
        <w:t> </w:t>
      </w:r>
      <w:r w:rsidRPr="00647DDC">
        <w:t>télécommunication et de transport.</w:t>
      </w:r>
    </w:p>
  </w:footnote>
  <w:footnote w:id="4">
    <w:p w14:paraId="7D759892" w14:textId="7323F16D" w:rsidR="00BD788C" w:rsidRPr="00647DDC" w:rsidRDefault="00BD788C" w:rsidP="0094671A">
      <w:pPr>
        <w:pStyle w:val="Notedebasdepage"/>
        <w:rPr>
          <w:lang w:val="fr-FR"/>
        </w:rPr>
      </w:pPr>
      <w:r w:rsidRPr="00412D57">
        <w:tab/>
      </w:r>
      <w:r w:rsidRPr="00647DDC">
        <w:rPr>
          <w:rStyle w:val="Appelnotedebasdep"/>
        </w:rPr>
        <w:footnoteRef/>
      </w:r>
      <w:r w:rsidRPr="00647DDC">
        <w:tab/>
      </w:r>
      <w:r w:rsidRPr="00647DDC">
        <w:rPr>
          <w:lang w:val="fr-FR"/>
        </w:rPr>
        <w:t>La communication n’indique cependant rien de précis au sujet de ce supposé ac</w:t>
      </w:r>
      <w:r w:rsidRPr="00412D57">
        <w:rPr>
          <w:lang w:val="fr-FR"/>
        </w:rPr>
        <w:t>cord</w:t>
      </w:r>
      <w:r w:rsidR="005A540A" w:rsidRPr="00412D57">
        <w:rPr>
          <w:lang w:val="fr-FR"/>
        </w:rPr>
        <w:t>,</w:t>
      </w:r>
      <w:r w:rsidRPr="00412D57">
        <w:rPr>
          <w:lang w:val="fr-FR"/>
        </w:rPr>
        <w:t xml:space="preserve"> nié par l’entreprise</w:t>
      </w:r>
      <w:r w:rsidR="00703310" w:rsidRPr="00647DDC">
        <w:rPr>
          <w:lang w:val="fr-FR"/>
        </w:rPr>
        <w:t> ;</w:t>
      </w:r>
      <w:r w:rsidRPr="00647DDC">
        <w:rPr>
          <w:lang w:val="fr-FR"/>
        </w:rPr>
        <w:t xml:space="preserve"> </w:t>
      </w:r>
      <w:r w:rsidR="00703310" w:rsidRPr="00647DDC">
        <w:rPr>
          <w:lang w:val="fr-FR"/>
        </w:rPr>
        <w:t>elle indique simplement</w:t>
      </w:r>
      <w:r w:rsidRPr="00647DDC">
        <w:rPr>
          <w:lang w:val="fr-FR"/>
        </w:rPr>
        <w:t xml:space="preserve"> que des membres de la direction étaient invités et participaient aux fêtes financées par le département dirigé par l’auteur.</w:t>
      </w:r>
    </w:p>
  </w:footnote>
  <w:footnote w:id="5">
    <w:p w14:paraId="5C6702C9" w14:textId="2CF307BE" w:rsidR="00BD788C" w:rsidRPr="00647DDC" w:rsidRDefault="00BD788C" w:rsidP="0094671A">
      <w:pPr>
        <w:pStyle w:val="Notedebasdepage"/>
      </w:pPr>
      <w:r w:rsidRPr="00412D57">
        <w:tab/>
      </w:r>
      <w:r w:rsidRPr="00647DDC">
        <w:rPr>
          <w:rStyle w:val="Appelnotedebasdep"/>
        </w:rPr>
        <w:footnoteRef/>
      </w:r>
      <w:r w:rsidRPr="00647DDC">
        <w:tab/>
        <w:t>Dans la requête en</w:t>
      </w:r>
      <w:r w:rsidRPr="00412D57">
        <w:t xml:space="preserve"> résolution du contrat de travail, annexée à la communication, il est indiqué que les</w:t>
      </w:r>
      <w:r w:rsidR="00A259C0">
        <w:t> </w:t>
      </w:r>
      <w:r w:rsidRPr="00412D57">
        <w:t xml:space="preserve">motifs du licenciement sont divers : comportement irrespectueux et inadapté à l’égard de </w:t>
      </w:r>
      <w:r w:rsidR="00201E54" w:rsidRPr="00647DDC">
        <w:t>son</w:t>
      </w:r>
      <w:r w:rsidRPr="00647DDC">
        <w:t xml:space="preserve"> supérieur hiérarchique (dénigrement </w:t>
      </w:r>
      <w:r w:rsidR="00201E54" w:rsidRPr="00647DDC">
        <w:t>et mise</w:t>
      </w:r>
      <w:r w:rsidRPr="00647DDC">
        <w:t xml:space="preserve"> en cause </w:t>
      </w:r>
      <w:r w:rsidR="00201E54" w:rsidRPr="00647DDC">
        <w:t xml:space="preserve">de </w:t>
      </w:r>
      <w:r w:rsidRPr="00647DDC">
        <w:t xml:space="preserve">ses compétences), de cadres de la société (injures </w:t>
      </w:r>
      <w:r w:rsidR="00201E54" w:rsidRPr="00647DDC">
        <w:t xml:space="preserve">à l’encontre </w:t>
      </w:r>
      <w:r w:rsidRPr="00647DDC">
        <w:t>de la responsable des ressources humaines) et d’autres employés travaillant sous ses ordres ; non-respect des procédures internes (notamment celle relative aux fiches de présence et à l’interdiction de fumer au sein de l’entreprise, avec incitation d’autres salariés à enfreindre la règle d’interdiction de fumer) ; et organisation à l’insu de l’employeur d’un vaste trafic de cuivre subtilisé sur les chantiers avec tenue d’une caisse noire recueillant le produit des ventes.</w:t>
      </w:r>
    </w:p>
  </w:footnote>
  <w:footnote w:id="6">
    <w:p w14:paraId="76E2B122" w14:textId="0A866267" w:rsidR="00BD788C" w:rsidRPr="00647DDC" w:rsidRDefault="00BD788C" w:rsidP="0094671A">
      <w:pPr>
        <w:pStyle w:val="Notedebasdepage"/>
      </w:pPr>
      <w:r w:rsidRPr="00647DDC">
        <w:tab/>
      </w:r>
      <w:r w:rsidRPr="00647DDC">
        <w:rPr>
          <w:rStyle w:val="Appelnotedebasdep"/>
        </w:rPr>
        <w:footnoteRef/>
      </w:r>
      <w:r w:rsidRPr="00647DDC">
        <w:tab/>
      </w:r>
      <w:r w:rsidRPr="00412D57">
        <w:t xml:space="preserve">La communication n’en précise pas </w:t>
      </w:r>
      <w:r w:rsidRPr="00647DDC">
        <w:t xml:space="preserve">davantage. </w:t>
      </w:r>
      <w:r w:rsidR="00201E54" w:rsidRPr="00647DDC">
        <w:t>D</w:t>
      </w:r>
      <w:r w:rsidRPr="00647DDC">
        <w:t>e la décision</w:t>
      </w:r>
      <w:r w:rsidR="00201E54" w:rsidRPr="00647DDC">
        <w:t xml:space="preserve"> de la Cour d’appel</w:t>
      </w:r>
      <w:r w:rsidRPr="00647DDC">
        <w:t xml:space="preserve">, annexée à la communication, il ressort cependant que six attestations présentées par l’auteur n’ont pas trait au grief du trafic de cuivre, et que sept autres « sont trop vagues, aucune précision n’étant donnée quant à des faits précis desquels la Cour pourrait déduire que l’employeur aurait eu connaissance </w:t>
      </w:r>
      <w:r w:rsidR="00E564A7" w:rsidRPr="00647DDC">
        <w:t xml:space="preserve">[dudit trafic] </w:t>
      </w:r>
      <w:r w:rsidRPr="00647DDC">
        <w:t xml:space="preserve">et </w:t>
      </w:r>
      <w:r w:rsidR="00E564A7" w:rsidRPr="00647DDC">
        <w:t>[l’]</w:t>
      </w:r>
      <w:r w:rsidRPr="00647DDC">
        <w:t>aurait autorisé ».</w:t>
      </w:r>
    </w:p>
  </w:footnote>
  <w:footnote w:id="7">
    <w:p w14:paraId="61AFE432" w14:textId="237ED16F" w:rsidR="00BD788C" w:rsidRPr="00647DDC" w:rsidRDefault="00BD788C" w:rsidP="0094671A">
      <w:pPr>
        <w:pStyle w:val="Notedebasdepage"/>
        <w:rPr>
          <w:lang w:val="fr-FR"/>
        </w:rPr>
      </w:pPr>
      <w:r w:rsidRPr="00647DDC">
        <w:tab/>
      </w:r>
      <w:r w:rsidRPr="00647DDC">
        <w:rPr>
          <w:rStyle w:val="Appelnotedebasdep"/>
        </w:rPr>
        <w:footnoteRef/>
      </w:r>
      <w:r w:rsidRPr="00647DDC">
        <w:tab/>
        <w:t>E/C.12/63/D/7/2015, par</w:t>
      </w:r>
      <w:r w:rsidR="00E1711C" w:rsidRPr="00647DDC">
        <w:t>.</w:t>
      </w:r>
      <w:r w:rsidRPr="00647DDC">
        <w:t xml:space="preserve"> 8.3</w:t>
      </w:r>
      <w:r w:rsidRPr="00647DDC">
        <w:rPr>
          <w:color w:val="808080" w:themeColor="background1" w:themeShade="80"/>
        </w:rPr>
        <w:t>.</w:t>
      </w:r>
    </w:p>
  </w:footnote>
  <w:footnote w:id="8">
    <w:p w14:paraId="33D2452E" w14:textId="5B8B4426" w:rsidR="0004430C" w:rsidRPr="00647DDC" w:rsidRDefault="0004430C" w:rsidP="0094671A">
      <w:pPr>
        <w:pStyle w:val="Notedebasdepage"/>
        <w:rPr>
          <w:lang w:val="fr-FR"/>
        </w:rPr>
      </w:pPr>
      <w:r w:rsidRPr="00647DDC">
        <w:tab/>
      </w:r>
      <w:r w:rsidRPr="00647DDC">
        <w:rPr>
          <w:rStyle w:val="Appelnotedebasdep"/>
        </w:rPr>
        <w:footnoteRef/>
      </w:r>
      <w:r w:rsidRPr="00647DDC">
        <w:tab/>
      </w:r>
      <w:r w:rsidRPr="00412D57">
        <w:rPr>
          <w:lang w:val="fr-FR"/>
        </w:rPr>
        <w:t xml:space="preserve">En ce sens, voir </w:t>
      </w:r>
      <w:r w:rsidRPr="00412D57">
        <w:rPr>
          <w:i/>
          <w:lang w:val="fr-FR"/>
        </w:rPr>
        <w:t>S. C. et G. P. c. Italie</w:t>
      </w:r>
      <w:r w:rsidRPr="00412D57">
        <w:rPr>
          <w:lang w:val="fr-FR"/>
        </w:rPr>
        <w:t xml:space="preserve"> (E/C.12/65/D/22/2017), par</w:t>
      </w:r>
      <w:r w:rsidR="0054203F" w:rsidRPr="00412D57">
        <w:rPr>
          <w:lang w:val="fr-FR"/>
        </w:rPr>
        <w:t>. </w:t>
      </w:r>
      <w:r w:rsidRPr="00412D57">
        <w:rPr>
          <w:lang w:val="fr-FR"/>
        </w:rPr>
        <w:t xml:space="preserve">6.6 ; </w:t>
      </w:r>
      <w:proofErr w:type="spellStart"/>
      <w:r w:rsidRPr="00647DDC">
        <w:rPr>
          <w:i/>
          <w:lang w:val="fr-FR"/>
        </w:rPr>
        <w:t>Arellano</w:t>
      </w:r>
      <w:proofErr w:type="spellEnd"/>
      <w:r w:rsidRPr="00647DDC">
        <w:rPr>
          <w:i/>
          <w:lang w:val="fr-FR"/>
        </w:rPr>
        <w:t xml:space="preserve"> Medina c. Équateur</w:t>
      </w:r>
      <w:r w:rsidRPr="00647DDC">
        <w:rPr>
          <w:lang w:val="fr-FR"/>
        </w:rPr>
        <w:t>, par</w:t>
      </w:r>
      <w:r w:rsidR="0054203F" w:rsidRPr="00647DDC">
        <w:rPr>
          <w:lang w:val="fr-FR"/>
        </w:rPr>
        <w:t>. </w:t>
      </w:r>
      <w:r w:rsidRPr="00647DDC">
        <w:rPr>
          <w:lang w:val="fr-FR"/>
        </w:rPr>
        <w:t xml:space="preserve">8.3 ; </w:t>
      </w:r>
      <w:r w:rsidRPr="00647DDC">
        <w:rPr>
          <w:i/>
          <w:lang w:val="fr-FR"/>
        </w:rPr>
        <w:t xml:space="preserve">Trujillo </w:t>
      </w:r>
      <w:proofErr w:type="spellStart"/>
      <w:r w:rsidRPr="00647DDC">
        <w:rPr>
          <w:i/>
          <w:lang w:val="fr-FR"/>
        </w:rPr>
        <w:t>Calero</w:t>
      </w:r>
      <w:proofErr w:type="spellEnd"/>
      <w:r w:rsidRPr="00647DDC">
        <w:rPr>
          <w:lang w:val="fr-FR"/>
        </w:rPr>
        <w:t xml:space="preserve"> </w:t>
      </w:r>
      <w:r w:rsidRPr="00647DDC">
        <w:rPr>
          <w:i/>
          <w:lang w:val="fr-FR"/>
        </w:rPr>
        <w:t>c. Équateur</w:t>
      </w:r>
      <w:r w:rsidRPr="00647DDC">
        <w:rPr>
          <w:lang w:val="fr-FR"/>
        </w:rPr>
        <w:t xml:space="preserve"> (E/C.12/63/D/10/2015), par</w:t>
      </w:r>
      <w:r w:rsidR="0054203F" w:rsidRPr="00647DDC">
        <w:rPr>
          <w:lang w:val="fr-FR"/>
        </w:rPr>
        <w:t>. </w:t>
      </w:r>
      <w:r w:rsidRPr="00647DDC">
        <w:rPr>
          <w:lang w:val="fr-FR"/>
        </w:rPr>
        <w:t xml:space="preserve">9.5 ; </w:t>
      </w:r>
      <w:proofErr w:type="spellStart"/>
      <w:r w:rsidRPr="00647DDC">
        <w:rPr>
          <w:i/>
          <w:lang w:val="fr-FR"/>
        </w:rPr>
        <w:t>Alarcón</w:t>
      </w:r>
      <w:proofErr w:type="spellEnd"/>
      <w:r w:rsidRPr="00647DDC">
        <w:rPr>
          <w:i/>
          <w:lang w:val="fr-FR"/>
        </w:rPr>
        <w:t xml:space="preserve"> Flores et </w:t>
      </w:r>
      <w:r w:rsidR="0054203F" w:rsidRPr="00647DDC">
        <w:rPr>
          <w:i/>
          <w:lang w:val="fr-FR"/>
        </w:rPr>
        <w:t>consorts</w:t>
      </w:r>
      <w:r w:rsidRPr="00647DDC">
        <w:rPr>
          <w:i/>
          <w:lang w:val="fr-FR"/>
        </w:rPr>
        <w:t xml:space="preserve"> c.</w:t>
      </w:r>
      <w:r w:rsidR="00A259C0">
        <w:rPr>
          <w:i/>
          <w:lang w:val="fr-FR"/>
        </w:rPr>
        <w:t> </w:t>
      </w:r>
      <w:r w:rsidRPr="00647DDC">
        <w:rPr>
          <w:i/>
          <w:lang w:val="fr-FR"/>
        </w:rPr>
        <w:t>Équateur</w:t>
      </w:r>
      <w:r w:rsidRPr="00647DDC">
        <w:rPr>
          <w:lang w:val="fr-FR"/>
        </w:rPr>
        <w:t xml:space="preserve"> (E/C.12/62/D/14/2016), par</w:t>
      </w:r>
      <w:r w:rsidR="0054203F" w:rsidRPr="00647DDC">
        <w:rPr>
          <w:lang w:val="fr-FR"/>
        </w:rPr>
        <w:t>. </w:t>
      </w:r>
      <w:r w:rsidRPr="00647DDC">
        <w:rPr>
          <w:lang w:val="fr-FR"/>
        </w:rPr>
        <w:t xml:space="preserve">9.8 ; </w:t>
      </w:r>
      <w:r w:rsidRPr="00647DDC">
        <w:rPr>
          <w:i/>
          <w:lang w:val="fr-FR"/>
        </w:rPr>
        <w:t xml:space="preserve">Martins Coelho c. Portugal </w:t>
      </w:r>
      <w:r w:rsidRPr="00647DDC">
        <w:rPr>
          <w:lang w:val="fr-FR"/>
        </w:rPr>
        <w:t>(E/C.12/61/D/21/2017), par</w:t>
      </w:r>
      <w:r w:rsidR="0054203F" w:rsidRPr="00647DDC">
        <w:rPr>
          <w:lang w:val="fr-FR"/>
        </w:rPr>
        <w:t>. </w:t>
      </w:r>
      <w:r w:rsidRPr="00647DDC">
        <w:rPr>
          <w:lang w:val="fr-FR"/>
        </w:rPr>
        <w:t xml:space="preserve">4.2 ; </w:t>
      </w:r>
      <w:r w:rsidR="009A2968" w:rsidRPr="0094671A">
        <w:rPr>
          <w:i/>
          <w:iCs/>
          <w:lang w:val="fr-FR"/>
        </w:rPr>
        <w:t>C. </w:t>
      </w:r>
      <w:r w:rsidRPr="0094671A">
        <w:rPr>
          <w:i/>
          <w:iCs/>
          <w:lang w:val="fr-FR"/>
        </w:rPr>
        <w:t xml:space="preserve">A. </w:t>
      </w:r>
      <w:r w:rsidR="009A2968" w:rsidRPr="0094671A">
        <w:rPr>
          <w:i/>
          <w:iCs/>
          <w:lang w:val="fr-FR"/>
        </w:rPr>
        <w:t>P. </w:t>
      </w:r>
      <w:r w:rsidRPr="0094671A">
        <w:rPr>
          <w:i/>
          <w:iCs/>
          <w:lang w:val="fr-FR"/>
        </w:rPr>
        <w:t>M. c. Équateur</w:t>
      </w:r>
      <w:r w:rsidRPr="00647DDC">
        <w:rPr>
          <w:lang w:val="fr-FR"/>
        </w:rPr>
        <w:t xml:space="preserve"> (E/C.12/58/D/3/2014)</w:t>
      </w:r>
      <w:r w:rsidRPr="00412D57">
        <w:rPr>
          <w:lang w:val="fr-FR"/>
        </w:rPr>
        <w:t>, par</w:t>
      </w:r>
      <w:r w:rsidR="009A2968" w:rsidRPr="00412D57">
        <w:rPr>
          <w:lang w:val="fr-FR"/>
        </w:rPr>
        <w:t>. </w:t>
      </w:r>
      <w:r w:rsidRPr="00412D57">
        <w:rPr>
          <w:lang w:val="fr-FR"/>
        </w:rPr>
        <w:t xml:space="preserve">7.4 ; et </w:t>
      </w:r>
      <w:r w:rsidRPr="00412D57">
        <w:rPr>
          <w:i/>
          <w:lang w:val="fr-FR"/>
        </w:rPr>
        <w:t>I.</w:t>
      </w:r>
      <w:r w:rsidR="00EB328F" w:rsidRPr="00412D57">
        <w:rPr>
          <w:i/>
          <w:lang w:val="fr-FR"/>
        </w:rPr>
        <w:t> </w:t>
      </w:r>
      <w:r w:rsidRPr="00647DDC">
        <w:rPr>
          <w:i/>
          <w:lang w:val="fr-FR"/>
        </w:rPr>
        <w:t>D.</w:t>
      </w:r>
      <w:r w:rsidR="00EB328F" w:rsidRPr="00412D57">
        <w:rPr>
          <w:i/>
          <w:lang w:val="fr-FR"/>
        </w:rPr>
        <w:t> </w:t>
      </w:r>
      <w:r w:rsidRPr="00647DDC">
        <w:rPr>
          <w:i/>
          <w:lang w:val="fr-FR"/>
        </w:rPr>
        <w:t>G</w:t>
      </w:r>
      <w:r w:rsidR="00EB328F" w:rsidRPr="00412D57">
        <w:rPr>
          <w:i/>
          <w:lang w:val="fr-FR"/>
        </w:rPr>
        <w:t>.</w:t>
      </w:r>
      <w:r w:rsidRPr="00647DDC">
        <w:rPr>
          <w:i/>
          <w:lang w:val="fr-FR"/>
        </w:rPr>
        <w:t xml:space="preserve"> c. Espagne</w:t>
      </w:r>
      <w:r w:rsidRPr="00412D57">
        <w:rPr>
          <w:lang w:val="fr-FR"/>
        </w:rPr>
        <w:t xml:space="preserve"> (E/C.12/55/D/2/2014), par</w:t>
      </w:r>
      <w:r w:rsidR="009A2968" w:rsidRPr="00412D57">
        <w:rPr>
          <w:lang w:val="fr-FR"/>
        </w:rPr>
        <w:t>. </w:t>
      </w:r>
      <w:r w:rsidRPr="00412D57">
        <w:rPr>
          <w:lang w:val="fr-FR"/>
        </w:rPr>
        <w:t>9.3</w:t>
      </w:r>
      <w:r w:rsidRPr="00647DDC">
        <w:rPr>
          <w:lang w:val="fr-FR"/>
        </w:rPr>
        <w:t>.</w:t>
      </w:r>
    </w:p>
  </w:footnote>
  <w:footnote w:id="9">
    <w:p w14:paraId="24B4C895" w14:textId="2D36B484" w:rsidR="0004430C" w:rsidRPr="00B93747" w:rsidRDefault="0004430C" w:rsidP="0094671A">
      <w:pPr>
        <w:pStyle w:val="Notedebasdepage"/>
      </w:pPr>
      <w:r w:rsidRPr="00647DDC">
        <w:tab/>
      </w:r>
      <w:r w:rsidRPr="00647DDC">
        <w:rPr>
          <w:rStyle w:val="Appelnotedebasdep"/>
        </w:rPr>
        <w:footnoteRef/>
      </w:r>
      <w:r w:rsidRPr="00647DDC">
        <w:tab/>
      </w:r>
      <w:proofErr w:type="spellStart"/>
      <w:r w:rsidRPr="00412D57">
        <w:rPr>
          <w:i/>
        </w:rPr>
        <w:t>Faurisson</w:t>
      </w:r>
      <w:proofErr w:type="spellEnd"/>
      <w:r w:rsidRPr="00412D57">
        <w:rPr>
          <w:i/>
        </w:rPr>
        <w:t xml:space="preserve"> c. France</w:t>
      </w:r>
      <w:r w:rsidRPr="00412D57">
        <w:t xml:space="preserve"> (CCPR/C/58/D/550/1993)</w:t>
      </w:r>
      <w:r w:rsidRPr="00647DDC">
        <w:t>, par</w:t>
      </w:r>
      <w:r w:rsidR="00591D15" w:rsidRPr="00647DDC">
        <w:t>. </w:t>
      </w:r>
      <w:r w:rsidRPr="00647DDC">
        <w:t>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E8F6" w14:textId="03E45D43" w:rsidR="00BD788C" w:rsidRPr="002432DA" w:rsidRDefault="00C05BE0">
    <w:pPr>
      <w:pStyle w:val="En-tte"/>
      <w:rPr>
        <w:lang w:val="es-ES"/>
      </w:rPr>
    </w:pPr>
    <w:r>
      <w:t>E/C.12/66/D/20/2017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8506" w14:textId="6ADA74E8" w:rsidR="00BD788C" w:rsidRPr="002432DA" w:rsidRDefault="00C05BE0" w:rsidP="00BD788C">
    <w:pPr>
      <w:pStyle w:val="En-tte"/>
      <w:jc w:val="right"/>
      <w:rPr>
        <w:lang w:val="es-ES"/>
      </w:rPr>
    </w:pPr>
    <w:r>
      <w:t>E/C.12/66/D/20/2017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6A26A8F"/>
    <w:multiLevelType w:val="hybridMultilevel"/>
    <w:tmpl w:val="F18044DA"/>
    <w:lvl w:ilvl="0" w:tplc="90E65CBC">
      <w:start w:val="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nl-NL" w:vendorID="64" w:dllVersion="4096" w:nlCheck="1" w:checkStyle="0"/>
  <w:activeWritingStyle w:appName="MSWord" w:lang="es-ES" w:vendorID="64" w:dllVersion="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88C"/>
    <w:rsid w:val="0000613E"/>
    <w:rsid w:val="0000767A"/>
    <w:rsid w:val="00016AC5"/>
    <w:rsid w:val="0004430C"/>
    <w:rsid w:val="0005795B"/>
    <w:rsid w:val="00060E82"/>
    <w:rsid w:val="00067244"/>
    <w:rsid w:val="000B696A"/>
    <w:rsid w:val="000E41D4"/>
    <w:rsid w:val="000F084D"/>
    <w:rsid w:val="000F1774"/>
    <w:rsid w:val="000F41F2"/>
    <w:rsid w:val="00102466"/>
    <w:rsid w:val="00125F65"/>
    <w:rsid w:val="00160540"/>
    <w:rsid w:val="00192EEB"/>
    <w:rsid w:val="001A20FB"/>
    <w:rsid w:val="001D5CBF"/>
    <w:rsid w:val="001D7F8A"/>
    <w:rsid w:val="001E3DE1"/>
    <w:rsid w:val="001E3FEB"/>
    <w:rsid w:val="001E4A02"/>
    <w:rsid w:val="001E5727"/>
    <w:rsid w:val="00201E54"/>
    <w:rsid w:val="00225A8C"/>
    <w:rsid w:val="002432DA"/>
    <w:rsid w:val="0026419D"/>
    <w:rsid w:val="002659F1"/>
    <w:rsid w:val="00266172"/>
    <w:rsid w:val="00281E30"/>
    <w:rsid w:val="00287E79"/>
    <w:rsid w:val="002928F9"/>
    <w:rsid w:val="002A5D07"/>
    <w:rsid w:val="002C6A52"/>
    <w:rsid w:val="002E2084"/>
    <w:rsid w:val="002F07AE"/>
    <w:rsid w:val="003016B7"/>
    <w:rsid w:val="003124E7"/>
    <w:rsid w:val="0031567F"/>
    <w:rsid w:val="00325A9A"/>
    <w:rsid w:val="00331C04"/>
    <w:rsid w:val="00350E06"/>
    <w:rsid w:val="003515AA"/>
    <w:rsid w:val="0035781B"/>
    <w:rsid w:val="00374106"/>
    <w:rsid w:val="003976D5"/>
    <w:rsid w:val="00397A2C"/>
    <w:rsid w:val="003C4356"/>
    <w:rsid w:val="003D2F6C"/>
    <w:rsid w:val="003D4FF5"/>
    <w:rsid w:val="003D6C68"/>
    <w:rsid w:val="003E7F2E"/>
    <w:rsid w:val="003F4CA4"/>
    <w:rsid w:val="00407462"/>
    <w:rsid w:val="00412D57"/>
    <w:rsid w:val="004159D0"/>
    <w:rsid w:val="004174F9"/>
    <w:rsid w:val="004203C4"/>
    <w:rsid w:val="004377D2"/>
    <w:rsid w:val="00441270"/>
    <w:rsid w:val="004538E9"/>
    <w:rsid w:val="00456D3C"/>
    <w:rsid w:val="00494A02"/>
    <w:rsid w:val="004B4C32"/>
    <w:rsid w:val="004E4CC5"/>
    <w:rsid w:val="005034D5"/>
    <w:rsid w:val="00505FA0"/>
    <w:rsid w:val="00506F03"/>
    <w:rsid w:val="005165C8"/>
    <w:rsid w:val="00524C21"/>
    <w:rsid w:val="005369A0"/>
    <w:rsid w:val="00537B97"/>
    <w:rsid w:val="0054203F"/>
    <w:rsid w:val="00543D5E"/>
    <w:rsid w:val="00547BC0"/>
    <w:rsid w:val="00564901"/>
    <w:rsid w:val="00571F41"/>
    <w:rsid w:val="00574FA1"/>
    <w:rsid w:val="00584586"/>
    <w:rsid w:val="00586995"/>
    <w:rsid w:val="00587F96"/>
    <w:rsid w:val="00591D15"/>
    <w:rsid w:val="005A540A"/>
    <w:rsid w:val="005C3D1C"/>
    <w:rsid w:val="005E5D1F"/>
    <w:rsid w:val="0060753B"/>
    <w:rsid w:val="00611D43"/>
    <w:rsid w:val="00612D48"/>
    <w:rsid w:val="00616B45"/>
    <w:rsid w:val="00620FDF"/>
    <w:rsid w:val="00630D9B"/>
    <w:rsid w:val="00631953"/>
    <w:rsid w:val="006439EC"/>
    <w:rsid w:val="00647DDC"/>
    <w:rsid w:val="006521C1"/>
    <w:rsid w:val="00667518"/>
    <w:rsid w:val="00674C57"/>
    <w:rsid w:val="006977A7"/>
    <w:rsid w:val="006A2FF6"/>
    <w:rsid w:val="006A77C4"/>
    <w:rsid w:val="006B4590"/>
    <w:rsid w:val="006C340C"/>
    <w:rsid w:val="006C3429"/>
    <w:rsid w:val="006E637C"/>
    <w:rsid w:val="00701E40"/>
    <w:rsid w:val="00703310"/>
    <w:rsid w:val="0070347C"/>
    <w:rsid w:val="00716BD0"/>
    <w:rsid w:val="007176C1"/>
    <w:rsid w:val="00755632"/>
    <w:rsid w:val="00762F0E"/>
    <w:rsid w:val="0078729F"/>
    <w:rsid w:val="00790DA6"/>
    <w:rsid w:val="007A1992"/>
    <w:rsid w:val="007C3C0D"/>
    <w:rsid w:val="007C3EE7"/>
    <w:rsid w:val="007D621E"/>
    <w:rsid w:val="007E59DE"/>
    <w:rsid w:val="007F55CB"/>
    <w:rsid w:val="007F7827"/>
    <w:rsid w:val="00830DB8"/>
    <w:rsid w:val="00844750"/>
    <w:rsid w:val="00871322"/>
    <w:rsid w:val="008B2343"/>
    <w:rsid w:val="008B44C4"/>
    <w:rsid w:val="008B7582"/>
    <w:rsid w:val="008C7B2E"/>
    <w:rsid w:val="008D126E"/>
    <w:rsid w:val="008E7CC5"/>
    <w:rsid w:val="008E7FAE"/>
    <w:rsid w:val="008F7EA5"/>
    <w:rsid w:val="00900E42"/>
    <w:rsid w:val="00901884"/>
    <w:rsid w:val="00911BF7"/>
    <w:rsid w:val="009422EA"/>
    <w:rsid w:val="0094671A"/>
    <w:rsid w:val="0096612F"/>
    <w:rsid w:val="00977EC8"/>
    <w:rsid w:val="009834CE"/>
    <w:rsid w:val="00993C56"/>
    <w:rsid w:val="009A2968"/>
    <w:rsid w:val="009A63A8"/>
    <w:rsid w:val="009B222F"/>
    <w:rsid w:val="009B7C39"/>
    <w:rsid w:val="009C2D18"/>
    <w:rsid w:val="009D3A8C"/>
    <w:rsid w:val="009D465C"/>
    <w:rsid w:val="009E2ADE"/>
    <w:rsid w:val="009E7956"/>
    <w:rsid w:val="00A0169B"/>
    <w:rsid w:val="00A133AF"/>
    <w:rsid w:val="00A2492E"/>
    <w:rsid w:val="00A259C0"/>
    <w:rsid w:val="00A51589"/>
    <w:rsid w:val="00A63C60"/>
    <w:rsid w:val="00AA4F61"/>
    <w:rsid w:val="00AB300E"/>
    <w:rsid w:val="00AC16F2"/>
    <w:rsid w:val="00AC67A1"/>
    <w:rsid w:val="00AC7977"/>
    <w:rsid w:val="00AD1127"/>
    <w:rsid w:val="00AE352C"/>
    <w:rsid w:val="00AF6EF8"/>
    <w:rsid w:val="00B06E4E"/>
    <w:rsid w:val="00B32E2D"/>
    <w:rsid w:val="00B44B5C"/>
    <w:rsid w:val="00B61990"/>
    <w:rsid w:val="00B736CB"/>
    <w:rsid w:val="00B93DB1"/>
    <w:rsid w:val="00BA404F"/>
    <w:rsid w:val="00BC0C5F"/>
    <w:rsid w:val="00BD788C"/>
    <w:rsid w:val="00BE6AE4"/>
    <w:rsid w:val="00BF0556"/>
    <w:rsid w:val="00C05BE0"/>
    <w:rsid w:val="00C261F8"/>
    <w:rsid w:val="00C33100"/>
    <w:rsid w:val="00C36B9B"/>
    <w:rsid w:val="00C51CD7"/>
    <w:rsid w:val="00C634A6"/>
    <w:rsid w:val="00C8423C"/>
    <w:rsid w:val="00CD1A71"/>
    <w:rsid w:val="00CD1FBB"/>
    <w:rsid w:val="00CF73E8"/>
    <w:rsid w:val="00D016B5"/>
    <w:rsid w:val="00D034F1"/>
    <w:rsid w:val="00D10597"/>
    <w:rsid w:val="00D21AD3"/>
    <w:rsid w:val="00D25CE5"/>
    <w:rsid w:val="00D25F7F"/>
    <w:rsid w:val="00D27D5E"/>
    <w:rsid w:val="00D31E51"/>
    <w:rsid w:val="00D4053F"/>
    <w:rsid w:val="00D52F37"/>
    <w:rsid w:val="00D56C1C"/>
    <w:rsid w:val="00D71C13"/>
    <w:rsid w:val="00D7547D"/>
    <w:rsid w:val="00D77231"/>
    <w:rsid w:val="00D838EB"/>
    <w:rsid w:val="00D96C99"/>
    <w:rsid w:val="00DA3BE9"/>
    <w:rsid w:val="00DB55A3"/>
    <w:rsid w:val="00DB5D4A"/>
    <w:rsid w:val="00DC1C59"/>
    <w:rsid w:val="00DE22BB"/>
    <w:rsid w:val="00DE26F5"/>
    <w:rsid w:val="00DE5511"/>
    <w:rsid w:val="00DE6D90"/>
    <w:rsid w:val="00DF002F"/>
    <w:rsid w:val="00E0244D"/>
    <w:rsid w:val="00E11672"/>
    <w:rsid w:val="00E16AAE"/>
    <w:rsid w:val="00E1711C"/>
    <w:rsid w:val="00E36FE5"/>
    <w:rsid w:val="00E564A7"/>
    <w:rsid w:val="00E64B57"/>
    <w:rsid w:val="00E81E94"/>
    <w:rsid w:val="00E82607"/>
    <w:rsid w:val="00E935AC"/>
    <w:rsid w:val="00EA0E33"/>
    <w:rsid w:val="00EB328F"/>
    <w:rsid w:val="00F13D4A"/>
    <w:rsid w:val="00F216C1"/>
    <w:rsid w:val="00F37662"/>
    <w:rsid w:val="00F400AA"/>
    <w:rsid w:val="00F47851"/>
    <w:rsid w:val="00F74215"/>
    <w:rsid w:val="00F755C9"/>
    <w:rsid w:val="00F80B0B"/>
    <w:rsid w:val="00FA5270"/>
    <w:rsid w:val="00FA5A79"/>
    <w:rsid w:val="00FB0BFE"/>
    <w:rsid w:val="00FB1721"/>
    <w:rsid w:val="00FB4C51"/>
    <w:rsid w:val="00FB4E31"/>
    <w:rsid w:val="00FB7651"/>
    <w:rsid w:val="00FC1AEF"/>
    <w:rsid w:val="00FD2845"/>
    <w:rsid w:val="00FF1DBD"/>
    <w:rsid w:val="00FF58C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oNotEmbedSmartTags/>
  <w:decimalSymbol w:val=","/>
  <w:listSeparator w:val=";"/>
  <w14:docId w14:val="4A594E7F"/>
  <w15:docId w15:val="{D34BBFD3-55F3-4BEB-87E5-FC5FCDE2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semiHidden/>
    <w:qFormat/>
    <w:rsid w:val="00716BD0"/>
    <w:pPr>
      <w:outlineLvl w:val="1"/>
    </w:pPr>
  </w:style>
  <w:style w:type="paragraph" w:styleId="Titre3">
    <w:name w:val="heading 3"/>
    <w:basedOn w:val="Normal"/>
    <w:next w:val="Normal"/>
    <w:semiHidden/>
    <w:qFormat/>
    <w:rsid w:val="00716BD0"/>
    <w:pPr>
      <w:outlineLvl w:val="2"/>
    </w:pPr>
  </w:style>
  <w:style w:type="paragraph" w:styleId="Titre4">
    <w:name w:val="heading 4"/>
    <w:basedOn w:val="Normal"/>
    <w:next w:val="Normal"/>
    <w:semiHidden/>
    <w:qFormat/>
    <w:rsid w:val="00716BD0"/>
    <w:pPr>
      <w:outlineLvl w:val="3"/>
    </w:pPr>
  </w:style>
  <w:style w:type="paragraph" w:styleId="Titre5">
    <w:name w:val="heading 5"/>
    <w:basedOn w:val="Normal"/>
    <w:next w:val="Normal"/>
    <w:semiHidden/>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Appelnotedebasdep">
    <w:name w:val="footnote reference"/>
    <w:aliases w:val="4_G"/>
    <w:basedOn w:val="Policepardfaut"/>
    <w:qFormat/>
    <w:rsid w:val="00716BD0"/>
    <w:rPr>
      <w:rFonts w:ascii="Times New Roman" w:hAnsi="Times New Roman"/>
      <w:sz w:val="18"/>
      <w:vertAlign w:val="superscript"/>
      <w:lang w:val="fr-CH"/>
    </w:rPr>
  </w:style>
  <w:style w:type="character" w:styleId="Appeldenotedefin">
    <w:name w:val="endnote reference"/>
    <w:aliases w:val="1_G"/>
    <w:basedOn w:val="Appelnotedebasdep"/>
    <w:qFormat/>
    <w:rsid w:val="00716BD0"/>
    <w:rPr>
      <w:rFonts w:ascii="Times New Roman" w:hAnsi="Times New Roman"/>
      <w:sz w:val="18"/>
      <w:vertAlign w:val="superscript"/>
      <w:lang w:val="fr-CH"/>
    </w:rPr>
  </w:style>
  <w:style w:type="paragraph" w:styleId="En-tte">
    <w:name w:val="header"/>
    <w:aliases w:val="6_G"/>
    <w:basedOn w:val="Normal"/>
    <w:next w:val="Normal"/>
    <w:qFormat/>
    <w:rsid w:val="00716BD0"/>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3F4CA4"/>
    <w:pPr>
      <w:tabs>
        <w:tab w:val="right" w:pos="1021"/>
      </w:tabs>
      <w:spacing w:line="220" w:lineRule="exact"/>
      <w:ind w:left="1134" w:right="1134" w:hanging="1134"/>
    </w:pPr>
    <w:rPr>
      <w:sz w:val="18"/>
    </w:rPr>
  </w:style>
  <w:style w:type="paragraph" w:styleId="Notedefin">
    <w:name w:val="endnote text"/>
    <w:aliases w:val="2_G"/>
    <w:basedOn w:val="Notedebasdepage"/>
    <w:qFormat/>
    <w:rsid w:val="003F4CA4"/>
  </w:style>
  <w:style w:type="character" w:styleId="Numrodepage">
    <w:name w:val="page number"/>
    <w:aliases w:val="7_G"/>
    <w:basedOn w:val="Policepardfaut"/>
    <w:qFormat/>
    <w:rsid w:val="00716BD0"/>
    <w:rPr>
      <w:rFonts w:ascii="Times New Roman" w:hAnsi="Times New Roman"/>
      <w:b/>
      <w:sz w:val="18"/>
      <w:lang w:val="fr-CH"/>
    </w:rPr>
  </w:style>
  <w:style w:type="paragraph" w:styleId="Pieddepage">
    <w:name w:val="footer"/>
    <w:aliases w:val="3_G"/>
    <w:basedOn w:val="Normal"/>
    <w:next w:val="Normal"/>
    <w:qFormat/>
    <w:rsid w:val="00716BD0"/>
    <w:pPr>
      <w:spacing w:line="240" w:lineRule="auto"/>
    </w:pPr>
    <w:rPr>
      <w:sz w:val="16"/>
    </w:rPr>
  </w:style>
  <w:style w:type="character" w:styleId="Lienhypertexte">
    <w:name w:val="Hyperlink"/>
    <w:basedOn w:val="Policepardfaut"/>
    <w:semiHidden/>
    <w:rsid w:val="00755632"/>
    <w:rPr>
      <w:color w:val="auto"/>
      <w:u w:val="none"/>
    </w:rPr>
  </w:style>
  <w:style w:type="character" w:styleId="Lienhypertextesuivivisit">
    <w:name w:val="FollowedHyperlink"/>
    <w:basedOn w:val="Policepardfaut"/>
    <w:semiHidden/>
    <w:rsid w:val="00755632"/>
    <w:rPr>
      <w:color w:val="auto"/>
      <w:u w:val="none"/>
    </w:rPr>
  </w:style>
  <w:style w:type="table" w:styleId="Grilledutableau">
    <w:name w:val="Table Grid"/>
    <w:basedOn w:val="Tableau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E26F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character" w:customStyle="1" w:styleId="NotedebasdepageCar">
    <w:name w:val="Note de bas de page Car"/>
    <w:aliases w:val="5_G Car"/>
    <w:basedOn w:val="Policepardfaut"/>
    <w:link w:val="Notedebasdepage"/>
    <w:rsid w:val="00BD788C"/>
    <w:rPr>
      <w:sz w:val="18"/>
      <w:lang w:val="fr-CH" w:eastAsia="en-US"/>
    </w:rPr>
  </w:style>
  <w:style w:type="character" w:customStyle="1" w:styleId="HChGChar">
    <w:name w:val="_ H _Ch_G Char"/>
    <w:link w:val="HChG"/>
    <w:locked/>
    <w:rsid w:val="00BD788C"/>
    <w:rPr>
      <w:b/>
      <w:sz w:val="28"/>
      <w:lang w:val="fr-CH" w:eastAsia="en-US"/>
    </w:rPr>
  </w:style>
  <w:style w:type="character" w:customStyle="1" w:styleId="H1GChar">
    <w:name w:val="_ H_1_G Char"/>
    <w:link w:val="H1G"/>
    <w:locked/>
    <w:rsid w:val="00BD788C"/>
    <w:rPr>
      <w:b/>
      <w:sz w:val="24"/>
      <w:lang w:val="fr-CH" w:eastAsia="en-US"/>
    </w:rPr>
  </w:style>
  <w:style w:type="character" w:customStyle="1" w:styleId="SingleTxtGChar">
    <w:name w:val="_ Single Txt_G Char"/>
    <w:link w:val="SingleTxtG"/>
    <w:rsid w:val="00BD788C"/>
    <w:rPr>
      <w:lang w:val="fr-CH" w:eastAsia="en-US"/>
    </w:rPr>
  </w:style>
  <w:style w:type="character" w:styleId="Marquedecommentaire">
    <w:name w:val="annotation reference"/>
    <w:basedOn w:val="Policepardfaut"/>
    <w:semiHidden/>
    <w:unhideWhenUsed/>
    <w:rsid w:val="00F216C1"/>
    <w:rPr>
      <w:sz w:val="16"/>
      <w:szCs w:val="16"/>
    </w:rPr>
  </w:style>
  <w:style w:type="paragraph" w:styleId="Commentaire">
    <w:name w:val="annotation text"/>
    <w:basedOn w:val="Normal"/>
    <w:link w:val="CommentaireCar"/>
    <w:semiHidden/>
    <w:unhideWhenUsed/>
    <w:rsid w:val="00F216C1"/>
    <w:pPr>
      <w:spacing w:line="240" w:lineRule="auto"/>
    </w:pPr>
  </w:style>
  <w:style w:type="character" w:customStyle="1" w:styleId="CommentaireCar">
    <w:name w:val="Commentaire Car"/>
    <w:basedOn w:val="Policepardfaut"/>
    <w:link w:val="Commentaire"/>
    <w:semiHidden/>
    <w:rsid w:val="00F216C1"/>
    <w:rPr>
      <w:lang w:val="fr-CH" w:eastAsia="en-US"/>
    </w:rPr>
  </w:style>
  <w:style w:type="paragraph" w:styleId="Objetducommentaire">
    <w:name w:val="annotation subject"/>
    <w:basedOn w:val="Commentaire"/>
    <w:next w:val="Commentaire"/>
    <w:link w:val="ObjetducommentaireCar"/>
    <w:semiHidden/>
    <w:unhideWhenUsed/>
    <w:rsid w:val="00F216C1"/>
    <w:rPr>
      <w:b/>
      <w:bCs/>
    </w:rPr>
  </w:style>
  <w:style w:type="character" w:customStyle="1" w:styleId="ObjetducommentaireCar">
    <w:name w:val="Objet du commentaire Car"/>
    <w:basedOn w:val="CommentaireCar"/>
    <w:link w:val="Objetducommentaire"/>
    <w:semiHidden/>
    <w:rsid w:val="00F216C1"/>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D5C1E21948429AB629ECCCA937F9" ma:contentTypeVersion="3" ma:contentTypeDescription="Create a new document." ma:contentTypeScope="" ma:versionID="f0ca9985870a4170ca6c216331ee2f61">
  <xsd:schema xmlns:xsd="http://www.w3.org/2001/XMLSchema" xmlns:xs="http://www.w3.org/2001/XMLSchema" xmlns:p="http://schemas.microsoft.com/office/2006/metadata/properties" xmlns:ns2="0f7a7474-c06e-43b9-a364-1329da32382b" targetNamespace="http://schemas.microsoft.com/office/2006/metadata/properties" ma:root="true" ma:fieldsID="442b79e46289629ad056fe28783f5934" ns2:_="">
    <xsd:import namespace="0f7a7474-c06e-43b9-a364-1329da32382b"/>
    <xsd:element name="properties">
      <xsd:complexType>
        <xsd:sequence>
          <xsd:element name="documentManagement">
            <xsd:complexType>
              <xsd:all>
                <xsd:element ref="ns2:Ccommunication"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a7474-c06e-43b9-a364-1329da32382b" elementFormDefault="qualified">
    <xsd:import namespace="http://schemas.microsoft.com/office/2006/documentManagement/types"/>
    <xsd:import namespace="http://schemas.microsoft.com/office/infopath/2007/PartnerControls"/>
    <xsd:element name="Ccommunication" ma:index="8" nillable="true" ma:displayName="Communication" ma:description="Select the communication Nbr." ma:list="{de282d30-56cc-416e-9b40-002ff4b069eb}" ma:internalName="Ccommunication" ma:showField="Title">
      <xsd:simpleType>
        <xsd:restriction base="dms:Lookup"/>
      </xsd:simpleType>
    </xsd:element>
    <xsd:element name="Document_x0020_type" ma:index="9" nillable="true" ma:displayName="Document type" ma:format="Dropdown" ma:internalName="Document_x0020_type">
      <xsd:simpleType>
        <xsd:restriction base="dms:Choice">
          <xsd:enumeration value="Draft Recommendations"/>
          <xsd:enumeration value="Rules of Procedures"/>
          <xsd:enumeration value="Follow up 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0f7a7474-c06e-43b9-a364-1329da32382b">Draft Recommendations</Document_x0020_type>
    <Ccommunication xmlns="0f7a7474-c06e-43b9-a364-1329da32382b">2</Ccommun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E2028-9A84-44A6-AA5C-19C3F5EFA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a7474-c06e-43b9-a364-1329da32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3CA0D-F6CC-45B8-A51D-D6CD96EC26D9}">
  <ds:schemaRefs>
    <ds:schemaRef ds:uri="http://schemas.microsoft.com/sharepoint/v3/contenttype/forms"/>
  </ds:schemaRefs>
</ds:datastoreItem>
</file>

<file path=customXml/itemProps3.xml><?xml version="1.0" encoding="utf-8"?>
<ds:datastoreItem xmlns:ds="http://schemas.openxmlformats.org/officeDocument/2006/customXml" ds:itemID="{CE2149CF-89CF-4A83-B466-DC10B69C73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7a7474-c06e-43b9-a364-1329da32382b"/>
    <ds:schemaRef ds:uri="http://www.w3.org/XML/1998/namespace"/>
    <ds:schemaRef ds:uri="http://purl.org/dc/dcmitype/"/>
  </ds:schemaRefs>
</ds:datastoreItem>
</file>

<file path=customXml/itemProps4.xml><?xml version="1.0" encoding="utf-8"?>
<ds:datastoreItem xmlns:ds="http://schemas.openxmlformats.org/officeDocument/2006/customXml" ds:itemID="{8536D6E8-ECC8-4B64-9235-FFE70A48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CRC_F.dotm</Template>
  <TotalTime>1</TotalTime>
  <Pages>5</Pages>
  <Words>2361</Words>
  <Characters>13460</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E/C.12/66/DR/20/2017/Rev.1</vt:lpstr>
      <vt:lpstr>E/C.12/66/DR/20/2017/Rev.1</vt:lpstr>
    </vt:vector>
  </TitlesOfParts>
  <Company>Corine</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E/C.12/66/D/20/2017</dc:title>
  <dc:subject>Valérie BERTIN</dc:subject>
  <dc:creator>QR Code</dc:creator>
  <cp:keywords/>
  <dc:description/>
  <cp:lastModifiedBy>Valerie Bertin</cp:lastModifiedBy>
  <cp:revision>3</cp:revision>
  <cp:lastPrinted>2019-11-04T07:26:00Z</cp:lastPrinted>
  <dcterms:created xsi:type="dcterms:W3CDTF">2019-11-04T07:26:00Z</dcterms:created>
  <dcterms:modified xsi:type="dcterms:W3CDTF">2019-11-04T07:27:00Z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0x0101006B34D5C1E21948429AB629ECCCA937F9</vt:lpwstr>
  </property>
</Properties>
</file>