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B58C9" w14:paraId="4D4347D7" w14:textId="77777777">
        <w:trPr>
          <w:cantSplit/>
          <w:trHeight w:hRule="exact" w:val="851"/>
        </w:trPr>
        <w:tc>
          <w:tcPr>
            <w:tcW w:w="1276" w:type="dxa"/>
            <w:tcBorders>
              <w:bottom w:val="single" w:sz="4" w:space="0" w:color="auto"/>
            </w:tcBorders>
            <w:vAlign w:val="bottom"/>
          </w:tcPr>
          <w:p w14:paraId="1A0C336C" w14:textId="77777777" w:rsidR="0060166F" w:rsidRDefault="0060166F">
            <w:pPr>
              <w:spacing w:after="80"/>
            </w:pPr>
          </w:p>
        </w:tc>
        <w:tc>
          <w:tcPr>
            <w:tcW w:w="2268" w:type="dxa"/>
            <w:tcBorders>
              <w:bottom w:val="single" w:sz="4" w:space="0" w:color="auto"/>
            </w:tcBorders>
            <w:vAlign w:val="bottom"/>
          </w:tcPr>
          <w:p w14:paraId="611D7134" w14:textId="77777777" w:rsidR="0060166F" w:rsidRDefault="005F151C">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418CAFDB" w14:textId="292E770F" w:rsidR="0060166F" w:rsidRPr="00DC2C38" w:rsidRDefault="00DC2C38" w:rsidP="00DC2C38">
            <w:pPr>
              <w:suppressAutoHyphens w:val="0"/>
              <w:jc w:val="right"/>
            </w:pPr>
            <w:r w:rsidRPr="00DC2C38">
              <w:rPr>
                <w:sz w:val="40"/>
              </w:rPr>
              <w:t>E</w:t>
            </w:r>
            <w:r>
              <w:t>/C.12/NER/FCO/1</w:t>
            </w:r>
          </w:p>
        </w:tc>
      </w:tr>
      <w:tr w:rsidR="006B58C9" w14:paraId="586BDBD6" w14:textId="77777777">
        <w:trPr>
          <w:cantSplit/>
          <w:trHeight w:hRule="exact" w:val="2835"/>
        </w:trPr>
        <w:tc>
          <w:tcPr>
            <w:tcW w:w="1276" w:type="dxa"/>
            <w:tcBorders>
              <w:top w:val="single" w:sz="4" w:space="0" w:color="auto"/>
              <w:bottom w:val="single" w:sz="12" w:space="0" w:color="auto"/>
            </w:tcBorders>
          </w:tcPr>
          <w:p w14:paraId="2927D06F" w14:textId="77777777" w:rsidR="0060166F" w:rsidRDefault="005F151C">
            <w:pPr>
              <w:spacing w:before="120"/>
              <w:jc w:val="center"/>
            </w:pPr>
            <w:r>
              <w:rPr>
                <w:noProof/>
                <w:lang w:val="en-GB" w:eastAsia="en-GB"/>
              </w:rPr>
              <w:drawing>
                <wp:inline distT="0" distB="0" distL="0" distR="0" wp14:anchorId="434041F7" wp14:editId="132F7913">
                  <wp:extent cx="714375" cy="590550"/>
                  <wp:effectExtent l="0" t="0" r="9525" b="0"/>
                  <wp:docPr id="7192597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891703"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73F72E" w14:textId="77777777" w:rsidR="0060166F" w:rsidRDefault="005F151C">
            <w:pPr>
              <w:spacing w:before="120" w:line="420" w:lineRule="exact"/>
            </w:pPr>
            <w:r>
              <w:rPr>
                <w:b/>
                <w:sz w:val="40"/>
                <w:szCs w:val="40"/>
              </w:rPr>
              <w:t>Conseil économique et social</w:t>
            </w:r>
          </w:p>
        </w:tc>
        <w:tc>
          <w:tcPr>
            <w:tcW w:w="2835" w:type="dxa"/>
            <w:tcBorders>
              <w:top w:val="single" w:sz="4" w:space="0" w:color="auto"/>
              <w:bottom w:val="single" w:sz="12" w:space="0" w:color="auto"/>
            </w:tcBorders>
          </w:tcPr>
          <w:p w14:paraId="36DE9D24" w14:textId="77777777" w:rsidR="0060166F" w:rsidRDefault="005F151C">
            <w:pPr>
              <w:suppressAutoHyphens w:val="0"/>
              <w:spacing w:before="240" w:line="240" w:lineRule="exact"/>
            </w:pPr>
            <w:r>
              <w:t>Distr. générale</w:t>
            </w:r>
          </w:p>
          <w:p w14:paraId="153F4A9E" w14:textId="41A331C2" w:rsidR="0060166F" w:rsidRDefault="00393EC0">
            <w:pPr>
              <w:suppressAutoHyphens w:val="0"/>
            </w:pPr>
            <w:r>
              <w:t>2</w:t>
            </w:r>
            <w:r w:rsidR="00034F5A">
              <w:t xml:space="preserve"> novembre</w:t>
            </w:r>
            <w:r>
              <w:t xml:space="preserve"> 2020</w:t>
            </w:r>
          </w:p>
          <w:p w14:paraId="381E4F63" w14:textId="77777777" w:rsidR="0060166F" w:rsidRDefault="0060166F">
            <w:pPr>
              <w:suppressAutoHyphens w:val="0"/>
            </w:pPr>
          </w:p>
          <w:p w14:paraId="7DD86772" w14:textId="77777777" w:rsidR="0060166F" w:rsidRDefault="005F151C">
            <w:pPr>
              <w:suppressAutoHyphens w:val="0"/>
            </w:pPr>
            <w:r>
              <w:t>Original </w:t>
            </w:r>
            <w:r w:rsidR="00D12482">
              <w:t>:</w:t>
            </w:r>
            <w:r w:rsidR="00393EC0">
              <w:t xml:space="preserve"> français</w:t>
            </w:r>
          </w:p>
          <w:p w14:paraId="7205827D" w14:textId="77777777" w:rsidR="0060166F" w:rsidRDefault="00393EC0">
            <w:pPr>
              <w:suppressAutoHyphens w:val="0"/>
            </w:pPr>
            <w:r>
              <w:t>Anglais, espagnol et français seulement</w:t>
            </w:r>
          </w:p>
        </w:tc>
      </w:tr>
    </w:tbl>
    <w:p w14:paraId="3CDD8645" w14:textId="77777777" w:rsidR="0060166F" w:rsidRDefault="005F151C">
      <w:pPr>
        <w:spacing w:before="120"/>
        <w:rPr>
          <w:b/>
          <w:sz w:val="24"/>
          <w:szCs w:val="24"/>
        </w:rPr>
      </w:pPr>
      <w:r>
        <w:rPr>
          <w:b/>
          <w:sz w:val="24"/>
          <w:szCs w:val="24"/>
        </w:rPr>
        <w:t>Comité des droits économiques, sociaux et culturels</w:t>
      </w:r>
    </w:p>
    <w:p w14:paraId="1974E3A1" w14:textId="77777777" w:rsidR="0060166F" w:rsidRPr="0054414A" w:rsidRDefault="005F151C">
      <w:pPr>
        <w:pStyle w:val="HChG"/>
      </w:pPr>
      <w:r>
        <w:tab/>
      </w:r>
      <w:r>
        <w:tab/>
      </w:r>
      <w:r w:rsidR="009F64DA">
        <w:t>Renseignements reçus</w:t>
      </w:r>
      <w:r w:rsidR="009F64DA">
        <w:rPr>
          <w:lang w:val="fr-FR"/>
        </w:rPr>
        <w:t xml:space="preserve"> </w:t>
      </w:r>
      <w:r w:rsidR="009F64DA">
        <w:t xml:space="preserve">du Niger au sujet de la suite donnée aux observations </w:t>
      </w:r>
      <w:r>
        <w:t xml:space="preserve">finales concernant </w:t>
      </w:r>
      <w:r w:rsidR="009F64DA">
        <w:t>son rapport initial</w:t>
      </w:r>
      <w:r>
        <w:rPr>
          <w:rStyle w:val="Appelnotedebasdep"/>
          <w:b w:val="0"/>
          <w:sz w:val="20"/>
          <w:vertAlign w:val="baseline"/>
        </w:rPr>
        <w:footnoteReference w:customMarkFollows="1" w:id="2"/>
        <w:t>*</w:t>
      </w:r>
    </w:p>
    <w:p w14:paraId="344D53CE" w14:textId="77777777" w:rsidR="0060166F" w:rsidRPr="00640309" w:rsidRDefault="005F151C">
      <w:pPr>
        <w:pStyle w:val="SingleTxtG"/>
        <w:jc w:val="right"/>
      </w:pPr>
      <w:r w:rsidRPr="00640309">
        <w:t xml:space="preserve">[Date de réception : </w:t>
      </w:r>
      <w:r w:rsidR="00640309" w:rsidRPr="00640309">
        <w:t>16 octobre 2020</w:t>
      </w:r>
      <w:r w:rsidRPr="00640309">
        <w:t>]</w:t>
      </w:r>
    </w:p>
    <w:p w14:paraId="1594E825" w14:textId="77777777" w:rsidR="00F52A5D" w:rsidRPr="00856EC4" w:rsidRDefault="002C5D9D" w:rsidP="00856EC4">
      <w:pPr>
        <w:pStyle w:val="HChG"/>
        <w:tabs>
          <w:tab w:val="clear" w:pos="851"/>
        </w:tabs>
        <w:ind w:hanging="567"/>
      </w:pPr>
      <w:bookmarkStart w:id="0" w:name="_GoBack"/>
      <w:bookmarkEnd w:id="0"/>
      <w:r>
        <w:br w:type="page"/>
      </w:r>
      <w:bookmarkStart w:id="1" w:name="_Toc52788278"/>
      <w:r w:rsidR="00640309">
        <w:lastRenderedPageBreak/>
        <w:t>I.</w:t>
      </w:r>
      <w:r w:rsidR="00640309">
        <w:tab/>
      </w:r>
      <w:r w:rsidR="00640309">
        <w:tab/>
      </w:r>
      <w:r w:rsidR="00F52A5D" w:rsidRPr="00856EC4">
        <w:t>I</w:t>
      </w:r>
      <w:r w:rsidR="00640309" w:rsidRPr="00856EC4">
        <w:t>ntroduction</w:t>
      </w:r>
      <w:bookmarkEnd w:id="1"/>
    </w:p>
    <w:p w14:paraId="0C9A92E9" w14:textId="568D94B0" w:rsidR="00F52A5D" w:rsidRPr="00F52A5D" w:rsidRDefault="004C13E7" w:rsidP="004C13E7">
      <w:pPr>
        <w:pStyle w:val="SingleTxtG"/>
        <w:rPr>
          <w:lang w:val="fr-FR"/>
        </w:rPr>
      </w:pPr>
      <w:r w:rsidRPr="00F52A5D">
        <w:rPr>
          <w:lang w:val="fr-FR"/>
        </w:rPr>
        <w:t>1.</w:t>
      </w:r>
      <w:r w:rsidRPr="00F52A5D">
        <w:rPr>
          <w:lang w:val="fr-FR"/>
        </w:rPr>
        <w:tab/>
      </w:r>
      <w:r w:rsidR="00F52A5D" w:rsidRPr="00F52A5D">
        <w:rPr>
          <w:lang w:val="fr-FR"/>
        </w:rPr>
        <w:t xml:space="preserve">Du 13 au 14 mars 2018, le Niger a présenté son rapport initial sur la mise en œuvre des dispositions du </w:t>
      </w:r>
      <w:r w:rsidR="00F52A5D" w:rsidRPr="00F52A5D">
        <w:t xml:space="preserve">Pacte International relatif aux </w:t>
      </w:r>
      <w:bookmarkStart w:id="2" w:name="_Hlk39905580"/>
      <w:r w:rsidR="00F52A5D" w:rsidRPr="00F52A5D">
        <w:t>Droits Economiques, Sociaux et Culturels</w:t>
      </w:r>
      <w:r w:rsidR="00F52A5D" w:rsidRPr="00F52A5D">
        <w:rPr>
          <w:lang w:val="fr-FR"/>
        </w:rPr>
        <w:t xml:space="preserve"> </w:t>
      </w:r>
      <w:bookmarkEnd w:id="2"/>
      <w:r w:rsidR="00F52A5D" w:rsidRPr="00F52A5D">
        <w:rPr>
          <w:lang w:val="fr-FR"/>
        </w:rPr>
        <w:t xml:space="preserve">(PIDESC) à Genève devant le Comité des droits économiques, sociaux et culturels. La délégation était conduite par le Ministre de l’Emploi, du Travail et de la Protection Sociale et comprenait des techniciens de plusieurs ministères et des parlementaires. </w:t>
      </w:r>
    </w:p>
    <w:p w14:paraId="2102A25A" w14:textId="6CC1ED27" w:rsidR="00F52A5D" w:rsidRPr="00F52A5D" w:rsidRDefault="004C13E7" w:rsidP="004C13E7">
      <w:pPr>
        <w:pStyle w:val="SingleTxtG"/>
        <w:rPr>
          <w:lang w:val="fr-FR"/>
        </w:rPr>
      </w:pPr>
      <w:r w:rsidRPr="00F52A5D">
        <w:rPr>
          <w:lang w:val="fr-FR"/>
        </w:rPr>
        <w:t>2.</w:t>
      </w:r>
      <w:r w:rsidRPr="00F52A5D">
        <w:rPr>
          <w:lang w:val="fr-FR"/>
        </w:rPr>
        <w:tab/>
      </w:r>
      <w:r w:rsidR="00DD5627">
        <w:rPr>
          <w:lang w:val="fr-FR"/>
        </w:rPr>
        <w:t>À</w:t>
      </w:r>
      <w:r w:rsidR="00F52A5D" w:rsidRPr="00F52A5D">
        <w:rPr>
          <w:lang w:val="fr-FR"/>
        </w:rPr>
        <w:t xml:space="preserve"> l’issue du dialogue constructif, le Comité a adressé au Niger ses observations conclusives adoptées le 29 mars 2018 avec une liste de soixante-sept (67) recommandations et observations, parmi lesquelles il a érigé trois (3) en recommandations prioritaires devant faire l’objet d’un rapport intermédiaire avant le prochain rapport national attendu au plus tard le 31 mars 2023. </w:t>
      </w:r>
    </w:p>
    <w:p w14:paraId="7D1B28E3" w14:textId="3597C713" w:rsidR="00F52A5D" w:rsidRPr="004C13E7" w:rsidRDefault="004C13E7" w:rsidP="004C13E7">
      <w:pPr>
        <w:pStyle w:val="SingleTxtG"/>
        <w:rPr>
          <w:bCs/>
          <w:lang w:val="fr-FR"/>
        </w:rPr>
      </w:pPr>
      <w:r w:rsidRPr="004C13E7">
        <w:rPr>
          <w:bCs/>
          <w:lang w:val="fr-FR"/>
        </w:rPr>
        <w:t>3.</w:t>
      </w:r>
      <w:r w:rsidRPr="004C13E7">
        <w:rPr>
          <w:bCs/>
          <w:lang w:val="fr-FR"/>
        </w:rPr>
        <w:tab/>
      </w:r>
      <w:r w:rsidR="00F52A5D" w:rsidRPr="00F52A5D">
        <w:rPr>
          <w:lang w:val="fr-FR"/>
        </w:rPr>
        <w:t>Ainsi, le Comité demande à l’</w:t>
      </w:r>
      <w:r w:rsidR="00646915">
        <w:rPr>
          <w:lang w:val="fr-FR"/>
        </w:rPr>
        <w:t>État</w:t>
      </w:r>
      <w:r w:rsidR="00F52A5D" w:rsidRPr="00F52A5D">
        <w:rPr>
          <w:lang w:val="fr-FR"/>
        </w:rPr>
        <w:t xml:space="preserve"> du Niger de lui fournir des réponses écrites dans un délai de dix-huit (18) mois, sur les mesures qu’il aura prises pour donner suite aux recommandations énoncées aux </w:t>
      </w:r>
      <w:r w:rsidR="00F52A5D" w:rsidRPr="00953C5C">
        <w:rPr>
          <w:lang w:val="fr-FR"/>
        </w:rPr>
        <w:t>paragraphes 41, 45 et 52</w:t>
      </w:r>
      <w:r w:rsidR="00C87533">
        <w:rPr>
          <w:lang w:val="fr-FR"/>
        </w:rPr>
        <w:t> </w:t>
      </w:r>
      <w:r w:rsidR="00F52A5D" w:rsidRPr="00953C5C">
        <w:rPr>
          <w:lang w:val="fr-FR"/>
        </w:rPr>
        <w:t>c)</w:t>
      </w:r>
      <w:r w:rsidR="00F52A5D" w:rsidRPr="00F52A5D">
        <w:rPr>
          <w:b/>
          <w:lang w:val="fr-FR"/>
        </w:rPr>
        <w:t xml:space="preserve"> </w:t>
      </w:r>
      <w:r w:rsidR="00F52A5D" w:rsidRPr="00F52A5D">
        <w:rPr>
          <w:bCs/>
          <w:lang w:val="fr-FR"/>
        </w:rPr>
        <w:t>des observations conclusives.</w:t>
      </w:r>
    </w:p>
    <w:p w14:paraId="15FC96A3" w14:textId="5C53C2F5" w:rsidR="00F52A5D" w:rsidRPr="00F52A5D" w:rsidRDefault="004C13E7" w:rsidP="004C13E7">
      <w:pPr>
        <w:pStyle w:val="SingleTxtG"/>
        <w:rPr>
          <w:lang w:val="fr-FR"/>
        </w:rPr>
      </w:pPr>
      <w:r w:rsidRPr="00F52A5D">
        <w:rPr>
          <w:lang w:val="fr-FR"/>
        </w:rPr>
        <w:t>4.</w:t>
      </w:r>
      <w:r w:rsidRPr="00F52A5D">
        <w:rPr>
          <w:lang w:val="fr-FR"/>
        </w:rPr>
        <w:tab/>
      </w:r>
      <w:r w:rsidR="00F52A5D" w:rsidRPr="00F52A5D">
        <w:rPr>
          <w:lang w:val="fr-FR"/>
        </w:rPr>
        <w:t>Les trois (3) recommandations prioritaires sont relatives :</w:t>
      </w:r>
    </w:p>
    <w:p w14:paraId="162B9C98" w14:textId="6C06CF83"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À</w:t>
      </w:r>
      <w:r w:rsidR="00F52A5D" w:rsidRPr="00F52A5D">
        <w:rPr>
          <w:lang w:val="fr-FR"/>
        </w:rPr>
        <w:t xml:space="preserve"> l’inspection du travail ;</w:t>
      </w:r>
    </w:p>
    <w:p w14:paraId="22234199" w14:textId="14390F26"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Au</w:t>
      </w:r>
      <w:r w:rsidR="00F52A5D" w:rsidRPr="00F52A5D">
        <w:rPr>
          <w:lang w:val="fr-FR"/>
        </w:rPr>
        <w:t xml:space="preserve"> mariage précoce ;</w:t>
      </w:r>
    </w:p>
    <w:p w14:paraId="3D983DE9" w14:textId="2B91D22F"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Au</w:t>
      </w:r>
      <w:r w:rsidR="00F52A5D" w:rsidRPr="00F52A5D">
        <w:rPr>
          <w:lang w:val="fr-FR"/>
        </w:rPr>
        <w:t xml:space="preserve"> droit à la santé.</w:t>
      </w:r>
    </w:p>
    <w:p w14:paraId="148BD762" w14:textId="22622E2A" w:rsidR="00F52A5D" w:rsidRPr="00F52A5D" w:rsidRDefault="004C13E7" w:rsidP="004C13E7">
      <w:pPr>
        <w:pStyle w:val="SingleTxtG"/>
        <w:rPr>
          <w:lang w:val="fr-FR"/>
        </w:rPr>
      </w:pPr>
      <w:r w:rsidRPr="00F52A5D">
        <w:rPr>
          <w:lang w:val="fr-FR"/>
        </w:rPr>
        <w:t>5.</w:t>
      </w:r>
      <w:r w:rsidRPr="00F52A5D">
        <w:rPr>
          <w:lang w:val="fr-FR"/>
        </w:rPr>
        <w:tab/>
      </w:r>
      <w:r w:rsidR="00F52A5D" w:rsidRPr="00F52A5D">
        <w:rPr>
          <w:lang w:val="fr-FR"/>
        </w:rPr>
        <w:t>Le présent document élaboré par le Comité interministériel chargé de la rédaction des rapports aux organes des traités et de l’Examen Périodique Universel (EPU) constitue la réponse du Niger auxdites recommandations.</w:t>
      </w:r>
    </w:p>
    <w:p w14:paraId="53D285DE" w14:textId="02C0CEF3" w:rsidR="00F52A5D" w:rsidRPr="00F52A5D" w:rsidRDefault="00640309" w:rsidP="00856EC4">
      <w:pPr>
        <w:pStyle w:val="HChG"/>
        <w:tabs>
          <w:tab w:val="clear" w:pos="851"/>
        </w:tabs>
        <w:ind w:hanging="567"/>
        <w:rPr>
          <w:lang w:val="fr-FR"/>
        </w:rPr>
      </w:pPr>
      <w:bookmarkStart w:id="3" w:name="_Toc48228856"/>
      <w:bookmarkStart w:id="4" w:name="_Toc52788279"/>
      <w:r>
        <w:t>I</w:t>
      </w:r>
      <w:r w:rsidRPr="00640309">
        <w:t>I</w:t>
      </w:r>
      <w:r>
        <w:t>.</w:t>
      </w:r>
      <w:r w:rsidRPr="00640309">
        <w:tab/>
      </w:r>
      <w:r w:rsidR="00856EC4">
        <w:t>I</w:t>
      </w:r>
      <w:r w:rsidRPr="00640309">
        <w:t xml:space="preserve">nformations sur l’état de mise en œuvre </w:t>
      </w:r>
      <w:r w:rsidR="00AE4067">
        <w:br/>
      </w:r>
      <w:r w:rsidRPr="00640309">
        <w:t>de chaque recommandation</w:t>
      </w:r>
      <w:r w:rsidRPr="00856EC4">
        <w:t xml:space="preserve"> prioritaire</w:t>
      </w:r>
      <w:bookmarkEnd w:id="3"/>
      <w:bookmarkEnd w:id="4"/>
    </w:p>
    <w:p w14:paraId="4E66897D" w14:textId="77777777" w:rsidR="00F52A5D" w:rsidRPr="00F52A5D" w:rsidRDefault="00640309" w:rsidP="00640309">
      <w:pPr>
        <w:pStyle w:val="H1G"/>
        <w:rPr>
          <w:lang w:val="fr-FR"/>
        </w:rPr>
      </w:pPr>
      <w:bookmarkStart w:id="5" w:name="_Toc52788280"/>
      <w:r>
        <w:rPr>
          <w:lang w:val="fr-FR"/>
        </w:rPr>
        <w:tab/>
        <w:t>A.</w:t>
      </w:r>
      <w:r>
        <w:rPr>
          <w:lang w:val="fr-FR"/>
        </w:rPr>
        <w:tab/>
      </w:r>
      <w:r w:rsidR="00F52A5D" w:rsidRPr="00F52A5D">
        <w:rPr>
          <w:lang w:val="fr-FR"/>
        </w:rPr>
        <w:t>L’inspection du travail</w:t>
      </w:r>
      <w:bookmarkEnd w:id="5"/>
    </w:p>
    <w:p w14:paraId="4EB55335" w14:textId="7C66C9E8" w:rsidR="00A32D68" w:rsidRPr="004C13E7" w:rsidRDefault="00DD5627" w:rsidP="004C13E7">
      <w:pPr>
        <w:pStyle w:val="H23G"/>
      </w:pPr>
      <w:bookmarkStart w:id="6" w:name="_Toc52788281"/>
      <w:r>
        <w:tab/>
      </w:r>
      <w:r>
        <w:tab/>
      </w:r>
      <w:r w:rsidR="00A32D68" w:rsidRPr="00A32D68">
        <w:t>Réponse</w:t>
      </w:r>
      <w:r w:rsidR="00953C5C">
        <w:t xml:space="preserve"> au paragraphe 41 des o</w:t>
      </w:r>
      <w:r w:rsidR="00A32D68">
        <w:t>bservations finales (</w:t>
      </w:r>
      <w:r w:rsidR="00A32D68" w:rsidRPr="00A32D68">
        <w:t>E</w:t>
      </w:r>
      <w:r w:rsidR="00A32D68">
        <w:t>/C.12/NER/</w:t>
      </w:r>
      <w:r w:rsidR="00A32D68" w:rsidRPr="00A32D68">
        <w:t>CO/1</w:t>
      </w:r>
      <w:r w:rsidR="00A32D68">
        <w:t>)</w:t>
      </w:r>
    </w:p>
    <w:bookmarkEnd w:id="6"/>
    <w:p w14:paraId="1D45E715" w14:textId="54C4F119" w:rsidR="00F52A5D" w:rsidRPr="00F52A5D" w:rsidRDefault="004C13E7" w:rsidP="004C13E7">
      <w:pPr>
        <w:pStyle w:val="SingleTxtG"/>
        <w:rPr>
          <w:bCs/>
          <w:lang w:val="fr-FR"/>
        </w:rPr>
      </w:pPr>
      <w:r w:rsidRPr="00F52A5D">
        <w:rPr>
          <w:bCs/>
          <w:lang w:val="fr-FR"/>
        </w:rPr>
        <w:t>6.</w:t>
      </w:r>
      <w:r w:rsidRPr="00F52A5D">
        <w:rPr>
          <w:bCs/>
          <w:lang w:val="fr-FR"/>
        </w:rPr>
        <w:tab/>
      </w:r>
      <w:r w:rsidR="00F52A5D" w:rsidRPr="00F52A5D">
        <w:rPr>
          <w:bCs/>
          <w:lang w:val="fr-FR"/>
        </w:rPr>
        <w:t>Au Niger,</w:t>
      </w:r>
      <w:r w:rsidR="00F52A5D" w:rsidRPr="00F52A5D">
        <w:rPr>
          <w:lang w:val="fr-FR"/>
        </w:rPr>
        <w:t xml:space="preserve"> </w:t>
      </w:r>
      <w:r w:rsidR="00F52A5D" w:rsidRPr="00F52A5D">
        <w:rPr>
          <w:bCs/>
          <w:lang w:val="fr-FR"/>
        </w:rPr>
        <w:t>l’économie reste dominée par le secteur informel avec une part dans le PIB estimée à plus de 60</w:t>
      </w:r>
      <w:r w:rsidR="00DD5627">
        <w:rPr>
          <w:bCs/>
          <w:lang w:val="fr-FR"/>
        </w:rPr>
        <w:t> </w:t>
      </w:r>
      <w:r w:rsidR="00F52A5D" w:rsidRPr="00F52A5D">
        <w:rPr>
          <w:bCs/>
          <w:lang w:val="fr-FR"/>
        </w:rPr>
        <w:t>%. Ainsi, l’article 267 de la loi n</w:t>
      </w:r>
      <w:r w:rsidR="00DD5627" w:rsidRPr="004C13E7">
        <w:rPr>
          <w:bCs/>
          <w:vertAlign w:val="superscript"/>
          <w:lang w:val="fr-FR"/>
        </w:rPr>
        <w:t>o</w:t>
      </w:r>
      <w:r w:rsidR="00DD5627">
        <w:rPr>
          <w:bCs/>
          <w:lang w:val="fr-FR"/>
        </w:rPr>
        <w:t> </w:t>
      </w:r>
      <w:r w:rsidR="00F52A5D" w:rsidRPr="00F52A5D">
        <w:rPr>
          <w:bCs/>
          <w:lang w:val="fr-FR"/>
        </w:rPr>
        <w:t xml:space="preserve">2012-45 du 25 septembre 2012, portant Code du travail de la République du Niger </w:t>
      </w:r>
      <w:r w:rsidR="00F52A5D" w:rsidRPr="00641127">
        <w:rPr>
          <w:bCs/>
          <w:lang w:val="fr-FR"/>
        </w:rPr>
        <w:t>dispose : «</w:t>
      </w:r>
      <w:r w:rsidR="00DD5627">
        <w:rPr>
          <w:bCs/>
          <w:lang w:val="fr-FR"/>
        </w:rPr>
        <w:t> </w:t>
      </w:r>
      <w:r w:rsidR="00F52A5D" w:rsidRPr="00641127">
        <w:rPr>
          <w:bCs/>
          <w:iCs/>
          <w:lang w:val="fr-FR"/>
        </w:rPr>
        <w:t>Le contrôle de l’application de la législation et de la réglementation du travail est assuré par les inspecteurs du travail et les contrôleurs du travail. Les inspections du travail disposent en permanence des moyens en personnel et matériel qui sont nécessaires à leur fonctionnement</w:t>
      </w:r>
      <w:r w:rsidR="00F52A5D" w:rsidRPr="00641127">
        <w:rPr>
          <w:bCs/>
          <w:lang w:val="fr-FR"/>
        </w:rPr>
        <w:t> ».</w:t>
      </w:r>
      <w:r w:rsidR="00F52A5D" w:rsidRPr="00F52A5D">
        <w:rPr>
          <w:bCs/>
          <w:lang w:val="fr-FR"/>
        </w:rPr>
        <w:t xml:space="preserve"> </w:t>
      </w:r>
    </w:p>
    <w:p w14:paraId="1DBEC767" w14:textId="71FB67AB" w:rsidR="00F52A5D" w:rsidRPr="00F52A5D" w:rsidRDefault="004C13E7" w:rsidP="004C13E7">
      <w:pPr>
        <w:pStyle w:val="SingleTxtG"/>
        <w:rPr>
          <w:bCs/>
          <w:lang w:val="fr-FR"/>
        </w:rPr>
      </w:pPr>
      <w:r w:rsidRPr="00F52A5D">
        <w:rPr>
          <w:bCs/>
          <w:lang w:val="fr-FR"/>
        </w:rPr>
        <w:t>7.</w:t>
      </w:r>
      <w:r w:rsidRPr="00F52A5D">
        <w:rPr>
          <w:bCs/>
          <w:lang w:val="fr-FR"/>
        </w:rPr>
        <w:tab/>
      </w:r>
      <w:r w:rsidR="00F52A5D" w:rsidRPr="00F52A5D">
        <w:rPr>
          <w:lang w:val="fr-FR"/>
        </w:rPr>
        <w:t>Des</w:t>
      </w:r>
      <w:r w:rsidR="00F52A5D" w:rsidRPr="00F52A5D">
        <w:rPr>
          <w:bCs/>
          <w:lang w:val="fr-FR"/>
        </w:rPr>
        <w:t xml:space="preserve"> actions sont en cours pour faciliter la transition de l’économie informelle vers l’économie formelle notamment le renforcement des capacités des Inspecteurs du Travail pour leur permettre de mieux jouer leur rôle dans ce secteur. Le rapport d’activités de la Caisse Nationale de Sécurité Sociale pour l’exercice 2017, fait état d’environ 70</w:t>
      </w:r>
      <w:r w:rsidR="00DD5627">
        <w:rPr>
          <w:bCs/>
          <w:lang w:val="fr-FR"/>
        </w:rPr>
        <w:t> </w:t>
      </w:r>
      <w:r w:rsidR="00F52A5D" w:rsidRPr="00F52A5D">
        <w:rPr>
          <w:bCs/>
          <w:lang w:val="fr-FR"/>
        </w:rPr>
        <w:t xml:space="preserve">000 travailleurs du secteur informel immatriculés. </w:t>
      </w:r>
    </w:p>
    <w:p w14:paraId="3AF48BCA" w14:textId="3F77CCDF" w:rsidR="00F52A5D" w:rsidRPr="00F52A5D" w:rsidRDefault="004C13E7" w:rsidP="004C13E7">
      <w:pPr>
        <w:pStyle w:val="SingleTxtG"/>
        <w:rPr>
          <w:bCs/>
          <w:lang w:val="fr-FR"/>
        </w:rPr>
      </w:pPr>
      <w:r w:rsidRPr="00F52A5D">
        <w:rPr>
          <w:bCs/>
          <w:lang w:val="fr-FR"/>
        </w:rPr>
        <w:t>8.</w:t>
      </w:r>
      <w:r w:rsidRPr="00F52A5D">
        <w:rPr>
          <w:bCs/>
          <w:lang w:val="fr-FR"/>
        </w:rPr>
        <w:tab/>
      </w:r>
      <w:r w:rsidR="00F52A5D" w:rsidRPr="00F52A5D">
        <w:rPr>
          <w:lang w:val="fr-FR"/>
        </w:rPr>
        <w:t>Le</w:t>
      </w:r>
      <w:r w:rsidR="00F52A5D" w:rsidRPr="00F52A5D">
        <w:rPr>
          <w:bCs/>
          <w:lang w:val="fr-FR"/>
        </w:rPr>
        <w:t xml:space="preserve"> tableau ci-dessous dresse un aperçu de la création d’entreprises dans la seule ville de Niamey qui absorbe plus de 90</w:t>
      </w:r>
      <w:r w:rsidR="00683053">
        <w:rPr>
          <w:bCs/>
          <w:lang w:val="fr-FR"/>
        </w:rPr>
        <w:t> </w:t>
      </w:r>
      <w:r w:rsidR="00F52A5D" w:rsidRPr="00F52A5D">
        <w:rPr>
          <w:bCs/>
          <w:lang w:val="fr-FR"/>
        </w:rPr>
        <w:t>% des formalités réalisées par le Centre de Formalités des Entreprises.</w:t>
      </w:r>
    </w:p>
    <w:tbl>
      <w:tblPr>
        <w:tblW w:w="8505" w:type="dxa"/>
        <w:tblInd w:w="1134" w:type="dxa"/>
        <w:tblLayout w:type="fixed"/>
        <w:tblCellMar>
          <w:left w:w="0" w:type="dxa"/>
          <w:right w:w="0" w:type="dxa"/>
        </w:tblCellMar>
        <w:tblLook w:val="04A0" w:firstRow="1" w:lastRow="0" w:firstColumn="1" w:lastColumn="0" w:noHBand="0" w:noVBand="1"/>
      </w:tblPr>
      <w:tblGrid>
        <w:gridCol w:w="1135"/>
        <w:gridCol w:w="737"/>
        <w:gridCol w:w="737"/>
        <w:gridCol w:w="737"/>
        <w:gridCol w:w="737"/>
        <w:gridCol w:w="737"/>
        <w:gridCol w:w="737"/>
        <w:gridCol w:w="737"/>
        <w:gridCol w:w="737"/>
        <w:gridCol w:w="737"/>
        <w:gridCol w:w="737"/>
      </w:tblGrid>
      <w:tr w:rsidR="004C13E7" w:rsidRPr="004C13E7" w14:paraId="49F452E7" w14:textId="77777777" w:rsidTr="004C13E7">
        <w:trPr>
          <w:tblHeader/>
        </w:trPr>
        <w:tc>
          <w:tcPr>
            <w:tcW w:w="1134" w:type="dxa"/>
            <w:tcBorders>
              <w:top w:val="single" w:sz="4" w:space="0" w:color="auto"/>
              <w:bottom w:val="single" w:sz="12" w:space="0" w:color="auto"/>
            </w:tcBorders>
            <w:shd w:val="clear" w:color="auto" w:fill="auto"/>
            <w:noWrap/>
            <w:vAlign w:val="bottom"/>
            <w:hideMark/>
          </w:tcPr>
          <w:p w14:paraId="52A3A843" w14:textId="1279E983" w:rsidR="00F52A5D" w:rsidRPr="004C13E7" w:rsidRDefault="00F52A5D" w:rsidP="004C13E7">
            <w:pPr>
              <w:pStyle w:val="SingleTxtG"/>
              <w:suppressAutoHyphens w:val="0"/>
              <w:spacing w:before="80" w:after="80" w:line="200" w:lineRule="exact"/>
              <w:ind w:left="0" w:right="0"/>
              <w:jc w:val="left"/>
              <w:rPr>
                <w:i/>
                <w:sz w:val="16"/>
                <w:lang w:val="fr-FR"/>
              </w:rPr>
            </w:pPr>
            <w:r w:rsidRPr="004C13E7">
              <w:rPr>
                <w:i/>
                <w:sz w:val="16"/>
                <w:lang w:val="fr-FR"/>
              </w:rPr>
              <w:t>Type d</w:t>
            </w:r>
            <w:r w:rsidR="006C3BD2" w:rsidRPr="004C13E7">
              <w:rPr>
                <w:i/>
                <w:sz w:val="16"/>
                <w:lang w:val="fr-FR"/>
              </w:rPr>
              <w:t>’</w:t>
            </w:r>
            <w:r w:rsidRPr="004C13E7">
              <w:rPr>
                <w:i/>
                <w:sz w:val="16"/>
                <w:lang w:val="fr-FR"/>
              </w:rPr>
              <w:t>entreprises</w:t>
            </w:r>
          </w:p>
        </w:tc>
        <w:tc>
          <w:tcPr>
            <w:tcW w:w="737" w:type="dxa"/>
            <w:tcBorders>
              <w:top w:val="single" w:sz="4" w:space="0" w:color="auto"/>
              <w:bottom w:val="single" w:sz="12" w:space="0" w:color="auto"/>
            </w:tcBorders>
            <w:shd w:val="clear" w:color="auto" w:fill="auto"/>
            <w:noWrap/>
            <w:vAlign w:val="bottom"/>
            <w:hideMark/>
          </w:tcPr>
          <w:p w14:paraId="6B7AF10C"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1T2018</w:t>
            </w:r>
          </w:p>
        </w:tc>
        <w:tc>
          <w:tcPr>
            <w:tcW w:w="737" w:type="dxa"/>
            <w:tcBorders>
              <w:top w:val="single" w:sz="4" w:space="0" w:color="auto"/>
              <w:bottom w:val="single" w:sz="12" w:space="0" w:color="auto"/>
            </w:tcBorders>
            <w:shd w:val="clear" w:color="auto" w:fill="auto"/>
            <w:noWrap/>
            <w:vAlign w:val="bottom"/>
            <w:hideMark/>
          </w:tcPr>
          <w:p w14:paraId="667E49F9"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2T2018</w:t>
            </w:r>
          </w:p>
        </w:tc>
        <w:tc>
          <w:tcPr>
            <w:tcW w:w="737" w:type="dxa"/>
            <w:tcBorders>
              <w:top w:val="single" w:sz="4" w:space="0" w:color="auto"/>
              <w:bottom w:val="single" w:sz="12" w:space="0" w:color="auto"/>
            </w:tcBorders>
            <w:shd w:val="clear" w:color="auto" w:fill="auto"/>
            <w:noWrap/>
            <w:vAlign w:val="bottom"/>
            <w:hideMark/>
          </w:tcPr>
          <w:p w14:paraId="15E8D5F6"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 xml:space="preserve">3T2018 </w:t>
            </w:r>
          </w:p>
        </w:tc>
        <w:tc>
          <w:tcPr>
            <w:tcW w:w="737" w:type="dxa"/>
            <w:tcBorders>
              <w:top w:val="single" w:sz="4" w:space="0" w:color="auto"/>
              <w:bottom w:val="single" w:sz="12" w:space="0" w:color="auto"/>
            </w:tcBorders>
            <w:shd w:val="clear" w:color="auto" w:fill="auto"/>
            <w:noWrap/>
            <w:vAlign w:val="bottom"/>
            <w:hideMark/>
          </w:tcPr>
          <w:p w14:paraId="2065058D"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4T2018</w:t>
            </w:r>
          </w:p>
        </w:tc>
        <w:tc>
          <w:tcPr>
            <w:tcW w:w="737" w:type="dxa"/>
            <w:tcBorders>
              <w:top w:val="single" w:sz="4" w:space="0" w:color="auto"/>
              <w:bottom w:val="single" w:sz="12" w:space="0" w:color="auto"/>
            </w:tcBorders>
            <w:shd w:val="clear" w:color="auto" w:fill="auto"/>
            <w:noWrap/>
            <w:vAlign w:val="bottom"/>
            <w:hideMark/>
          </w:tcPr>
          <w:p w14:paraId="5E92BB20"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1T2019</w:t>
            </w:r>
          </w:p>
        </w:tc>
        <w:tc>
          <w:tcPr>
            <w:tcW w:w="737" w:type="dxa"/>
            <w:tcBorders>
              <w:top w:val="single" w:sz="4" w:space="0" w:color="auto"/>
              <w:bottom w:val="single" w:sz="12" w:space="0" w:color="auto"/>
            </w:tcBorders>
            <w:shd w:val="clear" w:color="auto" w:fill="auto"/>
            <w:noWrap/>
            <w:vAlign w:val="bottom"/>
            <w:hideMark/>
          </w:tcPr>
          <w:p w14:paraId="3E21B0B6"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2T2019</w:t>
            </w:r>
          </w:p>
        </w:tc>
        <w:tc>
          <w:tcPr>
            <w:tcW w:w="737" w:type="dxa"/>
            <w:tcBorders>
              <w:top w:val="single" w:sz="4" w:space="0" w:color="auto"/>
              <w:bottom w:val="single" w:sz="12" w:space="0" w:color="auto"/>
            </w:tcBorders>
            <w:shd w:val="clear" w:color="auto" w:fill="auto"/>
            <w:noWrap/>
            <w:vAlign w:val="bottom"/>
            <w:hideMark/>
          </w:tcPr>
          <w:p w14:paraId="2D851A26"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3T2019</w:t>
            </w:r>
          </w:p>
        </w:tc>
        <w:tc>
          <w:tcPr>
            <w:tcW w:w="737" w:type="dxa"/>
            <w:tcBorders>
              <w:top w:val="single" w:sz="4" w:space="0" w:color="auto"/>
              <w:bottom w:val="single" w:sz="12" w:space="0" w:color="auto"/>
            </w:tcBorders>
            <w:shd w:val="clear" w:color="auto" w:fill="auto"/>
            <w:noWrap/>
            <w:vAlign w:val="bottom"/>
            <w:hideMark/>
          </w:tcPr>
          <w:p w14:paraId="6648EA16"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4T2019</w:t>
            </w:r>
          </w:p>
        </w:tc>
        <w:tc>
          <w:tcPr>
            <w:tcW w:w="737" w:type="dxa"/>
            <w:tcBorders>
              <w:top w:val="single" w:sz="4" w:space="0" w:color="auto"/>
              <w:bottom w:val="single" w:sz="12" w:space="0" w:color="auto"/>
            </w:tcBorders>
            <w:shd w:val="clear" w:color="auto" w:fill="auto"/>
            <w:noWrap/>
            <w:vAlign w:val="bottom"/>
            <w:hideMark/>
          </w:tcPr>
          <w:p w14:paraId="1649365F"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1T2020</w:t>
            </w:r>
          </w:p>
        </w:tc>
        <w:tc>
          <w:tcPr>
            <w:tcW w:w="737" w:type="dxa"/>
            <w:tcBorders>
              <w:top w:val="single" w:sz="4" w:space="0" w:color="auto"/>
              <w:bottom w:val="single" w:sz="12" w:space="0" w:color="auto"/>
            </w:tcBorders>
            <w:shd w:val="clear" w:color="auto" w:fill="auto"/>
            <w:noWrap/>
            <w:vAlign w:val="bottom"/>
            <w:hideMark/>
          </w:tcPr>
          <w:p w14:paraId="11B78EF7" w14:textId="77777777" w:rsidR="00F52A5D" w:rsidRPr="004C13E7" w:rsidRDefault="00F52A5D" w:rsidP="004C13E7">
            <w:pPr>
              <w:pStyle w:val="SingleTxtG"/>
              <w:suppressAutoHyphens w:val="0"/>
              <w:spacing w:before="80" w:after="80" w:line="200" w:lineRule="exact"/>
              <w:ind w:left="0" w:right="0"/>
              <w:jc w:val="right"/>
              <w:rPr>
                <w:bCs/>
                <w:i/>
                <w:sz w:val="16"/>
                <w:lang w:val="fr-FR"/>
              </w:rPr>
            </w:pPr>
            <w:r w:rsidRPr="004C13E7">
              <w:rPr>
                <w:bCs/>
                <w:i/>
                <w:sz w:val="16"/>
                <w:lang w:val="fr-FR"/>
              </w:rPr>
              <w:t>2T2020</w:t>
            </w:r>
          </w:p>
        </w:tc>
      </w:tr>
      <w:tr w:rsidR="00DD5627" w:rsidRPr="004C13E7" w14:paraId="56A47764" w14:textId="77777777" w:rsidTr="004C13E7">
        <w:tc>
          <w:tcPr>
            <w:tcW w:w="1134" w:type="dxa"/>
            <w:tcBorders>
              <w:top w:val="single" w:sz="12" w:space="0" w:color="auto"/>
            </w:tcBorders>
            <w:shd w:val="clear" w:color="auto" w:fill="auto"/>
            <w:noWrap/>
            <w:hideMark/>
          </w:tcPr>
          <w:p w14:paraId="3D1D3219" w14:textId="77777777" w:rsidR="00F52A5D" w:rsidRPr="004C13E7" w:rsidRDefault="00F52A5D" w:rsidP="004C13E7">
            <w:pPr>
              <w:pStyle w:val="SingleTxtG"/>
              <w:suppressAutoHyphens w:val="0"/>
              <w:spacing w:before="40" w:after="40" w:line="220" w:lineRule="exact"/>
              <w:ind w:left="0" w:right="0"/>
              <w:jc w:val="left"/>
              <w:rPr>
                <w:sz w:val="18"/>
                <w:lang w:val="fr-FR"/>
              </w:rPr>
            </w:pPr>
            <w:r w:rsidRPr="004C13E7">
              <w:rPr>
                <w:sz w:val="18"/>
                <w:lang w:val="fr-FR"/>
              </w:rPr>
              <w:t>Entreprises individuelles</w:t>
            </w:r>
          </w:p>
        </w:tc>
        <w:tc>
          <w:tcPr>
            <w:tcW w:w="737" w:type="dxa"/>
            <w:tcBorders>
              <w:top w:val="single" w:sz="12" w:space="0" w:color="auto"/>
            </w:tcBorders>
            <w:shd w:val="clear" w:color="auto" w:fill="auto"/>
            <w:noWrap/>
            <w:vAlign w:val="bottom"/>
            <w:hideMark/>
          </w:tcPr>
          <w:p w14:paraId="2417BC2E" w14:textId="69FFFDA9"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1 145</w:t>
            </w:r>
            <w:r w:rsidR="00640309" w:rsidRPr="004C13E7">
              <w:rPr>
                <w:sz w:val="18"/>
                <w:lang w:val="fr-FR"/>
              </w:rPr>
              <w:t xml:space="preserve"> </w:t>
            </w:r>
          </w:p>
        </w:tc>
        <w:tc>
          <w:tcPr>
            <w:tcW w:w="737" w:type="dxa"/>
            <w:tcBorders>
              <w:top w:val="single" w:sz="12" w:space="0" w:color="auto"/>
            </w:tcBorders>
            <w:shd w:val="clear" w:color="auto" w:fill="auto"/>
            <w:noWrap/>
            <w:vAlign w:val="bottom"/>
            <w:hideMark/>
          </w:tcPr>
          <w:p w14:paraId="3D9AF50C"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736</w:t>
            </w:r>
            <w:r w:rsidR="00640309" w:rsidRPr="004C13E7">
              <w:rPr>
                <w:sz w:val="18"/>
                <w:lang w:val="fr-FR"/>
              </w:rPr>
              <w:t xml:space="preserve"> </w:t>
            </w:r>
          </w:p>
        </w:tc>
        <w:tc>
          <w:tcPr>
            <w:tcW w:w="737" w:type="dxa"/>
            <w:tcBorders>
              <w:top w:val="single" w:sz="12" w:space="0" w:color="auto"/>
            </w:tcBorders>
            <w:shd w:val="clear" w:color="auto" w:fill="auto"/>
            <w:noWrap/>
            <w:vAlign w:val="bottom"/>
            <w:hideMark/>
          </w:tcPr>
          <w:p w14:paraId="7CB79A02" w14:textId="1CB329A4"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957</w:t>
            </w:r>
            <w:r w:rsidR="00640309" w:rsidRPr="004C13E7">
              <w:rPr>
                <w:sz w:val="18"/>
                <w:lang w:val="fr-FR"/>
              </w:rPr>
              <w:t xml:space="preserve"> </w:t>
            </w:r>
          </w:p>
        </w:tc>
        <w:tc>
          <w:tcPr>
            <w:tcW w:w="737" w:type="dxa"/>
            <w:tcBorders>
              <w:top w:val="single" w:sz="12" w:space="0" w:color="auto"/>
            </w:tcBorders>
            <w:shd w:val="clear" w:color="auto" w:fill="auto"/>
            <w:noWrap/>
            <w:vAlign w:val="bottom"/>
            <w:hideMark/>
          </w:tcPr>
          <w:p w14:paraId="2A9C37F6"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1 370</w:t>
            </w:r>
            <w:r w:rsidR="00640309" w:rsidRPr="004C13E7">
              <w:rPr>
                <w:sz w:val="18"/>
                <w:lang w:val="fr-FR"/>
              </w:rPr>
              <w:t xml:space="preserve"> </w:t>
            </w:r>
          </w:p>
        </w:tc>
        <w:tc>
          <w:tcPr>
            <w:tcW w:w="737" w:type="dxa"/>
            <w:tcBorders>
              <w:top w:val="single" w:sz="12" w:space="0" w:color="auto"/>
            </w:tcBorders>
            <w:shd w:val="clear" w:color="auto" w:fill="auto"/>
            <w:noWrap/>
            <w:vAlign w:val="bottom"/>
            <w:hideMark/>
          </w:tcPr>
          <w:p w14:paraId="461BAE4F"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1 137</w:t>
            </w:r>
            <w:r w:rsidR="00640309" w:rsidRPr="004C13E7">
              <w:rPr>
                <w:sz w:val="18"/>
                <w:lang w:val="fr-FR"/>
              </w:rPr>
              <w:t xml:space="preserve"> </w:t>
            </w:r>
          </w:p>
        </w:tc>
        <w:tc>
          <w:tcPr>
            <w:tcW w:w="737" w:type="dxa"/>
            <w:tcBorders>
              <w:top w:val="single" w:sz="12" w:space="0" w:color="auto"/>
            </w:tcBorders>
            <w:shd w:val="clear" w:color="auto" w:fill="auto"/>
            <w:noWrap/>
            <w:vAlign w:val="bottom"/>
            <w:hideMark/>
          </w:tcPr>
          <w:p w14:paraId="2EFAF3A7" w14:textId="20514BFA"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976</w:t>
            </w:r>
            <w:r w:rsidR="00640309" w:rsidRPr="004C13E7">
              <w:rPr>
                <w:sz w:val="18"/>
                <w:lang w:val="fr-FR"/>
              </w:rPr>
              <w:t xml:space="preserve"> </w:t>
            </w:r>
          </w:p>
        </w:tc>
        <w:tc>
          <w:tcPr>
            <w:tcW w:w="737" w:type="dxa"/>
            <w:tcBorders>
              <w:top w:val="single" w:sz="12" w:space="0" w:color="auto"/>
            </w:tcBorders>
            <w:shd w:val="clear" w:color="auto" w:fill="auto"/>
            <w:noWrap/>
            <w:vAlign w:val="bottom"/>
            <w:hideMark/>
          </w:tcPr>
          <w:p w14:paraId="6C62172C" w14:textId="69DC6FAA"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957</w:t>
            </w:r>
            <w:r w:rsidR="00640309" w:rsidRPr="004C13E7">
              <w:rPr>
                <w:sz w:val="18"/>
                <w:lang w:val="fr-FR"/>
              </w:rPr>
              <w:t xml:space="preserve"> </w:t>
            </w:r>
          </w:p>
        </w:tc>
        <w:tc>
          <w:tcPr>
            <w:tcW w:w="737" w:type="dxa"/>
            <w:tcBorders>
              <w:top w:val="single" w:sz="12" w:space="0" w:color="auto"/>
            </w:tcBorders>
            <w:shd w:val="clear" w:color="auto" w:fill="auto"/>
            <w:noWrap/>
            <w:vAlign w:val="bottom"/>
            <w:hideMark/>
          </w:tcPr>
          <w:p w14:paraId="0A1FD418" w14:textId="48B4AF4A"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1 076</w:t>
            </w:r>
            <w:r w:rsidR="00640309" w:rsidRPr="004C13E7">
              <w:rPr>
                <w:sz w:val="18"/>
                <w:lang w:val="fr-FR"/>
              </w:rPr>
              <w:t xml:space="preserve"> </w:t>
            </w:r>
          </w:p>
        </w:tc>
        <w:tc>
          <w:tcPr>
            <w:tcW w:w="737" w:type="dxa"/>
            <w:tcBorders>
              <w:top w:val="single" w:sz="12" w:space="0" w:color="auto"/>
            </w:tcBorders>
            <w:shd w:val="clear" w:color="auto" w:fill="auto"/>
            <w:noWrap/>
            <w:vAlign w:val="bottom"/>
            <w:hideMark/>
          </w:tcPr>
          <w:p w14:paraId="02185FC9"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1 323</w:t>
            </w:r>
            <w:r w:rsidR="00640309" w:rsidRPr="004C13E7">
              <w:rPr>
                <w:sz w:val="18"/>
                <w:lang w:val="fr-FR"/>
              </w:rPr>
              <w:t xml:space="preserve"> </w:t>
            </w:r>
          </w:p>
        </w:tc>
        <w:tc>
          <w:tcPr>
            <w:tcW w:w="737" w:type="dxa"/>
            <w:tcBorders>
              <w:top w:val="single" w:sz="12" w:space="0" w:color="auto"/>
            </w:tcBorders>
            <w:shd w:val="clear" w:color="auto" w:fill="auto"/>
            <w:noWrap/>
            <w:vAlign w:val="bottom"/>
            <w:hideMark/>
          </w:tcPr>
          <w:p w14:paraId="7C1F44EF"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905</w:t>
            </w:r>
            <w:r w:rsidR="00640309" w:rsidRPr="004C13E7">
              <w:rPr>
                <w:sz w:val="18"/>
                <w:lang w:val="fr-FR"/>
              </w:rPr>
              <w:t xml:space="preserve"> </w:t>
            </w:r>
          </w:p>
        </w:tc>
      </w:tr>
      <w:tr w:rsidR="00DD5627" w:rsidRPr="004C13E7" w14:paraId="49DAA57A" w14:textId="77777777" w:rsidTr="004C13E7">
        <w:tc>
          <w:tcPr>
            <w:tcW w:w="1134" w:type="dxa"/>
            <w:tcBorders>
              <w:bottom w:val="single" w:sz="4" w:space="0" w:color="auto"/>
            </w:tcBorders>
            <w:shd w:val="clear" w:color="auto" w:fill="auto"/>
            <w:noWrap/>
            <w:hideMark/>
          </w:tcPr>
          <w:p w14:paraId="7E851DC0" w14:textId="77777777" w:rsidR="00F52A5D" w:rsidRPr="004C13E7" w:rsidRDefault="00F52A5D" w:rsidP="004C13E7">
            <w:pPr>
              <w:pStyle w:val="SingleTxtG"/>
              <w:suppressAutoHyphens w:val="0"/>
              <w:spacing w:before="40" w:after="40" w:line="220" w:lineRule="exact"/>
              <w:ind w:left="0" w:right="0"/>
              <w:jc w:val="left"/>
              <w:rPr>
                <w:sz w:val="18"/>
                <w:lang w:val="fr-FR"/>
              </w:rPr>
            </w:pPr>
            <w:r w:rsidRPr="004C13E7">
              <w:rPr>
                <w:sz w:val="18"/>
                <w:lang w:val="fr-FR"/>
              </w:rPr>
              <w:t>Sociétés</w:t>
            </w:r>
          </w:p>
        </w:tc>
        <w:tc>
          <w:tcPr>
            <w:tcW w:w="737" w:type="dxa"/>
            <w:tcBorders>
              <w:bottom w:val="single" w:sz="4" w:space="0" w:color="auto"/>
            </w:tcBorders>
            <w:shd w:val="clear" w:color="auto" w:fill="auto"/>
            <w:noWrap/>
            <w:vAlign w:val="bottom"/>
            <w:hideMark/>
          </w:tcPr>
          <w:p w14:paraId="53D35A91"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291</w:t>
            </w:r>
            <w:r w:rsidR="00640309" w:rsidRPr="004C13E7">
              <w:rPr>
                <w:sz w:val="18"/>
                <w:lang w:val="fr-FR"/>
              </w:rPr>
              <w:t xml:space="preserve"> </w:t>
            </w:r>
          </w:p>
        </w:tc>
        <w:tc>
          <w:tcPr>
            <w:tcW w:w="737" w:type="dxa"/>
            <w:tcBorders>
              <w:bottom w:val="single" w:sz="4" w:space="0" w:color="auto"/>
            </w:tcBorders>
            <w:shd w:val="clear" w:color="auto" w:fill="auto"/>
            <w:noWrap/>
            <w:vAlign w:val="bottom"/>
            <w:hideMark/>
          </w:tcPr>
          <w:p w14:paraId="6E46446A" w14:textId="56B57E40"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236</w:t>
            </w:r>
            <w:r w:rsidR="00640309" w:rsidRPr="004C13E7">
              <w:rPr>
                <w:sz w:val="18"/>
                <w:lang w:val="fr-FR"/>
              </w:rPr>
              <w:t xml:space="preserve"> </w:t>
            </w:r>
          </w:p>
        </w:tc>
        <w:tc>
          <w:tcPr>
            <w:tcW w:w="737" w:type="dxa"/>
            <w:tcBorders>
              <w:bottom w:val="single" w:sz="4" w:space="0" w:color="auto"/>
            </w:tcBorders>
            <w:shd w:val="clear" w:color="auto" w:fill="auto"/>
            <w:noWrap/>
            <w:vAlign w:val="bottom"/>
            <w:hideMark/>
          </w:tcPr>
          <w:p w14:paraId="18BB8B40" w14:textId="0BB94B53"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240</w:t>
            </w:r>
            <w:r w:rsidR="00640309" w:rsidRPr="004C13E7">
              <w:rPr>
                <w:sz w:val="18"/>
                <w:lang w:val="fr-FR"/>
              </w:rPr>
              <w:t xml:space="preserve"> </w:t>
            </w:r>
          </w:p>
        </w:tc>
        <w:tc>
          <w:tcPr>
            <w:tcW w:w="737" w:type="dxa"/>
            <w:tcBorders>
              <w:bottom w:val="single" w:sz="4" w:space="0" w:color="auto"/>
            </w:tcBorders>
            <w:shd w:val="clear" w:color="auto" w:fill="auto"/>
            <w:noWrap/>
            <w:vAlign w:val="bottom"/>
            <w:hideMark/>
          </w:tcPr>
          <w:p w14:paraId="6DD9C9B9" w14:textId="116AF4F8"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351</w:t>
            </w:r>
            <w:r w:rsidR="00640309" w:rsidRPr="004C13E7">
              <w:rPr>
                <w:sz w:val="18"/>
                <w:lang w:val="fr-FR"/>
              </w:rPr>
              <w:t xml:space="preserve"> </w:t>
            </w:r>
          </w:p>
        </w:tc>
        <w:tc>
          <w:tcPr>
            <w:tcW w:w="737" w:type="dxa"/>
            <w:tcBorders>
              <w:bottom w:val="single" w:sz="4" w:space="0" w:color="auto"/>
            </w:tcBorders>
            <w:shd w:val="clear" w:color="auto" w:fill="auto"/>
            <w:noWrap/>
            <w:vAlign w:val="bottom"/>
            <w:hideMark/>
          </w:tcPr>
          <w:p w14:paraId="571CB63E"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340</w:t>
            </w:r>
            <w:r w:rsidR="00640309" w:rsidRPr="004C13E7">
              <w:rPr>
                <w:sz w:val="18"/>
                <w:lang w:val="fr-FR"/>
              </w:rPr>
              <w:t xml:space="preserve"> </w:t>
            </w:r>
          </w:p>
        </w:tc>
        <w:tc>
          <w:tcPr>
            <w:tcW w:w="737" w:type="dxa"/>
            <w:tcBorders>
              <w:bottom w:val="single" w:sz="4" w:space="0" w:color="auto"/>
            </w:tcBorders>
            <w:shd w:val="clear" w:color="auto" w:fill="auto"/>
            <w:noWrap/>
            <w:vAlign w:val="bottom"/>
            <w:hideMark/>
          </w:tcPr>
          <w:p w14:paraId="03884211" w14:textId="5E8B5C1C"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201</w:t>
            </w:r>
            <w:r w:rsidR="00640309" w:rsidRPr="004C13E7">
              <w:rPr>
                <w:sz w:val="18"/>
                <w:lang w:val="fr-FR"/>
              </w:rPr>
              <w:t xml:space="preserve"> </w:t>
            </w:r>
          </w:p>
        </w:tc>
        <w:tc>
          <w:tcPr>
            <w:tcW w:w="737" w:type="dxa"/>
            <w:tcBorders>
              <w:bottom w:val="single" w:sz="4" w:space="0" w:color="auto"/>
            </w:tcBorders>
            <w:shd w:val="clear" w:color="auto" w:fill="auto"/>
            <w:noWrap/>
            <w:vAlign w:val="bottom"/>
            <w:hideMark/>
          </w:tcPr>
          <w:p w14:paraId="1D5B3BFA" w14:textId="2359776A"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260</w:t>
            </w:r>
            <w:r w:rsidR="00640309" w:rsidRPr="004C13E7">
              <w:rPr>
                <w:sz w:val="18"/>
                <w:lang w:val="fr-FR"/>
              </w:rPr>
              <w:t xml:space="preserve"> </w:t>
            </w:r>
          </w:p>
        </w:tc>
        <w:tc>
          <w:tcPr>
            <w:tcW w:w="737" w:type="dxa"/>
            <w:tcBorders>
              <w:bottom w:val="single" w:sz="4" w:space="0" w:color="auto"/>
            </w:tcBorders>
            <w:shd w:val="clear" w:color="auto" w:fill="auto"/>
            <w:noWrap/>
            <w:vAlign w:val="bottom"/>
            <w:hideMark/>
          </w:tcPr>
          <w:p w14:paraId="5018A954"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98</w:t>
            </w:r>
            <w:r w:rsidR="00640309" w:rsidRPr="004C13E7">
              <w:rPr>
                <w:sz w:val="18"/>
                <w:lang w:val="fr-FR"/>
              </w:rPr>
              <w:t xml:space="preserve"> </w:t>
            </w:r>
          </w:p>
        </w:tc>
        <w:tc>
          <w:tcPr>
            <w:tcW w:w="737" w:type="dxa"/>
            <w:tcBorders>
              <w:bottom w:val="single" w:sz="4" w:space="0" w:color="auto"/>
            </w:tcBorders>
            <w:shd w:val="clear" w:color="auto" w:fill="auto"/>
            <w:noWrap/>
            <w:vAlign w:val="bottom"/>
            <w:hideMark/>
          </w:tcPr>
          <w:p w14:paraId="5D24EE9B"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349</w:t>
            </w:r>
            <w:r w:rsidR="00640309" w:rsidRPr="004C13E7">
              <w:rPr>
                <w:sz w:val="18"/>
                <w:lang w:val="fr-FR"/>
              </w:rPr>
              <w:t xml:space="preserve"> </w:t>
            </w:r>
          </w:p>
        </w:tc>
        <w:tc>
          <w:tcPr>
            <w:tcW w:w="737" w:type="dxa"/>
            <w:tcBorders>
              <w:bottom w:val="single" w:sz="4" w:space="0" w:color="auto"/>
            </w:tcBorders>
            <w:shd w:val="clear" w:color="auto" w:fill="auto"/>
            <w:noWrap/>
            <w:vAlign w:val="bottom"/>
            <w:hideMark/>
          </w:tcPr>
          <w:p w14:paraId="6CE28A25" w14:textId="77777777" w:rsidR="00F52A5D" w:rsidRPr="004C13E7" w:rsidRDefault="00F52A5D" w:rsidP="004C13E7">
            <w:pPr>
              <w:pStyle w:val="SingleTxtG"/>
              <w:suppressAutoHyphens w:val="0"/>
              <w:spacing w:before="40" w:after="40" w:line="220" w:lineRule="exact"/>
              <w:ind w:left="0" w:right="0"/>
              <w:jc w:val="right"/>
              <w:rPr>
                <w:sz w:val="18"/>
                <w:lang w:val="fr-FR"/>
              </w:rPr>
            </w:pPr>
            <w:r w:rsidRPr="004C13E7">
              <w:rPr>
                <w:sz w:val="18"/>
                <w:lang w:val="fr-FR"/>
              </w:rPr>
              <w:t>223</w:t>
            </w:r>
            <w:r w:rsidR="00640309" w:rsidRPr="004C13E7">
              <w:rPr>
                <w:sz w:val="18"/>
                <w:lang w:val="fr-FR"/>
              </w:rPr>
              <w:t xml:space="preserve"> </w:t>
            </w:r>
          </w:p>
        </w:tc>
      </w:tr>
      <w:tr w:rsidR="004C13E7" w:rsidRPr="004C13E7" w14:paraId="3F53FEF9" w14:textId="77777777" w:rsidTr="004C13E7">
        <w:tc>
          <w:tcPr>
            <w:tcW w:w="1134" w:type="dxa"/>
            <w:tcBorders>
              <w:top w:val="single" w:sz="4" w:space="0" w:color="auto"/>
              <w:bottom w:val="single" w:sz="12" w:space="0" w:color="auto"/>
            </w:tcBorders>
            <w:shd w:val="clear" w:color="auto" w:fill="auto"/>
            <w:noWrap/>
            <w:hideMark/>
          </w:tcPr>
          <w:p w14:paraId="640B12DC" w14:textId="77777777" w:rsidR="00F52A5D" w:rsidRPr="004C13E7" w:rsidRDefault="00F52A5D" w:rsidP="004C13E7">
            <w:pPr>
              <w:pStyle w:val="SingleTxtG"/>
              <w:suppressAutoHyphens w:val="0"/>
              <w:spacing w:before="80" w:after="80" w:line="220" w:lineRule="exact"/>
              <w:ind w:left="283" w:right="0"/>
              <w:jc w:val="left"/>
              <w:rPr>
                <w:b/>
                <w:sz w:val="18"/>
                <w:lang w:val="fr-FR"/>
              </w:rPr>
            </w:pPr>
            <w:r w:rsidRPr="004C13E7">
              <w:rPr>
                <w:b/>
                <w:sz w:val="18"/>
                <w:lang w:val="fr-FR"/>
              </w:rPr>
              <w:t>Total</w:t>
            </w:r>
          </w:p>
        </w:tc>
        <w:tc>
          <w:tcPr>
            <w:tcW w:w="737" w:type="dxa"/>
            <w:tcBorders>
              <w:top w:val="single" w:sz="4" w:space="0" w:color="auto"/>
              <w:bottom w:val="single" w:sz="12" w:space="0" w:color="auto"/>
            </w:tcBorders>
            <w:shd w:val="clear" w:color="auto" w:fill="auto"/>
            <w:noWrap/>
            <w:vAlign w:val="bottom"/>
            <w:hideMark/>
          </w:tcPr>
          <w:p w14:paraId="17DF5E16" w14:textId="77777777"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1 436</w:t>
            </w:r>
            <w:r w:rsidR="00640309" w:rsidRPr="004C13E7">
              <w:rPr>
                <w:b/>
                <w:sz w:val="18"/>
                <w:lang w:val="fr-FR"/>
              </w:rPr>
              <w:t xml:space="preserve"> </w:t>
            </w:r>
          </w:p>
        </w:tc>
        <w:tc>
          <w:tcPr>
            <w:tcW w:w="737" w:type="dxa"/>
            <w:tcBorders>
              <w:top w:val="single" w:sz="4" w:space="0" w:color="auto"/>
              <w:bottom w:val="single" w:sz="12" w:space="0" w:color="auto"/>
            </w:tcBorders>
            <w:shd w:val="clear" w:color="auto" w:fill="auto"/>
            <w:noWrap/>
            <w:vAlign w:val="bottom"/>
            <w:hideMark/>
          </w:tcPr>
          <w:p w14:paraId="6F293580" w14:textId="3A46DDCC"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972</w:t>
            </w:r>
            <w:r w:rsidR="00640309" w:rsidRPr="004C13E7">
              <w:rPr>
                <w:b/>
                <w:sz w:val="18"/>
                <w:lang w:val="fr-FR"/>
              </w:rPr>
              <w:t xml:space="preserve"> </w:t>
            </w:r>
          </w:p>
        </w:tc>
        <w:tc>
          <w:tcPr>
            <w:tcW w:w="737" w:type="dxa"/>
            <w:tcBorders>
              <w:top w:val="single" w:sz="4" w:space="0" w:color="auto"/>
              <w:bottom w:val="single" w:sz="12" w:space="0" w:color="auto"/>
            </w:tcBorders>
            <w:shd w:val="clear" w:color="auto" w:fill="auto"/>
            <w:noWrap/>
            <w:vAlign w:val="bottom"/>
            <w:hideMark/>
          </w:tcPr>
          <w:p w14:paraId="1AF66298" w14:textId="4BB7AF1B"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1 197</w:t>
            </w:r>
            <w:r w:rsidR="00640309" w:rsidRPr="004C13E7">
              <w:rPr>
                <w:b/>
                <w:sz w:val="18"/>
                <w:lang w:val="fr-FR"/>
              </w:rPr>
              <w:t xml:space="preserve"> </w:t>
            </w:r>
          </w:p>
        </w:tc>
        <w:tc>
          <w:tcPr>
            <w:tcW w:w="737" w:type="dxa"/>
            <w:tcBorders>
              <w:top w:val="single" w:sz="4" w:space="0" w:color="auto"/>
              <w:bottom w:val="single" w:sz="12" w:space="0" w:color="auto"/>
            </w:tcBorders>
            <w:shd w:val="clear" w:color="auto" w:fill="auto"/>
            <w:noWrap/>
            <w:vAlign w:val="bottom"/>
            <w:hideMark/>
          </w:tcPr>
          <w:p w14:paraId="793114B1" w14:textId="60C56A09"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1 721</w:t>
            </w:r>
            <w:r w:rsidR="00640309" w:rsidRPr="004C13E7">
              <w:rPr>
                <w:b/>
                <w:sz w:val="18"/>
                <w:lang w:val="fr-FR"/>
              </w:rPr>
              <w:t xml:space="preserve"> </w:t>
            </w:r>
          </w:p>
        </w:tc>
        <w:tc>
          <w:tcPr>
            <w:tcW w:w="737" w:type="dxa"/>
            <w:tcBorders>
              <w:top w:val="single" w:sz="4" w:space="0" w:color="auto"/>
              <w:bottom w:val="single" w:sz="12" w:space="0" w:color="auto"/>
            </w:tcBorders>
            <w:shd w:val="clear" w:color="auto" w:fill="auto"/>
            <w:noWrap/>
            <w:vAlign w:val="bottom"/>
            <w:hideMark/>
          </w:tcPr>
          <w:p w14:paraId="6AF3C255" w14:textId="77777777"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1 477</w:t>
            </w:r>
            <w:r w:rsidR="00640309" w:rsidRPr="004C13E7">
              <w:rPr>
                <w:b/>
                <w:sz w:val="18"/>
                <w:lang w:val="fr-FR"/>
              </w:rPr>
              <w:t xml:space="preserve"> </w:t>
            </w:r>
          </w:p>
        </w:tc>
        <w:tc>
          <w:tcPr>
            <w:tcW w:w="737" w:type="dxa"/>
            <w:tcBorders>
              <w:top w:val="single" w:sz="4" w:space="0" w:color="auto"/>
              <w:bottom w:val="single" w:sz="12" w:space="0" w:color="auto"/>
            </w:tcBorders>
            <w:shd w:val="clear" w:color="auto" w:fill="auto"/>
            <w:noWrap/>
            <w:vAlign w:val="bottom"/>
            <w:hideMark/>
          </w:tcPr>
          <w:p w14:paraId="247336C9" w14:textId="1081C333"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1 177</w:t>
            </w:r>
            <w:r w:rsidR="00640309" w:rsidRPr="004C13E7">
              <w:rPr>
                <w:b/>
                <w:sz w:val="18"/>
                <w:lang w:val="fr-FR"/>
              </w:rPr>
              <w:t xml:space="preserve"> </w:t>
            </w:r>
          </w:p>
        </w:tc>
        <w:tc>
          <w:tcPr>
            <w:tcW w:w="737" w:type="dxa"/>
            <w:tcBorders>
              <w:top w:val="single" w:sz="4" w:space="0" w:color="auto"/>
              <w:bottom w:val="single" w:sz="12" w:space="0" w:color="auto"/>
            </w:tcBorders>
            <w:shd w:val="clear" w:color="auto" w:fill="auto"/>
            <w:noWrap/>
            <w:vAlign w:val="bottom"/>
            <w:hideMark/>
          </w:tcPr>
          <w:p w14:paraId="730972E4" w14:textId="77777777"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1 217</w:t>
            </w:r>
            <w:r w:rsidR="00640309" w:rsidRPr="004C13E7">
              <w:rPr>
                <w:b/>
                <w:sz w:val="18"/>
                <w:lang w:val="fr-FR"/>
              </w:rPr>
              <w:t xml:space="preserve"> </w:t>
            </w:r>
          </w:p>
        </w:tc>
        <w:tc>
          <w:tcPr>
            <w:tcW w:w="737" w:type="dxa"/>
            <w:tcBorders>
              <w:top w:val="single" w:sz="4" w:space="0" w:color="auto"/>
              <w:bottom w:val="single" w:sz="12" w:space="0" w:color="auto"/>
            </w:tcBorders>
            <w:shd w:val="clear" w:color="auto" w:fill="auto"/>
            <w:noWrap/>
            <w:vAlign w:val="bottom"/>
            <w:hideMark/>
          </w:tcPr>
          <w:p w14:paraId="4C8985AB" w14:textId="5D2A2C87"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1 174</w:t>
            </w:r>
            <w:r w:rsidR="00640309" w:rsidRPr="004C13E7">
              <w:rPr>
                <w:b/>
                <w:sz w:val="18"/>
                <w:lang w:val="fr-FR"/>
              </w:rPr>
              <w:t xml:space="preserve"> </w:t>
            </w:r>
          </w:p>
        </w:tc>
        <w:tc>
          <w:tcPr>
            <w:tcW w:w="737" w:type="dxa"/>
            <w:tcBorders>
              <w:top w:val="single" w:sz="4" w:space="0" w:color="auto"/>
              <w:bottom w:val="single" w:sz="12" w:space="0" w:color="auto"/>
            </w:tcBorders>
            <w:shd w:val="clear" w:color="auto" w:fill="auto"/>
            <w:noWrap/>
            <w:vAlign w:val="bottom"/>
            <w:hideMark/>
          </w:tcPr>
          <w:p w14:paraId="52D9E03D" w14:textId="77777777"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1 672</w:t>
            </w:r>
            <w:r w:rsidR="00640309" w:rsidRPr="004C13E7">
              <w:rPr>
                <w:b/>
                <w:sz w:val="18"/>
                <w:lang w:val="fr-FR"/>
              </w:rPr>
              <w:t xml:space="preserve"> </w:t>
            </w:r>
          </w:p>
        </w:tc>
        <w:tc>
          <w:tcPr>
            <w:tcW w:w="737" w:type="dxa"/>
            <w:tcBorders>
              <w:top w:val="single" w:sz="4" w:space="0" w:color="auto"/>
              <w:bottom w:val="single" w:sz="12" w:space="0" w:color="auto"/>
            </w:tcBorders>
            <w:shd w:val="clear" w:color="auto" w:fill="auto"/>
            <w:noWrap/>
            <w:vAlign w:val="bottom"/>
            <w:hideMark/>
          </w:tcPr>
          <w:p w14:paraId="0B7C6C50" w14:textId="35FB2F4E" w:rsidR="00F52A5D" w:rsidRPr="004C13E7" w:rsidRDefault="00F52A5D" w:rsidP="004C13E7">
            <w:pPr>
              <w:pStyle w:val="SingleTxtG"/>
              <w:suppressAutoHyphens w:val="0"/>
              <w:spacing w:before="80" w:after="80" w:line="220" w:lineRule="exact"/>
              <w:ind w:left="0" w:right="0"/>
              <w:jc w:val="right"/>
              <w:rPr>
                <w:b/>
                <w:sz w:val="18"/>
                <w:lang w:val="fr-FR"/>
              </w:rPr>
            </w:pPr>
            <w:r w:rsidRPr="004C13E7">
              <w:rPr>
                <w:b/>
                <w:sz w:val="18"/>
                <w:lang w:val="fr-FR"/>
              </w:rPr>
              <w:t>1 128</w:t>
            </w:r>
            <w:r w:rsidR="00640309" w:rsidRPr="004C13E7">
              <w:rPr>
                <w:b/>
                <w:sz w:val="18"/>
                <w:lang w:val="fr-FR"/>
              </w:rPr>
              <w:t xml:space="preserve"> </w:t>
            </w:r>
          </w:p>
        </w:tc>
      </w:tr>
    </w:tbl>
    <w:p w14:paraId="14695BFE" w14:textId="5C9373E5" w:rsidR="00F52A5D" w:rsidRPr="00F52A5D" w:rsidRDefault="004C13E7" w:rsidP="004C13E7">
      <w:pPr>
        <w:pStyle w:val="SingleTxtG"/>
        <w:spacing w:before="120"/>
        <w:rPr>
          <w:bCs/>
          <w:lang w:val="fr-FR"/>
        </w:rPr>
      </w:pPr>
      <w:r w:rsidRPr="00F52A5D">
        <w:rPr>
          <w:bCs/>
          <w:lang w:val="fr-FR"/>
        </w:rPr>
        <w:lastRenderedPageBreak/>
        <w:t>9.</w:t>
      </w:r>
      <w:r w:rsidRPr="00F52A5D">
        <w:rPr>
          <w:bCs/>
          <w:lang w:val="fr-FR"/>
        </w:rPr>
        <w:tab/>
      </w:r>
      <w:r w:rsidR="00F52A5D" w:rsidRPr="00F52A5D">
        <w:rPr>
          <w:lang w:val="fr-FR"/>
        </w:rPr>
        <w:t>L’</w:t>
      </w:r>
      <w:r w:rsidR="00646915">
        <w:rPr>
          <w:lang w:val="fr-FR"/>
        </w:rPr>
        <w:t>État</w:t>
      </w:r>
      <w:r w:rsidR="00F52A5D" w:rsidRPr="00F52A5D">
        <w:rPr>
          <w:bCs/>
          <w:lang w:val="fr-FR"/>
        </w:rPr>
        <w:t xml:space="preserve"> compte actuellement 70 inspecteurs du travail en activité. Il s’agit de 30</w:t>
      </w:r>
      <w:r w:rsidR="006D329A">
        <w:rPr>
          <w:bCs/>
          <w:lang w:val="fr-FR"/>
        </w:rPr>
        <w:t> </w:t>
      </w:r>
      <w:r w:rsidR="00F52A5D" w:rsidRPr="00F52A5D">
        <w:rPr>
          <w:bCs/>
          <w:lang w:val="fr-FR"/>
        </w:rPr>
        <w:t>inspecteurs principaux du travail, 21 inspecteurs centraux et 19 contrôleurs. Leurs moyens matériels de fonctionnement n’ont pas évolué de manière significative depuis la présentation du rapport initial du Niger.</w:t>
      </w:r>
    </w:p>
    <w:p w14:paraId="28FAE855" w14:textId="728E5235" w:rsidR="00F52A5D" w:rsidRPr="00F52A5D" w:rsidRDefault="004C13E7" w:rsidP="004C13E7">
      <w:pPr>
        <w:pStyle w:val="SingleTxtG"/>
        <w:rPr>
          <w:bCs/>
          <w:lang w:val="fr-FR"/>
        </w:rPr>
      </w:pPr>
      <w:r w:rsidRPr="00F52A5D">
        <w:rPr>
          <w:bCs/>
          <w:lang w:val="fr-FR"/>
        </w:rPr>
        <w:t>10.</w:t>
      </w:r>
      <w:r w:rsidRPr="00F52A5D">
        <w:rPr>
          <w:bCs/>
          <w:lang w:val="fr-FR"/>
        </w:rPr>
        <w:tab/>
      </w:r>
      <w:r w:rsidR="00F52A5D" w:rsidRPr="00F52A5D">
        <w:rPr>
          <w:bCs/>
          <w:lang w:val="fr-FR"/>
        </w:rPr>
        <w:t xml:space="preserve">Les inspecteurs du travail bénéficient des formations diplômantes et des renforcements de capacités sur les </w:t>
      </w:r>
      <w:r w:rsidR="00F52A5D" w:rsidRPr="00F52A5D">
        <w:rPr>
          <w:lang w:val="fr-FR"/>
        </w:rPr>
        <w:t>normes</w:t>
      </w:r>
      <w:r w:rsidR="00F52A5D" w:rsidRPr="00F52A5D">
        <w:rPr>
          <w:bCs/>
          <w:lang w:val="fr-FR"/>
        </w:rPr>
        <w:t xml:space="preserve"> internationales de travail de l’Organisation Internationale du Travail (OIT), sur la protection sociale, etc. Ces formations ont lieu à l’Ecole Nationale d’Administration (ENA) de Niamey, au Centre Régional Africain d’Administration du Travail (CRADAT) à Yaoundé ou au Centre International de Formation (CIF-OIT) de Turin en Italie.</w:t>
      </w:r>
    </w:p>
    <w:p w14:paraId="3CAFBC2D" w14:textId="77777777" w:rsidR="00F52A5D" w:rsidRPr="00F52A5D" w:rsidRDefault="00856EC4" w:rsidP="00856EC4">
      <w:pPr>
        <w:pStyle w:val="H1G"/>
        <w:rPr>
          <w:lang w:val="fr-FR"/>
        </w:rPr>
      </w:pPr>
      <w:bookmarkStart w:id="7" w:name="_Toc52788282"/>
      <w:r>
        <w:rPr>
          <w:lang w:val="fr-FR"/>
        </w:rPr>
        <w:tab/>
      </w:r>
      <w:r w:rsidR="00953C5C">
        <w:rPr>
          <w:lang w:val="fr-FR"/>
        </w:rPr>
        <w:t>B</w:t>
      </w:r>
      <w:r>
        <w:rPr>
          <w:lang w:val="fr-FR"/>
        </w:rPr>
        <w:t>.</w:t>
      </w:r>
      <w:r>
        <w:rPr>
          <w:lang w:val="fr-FR"/>
        </w:rPr>
        <w:tab/>
      </w:r>
      <w:r w:rsidR="00F52A5D" w:rsidRPr="00F52A5D">
        <w:rPr>
          <w:lang w:val="fr-FR"/>
        </w:rPr>
        <w:t>Le mariage précoce</w:t>
      </w:r>
      <w:bookmarkEnd w:id="7"/>
    </w:p>
    <w:p w14:paraId="3CD2E623" w14:textId="1B8A2192" w:rsidR="00A32D68" w:rsidRPr="004C13E7" w:rsidRDefault="006D329A" w:rsidP="004C13E7">
      <w:pPr>
        <w:pStyle w:val="H23G"/>
      </w:pPr>
      <w:bookmarkStart w:id="8" w:name="_Toc52788283"/>
      <w:r>
        <w:tab/>
      </w:r>
      <w:r>
        <w:tab/>
      </w:r>
      <w:r w:rsidR="00A32D68" w:rsidRPr="00A32D68">
        <w:t>Réponse</w:t>
      </w:r>
      <w:r w:rsidR="00A32D68">
        <w:t xml:space="preserve"> </w:t>
      </w:r>
      <w:r w:rsidR="00953C5C">
        <w:t>au paragraphe 45 des o</w:t>
      </w:r>
      <w:r w:rsidR="00A32D68">
        <w:t xml:space="preserve">bservations finales </w:t>
      </w:r>
    </w:p>
    <w:bookmarkEnd w:id="8"/>
    <w:p w14:paraId="01D393C0" w14:textId="3C967188" w:rsidR="00F52A5D" w:rsidRPr="00641127" w:rsidRDefault="004C13E7" w:rsidP="004C13E7">
      <w:pPr>
        <w:pStyle w:val="SingleTxtG"/>
        <w:rPr>
          <w:lang w:val="fr-FR"/>
        </w:rPr>
      </w:pPr>
      <w:r w:rsidRPr="00641127">
        <w:rPr>
          <w:lang w:val="fr-FR"/>
        </w:rPr>
        <w:t>11.</w:t>
      </w:r>
      <w:r w:rsidRPr="00641127">
        <w:rPr>
          <w:lang w:val="fr-FR"/>
        </w:rPr>
        <w:tab/>
      </w:r>
      <w:r w:rsidR="00F52A5D" w:rsidRPr="00F52A5D">
        <w:rPr>
          <w:lang w:val="fr-FR"/>
        </w:rPr>
        <w:t>Au Niger, le mariage est régi aussi bien par le droit écrit que par le droit coutumier. La loi</w:t>
      </w:r>
      <w:r w:rsidR="00640309">
        <w:rPr>
          <w:lang w:val="fr-FR"/>
        </w:rPr>
        <w:t xml:space="preserve"> </w:t>
      </w:r>
      <w:r w:rsidR="00F52A5D" w:rsidRPr="00F52A5D">
        <w:rPr>
          <w:lang w:val="fr-FR"/>
        </w:rPr>
        <w:t>n</w:t>
      </w:r>
      <w:r w:rsidR="006D329A" w:rsidRPr="004C13E7">
        <w:rPr>
          <w:vertAlign w:val="superscript"/>
          <w:lang w:val="fr-FR"/>
        </w:rPr>
        <w:t>o</w:t>
      </w:r>
      <w:r w:rsidR="006D329A">
        <w:rPr>
          <w:lang w:val="fr-FR"/>
        </w:rPr>
        <w:t> </w:t>
      </w:r>
      <w:r w:rsidR="00F52A5D" w:rsidRPr="00F52A5D">
        <w:rPr>
          <w:lang w:val="fr-FR"/>
        </w:rPr>
        <w:t>2018-37 du 1</w:t>
      </w:r>
      <w:r w:rsidR="00F52A5D" w:rsidRPr="00F52A5D">
        <w:rPr>
          <w:vertAlign w:val="superscript"/>
          <w:lang w:val="fr-FR"/>
        </w:rPr>
        <w:t>er</w:t>
      </w:r>
      <w:r w:rsidR="00F52A5D" w:rsidRPr="00F52A5D">
        <w:rPr>
          <w:lang w:val="fr-FR"/>
        </w:rPr>
        <w:t xml:space="preserve"> juin 2018, fixant l’ organisation et la compétence des juridictions en République du Niger dispose en son article 72 </w:t>
      </w:r>
      <w:r w:rsidR="00F52A5D" w:rsidRPr="00641127">
        <w:rPr>
          <w:lang w:val="fr-FR"/>
        </w:rPr>
        <w:t xml:space="preserve">que « </w:t>
      </w:r>
      <w:r w:rsidR="00F52A5D" w:rsidRPr="00641127">
        <w:rPr>
          <w:iCs/>
          <w:lang w:val="fr-FR"/>
        </w:rPr>
        <w:t>Sous réserve du respect des conventions internationales régulièrement ratifiées, des dispositions législatives ou des règles fondamentales concernant l’ordre public ou la liberté des personnes, les juridictions appliquent la coutume des parties dans les affaires concernant leur capacité à contracter et agir en justice, l’état des personnes, la famille, le mariage, le divorce, la filiation, les successions, les donations et testaments</w:t>
      </w:r>
      <w:r w:rsidR="00F52A5D" w:rsidRPr="00641127">
        <w:rPr>
          <w:lang w:val="fr-FR"/>
        </w:rPr>
        <w:t xml:space="preserve"> ».</w:t>
      </w:r>
    </w:p>
    <w:p w14:paraId="2CD7E7B8" w14:textId="53D8BB4E" w:rsidR="00F52A5D" w:rsidRPr="00F52A5D" w:rsidRDefault="004C13E7" w:rsidP="004C13E7">
      <w:pPr>
        <w:pStyle w:val="SingleTxtG"/>
        <w:rPr>
          <w:lang w:val="fr-FR"/>
        </w:rPr>
      </w:pPr>
      <w:r w:rsidRPr="00F52A5D">
        <w:rPr>
          <w:lang w:val="fr-FR"/>
        </w:rPr>
        <w:t>12.</w:t>
      </w:r>
      <w:r w:rsidRPr="00F52A5D">
        <w:rPr>
          <w:lang w:val="fr-FR"/>
        </w:rPr>
        <w:tab/>
      </w:r>
      <w:r w:rsidR="00F52A5D" w:rsidRPr="00F52A5D">
        <w:rPr>
          <w:lang w:val="fr-FR"/>
        </w:rPr>
        <w:t xml:space="preserve">Le Code civil, contrairement à la coutume, fixe un âge minimum du mariage pour l’homme et la femme et exige leur consentement. L’article 144 </w:t>
      </w:r>
      <w:r w:rsidR="00F52A5D" w:rsidRPr="00641127">
        <w:rPr>
          <w:lang w:val="fr-FR"/>
        </w:rPr>
        <w:t xml:space="preserve">dispose que « </w:t>
      </w:r>
      <w:r w:rsidR="00F52A5D" w:rsidRPr="00641127">
        <w:rPr>
          <w:iCs/>
          <w:lang w:val="fr-FR"/>
        </w:rPr>
        <w:t>l’homme avant dix-huit (18) ans révolus, la femme avant quinze (15) ans révolus, ne peuvent contracter mariage</w:t>
      </w:r>
      <w:r w:rsidR="00F52A5D" w:rsidRPr="00641127">
        <w:rPr>
          <w:lang w:val="fr-FR"/>
        </w:rPr>
        <w:t xml:space="preserve"> » et l’article 147 de préciser « </w:t>
      </w:r>
      <w:r w:rsidR="00F52A5D" w:rsidRPr="00641127">
        <w:rPr>
          <w:iCs/>
          <w:lang w:val="fr-FR"/>
        </w:rPr>
        <w:t>il n’y a pas de mariage lorsqu’il n’y a point de consentement</w:t>
      </w:r>
      <w:r w:rsidR="00F52A5D" w:rsidRPr="00641127">
        <w:rPr>
          <w:lang w:val="fr-FR"/>
        </w:rPr>
        <w:t xml:space="preserve"> ». Ces deux dispositions combinées sont respectées e</w:t>
      </w:r>
      <w:r w:rsidR="00F52A5D" w:rsidRPr="00F52A5D">
        <w:rPr>
          <w:lang w:val="fr-FR"/>
        </w:rPr>
        <w:t xml:space="preserve">n ce qui concerne le mariage civil en raison notamment de la présence de l’officier d’état civil chargé de vérifier le respect des conditions préalables. Un projet de loi visant à porter l’âge du mariage à 18 ans aussi bien pour le garçon que pour la fille, est en cours d’élaboration. </w:t>
      </w:r>
    </w:p>
    <w:p w14:paraId="71E155CF" w14:textId="117F186D" w:rsidR="00F52A5D" w:rsidRPr="00F52A5D" w:rsidRDefault="004C13E7" w:rsidP="004C13E7">
      <w:pPr>
        <w:pStyle w:val="SingleTxtG"/>
        <w:rPr>
          <w:lang w:val="fr-FR"/>
        </w:rPr>
      </w:pPr>
      <w:r w:rsidRPr="00F52A5D">
        <w:rPr>
          <w:lang w:val="fr-FR"/>
        </w:rPr>
        <w:t>13.</w:t>
      </w:r>
      <w:r w:rsidRPr="00F52A5D">
        <w:rPr>
          <w:lang w:val="fr-FR"/>
        </w:rPr>
        <w:tab/>
      </w:r>
      <w:r w:rsidR="00F52A5D" w:rsidRPr="00F52A5D">
        <w:rPr>
          <w:lang w:val="fr-FR"/>
        </w:rPr>
        <w:t>Pour prévenir et lutter contre les mariages d’enfants et promouvoir le mariage après 18 ans, beaucoup de mesures et actions ont été prises et se poursuivent. On peut citer entre autres :</w:t>
      </w:r>
    </w:p>
    <w:p w14:paraId="6CA5E07B" w14:textId="308FA379"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L’adoption</w:t>
      </w:r>
      <w:r w:rsidR="00F52A5D" w:rsidRPr="00F52A5D">
        <w:rPr>
          <w:lang w:val="fr-FR"/>
        </w:rPr>
        <w:t xml:space="preserve"> du décret </w:t>
      </w:r>
      <w:r w:rsidR="006D329A" w:rsidRPr="00F52A5D">
        <w:rPr>
          <w:lang w:val="fr-FR"/>
        </w:rPr>
        <w:t>n</w:t>
      </w:r>
      <w:r w:rsidR="006D329A" w:rsidRPr="002C4D81">
        <w:rPr>
          <w:vertAlign w:val="superscript"/>
          <w:lang w:val="fr-FR"/>
        </w:rPr>
        <w:t>o</w:t>
      </w:r>
      <w:r w:rsidR="006D329A">
        <w:rPr>
          <w:lang w:val="fr-FR"/>
        </w:rPr>
        <w:t> </w:t>
      </w:r>
      <w:r w:rsidR="00F52A5D" w:rsidRPr="00F52A5D">
        <w:rPr>
          <w:lang w:val="fr-FR"/>
        </w:rPr>
        <w:t>2019-369/PRN/MPF/PE du 19 juillet 2019, portant création des Comités de protection de l’enfant prévus dans le cadre de la mise en œuvre du Plan Stratégique National 2019-2021 pour mettre fin au mariage des enfants au Niger et son arrêté d’application ;</w:t>
      </w:r>
    </w:p>
    <w:p w14:paraId="32A1B94F" w14:textId="5ACE1F32"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L’adoption</w:t>
      </w:r>
      <w:r w:rsidR="00F52A5D" w:rsidRPr="00F52A5D">
        <w:rPr>
          <w:lang w:val="fr-FR"/>
        </w:rPr>
        <w:t xml:space="preserve"> du décret </w:t>
      </w:r>
      <w:r w:rsidR="006D329A" w:rsidRPr="00F52A5D">
        <w:rPr>
          <w:lang w:val="fr-FR"/>
        </w:rPr>
        <w:t>n</w:t>
      </w:r>
      <w:r w:rsidR="006D329A" w:rsidRPr="002C4D81">
        <w:rPr>
          <w:vertAlign w:val="superscript"/>
          <w:lang w:val="fr-FR"/>
        </w:rPr>
        <w:t>o</w:t>
      </w:r>
      <w:r w:rsidR="006D329A">
        <w:rPr>
          <w:lang w:val="fr-FR"/>
        </w:rPr>
        <w:t> </w:t>
      </w:r>
      <w:r w:rsidR="00F52A5D" w:rsidRPr="00F52A5D">
        <w:rPr>
          <w:lang w:val="fr-FR"/>
        </w:rPr>
        <w:t xml:space="preserve">2017-935/PRN/MEP/A/PLN/EC/MES du 5 décembre 2017, portant sur la protection, le soutien et l’accompagnement de la jeune fille en cours de scolarité et ses arrêtés d’application ; </w:t>
      </w:r>
    </w:p>
    <w:p w14:paraId="014ED176" w14:textId="5130DE54"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L’organisation</w:t>
      </w:r>
      <w:r w:rsidR="00F52A5D" w:rsidRPr="00F52A5D">
        <w:rPr>
          <w:lang w:val="fr-FR"/>
        </w:rPr>
        <w:t xml:space="preserve"> d’une rencontre de haut niveau des experts de la protection de l’enfant lors du sommet des premières dames de la CEDEAO à Niamey en juillet 2019 ;</w:t>
      </w:r>
    </w:p>
    <w:p w14:paraId="47C65377" w14:textId="0F65D88A"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L’état</w:t>
      </w:r>
      <w:r w:rsidR="00F52A5D" w:rsidRPr="00F52A5D">
        <w:rPr>
          <w:lang w:val="fr-FR"/>
        </w:rPr>
        <w:t xml:space="preserve"> des lieux dressé en 2018 du phénomène de mariage des enfants au Niger ; </w:t>
      </w:r>
    </w:p>
    <w:p w14:paraId="1E7CCD88" w14:textId="4C165273"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L’élaboration</w:t>
      </w:r>
      <w:r w:rsidR="00F52A5D" w:rsidRPr="00F52A5D">
        <w:rPr>
          <w:lang w:val="fr-FR"/>
        </w:rPr>
        <w:t xml:space="preserve"> en 2017 d’un guide de dialogue social sur le mariage des enfants à l’usage des travailleurs sociaux ; </w:t>
      </w:r>
    </w:p>
    <w:p w14:paraId="34E59C6B" w14:textId="1885478B"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La</w:t>
      </w:r>
      <w:r w:rsidR="00F52A5D" w:rsidRPr="00F52A5D">
        <w:rPr>
          <w:lang w:val="fr-FR"/>
        </w:rPr>
        <w:t xml:space="preserve"> mise en œuvre de l’approche de protection de l’enfant à base communautaire basée</w:t>
      </w:r>
      <w:r w:rsidR="006D329A">
        <w:rPr>
          <w:lang w:val="fr-FR"/>
        </w:rPr>
        <w:t xml:space="preserve"> </w:t>
      </w:r>
      <w:r w:rsidR="00F52A5D" w:rsidRPr="00F52A5D">
        <w:rPr>
          <w:lang w:val="fr-FR"/>
        </w:rPr>
        <w:t>sur :</w:t>
      </w:r>
    </w:p>
    <w:p w14:paraId="67AE8FAF" w14:textId="00FD8288" w:rsidR="00F52A5D" w:rsidRPr="00F52A5D" w:rsidRDefault="004C13E7" w:rsidP="004C13E7">
      <w:pPr>
        <w:pStyle w:val="Bullet2G"/>
        <w:numPr>
          <w:ilvl w:val="0"/>
          <w:numId w:val="0"/>
        </w:numPr>
        <w:tabs>
          <w:tab w:val="left" w:pos="2268"/>
        </w:tabs>
        <w:ind w:left="2268" w:hanging="170"/>
        <w:rPr>
          <w:lang w:val="fr-FR"/>
        </w:rPr>
      </w:pPr>
      <w:r w:rsidRPr="00F52A5D">
        <w:rPr>
          <w:lang w:val="fr-FR"/>
        </w:rPr>
        <w:t>•</w:t>
      </w:r>
      <w:r w:rsidRPr="00F52A5D">
        <w:rPr>
          <w:lang w:val="fr-FR"/>
        </w:rPr>
        <w:tab/>
      </w:r>
      <w:r w:rsidR="00640309" w:rsidRPr="00F52A5D">
        <w:rPr>
          <w:lang w:val="fr-FR"/>
        </w:rPr>
        <w:t>L’importance</w:t>
      </w:r>
      <w:r w:rsidR="00F52A5D" w:rsidRPr="00F52A5D">
        <w:rPr>
          <w:lang w:val="fr-FR"/>
        </w:rPr>
        <w:t xml:space="preserve"> de la participation des communautés (familles, parents, enfants,</w:t>
      </w:r>
      <w:r w:rsidR="00640309">
        <w:rPr>
          <w:lang w:val="fr-FR"/>
        </w:rPr>
        <w:t xml:space="preserve"> </w:t>
      </w:r>
      <w:r w:rsidR="00F52A5D" w:rsidRPr="00F52A5D">
        <w:rPr>
          <w:lang w:val="fr-FR"/>
        </w:rPr>
        <w:t>membres de la communauté) dans la protection de l’enfant au regard des rôles fondamentaux que jouent ses membres dans la vie sociale et communautaire ;</w:t>
      </w:r>
    </w:p>
    <w:p w14:paraId="2ECB0C1C" w14:textId="266EBAB5" w:rsidR="00F52A5D" w:rsidRPr="00F52A5D" w:rsidRDefault="004C13E7" w:rsidP="004C13E7">
      <w:pPr>
        <w:pStyle w:val="Bullet2G"/>
        <w:numPr>
          <w:ilvl w:val="0"/>
          <w:numId w:val="0"/>
        </w:numPr>
        <w:tabs>
          <w:tab w:val="left" w:pos="2268"/>
        </w:tabs>
        <w:ind w:left="2268" w:hanging="170"/>
        <w:rPr>
          <w:lang w:val="fr-FR"/>
        </w:rPr>
      </w:pPr>
      <w:r w:rsidRPr="00F52A5D">
        <w:rPr>
          <w:lang w:val="fr-FR"/>
        </w:rPr>
        <w:lastRenderedPageBreak/>
        <w:t>•</w:t>
      </w:r>
      <w:r w:rsidRPr="00F52A5D">
        <w:rPr>
          <w:lang w:val="fr-FR"/>
        </w:rPr>
        <w:tab/>
      </w:r>
      <w:r w:rsidR="00640309" w:rsidRPr="00F52A5D">
        <w:rPr>
          <w:lang w:val="fr-FR"/>
        </w:rPr>
        <w:t>La</w:t>
      </w:r>
      <w:r w:rsidR="00F52A5D" w:rsidRPr="00F52A5D">
        <w:rPr>
          <w:lang w:val="fr-FR"/>
        </w:rPr>
        <w:t xml:space="preserve"> prise en compte des normes sociales et culturelles traditionnelles positives des communautés de base dans la définition des approches et stratégies en matière de protection des enfants ;</w:t>
      </w:r>
    </w:p>
    <w:p w14:paraId="3E9C585A" w14:textId="5AF28F42" w:rsidR="00F52A5D" w:rsidRPr="00F52A5D" w:rsidRDefault="004C13E7" w:rsidP="004C13E7">
      <w:pPr>
        <w:pStyle w:val="Bullet2G"/>
        <w:numPr>
          <w:ilvl w:val="0"/>
          <w:numId w:val="0"/>
        </w:numPr>
        <w:tabs>
          <w:tab w:val="left" w:pos="2268"/>
        </w:tabs>
        <w:ind w:left="2268" w:hanging="170"/>
        <w:rPr>
          <w:lang w:val="fr-FR"/>
        </w:rPr>
      </w:pPr>
      <w:r w:rsidRPr="00F52A5D">
        <w:rPr>
          <w:lang w:val="fr-FR"/>
        </w:rPr>
        <w:t>•</w:t>
      </w:r>
      <w:r w:rsidRPr="00F52A5D">
        <w:rPr>
          <w:lang w:val="fr-FR"/>
        </w:rPr>
        <w:tab/>
      </w:r>
      <w:r w:rsidR="00640309" w:rsidRPr="00F52A5D">
        <w:rPr>
          <w:lang w:val="fr-FR"/>
        </w:rPr>
        <w:t>La</w:t>
      </w:r>
      <w:r w:rsidR="00F52A5D" w:rsidRPr="00F52A5D">
        <w:rPr>
          <w:lang w:val="fr-FR"/>
        </w:rPr>
        <w:t xml:space="preserve"> mobilisation et la responsabilisation des communautés autour des problématiques de protection des </w:t>
      </w:r>
      <w:r w:rsidR="00F52A5D" w:rsidRPr="004C13E7">
        <w:t>enfants</w:t>
      </w:r>
      <w:r w:rsidR="00F52A5D" w:rsidRPr="00F52A5D">
        <w:rPr>
          <w:lang w:val="fr-FR"/>
        </w:rPr>
        <w:t xml:space="preserve"> ;</w:t>
      </w:r>
    </w:p>
    <w:p w14:paraId="0EF647CB" w14:textId="6CA6ED82" w:rsidR="00F52A5D" w:rsidRPr="00F52A5D" w:rsidRDefault="004C13E7" w:rsidP="004C13E7">
      <w:pPr>
        <w:pStyle w:val="Bullet2G"/>
        <w:numPr>
          <w:ilvl w:val="0"/>
          <w:numId w:val="0"/>
        </w:numPr>
        <w:tabs>
          <w:tab w:val="left" w:pos="2268"/>
        </w:tabs>
        <w:ind w:left="2268" w:hanging="170"/>
        <w:rPr>
          <w:lang w:val="fr-FR"/>
        </w:rPr>
      </w:pPr>
      <w:r w:rsidRPr="00F52A5D">
        <w:rPr>
          <w:lang w:val="fr-FR"/>
        </w:rPr>
        <w:t>•</w:t>
      </w:r>
      <w:r w:rsidRPr="00F52A5D">
        <w:rPr>
          <w:lang w:val="fr-FR"/>
        </w:rPr>
        <w:tab/>
      </w:r>
      <w:r w:rsidR="00640309" w:rsidRPr="00F52A5D">
        <w:rPr>
          <w:lang w:val="fr-FR"/>
        </w:rPr>
        <w:t>Le</w:t>
      </w:r>
      <w:r w:rsidR="00F52A5D" w:rsidRPr="00F52A5D">
        <w:rPr>
          <w:lang w:val="fr-FR"/>
        </w:rPr>
        <w:t xml:space="preserve"> renforcement des capacités et des connaissances des communautés afin qu’elles soient en </w:t>
      </w:r>
      <w:r w:rsidR="00F52A5D" w:rsidRPr="004C13E7">
        <w:t>mesure</w:t>
      </w:r>
      <w:r w:rsidR="00F52A5D" w:rsidRPr="00F52A5D">
        <w:rPr>
          <w:lang w:val="fr-FR"/>
        </w:rPr>
        <w:t xml:space="preserve"> de développer des mécanismes et des approches appropriés aussi bien de prévention que de prise en charge des violences et abus contre les enfants, y compris le mariage des enfants ;</w:t>
      </w:r>
    </w:p>
    <w:p w14:paraId="192CFB15" w14:textId="2829F4F4" w:rsidR="00F52A5D" w:rsidRPr="00F52A5D" w:rsidRDefault="004C13E7" w:rsidP="004C13E7">
      <w:pPr>
        <w:pStyle w:val="Bullet2G"/>
        <w:numPr>
          <w:ilvl w:val="0"/>
          <w:numId w:val="0"/>
        </w:numPr>
        <w:tabs>
          <w:tab w:val="left" w:pos="2268"/>
        </w:tabs>
        <w:ind w:left="2268" w:hanging="170"/>
        <w:rPr>
          <w:lang w:val="fr-FR"/>
        </w:rPr>
      </w:pPr>
      <w:r w:rsidRPr="00F52A5D">
        <w:rPr>
          <w:lang w:val="fr-FR"/>
        </w:rPr>
        <w:t>•</w:t>
      </w:r>
      <w:r w:rsidRPr="00F52A5D">
        <w:rPr>
          <w:lang w:val="fr-FR"/>
        </w:rPr>
        <w:tab/>
      </w:r>
      <w:r w:rsidR="00640309" w:rsidRPr="00F52A5D">
        <w:rPr>
          <w:lang w:val="fr-FR"/>
        </w:rPr>
        <w:t>Le</w:t>
      </w:r>
      <w:r w:rsidR="00F52A5D" w:rsidRPr="00F52A5D">
        <w:rPr>
          <w:lang w:val="fr-FR"/>
        </w:rPr>
        <w:t xml:space="preserve"> plaidoyer auprès des autorités, des leaders sociaux et des décideurs au niveau local pour la prise en compte des questions de protection de l’enfant dans les politiques et stratégies de développement local</w:t>
      </w:r>
      <w:r w:rsidR="00C9041C">
        <w:rPr>
          <w:lang w:val="fr-FR"/>
        </w:rPr>
        <w:t> ;</w:t>
      </w:r>
    </w:p>
    <w:p w14:paraId="6DA92147" w14:textId="718576C2"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Pr>
          <w:lang w:val="fr-FR"/>
        </w:rPr>
        <w:t>L</w:t>
      </w:r>
      <w:r w:rsidR="00F52A5D" w:rsidRPr="00F52A5D">
        <w:rPr>
          <w:lang w:val="fr-FR"/>
        </w:rPr>
        <w:t xml:space="preserve">’adoption d’un Plan stratégique national </w:t>
      </w:r>
      <w:bookmarkStart w:id="9" w:name="_Hlk39903463"/>
      <w:r w:rsidR="00F52A5D" w:rsidRPr="00F52A5D">
        <w:rPr>
          <w:lang w:val="fr-FR"/>
        </w:rPr>
        <w:t xml:space="preserve">2019-2021 pour mettre fin au mariage des enfants au Niger </w:t>
      </w:r>
      <w:bookmarkEnd w:id="9"/>
      <w:r w:rsidR="00F52A5D" w:rsidRPr="00F52A5D">
        <w:rPr>
          <w:lang w:val="fr-FR"/>
        </w:rPr>
        <w:t>comportant 4 axes d’intervention à savoir : (i) autonomiser les filles avec des compétences et des réseaux de soutien, (ii) permettre le renforcement des capacités des parents et des membres de la communauté, (iii) améliorer l’accessibilité et la qualité des services d’éducation de protection et d’autres services sociaux pour les filles, (iv) créer de nouvelles plateformes pour le dialogue social qui aboutira à un abandon collectif ;</w:t>
      </w:r>
    </w:p>
    <w:p w14:paraId="0C6E9A08" w14:textId="587A9DD2"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La</w:t>
      </w:r>
      <w:r w:rsidR="00F52A5D" w:rsidRPr="00F52A5D">
        <w:rPr>
          <w:lang w:val="fr-FR"/>
        </w:rPr>
        <w:t xml:space="preserve"> tenue en juin 2019 d’un forum national sur le mariage des enfants au Niger à Maradi sous l’égide du Médiateur de la République en vue de renforcer la synergie d’action entre partenaires, communautés et </w:t>
      </w:r>
      <w:r w:rsidR="00646915">
        <w:rPr>
          <w:lang w:val="fr-FR"/>
        </w:rPr>
        <w:t>État</w:t>
      </w:r>
      <w:r w:rsidR="00F52A5D" w:rsidRPr="00F52A5D">
        <w:rPr>
          <w:lang w:val="fr-FR"/>
        </w:rPr>
        <w:t xml:space="preserve"> pour agir efficacement dans l’élimination du mariage des enfants au Niger ;</w:t>
      </w:r>
    </w:p>
    <w:p w14:paraId="0A17D47D" w14:textId="73910545"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D329A" w:rsidRPr="00F52A5D">
        <w:rPr>
          <w:lang w:val="fr-FR"/>
        </w:rPr>
        <w:t xml:space="preserve">Le </w:t>
      </w:r>
      <w:r w:rsidR="00F52A5D" w:rsidRPr="00F52A5D">
        <w:rPr>
          <w:lang w:val="fr-FR"/>
        </w:rPr>
        <w:t xml:space="preserve">lancement de la campagne nationale contre les mariages précoces depuis décembre 2014 faisant suite à celle lancée par </w:t>
      </w:r>
      <w:r w:rsidR="00640309">
        <w:rPr>
          <w:lang w:val="fr-FR"/>
        </w:rPr>
        <w:t>l’Union Africaine.</w:t>
      </w:r>
    </w:p>
    <w:p w14:paraId="4F3F7FFF" w14:textId="7DB3BE1B" w:rsidR="00F52A5D" w:rsidRPr="00F52A5D" w:rsidRDefault="004C13E7" w:rsidP="004C13E7">
      <w:pPr>
        <w:pStyle w:val="SingleTxtG"/>
        <w:rPr>
          <w:lang w:val="fr-FR"/>
        </w:rPr>
      </w:pPr>
      <w:r w:rsidRPr="00F52A5D">
        <w:rPr>
          <w:lang w:val="fr-FR"/>
        </w:rPr>
        <w:t>14.</w:t>
      </w:r>
      <w:r w:rsidRPr="00F52A5D">
        <w:rPr>
          <w:lang w:val="fr-FR"/>
        </w:rPr>
        <w:tab/>
      </w:r>
      <w:r w:rsidR="00F52A5D" w:rsidRPr="00F52A5D">
        <w:rPr>
          <w:lang w:val="fr-FR"/>
        </w:rPr>
        <w:t>Dans la mise en œuvre de ces différentes mesures, des résultats aussi bien qualitatifs que quantitatifs ont été obtenus notamment :</w:t>
      </w:r>
    </w:p>
    <w:p w14:paraId="521E4981" w14:textId="7844AD28"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L’engagement</w:t>
      </w:r>
      <w:r w:rsidR="00F52A5D" w:rsidRPr="00F52A5D">
        <w:rPr>
          <w:lang w:val="fr-FR"/>
        </w:rPr>
        <w:t xml:space="preserve"> des autorités régionales et locales, administratives et coutumières, à s’investir dans la lutte contre les mariages d’enfants ;</w:t>
      </w:r>
    </w:p>
    <w:p w14:paraId="6EF6BAF8" w14:textId="37C0BDF8"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La</w:t>
      </w:r>
      <w:r w:rsidR="00F52A5D" w:rsidRPr="00F52A5D">
        <w:rPr>
          <w:lang w:val="fr-FR"/>
        </w:rPr>
        <w:t xml:space="preserve"> mise en place des comités communautaires (villageois) de protection ;</w:t>
      </w:r>
    </w:p>
    <w:p w14:paraId="0A6FA585" w14:textId="5A743922"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L’élaboration</w:t>
      </w:r>
      <w:r w:rsidR="00F52A5D" w:rsidRPr="00F52A5D">
        <w:rPr>
          <w:lang w:val="fr-FR"/>
        </w:rPr>
        <w:t xml:space="preserve"> des plans d’actions par les villages concernés par l’approche ;</w:t>
      </w:r>
    </w:p>
    <w:p w14:paraId="782DA8AB" w14:textId="37C6A351"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640309" w:rsidRPr="00F52A5D">
        <w:rPr>
          <w:lang w:val="fr-FR"/>
        </w:rPr>
        <w:t>Le</w:t>
      </w:r>
      <w:r w:rsidR="00F52A5D" w:rsidRPr="00F52A5D">
        <w:rPr>
          <w:lang w:val="fr-FR"/>
        </w:rPr>
        <w:t xml:space="preserve"> report ou l’annulation volontaires entre 2013 et 2018, de 1922 cas de mariage d’enfants, par les populations elles-mêmes</w:t>
      </w:r>
      <w:r w:rsidR="003E3B20">
        <w:rPr>
          <w:lang w:val="fr-FR"/>
        </w:rPr>
        <w:t>.</w:t>
      </w:r>
    </w:p>
    <w:p w14:paraId="0AACA1A9" w14:textId="623510C1" w:rsidR="00F52A5D" w:rsidRPr="00F52A5D" w:rsidRDefault="004C13E7" w:rsidP="004C13E7">
      <w:pPr>
        <w:pStyle w:val="SingleTxtG"/>
        <w:rPr>
          <w:b/>
          <w:bCs/>
          <w:i/>
          <w:lang w:val="fr-CA"/>
        </w:rPr>
      </w:pPr>
      <w:r w:rsidRPr="00F52A5D">
        <w:rPr>
          <w:bCs/>
          <w:lang w:val="fr-CA"/>
        </w:rPr>
        <w:t>15.</w:t>
      </w:r>
      <w:r w:rsidRPr="00F52A5D">
        <w:rPr>
          <w:bCs/>
          <w:lang w:val="fr-CA"/>
        </w:rPr>
        <w:tab/>
      </w:r>
      <w:r w:rsidR="00F52A5D" w:rsidRPr="00F52A5D">
        <w:rPr>
          <w:lang w:val="fr-CA"/>
        </w:rPr>
        <w:t xml:space="preserve">Outre les mesures citées ci-dessus, il faut noter l’établissement du programme Initiative pour les </w:t>
      </w:r>
      <w:r w:rsidR="00F52A5D" w:rsidRPr="00F52A5D">
        <w:rPr>
          <w:lang w:val="fr-FR"/>
        </w:rPr>
        <w:t>adolescentes</w:t>
      </w:r>
      <w:r w:rsidR="00F52A5D" w:rsidRPr="00F52A5D">
        <w:rPr>
          <w:lang w:val="fr-CA"/>
        </w:rPr>
        <w:t xml:space="preserve"> du Niger « ILLIMIN »</w:t>
      </w:r>
      <w:r w:rsidR="00060F5F">
        <w:rPr>
          <w:bCs/>
          <w:lang w:val="fr-CA"/>
        </w:rPr>
        <w:t xml:space="preserve"> </w:t>
      </w:r>
      <w:r w:rsidR="00F52A5D" w:rsidRPr="00F52A5D">
        <w:rPr>
          <w:bCs/>
          <w:lang w:val="fr-CA"/>
        </w:rPr>
        <w:t>qui a pour objectif de réduire le mariage des adolescentes et retarder les grossesses précoces. Cette Initiative cible les adolescentes âgées de 10 à 14 ans et de 15 à 19 ans mariées ou non mariées, déscolarisées et non scolarisées.</w:t>
      </w:r>
      <w:r w:rsidR="006D329A">
        <w:rPr>
          <w:bCs/>
          <w:lang w:val="fr-CA"/>
        </w:rPr>
        <w:t xml:space="preserve"> </w:t>
      </w:r>
      <w:r w:rsidR="00F52A5D" w:rsidRPr="00F52A5D">
        <w:rPr>
          <w:bCs/>
          <w:iCs/>
          <w:lang w:val="fr-CA"/>
        </w:rPr>
        <w:t>Elle a touché de 2013 à 2018 :</w:t>
      </w:r>
    </w:p>
    <w:p w14:paraId="1BC2757D" w14:textId="0C245906" w:rsidR="00F52A5D" w:rsidRPr="00953C5C" w:rsidRDefault="004C13E7" w:rsidP="004C13E7">
      <w:pPr>
        <w:pStyle w:val="Bullet1G"/>
        <w:numPr>
          <w:ilvl w:val="0"/>
          <w:numId w:val="0"/>
        </w:numPr>
        <w:tabs>
          <w:tab w:val="left" w:pos="1701"/>
        </w:tabs>
        <w:ind w:left="1701" w:hanging="170"/>
        <w:rPr>
          <w:lang w:val="fr-CA"/>
        </w:rPr>
      </w:pPr>
      <w:r w:rsidRPr="00953C5C">
        <w:rPr>
          <w:lang w:val="fr-CA"/>
        </w:rPr>
        <w:t>•</w:t>
      </w:r>
      <w:r w:rsidRPr="00953C5C">
        <w:rPr>
          <w:lang w:val="fr-CA"/>
        </w:rPr>
        <w:tab/>
      </w:r>
      <w:r w:rsidR="00F52A5D" w:rsidRPr="00953C5C">
        <w:rPr>
          <w:lang w:val="fr-CA"/>
        </w:rPr>
        <w:t>132 715 adolescentes (bénéficiaires des sessions modulaires et des séances d’alphabétisation) pour une cible de 248 000 (qui représente 1/8 des adolescentes à couvrir) d’ici 2021 ;</w:t>
      </w:r>
    </w:p>
    <w:p w14:paraId="0E21EC84" w14:textId="290DA94B" w:rsidR="00F52A5D" w:rsidRPr="00953C5C" w:rsidRDefault="004C13E7" w:rsidP="004C13E7">
      <w:pPr>
        <w:pStyle w:val="Bullet1G"/>
        <w:numPr>
          <w:ilvl w:val="0"/>
          <w:numId w:val="0"/>
        </w:numPr>
        <w:tabs>
          <w:tab w:val="left" w:pos="1701"/>
        </w:tabs>
        <w:ind w:left="1701" w:hanging="170"/>
        <w:rPr>
          <w:lang w:val="fr-CA"/>
        </w:rPr>
      </w:pPr>
      <w:r w:rsidRPr="00953C5C">
        <w:rPr>
          <w:lang w:val="fr-CA"/>
        </w:rPr>
        <w:t>•</w:t>
      </w:r>
      <w:r w:rsidRPr="00953C5C">
        <w:rPr>
          <w:lang w:val="fr-CA"/>
        </w:rPr>
        <w:tab/>
      </w:r>
      <w:r w:rsidR="00F52A5D" w:rsidRPr="00953C5C">
        <w:rPr>
          <w:lang w:val="fr-CA"/>
        </w:rPr>
        <w:t xml:space="preserve">421 filles retournées à l’école ; </w:t>
      </w:r>
    </w:p>
    <w:p w14:paraId="467B4EF5" w14:textId="74ACED04" w:rsidR="00F52A5D" w:rsidRPr="00953C5C" w:rsidRDefault="004C13E7" w:rsidP="004C13E7">
      <w:pPr>
        <w:pStyle w:val="Bullet1G"/>
        <w:numPr>
          <w:ilvl w:val="0"/>
          <w:numId w:val="0"/>
        </w:numPr>
        <w:tabs>
          <w:tab w:val="left" w:pos="1701"/>
        </w:tabs>
        <w:ind w:left="1701" w:hanging="170"/>
        <w:rPr>
          <w:lang w:val="fr-CA"/>
        </w:rPr>
      </w:pPr>
      <w:r w:rsidRPr="00953C5C">
        <w:rPr>
          <w:lang w:val="fr-CA"/>
        </w:rPr>
        <w:t>•</w:t>
      </w:r>
      <w:r w:rsidRPr="00953C5C">
        <w:rPr>
          <w:lang w:val="fr-CA"/>
        </w:rPr>
        <w:tab/>
      </w:r>
      <w:r w:rsidR="00F52A5D" w:rsidRPr="00953C5C">
        <w:rPr>
          <w:lang w:val="fr-CA"/>
        </w:rPr>
        <w:t>1</w:t>
      </w:r>
      <w:r w:rsidR="006D329A">
        <w:rPr>
          <w:lang w:val="fr-CA"/>
        </w:rPr>
        <w:t> </w:t>
      </w:r>
      <w:r w:rsidR="00F52A5D" w:rsidRPr="00953C5C">
        <w:rPr>
          <w:lang w:val="fr-CA"/>
        </w:rPr>
        <w:t>471 mariages d’enfants annulés ou retardés ;</w:t>
      </w:r>
    </w:p>
    <w:p w14:paraId="0390E007" w14:textId="09900217" w:rsidR="00F52A5D" w:rsidRPr="00953C5C" w:rsidRDefault="004C13E7" w:rsidP="004C13E7">
      <w:pPr>
        <w:pStyle w:val="Bullet1G"/>
        <w:numPr>
          <w:ilvl w:val="0"/>
          <w:numId w:val="0"/>
        </w:numPr>
        <w:tabs>
          <w:tab w:val="left" w:pos="1701"/>
        </w:tabs>
        <w:ind w:left="1701" w:hanging="170"/>
        <w:rPr>
          <w:lang w:val="fr-CA"/>
        </w:rPr>
      </w:pPr>
      <w:r w:rsidRPr="00953C5C">
        <w:rPr>
          <w:lang w:val="fr-CA"/>
        </w:rPr>
        <w:t>•</w:t>
      </w:r>
      <w:r w:rsidRPr="00953C5C">
        <w:rPr>
          <w:lang w:val="fr-CA"/>
        </w:rPr>
        <w:tab/>
      </w:r>
      <w:r w:rsidR="00F52A5D" w:rsidRPr="00953C5C">
        <w:rPr>
          <w:lang w:val="fr-CA"/>
        </w:rPr>
        <w:t>540</w:t>
      </w:r>
      <w:r w:rsidR="006D329A">
        <w:rPr>
          <w:lang w:val="fr-CA"/>
        </w:rPr>
        <w:t> </w:t>
      </w:r>
      <w:r w:rsidR="00F52A5D" w:rsidRPr="00953C5C">
        <w:rPr>
          <w:lang w:val="fr-CA"/>
        </w:rPr>
        <w:t>607 soit 41,15</w:t>
      </w:r>
      <w:r w:rsidR="006D329A">
        <w:rPr>
          <w:lang w:val="fr-CA"/>
        </w:rPr>
        <w:t> </w:t>
      </w:r>
      <w:r w:rsidR="00F52A5D" w:rsidRPr="00953C5C">
        <w:rPr>
          <w:lang w:val="fr-CA"/>
        </w:rPr>
        <w:t>% d’adolescentes qui mènent des Activités Génératrices de Revenus ;</w:t>
      </w:r>
    </w:p>
    <w:p w14:paraId="67EF29E8" w14:textId="6F542157" w:rsidR="00F52A5D" w:rsidRPr="00F52A5D" w:rsidRDefault="004C13E7" w:rsidP="004C13E7">
      <w:pPr>
        <w:pStyle w:val="Bullet1G"/>
        <w:numPr>
          <w:ilvl w:val="0"/>
          <w:numId w:val="0"/>
        </w:numPr>
        <w:tabs>
          <w:tab w:val="left" w:pos="1701"/>
        </w:tabs>
        <w:ind w:left="1701" w:hanging="170"/>
        <w:rPr>
          <w:lang w:val="fr-CA"/>
        </w:rPr>
      </w:pPr>
      <w:r w:rsidRPr="00F52A5D">
        <w:rPr>
          <w:lang w:val="fr-CA"/>
        </w:rPr>
        <w:t>•</w:t>
      </w:r>
      <w:r w:rsidRPr="00F52A5D">
        <w:rPr>
          <w:lang w:val="fr-CA"/>
        </w:rPr>
        <w:tab/>
      </w:r>
      <w:r w:rsidR="00F52A5D" w:rsidRPr="00953C5C">
        <w:rPr>
          <w:lang w:val="fr-FR"/>
        </w:rPr>
        <w:t>1</w:t>
      </w:r>
      <w:r w:rsidR="006D329A">
        <w:rPr>
          <w:lang w:val="fr-FR"/>
        </w:rPr>
        <w:t> </w:t>
      </w:r>
      <w:r w:rsidR="00F52A5D" w:rsidRPr="00953C5C">
        <w:rPr>
          <w:lang w:val="fr-FR"/>
        </w:rPr>
        <w:t>800</w:t>
      </w:r>
      <w:r w:rsidR="00F52A5D" w:rsidRPr="00F52A5D">
        <w:rPr>
          <w:lang w:val="fr-FR"/>
        </w:rPr>
        <w:t xml:space="preserve"> bénéficiaires de formation professionnelle à divers métiers tels que photographie, réparation moto, réparation cellulaire, plomberie…</w:t>
      </w:r>
    </w:p>
    <w:p w14:paraId="5D27A06A" w14:textId="2DDC1666" w:rsidR="00F52A5D" w:rsidRPr="00F52A5D" w:rsidRDefault="004C13E7" w:rsidP="004C13E7">
      <w:pPr>
        <w:pStyle w:val="SingleTxtG"/>
        <w:rPr>
          <w:bCs/>
          <w:lang w:val="fr-CA"/>
        </w:rPr>
      </w:pPr>
      <w:r w:rsidRPr="00F52A5D">
        <w:rPr>
          <w:bCs/>
          <w:lang w:val="fr-CA"/>
        </w:rPr>
        <w:t>16.</w:t>
      </w:r>
      <w:r w:rsidRPr="00F52A5D">
        <w:rPr>
          <w:bCs/>
          <w:lang w:val="fr-CA"/>
        </w:rPr>
        <w:tab/>
      </w:r>
      <w:r w:rsidR="00F52A5D" w:rsidRPr="00F52A5D">
        <w:rPr>
          <w:bCs/>
          <w:lang w:val="fr-CA"/>
        </w:rPr>
        <w:t xml:space="preserve">L’État a également mis en place une approche communautaire de protection des enfants mise en œuvre dans quatre (4) régions du pays (Maradi, Tahoua, </w:t>
      </w:r>
      <w:proofErr w:type="spellStart"/>
      <w:r w:rsidR="00F52A5D" w:rsidRPr="00F52A5D">
        <w:rPr>
          <w:bCs/>
          <w:lang w:val="fr-CA"/>
        </w:rPr>
        <w:t>Tillabéri</w:t>
      </w:r>
      <w:proofErr w:type="spellEnd"/>
      <w:r w:rsidR="00F52A5D" w:rsidRPr="00F52A5D">
        <w:rPr>
          <w:bCs/>
          <w:lang w:val="fr-CA"/>
        </w:rPr>
        <w:t xml:space="preserve"> et Zinder). Elle vise la responsabilisation des Communautés à la base pour la Protection de </w:t>
      </w:r>
      <w:r w:rsidR="00F52A5D" w:rsidRPr="00F52A5D">
        <w:rPr>
          <w:bCs/>
          <w:lang w:val="fr-CA"/>
        </w:rPr>
        <w:lastRenderedPageBreak/>
        <w:t>leurs enfants et est exécutée de manière holistique, avec comme base sur les Droits Humains en général et ceux des enfants en particulier.</w:t>
      </w:r>
    </w:p>
    <w:p w14:paraId="5441FB5E" w14:textId="4A22A335" w:rsidR="00F52A5D" w:rsidRPr="00F52A5D" w:rsidRDefault="004C13E7" w:rsidP="004C13E7">
      <w:pPr>
        <w:pStyle w:val="SingleTxtG"/>
        <w:rPr>
          <w:bCs/>
          <w:lang w:val="fr-CA"/>
        </w:rPr>
      </w:pPr>
      <w:r w:rsidRPr="00F52A5D">
        <w:rPr>
          <w:bCs/>
          <w:lang w:val="fr-CA"/>
        </w:rPr>
        <w:t>17.</w:t>
      </w:r>
      <w:r w:rsidRPr="00F52A5D">
        <w:rPr>
          <w:bCs/>
          <w:lang w:val="fr-CA"/>
        </w:rPr>
        <w:tab/>
      </w:r>
      <w:r w:rsidR="00F52A5D" w:rsidRPr="00F52A5D">
        <w:rPr>
          <w:lang w:val="fr-FR"/>
        </w:rPr>
        <w:t>L’approche</w:t>
      </w:r>
      <w:r w:rsidR="00F52A5D" w:rsidRPr="00F52A5D">
        <w:rPr>
          <w:bCs/>
          <w:lang w:val="fr-CA"/>
        </w:rPr>
        <w:t xml:space="preserve"> est appelée « communautaire » parce qu’elle est mise en œuvre par des membres de la Communauté pour la Communauté. Elle responsabilise la Communauté pour identifier ses propres problèmes et trouver des solutions consensuelles. Elle vise le changement de comportement collectif au sein de la communauté en incluant tous les membres de la communauté à travers un mécanisme de partage d’informations.</w:t>
      </w:r>
    </w:p>
    <w:p w14:paraId="02551E78" w14:textId="068F7FB3" w:rsidR="00F52A5D" w:rsidRPr="00F52A5D" w:rsidRDefault="004C13E7" w:rsidP="004C13E7">
      <w:pPr>
        <w:pStyle w:val="SingleTxtG"/>
        <w:rPr>
          <w:bCs/>
          <w:lang w:val="fr-CA"/>
        </w:rPr>
      </w:pPr>
      <w:r w:rsidRPr="00F52A5D">
        <w:rPr>
          <w:bCs/>
          <w:lang w:val="fr-CA"/>
        </w:rPr>
        <w:t>18.</w:t>
      </w:r>
      <w:r w:rsidRPr="00F52A5D">
        <w:rPr>
          <w:bCs/>
          <w:lang w:val="fr-CA"/>
        </w:rPr>
        <w:tab/>
      </w:r>
      <w:r w:rsidR="00F52A5D" w:rsidRPr="00F52A5D">
        <w:rPr>
          <w:bCs/>
          <w:lang w:val="fr-CA"/>
        </w:rPr>
        <w:t>Les différents droits sont étudiés à travers des modules autour desquels des discussions sont menées par groupes d’âge (30 hommes, 30 femmes, 30 adolescentes et 30</w:t>
      </w:r>
      <w:r w:rsidR="00816918">
        <w:rPr>
          <w:bCs/>
          <w:lang w:val="fr-CA"/>
        </w:rPr>
        <w:t> </w:t>
      </w:r>
      <w:r w:rsidR="00F52A5D" w:rsidRPr="00F52A5D">
        <w:rPr>
          <w:bCs/>
          <w:lang w:val="fr-CA"/>
        </w:rPr>
        <w:t>adolescents) choisis par les communautés.</w:t>
      </w:r>
      <w:r w:rsidR="00640309">
        <w:rPr>
          <w:bCs/>
          <w:lang w:val="fr-CA"/>
        </w:rPr>
        <w:t xml:space="preserve"> </w:t>
      </w:r>
      <w:r w:rsidR="00F52A5D" w:rsidRPr="00F52A5D">
        <w:rPr>
          <w:bCs/>
          <w:lang w:val="fr-CA"/>
        </w:rPr>
        <w:t>Un Facilitateur Communautaire (FACOM) qui réside dans le village durant les six (6) mois de la vie du programme, organise les débats et aide les populations à proposer des solutions aux problèmes qu’elles ont elles-mêmes identifiés au cours des discussions.</w:t>
      </w:r>
    </w:p>
    <w:p w14:paraId="167E827D" w14:textId="79A6FD96" w:rsidR="00F52A5D" w:rsidRPr="00F52A5D" w:rsidRDefault="004C13E7" w:rsidP="004C13E7">
      <w:pPr>
        <w:pStyle w:val="SingleTxtG"/>
        <w:rPr>
          <w:bCs/>
          <w:lang w:val="fr-CA"/>
        </w:rPr>
      </w:pPr>
      <w:r w:rsidRPr="00F52A5D">
        <w:rPr>
          <w:bCs/>
          <w:lang w:val="fr-CA"/>
        </w:rPr>
        <w:t>19.</w:t>
      </w:r>
      <w:r w:rsidRPr="00F52A5D">
        <w:rPr>
          <w:bCs/>
          <w:lang w:val="fr-CA"/>
        </w:rPr>
        <w:tab/>
      </w:r>
      <w:r w:rsidR="00F52A5D" w:rsidRPr="00F52A5D">
        <w:rPr>
          <w:bCs/>
          <w:lang w:val="fr-CA"/>
        </w:rPr>
        <w:t xml:space="preserve">Cinq (5) modules sont déroulés dans chaque localité hôte, </w:t>
      </w:r>
      <w:r w:rsidR="00F52A5D" w:rsidRPr="00641127">
        <w:rPr>
          <w:bCs/>
          <w:lang w:val="fr-CA"/>
        </w:rPr>
        <w:t xml:space="preserve">dont le module « </w:t>
      </w:r>
      <w:r w:rsidR="00F52A5D" w:rsidRPr="00641127">
        <w:rPr>
          <w:bCs/>
          <w:iCs/>
          <w:lang w:val="fr-CA"/>
        </w:rPr>
        <w:t>Anatomie, Physiologie des organes génitaux, sexualité</w:t>
      </w:r>
      <w:r w:rsidR="00E25311">
        <w:rPr>
          <w:bCs/>
          <w:iCs/>
          <w:lang w:val="fr-CA"/>
        </w:rPr>
        <w:t> </w:t>
      </w:r>
      <w:r w:rsidR="00F52A5D" w:rsidRPr="00641127">
        <w:rPr>
          <w:bCs/>
          <w:lang w:val="fr-CA"/>
        </w:rPr>
        <w:t>» à travers lequel</w:t>
      </w:r>
      <w:r w:rsidR="00F52A5D" w:rsidRPr="00F52A5D">
        <w:rPr>
          <w:bCs/>
          <w:lang w:val="fr-CA"/>
        </w:rPr>
        <w:t xml:space="preserve"> les Communautés sont sensibilisées sur les risques que courent les filles mariées à bas âge, en raison de l’immaturité de leur organisme à gérer une grossesse.</w:t>
      </w:r>
    </w:p>
    <w:p w14:paraId="0E60C54A" w14:textId="0B26990D" w:rsidR="00F52A5D" w:rsidRPr="00F52A5D" w:rsidRDefault="004C13E7" w:rsidP="004C13E7">
      <w:pPr>
        <w:pStyle w:val="SingleTxtG"/>
        <w:rPr>
          <w:bCs/>
          <w:lang w:val="fr-CA"/>
        </w:rPr>
      </w:pPr>
      <w:r w:rsidRPr="00F52A5D">
        <w:rPr>
          <w:bCs/>
          <w:lang w:val="fr-CA"/>
        </w:rPr>
        <w:t>20.</w:t>
      </w:r>
      <w:r w:rsidRPr="00F52A5D">
        <w:rPr>
          <w:bCs/>
          <w:lang w:val="fr-CA"/>
        </w:rPr>
        <w:tab/>
      </w:r>
      <w:r w:rsidR="00F52A5D" w:rsidRPr="00F52A5D">
        <w:rPr>
          <w:bCs/>
          <w:lang w:val="fr-CA"/>
        </w:rPr>
        <w:t>Les résultats obtenus dans la mise en œuvre de cette approche communautaire sont éloquents. En effet, 1</w:t>
      </w:r>
      <w:r w:rsidR="00816918">
        <w:rPr>
          <w:bCs/>
          <w:lang w:val="fr-CA"/>
        </w:rPr>
        <w:t> </w:t>
      </w:r>
      <w:r w:rsidR="00F52A5D" w:rsidRPr="00F52A5D">
        <w:rPr>
          <w:bCs/>
          <w:lang w:val="fr-CA"/>
        </w:rPr>
        <w:t>084 villages ont mis en place chacun un Comité Villageois de protection de l’enfant</w:t>
      </w:r>
      <w:r w:rsidR="00816918">
        <w:rPr>
          <w:bCs/>
          <w:lang w:val="fr-CA"/>
        </w:rPr>
        <w:t> </w:t>
      </w:r>
      <w:r w:rsidR="00F52A5D" w:rsidRPr="00F52A5D">
        <w:rPr>
          <w:bCs/>
          <w:lang w:val="fr-CA"/>
        </w:rPr>
        <w:t>; 235 adolescentes de 14 à 18 ans ont directement participé au Programme et leurs capacités ont été renforcées en matière de Droits Humains et sur les compétences de vie courante</w:t>
      </w:r>
      <w:r w:rsidR="00816918">
        <w:rPr>
          <w:bCs/>
          <w:lang w:val="fr-CA"/>
        </w:rPr>
        <w:t> </w:t>
      </w:r>
      <w:r w:rsidR="00F52A5D" w:rsidRPr="00F52A5D">
        <w:rPr>
          <w:bCs/>
          <w:lang w:val="fr-CA"/>
        </w:rPr>
        <w:t>; les participantes directes du Programme, appelées correspondantes pour la protection ont été formées et outillées afin de poursuivre les activités de sensibilisation dans les villages et sur les radios communautaires; 52</w:t>
      </w:r>
      <w:r w:rsidR="00816918">
        <w:rPr>
          <w:bCs/>
          <w:lang w:val="fr-CA"/>
        </w:rPr>
        <w:t> </w:t>
      </w:r>
      <w:r w:rsidR="00F52A5D" w:rsidRPr="00F52A5D">
        <w:rPr>
          <w:bCs/>
          <w:lang w:val="fr-CA"/>
        </w:rPr>
        <w:t xml:space="preserve">% des 854 villages cibles ont publiquement déclaré leur intention de promouvoir un environnement protecteur pour les enfants. Plusieurs villages ont adopté comme symbole d’abandon des pratiques néfastes, un drapeau blanc accroché sur les arbres à palabre et ceux des entrées du village ; 451 cas de mariage d’enfants ont été annulés ou retardés dont 229 grâce au programme communautaire; 614 enfants dont 243 filles sont retournées à l’école grâce à l’effort des comités appuyés par les facilitateurs communautaires. </w:t>
      </w:r>
    </w:p>
    <w:p w14:paraId="317D6420" w14:textId="49D043A3" w:rsidR="00F52A5D" w:rsidRPr="00F52A5D" w:rsidRDefault="004C13E7" w:rsidP="004C13E7">
      <w:pPr>
        <w:pStyle w:val="SingleTxtG"/>
        <w:rPr>
          <w:bCs/>
          <w:lang w:val="fr-CA"/>
        </w:rPr>
      </w:pPr>
      <w:r w:rsidRPr="00F52A5D">
        <w:rPr>
          <w:bCs/>
          <w:lang w:val="fr-CA"/>
        </w:rPr>
        <w:t>21.</w:t>
      </w:r>
      <w:r w:rsidRPr="00F52A5D">
        <w:rPr>
          <w:bCs/>
          <w:lang w:val="fr-CA"/>
        </w:rPr>
        <w:tab/>
      </w:r>
      <w:r w:rsidR="00F52A5D" w:rsidRPr="00F52A5D">
        <w:rPr>
          <w:bCs/>
          <w:lang w:val="fr-CA"/>
        </w:rPr>
        <w:t xml:space="preserve">Des actions de sensibilisation ont enfin été menées par l’Association des Chefs Traditionnels du Niger (ACTN). C’est ainsi que certains chefs de canton, notamment ceux d’Illéla dans la région de Tahoua et de </w:t>
      </w:r>
      <w:proofErr w:type="spellStart"/>
      <w:r w:rsidR="00F52A5D" w:rsidRPr="00F52A5D">
        <w:rPr>
          <w:bCs/>
          <w:lang w:val="fr-CA"/>
        </w:rPr>
        <w:t>Chadakori</w:t>
      </w:r>
      <w:proofErr w:type="spellEnd"/>
      <w:r w:rsidR="00F52A5D" w:rsidRPr="00F52A5D">
        <w:rPr>
          <w:bCs/>
          <w:lang w:val="fr-CA"/>
        </w:rPr>
        <w:t xml:space="preserve"> dans la région de Maradi, ont </w:t>
      </w:r>
      <w:r w:rsidR="00F52A5D" w:rsidRPr="001C1F7C">
        <w:rPr>
          <w:bCs/>
          <w:lang w:val="fr-CA"/>
        </w:rPr>
        <w:t>pris des «</w:t>
      </w:r>
      <w:r w:rsidR="00E25311">
        <w:rPr>
          <w:bCs/>
          <w:lang w:val="fr-CA"/>
        </w:rPr>
        <w:t> </w:t>
      </w:r>
      <w:r w:rsidR="00F52A5D" w:rsidRPr="001C1F7C">
        <w:rPr>
          <w:bCs/>
          <w:iCs/>
          <w:lang w:val="fr-CA"/>
        </w:rPr>
        <w:t>circulaires</w:t>
      </w:r>
      <w:r w:rsidR="00F52A5D" w:rsidRPr="001C1F7C">
        <w:rPr>
          <w:bCs/>
          <w:lang w:val="fr-CA"/>
        </w:rPr>
        <w:t> » interdisant la pratique de mariage précoce sur leurs territoires. Beauco</w:t>
      </w:r>
      <w:r w:rsidR="00F52A5D" w:rsidRPr="00F52A5D">
        <w:rPr>
          <w:bCs/>
          <w:lang w:val="fr-CA"/>
        </w:rPr>
        <w:t xml:space="preserve">up de cas de mariages de filles en cours de scolarité ont été reportés ou annulés par ces chefs coutumiers avec l’assentiment des populations. </w:t>
      </w:r>
    </w:p>
    <w:p w14:paraId="3276FAF7" w14:textId="77777777" w:rsidR="00F52A5D" w:rsidRPr="00F52A5D" w:rsidRDefault="00856EC4" w:rsidP="00856EC4">
      <w:pPr>
        <w:pStyle w:val="H1G"/>
        <w:rPr>
          <w:lang w:val="fr-FR"/>
        </w:rPr>
      </w:pPr>
      <w:bookmarkStart w:id="10" w:name="_Toc52788284"/>
      <w:r>
        <w:rPr>
          <w:lang w:val="fr-FR"/>
        </w:rPr>
        <w:tab/>
        <w:t>C.</w:t>
      </w:r>
      <w:r>
        <w:rPr>
          <w:lang w:val="fr-FR"/>
        </w:rPr>
        <w:tab/>
      </w:r>
      <w:r w:rsidR="00F52A5D" w:rsidRPr="00F52A5D">
        <w:rPr>
          <w:lang w:val="fr-FR"/>
        </w:rPr>
        <w:t>Le droit à la santé</w:t>
      </w:r>
      <w:bookmarkEnd w:id="10"/>
    </w:p>
    <w:p w14:paraId="19869952" w14:textId="0AFE3067" w:rsidR="00A32D68" w:rsidRPr="004C13E7" w:rsidRDefault="00816918" w:rsidP="004C13E7">
      <w:pPr>
        <w:pStyle w:val="H23G"/>
      </w:pPr>
      <w:bookmarkStart w:id="11" w:name="_Toc52788285"/>
      <w:r>
        <w:tab/>
      </w:r>
      <w:r>
        <w:tab/>
      </w:r>
      <w:r w:rsidR="00A32D68" w:rsidRPr="00A32D68">
        <w:t>Réponse</w:t>
      </w:r>
      <w:r w:rsidR="00A32D68">
        <w:t xml:space="preserve"> au paragraphe </w:t>
      </w:r>
      <w:r w:rsidR="00A32D68" w:rsidRPr="00F52A5D">
        <w:rPr>
          <w:lang w:val="fr-FR"/>
        </w:rPr>
        <w:t>52</w:t>
      </w:r>
      <w:r w:rsidR="00986CDC">
        <w:rPr>
          <w:lang w:val="fr-FR"/>
        </w:rPr>
        <w:t> </w:t>
      </w:r>
      <w:r w:rsidR="00A32D68" w:rsidRPr="00F52A5D">
        <w:rPr>
          <w:lang w:val="fr-FR"/>
        </w:rPr>
        <w:t>c)</w:t>
      </w:r>
      <w:r w:rsidR="00A32D68">
        <w:rPr>
          <w:lang w:val="fr-FR"/>
        </w:rPr>
        <w:t xml:space="preserve"> </w:t>
      </w:r>
      <w:r w:rsidR="00953C5C">
        <w:t>des o</w:t>
      </w:r>
      <w:r w:rsidR="00A32D68">
        <w:t xml:space="preserve">bservations finales </w:t>
      </w:r>
    </w:p>
    <w:bookmarkEnd w:id="11"/>
    <w:p w14:paraId="5BB48C1F" w14:textId="32575233" w:rsidR="00F52A5D" w:rsidRPr="00F52A5D" w:rsidRDefault="004C13E7" w:rsidP="004C13E7">
      <w:pPr>
        <w:pStyle w:val="SingleTxtG"/>
        <w:rPr>
          <w:lang w:val="fr-FR"/>
        </w:rPr>
      </w:pPr>
      <w:r w:rsidRPr="00F52A5D">
        <w:rPr>
          <w:lang w:val="fr-FR"/>
        </w:rPr>
        <w:t>22.</w:t>
      </w:r>
      <w:r w:rsidRPr="00F52A5D">
        <w:rPr>
          <w:lang w:val="fr-FR"/>
        </w:rPr>
        <w:tab/>
      </w:r>
      <w:r w:rsidR="00F52A5D" w:rsidRPr="00F52A5D">
        <w:rPr>
          <w:lang w:val="fr-FR"/>
        </w:rPr>
        <w:t>La politique de gratuité des soins instituée par l’</w:t>
      </w:r>
      <w:r w:rsidR="00646915">
        <w:rPr>
          <w:lang w:val="fr-FR"/>
        </w:rPr>
        <w:t>État</w:t>
      </w:r>
      <w:r w:rsidR="00F52A5D" w:rsidRPr="00F52A5D">
        <w:rPr>
          <w:lang w:val="fr-FR"/>
        </w:rPr>
        <w:t xml:space="preserve"> pour les populations vulnérables se poursuit par la prise en charge des femmes enceintes, des enfants âgés de moins de cinq (5) ans et les prestations liées aux cancers féminins.</w:t>
      </w:r>
    </w:p>
    <w:p w14:paraId="387056FB" w14:textId="2BCE8306" w:rsidR="00F52A5D" w:rsidRPr="00F52A5D" w:rsidRDefault="004C13E7" w:rsidP="004C13E7">
      <w:pPr>
        <w:pStyle w:val="SingleTxtG"/>
        <w:rPr>
          <w:bCs/>
          <w:lang w:val="fr-FR"/>
        </w:rPr>
      </w:pPr>
      <w:r w:rsidRPr="00F52A5D">
        <w:rPr>
          <w:bCs/>
          <w:lang w:val="fr-FR"/>
        </w:rPr>
        <w:t>23.</w:t>
      </w:r>
      <w:r w:rsidRPr="00F52A5D">
        <w:rPr>
          <w:bCs/>
          <w:lang w:val="fr-FR"/>
        </w:rPr>
        <w:tab/>
      </w:r>
      <w:r w:rsidR="00F52A5D" w:rsidRPr="00F52A5D">
        <w:rPr>
          <w:bCs/>
          <w:lang w:val="fr-FR"/>
        </w:rPr>
        <w:t xml:space="preserve">En ce qui concerne les personnes handicapées, le Niger a fourni des efforts considérables pour améliorer la qualité et l’accès aux services de santé voire la mise en œuvre des stratégies spécifiques pour la gratuité des soins. </w:t>
      </w:r>
    </w:p>
    <w:p w14:paraId="48C5AD3B" w14:textId="0641F7DD" w:rsidR="00F52A5D" w:rsidRPr="00F52A5D" w:rsidRDefault="004C13E7" w:rsidP="004C13E7">
      <w:pPr>
        <w:pStyle w:val="SingleTxtG"/>
        <w:rPr>
          <w:bCs/>
          <w:lang w:val="fr-FR"/>
        </w:rPr>
      </w:pPr>
      <w:r w:rsidRPr="00F52A5D">
        <w:rPr>
          <w:bCs/>
          <w:lang w:val="fr-FR"/>
        </w:rPr>
        <w:t>24.</w:t>
      </w:r>
      <w:r w:rsidRPr="00F52A5D">
        <w:rPr>
          <w:bCs/>
          <w:lang w:val="fr-FR"/>
        </w:rPr>
        <w:tab/>
      </w:r>
      <w:r w:rsidR="00816918">
        <w:rPr>
          <w:bCs/>
          <w:lang w:val="fr-FR"/>
        </w:rPr>
        <w:t>À</w:t>
      </w:r>
      <w:r w:rsidR="00F52A5D" w:rsidRPr="00F52A5D">
        <w:rPr>
          <w:bCs/>
          <w:lang w:val="fr-FR"/>
        </w:rPr>
        <w:t xml:space="preserve"> la date du 31 janvier 2019, les services sociaux de l’action sociale ont enregistré plus de quatre mille (4</w:t>
      </w:r>
      <w:r w:rsidR="00816918">
        <w:rPr>
          <w:bCs/>
          <w:lang w:val="fr-FR"/>
        </w:rPr>
        <w:t> </w:t>
      </w:r>
      <w:r w:rsidR="00F52A5D" w:rsidRPr="00F52A5D">
        <w:rPr>
          <w:bCs/>
          <w:lang w:val="fr-FR"/>
        </w:rPr>
        <w:t xml:space="preserve">000) personnes handicapées et les membres de leurs familles qui ont bénéficié de cette prise en charge médicale. </w:t>
      </w:r>
    </w:p>
    <w:p w14:paraId="6293864D" w14:textId="13B4482F" w:rsidR="00F52A5D" w:rsidRPr="00F52A5D" w:rsidRDefault="004C13E7" w:rsidP="004C13E7">
      <w:pPr>
        <w:pStyle w:val="SingleTxtG"/>
        <w:rPr>
          <w:bCs/>
          <w:lang w:val="fr-FR"/>
        </w:rPr>
      </w:pPr>
      <w:r w:rsidRPr="00F52A5D">
        <w:rPr>
          <w:bCs/>
          <w:lang w:val="fr-FR"/>
        </w:rPr>
        <w:t>25.</w:t>
      </w:r>
      <w:r w:rsidRPr="00F52A5D">
        <w:rPr>
          <w:bCs/>
          <w:lang w:val="fr-FR"/>
        </w:rPr>
        <w:tab/>
      </w:r>
      <w:r w:rsidR="00F52A5D" w:rsidRPr="00F52A5D">
        <w:rPr>
          <w:bCs/>
          <w:lang w:val="fr-FR"/>
        </w:rPr>
        <w:t>La gratuité des soins aux enfants de moins de cinq ans et aux femmes, notamment les consultations prénatales, la césarienne, la planification familiale, le dépistage, la prise en charge des cancers féminins et de la fistule obstétricale, bénéficient également aux personnes handicapées.</w:t>
      </w:r>
    </w:p>
    <w:p w14:paraId="509417F5" w14:textId="65A8B1A7" w:rsidR="00F52A5D" w:rsidRPr="00F52A5D" w:rsidRDefault="004C13E7" w:rsidP="004C13E7">
      <w:pPr>
        <w:pStyle w:val="SingleTxtG"/>
        <w:rPr>
          <w:bCs/>
          <w:lang w:val="fr-FR"/>
        </w:rPr>
      </w:pPr>
      <w:r w:rsidRPr="00F52A5D">
        <w:rPr>
          <w:bCs/>
          <w:lang w:val="fr-FR"/>
        </w:rPr>
        <w:lastRenderedPageBreak/>
        <w:t>26.</w:t>
      </w:r>
      <w:r w:rsidRPr="00F52A5D">
        <w:rPr>
          <w:bCs/>
          <w:lang w:val="fr-FR"/>
        </w:rPr>
        <w:tab/>
      </w:r>
      <w:r w:rsidR="00F52A5D" w:rsidRPr="00F52A5D">
        <w:rPr>
          <w:bCs/>
          <w:lang w:val="fr-FR"/>
        </w:rPr>
        <w:t>Les textes réglementaires qui prévoient la gratuité des soins aux personnes vulnérables sont :</w:t>
      </w:r>
    </w:p>
    <w:p w14:paraId="5C67DFA1" w14:textId="6D72BC24"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F52A5D" w:rsidRPr="00F52A5D">
        <w:rPr>
          <w:lang w:val="fr-FR"/>
        </w:rPr>
        <w:t xml:space="preserve">Le décret </w:t>
      </w:r>
      <w:r w:rsidR="00816918" w:rsidRPr="00F52A5D">
        <w:rPr>
          <w:lang w:val="fr-FR"/>
        </w:rPr>
        <w:t>n</w:t>
      </w:r>
      <w:r w:rsidR="00816918" w:rsidRPr="002C4D81">
        <w:rPr>
          <w:vertAlign w:val="superscript"/>
          <w:lang w:val="fr-FR"/>
        </w:rPr>
        <w:t>o</w:t>
      </w:r>
      <w:r w:rsidR="00816918">
        <w:rPr>
          <w:lang w:val="fr-FR"/>
        </w:rPr>
        <w:t> </w:t>
      </w:r>
      <w:r w:rsidR="00F52A5D" w:rsidRPr="00F52A5D">
        <w:rPr>
          <w:lang w:val="fr-FR"/>
        </w:rPr>
        <w:t xml:space="preserve">2005-316/PRN/MSP/LCE du 11 novembre 2005, accordant aux femmes la gratuité des prestations liées aux césariennes fournies par les Etablissements de Santé </w:t>
      </w:r>
      <w:r w:rsidR="00315A36">
        <w:rPr>
          <w:lang w:val="fr-FR"/>
        </w:rPr>
        <w:t>p</w:t>
      </w:r>
      <w:r w:rsidR="00F52A5D" w:rsidRPr="00F52A5D">
        <w:rPr>
          <w:lang w:val="fr-FR"/>
        </w:rPr>
        <w:t>ublics ;</w:t>
      </w:r>
    </w:p>
    <w:p w14:paraId="17FB0439" w14:textId="291A3512"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F52A5D" w:rsidRPr="00F52A5D">
        <w:rPr>
          <w:lang w:val="fr-FR"/>
        </w:rPr>
        <w:t xml:space="preserve">Le décret </w:t>
      </w:r>
      <w:r w:rsidR="00816918" w:rsidRPr="00F52A5D">
        <w:rPr>
          <w:lang w:val="fr-FR"/>
        </w:rPr>
        <w:t>n</w:t>
      </w:r>
      <w:r w:rsidR="00816918" w:rsidRPr="002C4D81">
        <w:rPr>
          <w:vertAlign w:val="superscript"/>
          <w:lang w:val="fr-FR"/>
        </w:rPr>
        <w:t>o</w:t>
      </w:r>
      <w:r w:rsidR="00816918">
        <w:rPr>
          <w:lang w:val="fr-FR"/>
        </w:rPr>
        <w:t> </w:t>
      </w:r>
      <w:r w:rsidR="00F52A5D" w:rsidRPr="00F52A5D">
        <w:rPr>
          <w:lang w:val="fr-FR"/>
        </w:rPr>
        <w:t xml:space="preserve">2007-261/PRN/MSP du 19 juillet 2007, instituant la gratuité des prestations liées aux cancers féminins, fournies par les Etablissements </w:t>
      </w:r>
      <w:r w:rsidR="00315A36" w:rsidRPr="00F52A5D">
        <w:rPr>
          <w:lang w:val="fr-FR"/>
        </w:rPr>
        <w:t xml:space="preserve">de Santé </w:t>
      </w:r>
      <w:r w:rsidR="00F52A5D" w:rsidRPr="00F52A5D">
        <w:rPr>
          <w:lang w:val="fr-FR"/>
        </w:rPr>
        <w:t xml:space="preserve">publics, modifié par le décret </w:t>
      </w:r>
      <w:r w:rsidR="00816918" w:rsidRPr="00F52A5D">
        <w:rPr>
          <w:lang w:val="fr-FR"/>
        </w:rPr>
        <w:t>n</w:t>
      </w:r>
      <w:r w:rsidR="00816918" w:rsidRPr="002C4D81">
        <w:rPr>
          <w:vertAlign w:val="superscript"/>
          <w:lang w:val="fr-FR"/>
        </w:rPr>
        <w:t>o</w:t>
      </w:r>
      <w:r w:rsidR="00816918">
        <w:rPr>
          <w:lang w:val="fr-FR"/>
        </w:rPr>
        <w:t> </w:t>
      </w:r>
      <w:r w:rsidR="00F52A5D" w:rsidRPr="00F52A5D">
        <w:rPr>
          <w:lang w:val="fr-FR"/>
        </w:rPr>
        <w:t>2007-410/PRN/MSP du 1</w:t>
      </w:r>
      <w:r w:rsidR="00F52A5D" w:rsidRPr="004C13E7">
        <w:rPr>
          <w:vertAlign w:val="superscript"/>
          <w:lang w:val="fr-FR"/>
        </w:rPr>
        <w:t>er</w:t>
      </w:r>
      <w:r w:rsidR="00F52A5D" w:rsidRPr="00F52A5D">
        <w:rPr>
          <w:lang w:val="fr-FR"/>
        </w:rPr>
        <w:t xml:space="preserve"> octobre 2007 ;</w:t>
      </w:r>
      <w:r w:rsidR="00640309">
        <w:rPr>
          <w:lang w:val="fr-FR"/>
        </w:rPr>
        <w:t xml:space="preserve"> </w:t>
      </w:r>
    </w:p>
    <w:p w14:paraId="13DDC54B" w14:textId="2B925D83"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F52A5D" w:rsidRPr="00F52A5D">
        <w:rPr>
          <w:lang w:val="fr-FR"/>
        </w:rPr>
        <w:t xml:space="preserve"> L’arrêté </w:t>
      </w:r>
      <w:r w:rsidR="00816918" w:rsidRPr="00F52A5D">
        <w:rPr>
          <w:lang w:val="fr-FR"/>
        </w:rPr>
        <w:t>n</w:t>
      </w:r>
      <w:r w:rsidR="00816918" w:rsidRPr="002C4D81">
        <w:rPr>
          <w:vertAlign w:val="superscript"/>
          <w:lang w:val="fr-FR"/>
        </w:rPr>
        <w:t>o</w:t>
      </w:r>
      <w:r w:rsidR="00816918">
        <w:rPr>
          <w:lang w:val="fr-FR"/>
        </w:rPr>
        <w:t> </w:t>
      </w:r>
      <w:r w:rsidR="00F52A5D" w:rsidRPr="00F52A5D">
        <w:rPr>
          <w:lang w:val="fr-FR"/>
        </w:rPr>
        <w:t xml:space="preserve">015/MSP/LCE/DGSP du 27 </w:t>
      </w:r>
      <w:r w:rsidR="00816918">
        <w:rPr>
          <w:lang w:val="fr-FR"/>
        </w:rPr>
        <w:t>j</w:t>
      </w:r>
      <w:r w:rsidR="00F52A5D" w:rsidRPr="00F52A5D">
        <w:rPr>
          <w:lang w:val="fr-FR"/>
        </w:rPr>
        <w:t xml:space="preserve">anvier 2006, portant modalités d’application du décret </w:t>
      </w:r>
      <w:r w:rsidR="00816918" w:rsidRPr="00F52A5D">
        <w:rPr>
          <w:lang w:val="fr-FR"/>
        </w:rPr>
        <w:t>n</w:t>
      </w:r>
      <w:r w:rsidR="00816918" w:rsidRPr="002C4D81">
        <w:rPr>
          <w:vertAlign w:val="superscript"/>
          <w:lang w:val="fr-FR"/>
        </w:rPr>
        <w:t>o</w:t>
      </w:r>
      <w:r w:rsidR="00816918">
        <w:rPr>
          <w:lang w:val="fr-FR"/>
        </w:rPr>
        <w:t> </w:t>
      </w:r>
      <w:r w:rsidR="00F52A5D" w:rsidRPr="00F52A5D">
        <w:rPr>
          <w:lang w:val="fr-FR"/>
        </w:rPr>
        <w:t>2005-316/PRN/MSP/LCE du 11 novembre 2005, accordant aux femmes la gratuité des prestations liées aux césariennes fournies par les Etablissements de Santé publi</w:t>
      </w:r>
      <w:r w:rsidR="00315A36">
        <w:rPr>
          <w:lang w:val="fr-FR"/>
        </w:rPr>
        <w:t>cs </w:t>
      </w:r>
      <w:r w:rsidR="00F52A5D" w:rsidRPr="00F52A5D">
        <w:rPr>
          <w:lang w:val="fr-FR"/>
        </w:rPr>
        <w:t xml:space="preserve">; </w:t>
      </w:r>
    </w:p>
    <w:p w14:paraId="3DE685C5" w14:textId="60E425FE"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F52A5D" w:rsidRPr="00F52A5D">
        <w:rPr>
          <w:lang w:val="fr-FR"/>
        </w:rPr>
        <w:t xml:space="preserve">L’arrêté </w:t>
      </w:r>
      <w:r w:rsidR="005B6C45" w:rsidRPr="00F52A5D">
        <w:rPr>
          <w:lang w:val="fr-FR"/>
        </w:rPr>
        <w:t>n</w:t>
      </w:r>
      <w:r w:rsidR="005B6C45" w:rsidRPr="002C4D81">
        <w:rPr>
          <w:vertAlign w:val="superscript"/>
          <w:lang w:val="fr-FR"/>
        </w:rPr>
        <w:t>o</w:t>
      </w:r>
      <w:r w:rsidR="005B6C45">
        <w:rPr>
          <w:lang w:val="fr-FR"/>
        </w:rPr>
        <w:t> </w:t>
      </w:r>
      <w:r w:rsidR="00F52A5D" w:rsidRPr="00F52A5D">
        <w:rPr>
          <w:lang w:val="fr-FR"/>
        </w:rPr>
        <w:t xml:space="preserve">65/MSP/LCE/DPHL/MT du 7 avril 2006, instituant la gratuité des contraceptifs et préservatifs dans les Etablissements </w:t>
      </w:r>
      <w:r w:rsidR="009D0D1D" w:rsidRPr="00F52A5D">
        <w:rPr>
          <w:lang w:val="fr-FR"/>
        </w:rPr>
        <w:t>de Santé</w:t>
      </w:r>
      <w:r w:rsidR="009D0D1D">
        <w:rPr>
          <w:lang w:val="fr-FR"/>
        </w:rPr>
        <w:t xml:space="preserve"> </w:t>
      </w:r>
      <w:r w:rsidR="00F52A5D" w:rsidRPr="00F52A5D">
        <w:rPr>
          <w:lang w:val="fr-FR"/>
        </w:rPr>
        <w:t>publics</w:t>
      </w:r>
      <w:r w:rsidR="009D0D1D">
        <w:rPr>
          <w:lang w:val="fr-FR"/>
        </w:rPr>
        <w:t> </w:t>
      </w:r>
      <w:r w:rsidR="00F52A5D" w:rsidRPr="00F52A5D">
        <w:rPr>
          <w:lang w:val="fr-FR"/>
        </w:rPr>
        <w:t xml:space="preserve">; </w:t>
      </w:r>
    </w:p>
    <w:p w14:paraId="4FA6A0E5" w14:textId="252A3FF3" w:rsidR="00F52A5D" w:rsidRPr="00F52A5D" w:rsidRDefault="004C13E7" w:rsidP="004C13E7">
      <w:pPr>
        <w:pStyle w:val="Bullet1G"/>
        <w:numPr>
          <w:ilvl w:val="0"/>
          <w:numId w:val="0"/>
        </w:numPr>
        <w:tabs>
          <w:tab w:val="left" w:pos="1701"/>
        </w:tabs>
        <w:ind w:left="1701" w:hanging="170"/>
        <w:rPr>
          <w:lang w:val="fr-FR"/>
        </w:rPr>
      </w:pPr>
      <w:r w:rsidRPr="00F52A5D">
        <w:rPr>
          <w:lang w:val="fr-FR"/>
        </w:rPr>
        <w:t>•</w:t>
      </w:r>
      <w:r w:rsidRPr="00F52A5D">
        <w:rPr>
          <w:lang w:val="fr-FR"/>
        </w:rPr>
        <w:tab/>
      </w:r>
      <w:r w:rsidR="00F52A5D" w:rsidRPr="00F52A5D">
        <w:rPr>
          <w:lang w:val="fr-FR"/>
        </w:rPr>
        <w:t xml:space="preserve">L’arrêté </w:t>
      </w:r>
      <w:r w:rsidR="005B6C45" w:rsidRPr="00F52A5D">
        <w:rPr>
          <w:lang w:val="fr-FR"/>
        </w:rPr>
        <w:t>n</w:t>
      </w:r>
      <w:r w:rsidR="005B6C45" w:rsidRPr="002C4D81">
        <w:rPr>
          <w:vertAlign w:val="superscript"/>
          <w:lang w:val="fr-FR"/>
        </w:rPr>
        <w:t>o</w:t>
      </w:r>
      <w:r w:rsidR="005B6C45">
        <w:rPr>
          <w:lang w:val="fr-FR"/>
        </w:rPr>
        <w:t> </w:t>
      </w:r>
      <w:r w:rsidR="00F52A5D" w:rsidRPr="00F52A5D">
        <w:rPr>
          <w:lang w:val="fr-FR"/>
        </w:rPr>
        <w:t xml:space="preserve">79/MSP/LCE/ME/F du 26 </w:t>
      </w:r>
      <w:r w:rsidR="005B6C45">
        <w:rPr>
          <w:lang w:val="fr-FR"/>
        </w:rPr>
        <w:t>a</w:t>
      </w:r>
      <w:r w:rsidR="00F52A5D" w:rsidRPr="00F52A5D">
        <w:rPr>
          <w:lang w:val="fr-FR"/>
        </w:rPr>
        <w:t>vril 2006, portant gratuité de la consultation prénatale et des soins aux enfants de zéro à cinq ans.</w:t>
      </w:r>
    </w:p>
    <w:p w14:paraId="46775239" w14:textId="4B4B5C8C" w:rsidR="00F52A5D" w:rsidRPr="00F52A5D" w:rsidRDefault="004C13E7" w:rsidP="004C13E7">
      <w:pPr>
        <w:pStyle w:val="SingleTxtG"/>
        <w:rPr>
          <w:lang w:val="fr-FR"/>
        </w:rPr>
      </w:pPr>
      <w:r w:rsidRPr="00F52A5D">
        <w:rPr>
          <w:lang w:val="fr-FR"/>
        </w:rPr>
        <w:t>27.</w:t>
      </w:r>
      <w:r w:rsidRPr="00F52A5D">
        <w:rPr>
          <w:lang w:val="fr-FR"/>
        </w:rPr>
        <w:tab/>
      </w:r>
      <w:r w:rsidR="00F52A5D" w:rsidRPr="00F52A5D">
        <w:rPr>
          <w:lang w:val="fr-FR"/>
        </w:rPr>
        <w:t xml:space="preserve">En ce qui concerne les anti-retro-viraux (ARV), le Niger a mis en place depuis 2004 une politique de gratuité appelée Initiative Nigérienne d’Accès aux ARV (INARV). Ainsi les ARV et autres soins sont offerts gratuitement à tous les patients. C’est d’ailleurs pour cela que le Niger a inscrit une ligne budgétaire ARV depuis 2011 qui est devenue actuellement </w:t>
      </w:r>
      <w:r w:rsidR="00F52A5D" w:rsidRPr="00641127">
        <w:rPr>
          <w:lang w:val="fr-FR"/>
        </w:rPr>
        <w:t>« </w:t>
      </w:r>
      <w:r w:rsidR="00F52A5D" w:rsidRPr="00641127">
        <w:rPr>
          <w:iCs/>
          <w:lang w:val="fr-FR"/>
        </w:rPr>
        <w:t>ligne appui à la riposte au VIH</w:t>
      </w:r>
      <w:r w:rsidR="00F52A5D" w:rsidRPr="00641127">
        <w:rPr>
          <w:lang w:val="fr-FR"/>
        </w:rPr>
        <w:t> » régulièrement</w:t>
      </w:r>
      <w:r w:rsidR="00F52A5D" w:rsidRPr="00F52A5D">
        <w:rPr>
          <w:lang w:val="fr-FR"/>
        </w:rPr>
        <w:t xml:space="preserve"> inscrite dans la loi des finances. Elle permet, en plus des ARV, d’acquérir des réactifs et d’autres équipements biomédicaux en lien avec la prise en charge médicale du VIH.</w:t>
      </w:r>
    </w:p>
    <w:p w14:paraId="6A9A3729" w14:textId="4BF684A4" w:rsidR="00F52A5D" w:rsidRPr="00F52A5D" w:rsidRDefault="004C13E7" w:rsidP="004C13E7">
      <w:pPr>
        <w:pStyle w:val="SingleTxtG"/>
        <w:rPr>
          <w:lang w:val="fr-FR"/>
        </w:rPr>
      </w:pPr>
      <w:r w:rsidRPr="00F52A5D">
        <w:rPr>
          <w:lang w:val="fr-FR"/>
        </w:rPr>
        <w:t>28.</w:t>
      </w:r>
      <w:r w:rsidRPr="00F52A5D">
        <w:rPr>
          <w:lang w:val="fr-FR"/>
        </w:rPr>
        <w:tab/>
      </w:r>
      <w:r w:rsidR="00F52A5D" w:rsidRPr="00F52A5D">
        <w:rPr>
          <w:lang w:val="fr-FR"/>
        </w:rPr>
        <w:t xml:space="preserve">Afin d’améliorer l’organisation du système de la gratuité des soins, le gouvernement a donné des orientations pour une décentralisation de la gratuité des soins aux collectivités territoriales. </w:t>
      </w:r>
    </w:p>
    <w:p w14:paraId="394313A9" w14:textId="28824E03" w:rsidR="00F52A5D" w:rsidRPr="00F52A5D" w:rsidRDefault="004C13E7" w:rsidP="004C13E7">
      <w:pPr>
        <w:pStyle w:val="SingleTxtG"/>
        <w:rPr>
          <w:lang w:val="fr-FR"/>
        </w:rPr>
      </w:pPr>
      <w:r w:rsidRPr="00F52A5D">
        <w:rPr>
          <w:lang w:val="fr-FR"/>
        </w:rPr>
        <w:t>29.</w:t>
      </w:r>
      <w:r w:rsidRPr="00F52A5D">
        <w:rPr>
          <w:lang w:val="fr-FR"/>
        </w:rPr>
        <w:tab/>
      </w:r>
      <w:r w:rsidR="00F52A5D" w:rsidRPr="00F52A5D">
        <w:rPr>
          <w:lang w:val="fr-FR"/>
        </w:rPr>
        <w:t>L’</w:t>
      </w:r>
      <w:r w:rsidR="00646915">
        <w:rPr>
          <w:lang w:val="fr-FR"/>
        </w:rPr>
        <w:t>État</w:t>
      </w:r>
      <w:r w:rsidR="00F52A5D" w:rsidRPr="00F52A5D">
        <w:rPr>
          <w:lang w:val="fr-FR"/>
        </w:rPr>
        <w:t xml:space="preserve"> envisage également la mise en place d’un Fonds social pour la santé qui, à terme, devrait favoriser la gratuité des soins. </w:t>
      </w:r>
    </w:p>
    <w:p w14:paraId="5D560638" w14:textId="193B7847" w:rsidR="00F52A5D" w:rsidRPr="00F52A5D" w:rsidRDefault="004C13E7" w:rsidP="004C13E7">
      <w:pPr>
        <w:pStyle w:val="SingleTxtG"/>
        <w:rPr>
          <w:bCs/>
          <w:lang w:val="fr-FR"/>
        </w:rPr>
      </w:pPr>
      <w:r w:rsidRPr="00F52A5D">
        <w:rPr>
          <w:bCs/>
          <w:lang w:val="fr-FR"/>
        </w:rPr>
        <w:t>30.</w:t>
      </w:r>
      <w:r w:rsidRPr="00F52A5D">
        <w:rPr>
          <w:bCs/>
          <w:lang w:val="fr-FR"/>
        </w:rPr>
        <w:tab/>
      </w:r>
      <w:r w:rsidR="00F52A5D" w:rsidRPr="00F52A5D">
        <w:rPr>
          <w:bCs/>
          <w:lang w:val="fr-FR"/>
        </w:rPr>
        <w:t xml:space="preserve">Pour renforcer la couverture de la population par les mécanismes de protection contre les risques </w:t>
      </w:r>
      <w:r w:rsidR="00F52A5D" w:rsidRPr="00F52A5D">
        <w:rPr>
          <w:lang w:val="fr-FR"/>
        </w:rPr>
        <w:t>financiers</w:t>
      </w:r>
      <w:r w:rsidR="00F52A5D" w:rsidRPr="00F52A5D">
        <w:rPr>
          <w:bCs/>
          <w:lang w:val="fr-FR"/>
        </w:rPr>
        <w:t>, plusieurs actions sont envisagées. Il s’agit de : (i) consolider les acquis de la mesure de la gratuité en mettant à la disposition des collectivités territoriales les ressources financières devant permettre de faire face à leurs nouvelles responsabilités avec le transfert des compétences et des ressources de l’</w:t>
      </w:r>
      <w:r w:rsidR="00646915">
        <w:rPr>
          <w:bCs/>
          <w:lang w:val="fr-FR"/>
        </w:rPr>
        <w:t>État</w:t>
      </w:r>
      <w:r w:rsidR="00F52A5D" w:rsidRPr="00F52A5D">
        <w:rPr>
          <w:bCs/>
          <w:lang w:val="fr-FR"/>
        </w:rPr>
        <w:t>, (ii) promouvoir les mutuelles de santé notamment pour les populations qui vivent d’une économie informelle, (iii) dynamiser le Fonds Social pour améliorer l’accès financier des indigents et certains groupes spécifiques aux services et soins de santé, (</w:t>
      </w:r>
      <w:r w:rsidR="003A5F47">
        <w:rPr>
          <w:bCs/>
          <w:lang w:val="fr-FR"/>
        </w:rPr>
        <w:t>iv</w:t>
      </w:r>
      <w:r w:rsidR="00F52A5D" w:rsidRPr="00F52A5D">
        <w:rPr>
          <w:bCs/>
          <w:lang w:val="fr-FR"/>
        </w:rPr>
        <w:t xml:space="preserve">) mettre en place un régime obligatoire d’assurance maladie-universelle. </w:t>
      </w:r>
    </w:p>
    <w:p w14:paraId="48398BA7" w14:textId="6247D6DC" w:rsidR="00F52A5D" w:rsidRPr="00F52A5D" w:rsidRDefault="004C13E7" w:rsidP="004C13E7">
      <w:pPr>
        <w:pStyle w:val="SingleTxtG"/>
        <w:rPr>
          <w:bCs/>
          <w:lang w:val="fr-FR"/>
        </w:rPr>
      </w:pPr>
      <w:r w:rsidRPr="00F52A5D">
        <w:rPr>
          <w:bCs/>
          <w:lang w:val="fr-FR"/>
        </w:rPr>
        <w:t>31.</w:t>
      </w:r>
      <w:r w:rsidRPr="00F52A5D">
        <w:rPr>
          <w:bCs/>
          <w:lang w:val="fr-FR"/>
        </w:rPr>
        <w:tab/>
      </w:r>
      <w:r w:rsidR="00F52A5D" w:rsidRPr="00F52A5D">
        <w:rPr>
          <w:bCs/>
          <w:lang w:val="fr-FR"/>
        </w:rPr>
        <w:t xml:space="preserve">La mise en place d’un régime obligatoire d’assurance maladie universelle est nécessaire dans la mesure où l’expérience de plusieurs pays relatifs aux régimes d’assurances maladies non obligatoires, a montré les limites d’une telle approche. Le régime d’assurance maladie universelle une fois en place et fonctionnel va être la principale action de protection des populations contre le risque financier. Il intégrera tous les autres mécanismes existants. Le financement de la gratuité par le gouvernement deviendra l’une des contributions du gouvernement au financement du régime d’assurance maladie universelle au côté de la prise en charge des indigents à travers le Fonds Social. </w:t>
      </w:r>
    </w:p>
    <w:p w14:paraId="62AF626D" w14:textId="20511964" w:rsidR="00F52A5D" w:rsidRPr="00F52A5D" w:rsidRDefault="004C13E7" w:rsidP="004C13E7">
      <w:pPr>
        <w:pStyle w:val="SingleTxtG"/>
        <w:rPr>
          <w:bCs/>
          <w:lang w:val="fr-FR"/>
        </w:rPr>
      </w:pPr>
      <w:r w:rsidRPr="00F52A5D">
        <w:rPr>
          <w:bCs/>
          <w:lang w:val="fr-FR"/>
        </w:rPr>
        <w:t>32.</w:t>
      </w:r>
      <w:r w:rsidRPr="00F52A5D">
        <w:rPr>
          <w:bCs/>
          <w:lang w:val="fr-FR"/>
        </w:rPr>
        <w:tab/>
      </w:r>
      <w:r w:rsidR="00F52A5D" w:rsidRPr="00F52A5D">
        <w:rPr>
          <w:bCs/>
          <w:lang w:val="fr-FR"/>
        </w:rPr>
        <w:t xml:space="preserve">Une feuille de route a été établie pour permettre au gouvernement de mieux coordonner ses efforts en vue de la Couverture Universelle Sanitaire (CUS) dans le cadre de la Politique de Protection Sociale qui a été adoptée en 2011. Cette feuille de route met de la cohérence entre l’amélioration de la couverture des services essentiels préventifs, promotionnels et curatifs et la protection de la population contre le risque financier. Son élaboration et sa mise en œuvre se sont faites dans un cadre multisectoriel qui implique le Ministère de la Santé Publique (MSP), le Ministère des Finances (MF), les ministères en charge de la protection sociale, les collectivités territoriales, etc. </w:t>
      </w:r>
    </w:p>
    <w:p w14:paraId="7D5FEADA" w14:textId="469013B6" w:rsidR="00F52A5D" w:rsidRPr="00F52A5D" w:rsidRDefault="004C13E7" w:rsidP="004C13E7">
      <w:pPr>
        <w:pStyle w:val="SingleTxtG"/>
        <w:rPr>
          <w:bCs/>
          <w:lang w:val="fr-FR"/>
        </w:rPr>
      </w:pPr>
      <w:r w:rsidRPr="00F52A5D">
        <w:rPr>
          <w:bCs/>
          <w:lang w:val="fr-FR"/>
        </w:rPr>
        <w:lastRenderedPageBreak/>
        <w:t>33.</w:t>
      </w:r>
      <w:r w:rsidRPr="00F52A5D">
        <w:rPr>
          <w:bCs/>
          <w:lang w:val="fr-FR"/>
        </w:rPr>
        <w:tab/>
      </w:r>
      <w:r w:rsidR="00F52A5D" w:rsidRPr="00F52A5D">
        <w:rPr>
          <w:lang w:val="fr-FR"/>
        </w:rPr>
        <w:t>Parmi</w:t>
      </w:r>
      <w:r w:rsidR="00F52A5D" w:rsidRPr="00F52A5D">
        <w:rPr>
          <w:bCs/>
          <w:lang w:val="fr-FR"/>
        </w:rPr>
        <w:t xml:space="preserve"> les activités inscrites dans cette feuille de route figure l</w:t>
      </w:r>
      <w:r w:rsidR="006C3BD2">
        <w:rPr>
          <w:bCs/>
          <w:lang w:val="fr-FR"/>
        </w:rPr>
        <w:t>’</w:t>
      </w:r>
      <w:r w:rsidR="00F52A5D" w:rsidRPr="00F52A5D">
        <w:rPr>
          <w:bCs/>
          <w:lang w:val="fr-FR"/>
        </w:rPr>
        <w:t>élaboration et l</w:t>
      </w:r>
      <w:r w:rsidR="006C3BD2">
        <w:rPr>
          <w:bCs/>
          <w:lang w:val="fr-FR"/>
        </w:rPr>
        <w:t>’</w:t>
      </w:r>
      <w:r w:rsidR="00F52A5D" w:rsidRPr="00F52A5D">
        <w:rPr>
          <w:bCs/>
          <w:lang w:val="fr-FR"/>
        </w:rPr>
        <w:t>adoption d</w:t>
      </w:r>
      <w:r w:rsidR="006C3BD2">
        <w:rPr>
          <w:bCs/>
          <w:lang w:val="fr-FR"/>
        </w:rPr>
        <w:t>’</w:t>
      </w:r>
      <w:r w:rsidR="00F52A5D" w:rsidRPr="00F52A5D">
        <w:rPr>
          <w:bCs/>
          <w:lang w:val="fr-FR"/>
        </w:rPr>
        <w:t xml:space="preserve">un dispositif juridique devant accompagner la mise en œuvre de la Couverture Sanitaire Universelle (textes législatifs et réglementaires). Actuellement les projets de textes ont été élaborés et leur adoption est prévue au cours de cette année. </w:t>
      </w:r>
    </w:p>
    <w:p w14:paraId="63C1A5AE" w14:textId="5AB400D0" w:rsidR="00F52A5D" w:rsidRPr="00F52A5D" w:rsidRDefault="004C13E7" w:rsidP="004C13E7">
      <w:pPr>
        <w:pStyle w:val="SingleTxtG"/>
        <w:rPr>
          <w:bCs/>
          <w:lang w:val="fr-FR"/>
        </w:rPr>
      </w:pPr>
      <w:r w:rsidRPr="00F52A5D">
        <w:rPr>
          <w:bCs/>
          <w:lang w:val="fr-FR"/>
        </w:rPr>
        <w:t>34.</w:t>
      </w:r>
      <w:r w:rsidRPr="00F52A5D">
        <w:rPr>
          <w:bCs/>
          <w:lang w:val="fr-FR"/>
        </w:rPr>
        <w:tab/>
      </w:r>
      <w:r w:rsidR="00F52A5D" w:rsidRPr="00F52A5D">
        <w:rPr>
          <w:bCs/>
          <w:lang w:val="fr-FR"/>
        </w:rPr>
        <w:t>Le Financement Basé sur les Résultats (FBR) est une stratégie de financement des services de santé qui vise l’amélioration quantitative et qualitative de l’offre de soins d’une part et l’augmentation de la demande d’autre part à travers une approche contractuelle.</w:t>
      </w:r>
    </w:p>
    <w:p w14:paraId="16FDE10D" w14:textId="689C995A" w:rsidR="00F52A5D" w:rsidRPr="00F52A5D" w:rsidRDefault="004C13E7" w:rsidP="004C13E7">
      <w:pPr>
        <w:pStyle w:val="SingleTxtG"/>
        <w:rPr>
          <w:bCs/>
          <w:lang w:val="fr-FR"/>
        </w:rPr>
      </w:pPr>
      <w:r w:rsidRPr="00F52A5D">
        <w:rPr>
          <w:bCs/>
          <w:lang w:val="fr-FR"/>
        </w:rPr>
        <w:t>35.</w:t>
      </w:r>
      <w:r w:rsidRPr="00F52A5D">
        <w:rPr>
          <w:bCs/>
          <w:lang w:val="fr-FR"/>
        </w:rPr>
        <w:tab/>
      </w:r>
      <w:r w:rsidR="00F52A5D" w:rsidRPr="00F52A5D">
        <w:rPr>
          <w:lang w:val="fr-FR"/>
        </w:rPr>
        <w:t>La</w:t>
      </w:r>
      <w:r w:rsidR="00F52A5D" w:rsidRPr="00F52A5D">
        <w:rPr>
          <w:bCs/>
          <w:lang w:val="fr-FR"/>
        </w:rPr>
        <w:t xml:space="preserve"> stratégie suggère principalement qu’un contrat de performance soit conclu entre l’acheteur et le prestataire des services tout en spécifiant les ressources financières qui seront remboursées en fonction de la quantité et de la qualité des prestations fournies.</w:t>
      </w:r>
    </w:p>
    <w:p w14:paraId="24AF6539" w14:textId="196C3E3E" w:rsidR="002C5D9D" w:rsidRDefault="004C13E7" w:rsidP="004C13E7">
      <w:pPr>
        <w:pStyle w:val="SingleTxtG"/>
        <w:rPr>
          <w:bCs/>
          <w:lang w:val="fr-FR"/>
        </w:rPr>
      </w:pPr>
      <w:r>
        <w:rPr>
          <w:bCs/>
          <w:lang w:val="fr-FR"/>
        </w:rPr>
        <w:t>36.</w:t>
      </w:r>
      <w:r>
        <w:rPr>
          <w:bCs/>
          <w:lang w:val="fr-FR"/>
        </w:rPr>
        <w:tab/>
      </w:r>
      <w:r w:rsidR="00F52A5D" w:rsidRPr="00F52A5D">
        <w:rPr>
          <w:bCs/>
          <w:lang w:val="fr-FR"/>
        </w:rPr>
        <w:t>Le Ministère entend s’appuyer sur le FBR et la gratuité des soins pour développer la stratégie de couverture universelle en santé en vue d’une meilleure protection des populations</w:t>
      </w:r>
      <w:r w:rsidR="00F52A5D">
        <w:rPr>
          <w:bCs/>
          <w:lang w:val="fr-FR"/>
        </w:rPr>
        <w:t>.</w:t>
      </w:r>
    </w:p>
    <w:p w14:paraId="77CB09B4" w14:textId="5C081787" w:rsidR="00F52A5D" w:rsidRPr="00F52A5D" w:rsidRDefault="00F52A5D" w:rsidP="00F52A5D">
      <w:pPr>
        <w:pStyle w:val="SingleTxtG"/>
        <w:spacing w:before="240" w:after="0"/>
        <w:jc w:val="center"/>
        <w:rPr>
          <w:u w:val="single"/>
        </w:rPr>
      </w:pPr>
      <w:r>
        <w:rPr>
          <w:bCs/>
          <w:u w:val="single"/>
          <w:lang w:val="fr-FR"/>
        </w:rPr>
        <w:tab/>
      </w:r>
      <w:r>
        <w:rPr>
          <w:bCs/>
          <w:u w:val="single"/>
          <w:lang w:val="fr-FR"/>
        </w:rPr>
        <w:tab/>
      </w:r>
      <w:r>
        <w:rPr>
          <w:bCs/>
          <w:u w:val="single"/>
          <w:lang w:val="fr-FR"/>
        </w:rPr>
        <w:tab/>
      </w:r>
      <w:r w:rsidR="00906E70">
        <w:rPr>
          <w:bCs/>
          <w:u w:val="single"/>
          <w:lang w:val="fr-FR"/>
        </w:rPr>
        <w:tab/>
      </w:r>
    </w:p>
    <w:sectPr w:rsidR="00F52A5D" w:rsidRPr="00F52A5D" w:rsidSect="00316AD4">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C6EB" w14:textId="77777777" w:rsidR="00FE0053" w:rsidRDefault="005F151C">
      <w:pPr>
        <w:spacing w:line="240" w:lineRule="auto"/>
      </w:pPr>
      <w:r>
        <w:separator/>
      </w:r>
    </w:p>
  </w:endnote>
  <w:endnote w:type="continuationSeparator" w:id="0">
    <w:p w14:paraId="23ADE475" w14:textId="77777777" w:rsidR="00FE0053" w:rsidRDefault="005F1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A2BB" w14:textId="2741995F" w:rsidR="0060166F" w:rsidRDefault="005F151C">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352C21">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85E4" w14:textId="67F073B5" w:rsidR="0060166F" w:rsidRDefault="00393EC0">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52C21">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822B" w14:textId="499BB82F" w:rsidR="0060166F" w:rsidRPr="00DC2C38" w:rsidRDefault="00DC2C38" w:rsidP="00DC2C38">
    <w:pPr>
      <w:pStyle w:val="Pieddepage"/>
      <w:spacing w:before="120"/>
      <w:rPr>
        <w:sz w:val="20"/>
      </w:rPr>
    </w:pPr>
    <w:r w:rsidRPr="00DC2C38">
      <w:rPr>
        <w:rFonts w:ascii="C39T30Lfz" w:hAnsi="C39T30Lfz"/>
        <w:noProof/>
        <w:sz w:val="56"/>
        <w:lang w:eastAsia="fr-CH"/>
      </w:rPr>
      <w:drawing>
        <wp:anchor distT="0" distB="0" distL="114300" distR="114300" simplePos="0" relativeHeight="251658752" behindDoc="0" locked="0" layoutInCell="1" allowOverlap="0" wp14:anchorId="1F949B88" wp14:editId="78D47C10">
          <wp:simplePos x="0" y="0"/>
          <wp:positionH relativeFrom="margin">
            <wp:posOffset>4331173</wp:posOffset>
          </wp:positionH>
          <wp:positionV relativeFrom="margin">
            <wp:posOffset>9121007</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GE.20-14462  (F)</w:t>
    </w:r>
    <w:r>
      <w:rPr>
        <w:sz w:val="20"/>
      </w:rPr>
      <w:br/>
    </w:r>
    <w:r w:rsidRPr="00DC2C38">
      <w:rPr>
        <w:rFonts w:ascii="C39T30Lfz" w:hAnsi="C39T30Lfz"/>
        <w:sz w:val="56"/>
      </w:rPr>
      <w:t>*2014462*</w:t>
    </w:r>
    <w:r>
      <w:rPr>
        <w:noProof/>
        <w:sz w:val="20"/>
      </w:rPr>
      <w:drawing>
        <wp:anchor distT="0" distB="0" distL="114300" distR="114300" simplePos="0" relativeHeight="251658240" behindDoc="0" locked="0" layoutInCell="1" allowOverlap="1" wp14:anchorId="41093975" wp14:editId="7368CF3B">
          <wp:simplePos x="0" y="0"/>
          <wp:positionH relativeFrom="margin">
            <wp:posOffset>5489575</wp:posOffset>
          </wp:positionH>
          <wp:positionV relativeFrom="margin">
            <wp:posOffset>8891905</wp:posOffset>
          </wp:positionV>
          <wp:extent cx="561975" cy="5619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874D" w14:textId="77777777" w:rsidR="0060166F" w:rsidRDefault="005F151C">
      <w:pPr>
        <w:pStyle w:val="Pieddepage"/>
        <w:tabs>
          <w:tab w:val="right" w:pos="2155"/>
        </w:tabs>
        <w:spacing w:after="80" w:line="240" w:lineRule="atLeast"/>
        <w:ind w:left="680"/>
        <w:rPr>
          <w:u w:val="single"/>
        </w:rPr>
      </w:pPr>
      <w:r>
        <w:rPr>
          <w:u w:val="single"/>
        </w:rPr>
        <w:tab/>
      </w:r>
    </w:p>
  </w:footnote>
  <w:footnote w:type="continuationSeparator" w:id="0">
    <w:p w14:paraId="6A3C6C65" w14:textId="77777777" w:rsidR="0060166F" w:rsidRDefault="005F151C">
      <w:pPr>
        <w:pStyle w:val="Pieddepage"/>
        <w:tabs>
          <w:tab w:val="right" w:pos="2155"/>
        </w:tabs>
        <w:spacing w:after="80" w:line="240" w:lineRule="atLeast"/>
        <w:ind w:left="680"/>
        <w:rPr>
          <w:u w:val="single"/>
        </w:rPr>
      </w:pPr>
      <w:r>
        <w:rPr>
          <w:u w:val="single"/>
        </w:rPr>
        <w:tab/>
      </w:r>
    </w:p>
  </w:footnote>
  <w:footnote w:type="continuationNotice" w:id="1">
    <w:p w14:paraId="37926C0A" w14:textId="77777777" w:rsidR="0060166F" w:rsidRDefault="0060166F">
      <w:pPr>
        <w:spacing w:line="240" w:lineRule="auto"/>
        <w:rPr>
          <w:sz w:val="2"/>
          <w:szCs w:val="2"/>
        </w:rPr>
      </w:pPr>
    </w:p>
  </w:footnote>
  <w:footnote w:id="2">
    <w:p w14:paraId="570B0F0B" w14:textId="77777777" w:rsidR="0060166F" w:rsidRDefault="005F151C">
      <w:pPr>
        <w:pStyle w:val="Notedebasdepage"/>
      </w:pPr>
      <w:r>
        <w:tab/>
      </w:r>
      <w:r>
        <w:rPr>
          <w:rStyle w:val="Appelnotedebasdep"/>
          <w:sz w:val="20"/>
          <w:vertAlign w:val="baseline"/>
        </w:rPr>
        <w:t>*</w:t>
      </w:r>
      <w:r>
        <w:rPr>
          <w:sz w:val="20"/>
        </w:rPr>
        <w:tab/>
      </w:r>
      <w:r>
        <w:rPr>
          <w:szCs w:val="18"/>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A5D8" w14:textId="77777777" w:rsidR="0060166F" w:rsidRPr="002C5D9D" w:rsidRDefault="002C5D9D" w:rsidP="002C5D9D">
    <w:pPr>
      <w:pStyle w:val="En-tte"/>
    </w:pPr>
    <w:r w:rsidRPr="002C5D9D">
      <w:t>E/C.12/NER/FCO/1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01A9" w14:textId="77777777" w:rsidR="0060166F" w:rsidRDefault="00393EC0">
    <w:pPr>
      <w:pStyle w:val="En-tte"/>
      <w:jc w:val="right"/>
    </w:pPr>
    <w:r>
      <w:t>E/C.12/NER/FCO/1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31FA1"/>
    <w:multiLevelType w:val="hybridMultilevel"/>
    <w:tmpl w:val="B5DAEDE8"/>
    <w:lvl w:ilvl="0" w:tplc="98A0A632">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6E24C118"/>
    <w:lvl w:ilvl="0" w:tplc="4E7430C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6F4AC7E" w:tentative="1">
      <w:start w:val="1"/>
      <w:numFmt w:val="lowerLetter"/>
      <w:lvlText w:val="%2."/>
      <w:lvlJc w:val="left"/>
      <w:pPr>
        <w:tabs>
          <w:tab w:val="num" w:pos="1440"/>
        </w:tabs>
        <w:ind w:left="1440" w:hanging="360"/>
      </w:pPr>
    </w:lvl>
    <w:lvl w:ilvl="2" w:tplc="D7AA2A60" w:tentative="1">
      <w:start w:val="1"/>
      <w:numFmt w:val="lowerRoman"/>
      <w:lvlText w:val="%3."/>
      <w:lvlJc w:val="right"/>
      <w:pPr>
        <w:tabs>
          <w:tab w:val="num" w:pos="2160"/>
        </w:tabs>
        <w:ind w:left="2160" w:hanging="180"/>
      </w:pPr>
    </w:lvl>
    <w:lvl w:ilvl="3" w:tplc="018CCF52" w:tentative="1">
      <w:start w:val="1"/>
      <w:numFmt w:val="decimal"/>
      <w:lvlText w:val="%4."/>
      <w:lvlJc w:val="left"/>
      <w:pPr>
        <w:tabs>
          <w:tab w:val="num" w:pos="2880"/>
        </w:tabs>
        <w:ind w:left="2880" w:hanging="360"/>
      </w:pPr>
    </w:lvl>
    <w:lvl w:ilvl="4" w:tplc="F836B28E" w:tentative="1">
      <w:start w:val="1"/>
      <w:numFmt w:val="lowerLetter"/>
      <w:lvlText w:val="%5."/>
      <w:lvlJc w:val="left"/>
      <w:pPr>
        <w:tabs>
          <w:tab w:val="num" w:pos="3600"/>
        </w:tabs>
        <w:ind w:left="3600" w:hanging="360"/>
      </w:pPr>
    </w:lvl>
    <w:lvl w:ilvl="5" w:tplc="6E787C9C" w:tentative="1">
      <w:start w:val="1"/>
      <w:numFmt w:val="lowerRoman"/>
      <w:lvlText w:val="%6."/>
      <w:lvlJc w:val="right"/>
      <w:pPr>
        <w:tabs>
          <w:tab w:val="num" w:pos="4320"/>
        </w:tabs>
        <w:ind w:left="4320" w:hanging="180"/>
      </w:pPr>
    </w:lvl>
    <w:lvl w:ilvl="6" w:tplc="EA80DC10" w:tentative="1">
      <w:start w:val="1"/>
      <w:numFmt w:val="decimal"/>
      <w:lvlText w:val="%7."/>
      <w:lvlJc w:val="left"/>
      <w:pPr>
        <w:tabs>
          <w:tab w:val="num" w:pos="5040"/>
        </w:tabs>
        <w:ind w:left="5040" w:hanging="360"/>
      </w:pPr>
    </w:lvl>
    <w:lvl w:ilvl="7" w:tplc="DCDED8E0" w:tentative="1">
      <w:start w:val="1"/>
      <w:numFmt w:val="lowerLetter"/>
      <w:lvlText w:val="%8."/>
      <w:lvlJc w:val="left"/>
      <w:pPr>
        <w:tabs>
          <w:tab w:val="num" w:pos="5760"/>
        </w:tabs>
        <w:ind w:left="5760" w:hanging="360"/>
      </w:pPr>
    </w:lvl>
    <w:lvl w:ilvl="8" w:tplc="B8202B02" w:tentative="1">
      <w:start w:val="1"/>
      <w:numFmt w:val="lowerRoman"/>
      <w:lvlText w:val="%9."/>
      <w:lvlJc w:val="right"/>
      <w:pPr>
        <w:tabs>
          <w:tab w:val="num" w:pos="6480"/>
        </w:tabs>
        <w:ind w:left="6480" w:hanging="180"/>
      </w:pPr>
    </w:lvl>
  </w:abstractNum>
  <w:abstractNum w:abstractNumId="12" w15:restartNumberingAfterBreak="0">
    <w:nsid w:val="120C0045"/>
    <w:multiLevelType w:val="hybridMultilevel"/>
    <w:tmpl w:val="71B2527A"/>
    <w:lvl w:ilvl="0" w:tplc="89A883C4">
      <w:start w:val="1"/>
      <w:numFmt w:val="decimal"/>
      <w:lvlText w:val="%1."/>
      <w:lvlJc w:val="left"/>
      <w:pPr>
        <w:ind w:left="218" w:hanging="360"/>
      </w:pPr>
      <w:rPr>
        <w:rFonts w:eastAsia="Calibri" w:hint="default"/>
        <w:b/>
        <w:bCs/>
        <w:i w:val="0"/>
        <w:iCs/>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3" w15:restartNumberingAfterBreak="0">
    <w:nsid w:val="23F47A77"/>
    <w:multiLevelType w:val="hybridMultilevel"/>
    <w:tmpl w:val="E7AC75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42B3140"/>
    <w:multiLevelType w:val="hybridMultilevel"/>
    <w:tmpl w:val="62D636E8"/>
    <w:lvl w:ilvl="0" w:tplc="D91CA12E">
      <w:numFmt w:val="bullet"/>
      <w:lvlText w:val="-"/>
      <w:lvlJc w:val="left"/>
      <w:pPr>
        <w:ind w:left="938" w:hanging="360"/>
      </w:pPr>
      <w:rPr>
        <w:rFonts w:ascii="Times New Roman" w:eastAsiaTheme="minorHAnsi" w:hAnsi="Times New Roman" w:cs="Times New Roman"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5" w15:restartNumberingAfterBreak="0">
    <w:nsid w:val="25A729BE"/>
    <w:multiLevelType w:val="hybridMultilevel"/>
    <w:tmpl w:val="4BEE5EFC"/>
    <w:lvl w:ilvl="0" w:tplc="040C000B">
      <w:start w:val="1"/>
      <w:numFmt w:val="bullet"/>
      <w:lvlText w:val=""/>
      <w:lvlJc w:val="left"/>
      <w:pPr>
        <w:ind w:left="1637" w:firstLine="131"/>
      </w:pPr>
      <w:rPr>
        <w:rFonts w:ascii="Wingdings" w:hAnsi="Wingdings"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6" w15:restartNumberingAfterBreak="0">
    <w:nsid w:val="32036552"/>
    <w:multiLevelType w:val="hybridMultilevel"/>
    <w:tmpl w:val="D56AC26C"/>
    <w:lvl w:ilvl="0" w:tplc="D91CA1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F57D7"/>
    <w:multiLevelType w:val="hybridMultilevel"/>
    <w:tmpl w:val="C4186704"/>
    <w:lvl w:ilvl="0" w:tplc="040C0013">
      <w:start w:val="1"/>
      <w:numFmt w:val="upperRoman"/>
      <w:lvlText w:val="%1."/>
      <w:lvlJc w:val="righ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CF4EB2"/>
    <w:multiLevelType w:val="hybridMultilevel"/>
    <w:tmpl w:val="AE82671E"/>
    <w:lvl w:ilvl="0" w:tplc="C0D2DC90">
      <w:start w:val="1"/>
      <w:numFmt w:val="bullet"/>
      <w:pStyle w:val="Bullet2G"/>
      <w:lvlText w:val="•"/>
      <w:lvlJc w:val="left"/>
      <w:pPr>
        <w:tabs>
          <w:tab w:val="num" w:pos="2268"/>
        </w:tabs>
        <w:ind w:left="2268" w:hanging="170"/>
      </w:pPr>
      <w:rPr>
        <w:rFonts w:ascii="Times New Roman" w:hAnsi="Times New Roman" w:cs="Times New Roman" w:hint="default"/>
      </w:rPr>
    </w:lvl>
    <w:lvl w:ilvl="1" w:tplc="2E40CAC6" w:tentative="1">
      <w:start w:val="1"/>
      <w:numFmt w:val="bullet"/>
      <w:lvlText w:val="o"/>
      <w:lvlJc w:val="left"/>
      <w:pPr>
        <w:tabs>
          <w:tab w:val="num" w:pos="3708"/>
        </w:tabs>
        <w:ind w:left="3708" w:hanging="360"/>
      </w:pPr>
      <w:rPr>
        <w:rFonts w:ascii="Courier New" w:hAnsi="Courier New" w:hint="default"/>
      </w:rPr>
    </w:lvl>
    <w:lvl w:ilvl="2" w:tplc="BDF86E80" w:tentative="1">
      <w:start w:val="1"/>
      <w:numFmt w:val="bullet"/>
      <w:lvlText w:val=""/>
      <w:lvlJc w:val="left"/>
      <w:pPr>
        <w:tabs>
          <w:tab w:val="num" w:pos="4428"/>
        </w:tabs>
        <w:ind w:left="4428" w:hanging="360"/>
      </w:pPr>
      <w:rPr>
        <w:rFonts w:ascii="Wingdings" w:hAnsi="Wingdings" w:hint="default"/>
      </w:rPr>
    </w:lvl>
    <w:lvl w:ilvl="3" w:tplc="B0D4335E" w:tentative="1">
      <w:start w:val="1"/>
      <w:numFmt w:val="bullet"/>
      <w:lvlText w:val=""/>
      <w:lvlJc w:val="left"/>
      <w:pPr>
        <w:tabs>
          <w:tab w:val="num" w:pos="5148"/>
        </w:tabs>
        <w:ind w:left="5148" w:hanging="360"/>
      </w:pPr>
      <w:rPr>
        <w:rFonts w:ascii="Symbol" w:hAnsi="Symbol" w:hint="default"/>
      </w:rPr>
    </w:lvl>
    <w:lvl w:ilvl="4" w:tplc="23F853FA" w:tentative="1">
      <w:start w:val="1"/>
      <w:numFmt w:val="bullet"/>
      <w:lvlText w:val="o"/>
      <w:lvlJc w:val="left"/>
      <w:pPr>
        <w:tabs>
          <w:tab w:val="num" w:pos="5868"/>
        </w:tabs>
        <w:ind w:left="5868" w:hanging="360"/>
      </w:pPr>
      <w:rPr>
        <w:rFonts w:ascii="Courier New" w:hAnsi="Courier New" w:hint="default"/>
      </w:rPr>
    </w:lvl>
    <w:lvl w:ilvl="5" w:tplc="17F69BA0" w:tentative="1">
      <w:start w:val="1"/>
      <w:numFmt w:val="bullet"/>
      <w:lvlText w:val=""/>
      <w:lvlJc w:val="left"/>
      <w:pPr>
        <w:tabs>
          <w:tab w:val="num" w:pos="6588"/>
        </w:tabs>
        <w:ind w:left="6588" w:hanging="360"/>
      </w:pPr>
      <w:rPr>
        <w:rFonts w:ascii="Wingdings" w:hAnsi="Wingdings" w:hint="default"/>
      </w:rPr>
    </w:lvl>
    <w:lvl w:ilvl="6" w:tplc="E152BBB6" w:tentative="1">
      <w:start w:val="1"/>
      <w:numFmt w:val="bullet"/>
      <w:lvlText w:val=""/>
      <w:lvlJc w:val="left"/>
      <w:pPr>
        <w:tabs>
          <w:tab w:val="num" w:pos="7308"/>
        </w:tabs>
        <w:ind w:left="7308" w:hanging="360"/>
      </w:pPr>
      <w:rPr>
        <w:rFonts w:ascii="Symbol" w:hAnsi="Symbol" w:hint="default"/>
      </w:rPr>
    </w:lvl>
    <w:lvl w:ilvl="7" w:tplc="CE0083B2" w:tentative="1">
      <w:start w:val="1"/>
      <w:numFmt w:val="bullet"/>
      <w:lvlText w:val="o"/>
      <w:lvlJc w:val="left"/>
      <w:pPr>
        <w:tabs>
          <w:tab w:val="num" w:pos="8028"/>
        </w:tabs>
        <w:ind w:left="8028" w:hanging="360"/>
      </w:pPr>
      <w:rPr>
        <w:rFonts w:ascii="Courier New" w:hAnsi="Courier New" w:hint="default"/>
      </w:rPr>
    </w:lvl>
    <w:lvl w:ilvl="8" w:tplc="D4E03706"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8E51EC"/>
    <w:multiLevelType w:val="hybridMultilevel"/>
    <w:tmpl w:val="44804E66"/>
    <w:lvl w:ilvl="0" w:tplc="331C432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E546119"/>
    <w:multiLevelType w:val="hybridMultilevel"/>
    <w:tmpl w:val="485685CA"/>
    <w:lvl w:ilvl="0" w:tplc="2E0E3CA6">
      <w:start w:val="1"/>
      <w:numFmt w:val="upperLetter"/>
      <w:lvlText w:val="%1."/>
      <w:lvlJc w:val="left"/>
      <w:pPr>
        <w:ind w:left="1080" w:hanging="360"/>
      </w:pPr>
      <w:rPr>
        <w:rFonts w:hint="default"/>
        <w:b/>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8AD07B2"/>
    <w:multiLevelType w:val="hybridMultilevel"/>
    <w:tmpl w:val="36D6316E"/>
    <w:lvl w:ilvl="0" w:tplc="002CE86A">
      <w:start w:val="1"/>
      <w:numFmt w:val="bullet"/>
      <w:pStyle w:val="Bullet1G"/>
      <w:lvlText w:val="•"/>
      <w:lvlJc w:val="left"/>
      <w:pPr>
        <w:tabs>
          <w:tab w:val="num" w:pos="1701"/>
        </w:tabs>
        <w:ind w:left="1701" w:hanging="170"/>
      </w:pPr>
      <w:rPr>
        <w:rFonts w:ascii="Times New Roman" w:hAnsi="Times New Roman" w:cs="Times New Roman" w:hint="default"/>
      </w:rPr>
    </w:lvl>
    <w:lvl w:ilvl="1" w:tplc="CBA4E6B8" w:tentative="1">
      <w:start w:val="1"/>
      <w:numFmt w:val="bullet"/>
      <w:lvlText w:val="o"/>
      <w:lvlJc w:val="left"/>
      <w:pPr>
        <w:tabs>
          <w:tab w:val="num" w:pos="3141"/>
        </w:tabs>
        <w:ind w:left="3141" w:hanging="360"/>
      </w:pPr>
      <w:rPr>
        <w:rFonts w:ascii="Courier New" w:hAnsi="Courier New" w:hint="default"/>
      </w:rPr>
    </w:lvl>
    <w:lvl w:ilvl="2" w:tplc="B052D35C" w:tentative="1">
      <w:start w:val="1"/>
      <w:numFmt w:val="bullet"/>
      <w:lvlText w:val=""/>
      <w:lvlJc w:val="left"/>
      <w:pPr>
        <w:tabs>
          <w:tab w:val="num" w:pos="3861"/>
        </w:tabs>
        <w:ind w:left="3861" w:hanging="360"/>
      </w:pPr>
      <w:rPr>
        <w:rFonts w:ascii="Wingdings" w:hAnsi="Wingdings" w:hint="default"/>
      </w:rPr>
    </w:lvl>
    <w:lvl w:ilvl="3" w:tplc="FC0273E4" w:tentative="1">
      <w:start w:val="1"/>
      <w:numFmt w:val="bullet"/>
      <w:lvlText w:val=""/>
      <w:lvlJc w:val="left"/>
      <w:pPr>
        <w:tabs>
          <w:tab w:val="num" w:pos="4581"/>
        </w:tabs>
        <w:ind w:left="4581" w:hanging="360"/>
      </w:pPr>
      <w:rPr>
        <w:rFonts w:ascii="Symbol" w:hAnsi="Symbol" w:hint="default"/>
      </w:rPr>
    </w:lvl>
    <w:lvl w:ilvl="4" w:tplc="7E201082" w:tentative="1">
      <w:start w:val="1"/>
      <w:numFmt w:val="bullet"/>
      <w:lvlText w:val="o"/>
      <w:lvlJc w:val="left"/>
      <w:pPr>
        <w:tabs>
          <w:tab w:val="num" w:pos="5301"/>
        </w:tabs>
        <w:ind w:left="5301" w:hanging="360"/>
      </w:pPr>
      <w:rPr>
        <w:rFonts w:ascii="Courier New" w:hAnsi="Courier New" w:hint="default"/>
      </w:rPr>
    </w:lvl>
    <w:lvl w:ilvl="5" w:tplc="99D06EB2" w:tentative="1">
      <w:start w:val="1"/>
      <w:numFmt w:val="bullet"/>
      <w:lvlText w:val=""/>
      <w:lvlJc w:val="left"/>
      <w:pPr>
        <w:tabs>
          <w:tab w:val="num" w:pos="6021"/>
        </w:tabs>
        <w:ind w:left="6021" w:hanging="360"/>
      </w:pPr>
      <w:rPr>
        <w:rFonts w:ascii="Wingdings" w:hAnsi="Wingdings" w:hint="default"/>
      </w:rPr>
    </w:lvl>
    <w:lvl w:ilvl="6" w:tplc="0A1E9EC6" w:tentative="1">
      <w:start w:val="1"/>
      <w:numFmt w:val="bullet"/>
      <w:lvlText w:val=""/>
      <w:lvlJc w:val="left"/>
      <w:pPr>
        <w:tabs>
          <w:tab w:val="num" w:pos="6741"/>
        </w:tabs>
        <w:ind w:left="6741" w:hanging="360"/>
      </w:pPr>
      <w:rPr>
        <w:rFonts w:ascii="Symbol" w:hAnsi="Symbol" w:hint="default"/>
      </w:rPr>
    </w:lvl>
    <w:lvl w:ilvl="7" w:tplc="78CE06D2" w:tentative="1">
      <w:start w:val="1"/>
      <w:numFmt w:val="bullet"/>
      <w:lvlText w:val="o"/>
      <w:lvlJc w:val="left"/>
      <w:pPr>
        <w:tabs>
          <w:tab w:val="num" w:pos="7461"/>
        </w:tabs>
        <w:ind w:left="7461" w:hanging="360"/>
      </w:pPr>
      <w:rPr>
        <w:rFonts w:ascii="Courier New" w:hAnsi="Courier New" w:hint="default"/>
      </w:rPr>
    </w:lvl>
    <w:lvl w:ilvl="8" w:tplc="1240A03C"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047980"/>
    <w:multiLevelType w:val="hybridMultilevel"/>
    <w:tmpl w:val="DF66C55C"/>
    <w:lvl w:ilvl="0" w:tplc="08090005">
      <w:start w:val="1"/>
      <w:numFmt w:val="bullet"/>
      <w:lvlText w:val=""/>
      <w:lvlJc w:val="left"/>
      <w:pPr>
        <w:tabs>
          <w:tab w:val="num" w:pos="2268"/>
        </w:tabs>
        <w:ind w:left="2268" w:hanging="170"/>
      </w:pPr>
      <w:rPr>
        <w:rFonts w:ascii="Wingdings" w:hAnsi="Wingdings" w:hint="default"/>
      </w:rPr>
    </w:lvl>
    <w:lvl w:ilvl="1" w:tplc="2E40CAC6" w:tentative="1">
      <w:start w:val="1"/>
      <w:numFmt w:val="bullet"/>
      <w:lvlText w:val="o"/>
      <w:lvlJc w:val="left"/>
      <w:pPr>
        <w:tabs>
          <w:tab w:val="num" w:pos="3708"/>
        </w:tabs>
        <w:ind w:left="3708" w:hanging="360"/>
      </w:pPr>
      <w:rPr>
        <w:rFonts w:ascii="Courier New" w:hAnsi="Courier New" w:hint="default"/>
      </w:rPr>
    </w:lvl>
    <w:lvl w:ilvl="2" w:tplc="BDF86E80" w:tentative="1">
      <w:start w:val="1"/>
      <w:numFmt w:val="bullet"/>
      <w:lvlText w:val=""/>
      <w:lvlJc w:val="left"/>
      <w:pPr>
        <w:tabs>
          <w:tab w:val="num" w:pos="4428"/>
        </w:tabs>
        <w:ind w:left="4428" w:hanging="360"/>
      </w:pPr>
      <w:rPr>
        <w:rFonts w:ascii="Wingdings" w:hAnsi="Wingdings" w:hint="default"/>
      </w:rPr>
    </w:lvl>
    <w:lvl w:ilvl="3" w:tplc="B0D4335E" w:tentative="1">
      <w:start w:val="1"/>
      <w:numFmt w:val="bullet"/>
      <w:lvlText w:val=""/>
      <w:lvlJc w:val="left"/>
      <w:pPr>
        <w:tabs>
          <w:tab w:val="num" w:pos="5148"/>
        </w:tabs>
        <w:ind w:left="5148" w:hanging="360"/>
      </w:pPr>
      <w:rPr>
        <w:rFonts w:ascii="Symbol" w:hAnsi="Symbol" w:hint="default"/>
      </w:rPr>
    </w:lvl>
    <w:lvl w:ilvl="4" w:tplc="23F853FA" w:tentative="1">
      <w:start w:val="1"/>
      <w:numFmt w:val="bullet"/>
      <w:lvlText w:val="o"/>
      <w:lvlJc w:val="left"/>
      <w:pPr>
        <w:tabs>
          <w:tab w:val="num" w:pos="5868"/>
        </w:tabs>
        <w:ind w:left="5868" w:hanging="360"/>
      </w:pPr>
      <w:rPr>
        <w:rFonts w:ascii="Courier New" w:hAnsi="Courier New" w:hint="default"/>
      </w:rPr>
    </w:lvl>
    <w:lvl w:ilvl="5" w:tplc="17F69BA0" w:tentative="1">
      <w:start w:val="1"/>
      <w:numFmt w:val="bullet"/>
      <w:lvlText w:val=""/>
      <w:lvlJc w:val="left"/>
      <w:pPr>
        <w:tabs>
          <w:tab w:val="num" w:pos="6588"/>
        </w:tabs>
        <w:ind w:left="6588" w:hanging="360"/>
      </w:pPr>
      <w:rPr>
        <w:rFonts w:ascii="Wingdings" w:hAnsi="Wingdings" w:hint="default"/>
      </w:rPr>
    </w:lvl>
    <w:lvl w:ilvl="6" w:tplc="E152BBB6" w:tentative="1">
      <w:start w:val="1"/>
      <w:numFmt w:val="bullet"/>
      <w:lvlText w:val=""/>
      <w:lvlJc w:val="left"/>
      <w:pPr>
        <w:tabs>
          <w:tab w:val="num" w:pos="7308"/>
        </w:tabs>
        <w:ind w:left="7308" w:hanging="360"/>
      </w:pPr>
      <w:rPr>
        <w:rFonts w:ascii="Symbol" w:hAnsi="Symbol" w:hint="default"/>
      </w:rPr>
    </w:lvl>
    <w:lvl w:ilvl="7" w:tplc="CE0083B2" w:tentative="1">
      <w:start w:val="1"/>
      <w:numFmt w:val="bullet"/>
      <w:lvlText w:val="o"/>
      <w:lvlJc w:val="left"/>
      <w:pPr>
        <w:tabs>
          <w:tab w:val="num" w:pos="8028"/>
        </w:tabs>
        <w:ind w:left="8028" w:hanging="360"/>
      </w:pPr>
      <w:rPr>
        <w:rFonts w:ascii="Courier New" w:hAnsi="Courier New" w:hint="default"/>
      </w:rPr>
    </w:lvl>
    <w:lvl w:ilvl="8" w:tplc="D4E03706" w:tentative="1">
      <w:start w:val="1"/>
      <w:numFmt w:val="bullet"/>
      <w:lvlText w:val=""/>
      <w:lvlJc w:val="left"/>
      <w:pPr>
        <w:tabs>
          <w:tab w:val="num" w:pos="8748"/>
        </w:tabs>
        <w:ind w:left="8748" w:hanging="360"/>
      </w:pPr>
      <w:rPr>
        <w:rFonts w:ascii="Wingdings" w:hAnsi="Wingdings" w:hint="default"/>
      </w:rPr>
    </w:lvl>
  </w:abstractNum>
  <w:num w:numId="1">
    <w:abstractNumId w:val="21"/>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1"/>
  </w:num>
  <w:num w:numId="17">
    <w:abstractNumId w:val="17"/>
  </w:num>
  <w:num w:numId="18">
    <w:abstractNumId w:val="16"/>
  </w:num>
  <w:num w:numId="19">
    <w:abstractNumId w:val="20"/>
  </w:num>
  <w:num w:numId="20">
    <w:abstractNumId w:val="12"/>
  </w:num>
  <w:num w:numId="21">
    <w:abstractNumId w:val="13"/>
  </w:num>
  <w:num w:numId="22">
    <w:abstractNumId w:val="14"/>
  </w:num>
  <w:num w:numId="23">
    <w:abstractNumId w:val="15"/>
  </w:num>
  <w:num w:numId="24">
    <w:abstractNumId w:val="10"/>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567"/>
  <w:hyphenationZone w:val="425"/>
  <w:evenAndOddHeaders/>
  <w:characterSpacingControl w:val="doNotCompress"/>
  <w:hdrShapeDefaults>
    <o:shapedefaults v:ext="edit" spidmax="16386"/>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6F"/>
    <w:rsid w:val="00034F5A"/>
    <w:rsid w:val="00060F5F"/>
    <w:rsid w:val="001C1F7C"/>
    <w:rsid w:val="001D4270"/>
    <w:rsid w:val="002C5D9D"/>
    <w:rsid w:val="00315A36"/>
    <w:rsid w:val="00316AD4"/>
    <w:rsid w:val="00352C21"/>
    <w:rsid w:val="00393EC0"/>
    <w:rsid w:val="003A5F47"/>
    <w:rsid w:val="003D07AB"/>
    <w:rsid w:val="003E3B20"/>
    <w:rsid w:val="004C13E7"/>
    <w:rsid w:val="0051639A"/>
    <w:rsid w:val="0054414A"/>
    <w:rsid w:val="005B6C45"/>
    <w:rsid w:val="005F151C"/>
    <w:rsid w:val="0060166F"/>
    <w:rsid w:val="00611D81"/>
    <w:rsid w:val="00640256"/>
    <w:rsid w:val="00640309"/>
    <w:rsid w:val="00641127"/>
    <w:rsid w:val="00646915"/>
    <w:rsid w:val="00683053"/>
    <w:rsid w:val="006B58C9"/>
    <w:rsid w:val="006C3BD2"/>
    <w:rsid w:val="006D329A"/>
    <w:rsid w:val="006E0B2A"/>
    <w:rsid w:val="00816918"/>
    <w:rsid w:val="008501BD"/>
    <w:rsid w:val="00856EC4"/>
    <w:rsid w:val="00906E70"/>
    <w:rsid w:val="00953C5C"/>
    <w:rsid w:val="00986CDC"/>
    <w:rsid w:val="00991FAF"/>
    <w:rsid w:val="009D0D1D"/>
    <w:rsid w:val="009F64DA"/>
    <w:rsid w:val="00A32D68"/>
    <w:rsid w:val="00A558CA"/>
    <w:rsid w:val="00A6224A"/>
    <w:rsid w:val="00AC3171"/>
    <w:rsid w:val="00AE267C"/>
    <w:rsid w:val="00AE4067"/>
    <w:rsid w:val="00B547F6"/>
    <w:rsid w:val="00BE488E"/>
    <w:rsid w:val="00C87533"/>
    <w:rsid w:val="00C9041C"/>
    <w:rsid w:val="00D12482"/>
    <w:rsid w:val="00DC2C38"/>
    <w:rsid w:val="00DD5627"/>
    <w:rsid w:val="00E25311"/>
    <w:rsid w:val="00E71A4B"/>
    <w:rsid w:val="00EF1593"/>
    <w:rsid w:val="00F52A5D"/>
    <w:rsid w:val="00FE00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170865E"/>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16 Point,4_G,BVI fnr,Footnote,Footnote Refernece,Footnote symbol,Fußnotenzeichen_Raxen,Superscript 6 Point,Texto de nota al pie,ftref"/>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styleId="Paragraphedeliste">
    <w:name w:val="List Paragraph"/>
    <w:aliases w:val="Bullets,References,Numbered List Paragraph,List Paragraph (numbered (a)),WB List Paragraph,Liste 1,ReferencesCxSpLast,Paragraphe  revu,r2,Paragraphe 2,inspringtekst,Paragraphe de liste1,RM1,List Bullet Mary,List Paragraph1,AFM puc"/>
    <w:basedOn w:val="Normal"/>
    <w:uiPriority w:val="34"/>
    <w:qFormat/>
    <w:rsid w:val="00F52A5D"/>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FR"/>
    </w:rPr>
  </w:style>
  <w:style w:type="character" w:styleId="Marquedecommentaire">
    <w:name w:val="annotation reference"/>
    <w:basedOn w:val="Policepardfaut"/>
    <w:uiPriority w:val="99"/>
    <w:semiHidden/>
    <w:unhideWhenUsed/>
    <w:rsid w:val="00F52A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07632BEB62142BF26E36AD6D8B684" ma:contentTypeVersion="10" ma:contentTypeDescription="Create a new document." ma:contentTypeScope="" ma:versionID="f3d2d0056f8953a7ce23b7784f576ab6">
  <xsd:schema xmlns:xsd="http://www.w3.org/2001/XMLSchema" xmlns:xs="http://www.w3.org/2001/XMLSchema" xmlns:p="http://schemas.microsoft.com/office/2006/metadata/properties" xmlns:ns3="3419e837-75ee-4790-acc3-5f19a082db3f" targetNamespace="http://schemas.microsoft.com/office/2006/metadata/properties" ma:root="true" ma:fieldsID="02ea5e7f89c824bed7ad01120467ca48" ns3:_="">
    <xsd:import namespace="3419e837-75ee-4790-acc3-5f19a082d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9e837-75ee-4790-acc3-5f19a082d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A65BE-AE40-4511-851C-4DC3F1887F7B}">
  <ds:schemaRefs>
    <ds:schemaRef ds:uri="http://schemas.microsoft.com/sharepoint/v3/contenttype/forms"/>
  </ds:schemaRefs>
</ds:datastoreItem>
</file>

<file path=customXml/itemProps2.xml><?xml version="1.0" encoding="utf-8"?>
<ds:datastoreItem xmlns:ds="http://schemas.openxmlformats.org/officeDocument/2006/customXml" ds:itemID="{1E8BAAE0-89B9-44D4-AC71-97259FB2AB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19e837-75ee-4790-acc3-5f19a082db3f"/>
    <ds:schemaRef ds:uri="http://www.w3.org/XML/1998/namespace"/>
    <ds:schemaRef ds:uri="http://purl.org/dc/dcmitype/"/>
  </ds:schemaRefs>
</ds:datastoreItem>
</file>

<file path=customXml/itemProps3.xml><?xml version="1.0" encoding="utf-8"?>
<ds:datastoreItem xmlns:ds="http://schemas.openxmlformats.org/officeDocument/2006/customXml" ds:itemID="{1E8DB6EC-8109-47D6-825D-C75CF535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9e837-75ee-4790-acc3-5f19a082d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3088</Words>
  <Characters>16617</Characters>
  <Application>Microsoft Office Word</Application>
  <DocSecurity>0</DocSecurity>
  <Lines>325</Lines>
  <Paragraphs>152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E/C.12/NER/FCO/1</vt:lpstr>
      <vt:lpstr>a/hthhhh</vt:lpstr>
      <vt:lpstr>a/hthhhh</vt:lpstr>
    </vt:vector>
  </TitlesOfParts>
  <Company>DCM</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E/C.12/NER/FCO/1</dc:title>
  <dc:subject/>
  <dc:creator>Gloria de la Rosa</dc:creator>
  <cp:keywords/>
  <cp:lastModifiedBy>Valerie BERTIN</cp:lastModifiedBy>
  <cp:revision>2</cp:revision>
  <cp:lastPrinted>2017-02-27T14:31:00Z</cp:lastPrinted>
  <dcterms:created xsi:type="dcterms:W3CDTF">2020-11-02T11:00:00Z</dcterms:created>
  <dcterms:modified xsi:type="dcterms:W3CDTF">2020-11-02T11:00:00Z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du Niger </vt:lpwstr>
  </property>
  <property fmtid="{D5CDD505-2E9C-101B-9397-08002B2CF9AE}" pid="8" name="countw">
    <vt:lpwstr>Niger </vt:lpwstr>
  </property>
  <property fmtid="{D5CDD505-2E9C-101B-9397-08002B2CF9AE}" pid="9" name="countwd">
    <vt:lpwstr>le Niger </vt:lpwstr>
  </property>
  <property fmtid="{D5CDD505-2E9C-101B-9397-08002B2CF9AE}" pid="10" name="date">
    <vt:lpwstr>28 octobre 2020</vt:lpwstr>
  </property>
  <property fmtid="{D5CDD505-2E9C-101B-9397-08002B2CF9AE}" pid="11" name="Date-Generated">
    <vt:filetime>2020-10-28T10:50:59Z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Concluding observations - Follow up</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rapport initial du Niger </vt:lpwstr>
  </property>
  <property fmtid="{D5CDD505-2E9C-101B-9397-08002B2CF9AE}" pid="20" name="preps">
    <vt:lpwstr>rapport initial du Niger </vt:lpwstr>
  </property>
  <property fmtid="{D5CDD505-2E9C-101B-9397-08002B2CF9AE}" pid="21" name="prepw">
    <vt:lpwstr>rapport initial</vt:lpwstr>
  </property>
  <property fmtid="{D5CDD505-2E9C-101B-9397-08002B2CF9AE}" pid="22" name="prepwc">
    <vt:lpwstr>Rapport initiaux </vt:lpwstr>
  </property>
  <property fmtid="{D5CDD505-2E9C-101B-9397-08002B2CF9AE}" pid="23" name="prepws">
    <vt:lpwstr>rapport initial</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C.12/NER/FCO/1</vt:lpwstr>
  </property>
  <property fmtid="{D5CDD505-2E9C-101B-9397-08002B2CF9AE}" pid="28" name="symh">
    <vt:lpwstr>E/C.12/NER/FCO/1</vt:lpwstr>
  </property>
  <property fmtid="{D5CDD505-2E9C-101B-9397-08002B2CF9AE}" pid="29" name="Title">
    <vt:lpwstr>E/C.12/NER/FCO/1</vt:lpwstr>
  </property>
  <property fmtid="{D5CDD505-2E9C-101B-9397-08002B2CF9AE}" pid="30" name="tlang">
    <vt:lpwstr/>
  </property>
  <property fmtid="{D5CDD505-2E9C-101B-9397-08002B2CF9AE}" pid="31" name="virs">
    <vt:lpwstr>Anglais, espagnol et français seulement</vt:lpwstr>
  </property>
  <property fmtid="{D5CDD505-2E9C-101B-9397-08002B2CF9AE}" pid="32" name="ContentTypeId">
    <vt:lpwstr>0x01010089307632BEB62142BF26E36AD6D8B684</vt:lpwstr>
  </property>
</Properties>
</file>